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58" w:line="219" w:lineRule="auto"/>
        <w:ind w:left="155"/>
        <w:rPr>
          <w:rFonts w:ascii="SimHei" w:eastAsia="SimHei" w:hAnsi="SimHei" w:cs="SimHei"/>
          <w:sz w:val="18"/>
          <w:szCs w:val="18"/>
        </w:rPr>
      </w:pPr>
      <w:r>
        <mc:AlternateContent>
          <mc:Choice Requires="wps">
            <w:drawing>
              <wp:anchor distT="0" distB="0" distL="0" distR="0" simplePos="0" relativeHeight="251659264" behindDoc="1" locked="0" layoutInCell="1" allowOverlap="1">
                <wp:simplePos x="0" y="0"/>
                <wp:positionH relativeFrom="column">
                  <wp:posOffset>18287</wp:posOffset>
                </wp:positionH>
                <wp:positionV relativeFrom="paragraph">
                  <wp:posOffset>-70132</wp:posOffset>
                </wp:positionV>
                <wp:extent cx="6122034" cy="292734"/>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18287" y="-70132"/>
                          <a:ext cx="6122034" cy="292734"/>
                        </a:xfrm>
                        <a:prstGeom prst="rect">
                          <a:avLst/>
                        </a:prstGeom>
                        <a:solidFill>
                          <a:srgbClr val="B8CCE4"/>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5" style="width:482.05pt;height:23.05pt;margin-top:-5.52pt;margin-left:1.44pt;mso-wrap-distance-bottom:0;mso-wrap-distance-left:0;mso-wrap-distance-right:0;mso-wrap-distance-top:0;position:absolute;v-text-anchor:top;z-index:-251658240" fillcolor="#b8cce4" stroked="f"/>
            </w:pict>
          </mc:Fallback>
        </mc:AlternateContent>
      </w:r>
      <w:r>
        <w:pict>
          <v:shapetype id="_x0000_t202" coordsize="21600,21600" o:spt="202" path="m,l,21600r21600,l21600,xe">
            <v:stroke joinstyle="miter"/>
            <v:path gradientshapeok="t" o:connecttype="rect"/>
          </v:shapetype>
          <v:shape id="_x0000_s1026" type="#_x0000_t202" style="width:19.8pt;height:12.75pt;margin-top:1.95pt;margin-left:459.42pt;position:absolute;z-index:251660288" filled="f" stroked="f">
            <o:lock v:ext="edit" aspectratio="f"/>
            <v:textbox inset="0,0,0,0">
              <w:txbxContent>
                <w:p>
                  <w:pPr>
                    <w:spacing w:before="20" w:line="220" w:lineRule="auto"/>
                    <w:ind w:left="20"/>
                    <w:rPr>
                      <w:rFonts w:ascii="SimHei" w:eastAsia="SimHei" w:hAnsi="SimHei" w:cs="SimHei"/>
                      <w:sz w:val="18"/>
                      <w:szCs w:val="18"/>
                    </w:rPr>
                  </w:pPr>
                  <w:r>
                    <w:rPr>
                      <w:rFonts w:ascii="SimHei" w:eastAsia="SimHei" w:hAnsi="SimHei" w:cs="SimHei"/>
                      <w:spacing w:val="-2"/>
                      <w:sz w:val="18"/>
                      <w:szCs w:val="18"/>
                    </w:rPr>
                    <w:t>稳定</w:t>
                  </w:r>
                </w:p>
              </w:txbxContent>
            </v:textbox>
          </v:shape>
        </w:pict>
      </w:r>
      <w:r>
        <w:rPr>
          <w:rFonts w:ascii="SimHei" w:eastAsia="SimHei" w:hAnsi="SimHei" w:cs="SimHei"/>
          <w:spacing w:val="-2"/>
          <w:sz w:val="18"/>
          <w:szCs w:val="18"/>
        </w:rPr>
        <w:t>电力行业信用展望：</w:t>
      </w:r>
    </w:p>
    <w:p>
      <w:pPr>
        <w:spacing w:line="315" w:lineRule="auto"/>
        <w:rPr>
          <w:rFonts w:ascii="Arial"/>
          <w:sz w:val="21"/>
        </w:rPr>
      </w:pPr>
    </w:p>
    <w:p>
      <w:pPr>
        <w:spacing w:line="315" w:lineRule="auto"/>
        <w:rPr>
          <w:rFonts w:ascii="Arial"/>
          <w:sz w:val="21"/>
        </w:rPr>
      </w:pPr>
    </w:p>
    <w:p>
      <w:pPr>
        <w:spacing w:line="315" w:lineRule="auto"/>
        <w:rPr>
          <w:rFonts w:ascii="Arial"/>
          <w:sz w:val="21"/>
        </w:rPr>
      </w:pPr>
    </w:p>
    <w:p>
      <w:pPr>
        <w:spacing w:before="101" w:line="359" w:lineRule="auto"/>
        <w:ind w:left="3866" w:right="2009" w:hanging="1850"/>
        <w:outlineLvl w:val="0"/>
        <w:rPr>
          <w:rFonts w:ascii="SimSun" w:eastAsia="SimSun" w:hAnsi="SimSun" w:cs="SimSun"/>
          <w:sz w:val="18"/>
          <w:szCs w:val="18"/>
        </w:rPr>
      </w:pPr>
      <w:r>
        <w:rPr>
          <w:rFonts w:ascii="SimHei" w:eastAsia="SimHei" w:hAnsi="SimHei" w:cs="SimHei"/>
          <w:spacing w:val="5"/>
          <w:sz w:val="31"/>
          <w:szCs w:val="31"/>
        </w:rPr>
        <w:t>2023</w:t>
      </w:r>
      <w:r>
        <w:rPr>
          <w:rFonts w:ascii="SimHei" w:eastAsia="SimHei" w:hAnsi="SimHei" w:cs="SimHei"/>
          <w:spacing w:val="-45"/>
          <w:sz w:val="31"/>
          <w:szCs w:val="31"/>
        </w:rPr>
        <w:t xml:space="preserve"> </w:t>
      </w:r>
      <w:r>
        <w:rPr>
          <w:rFonts w:ascii="SimHei" w:eastAsia="SimHei" w:hAnsi="SimHei" w:cs="SimHei"/>
          <w:spacing w:val="5"/>
          <w:sz w:val="31"/>
          <w:szCs w:val="31"/>
        </w:rPr>
        <w:t>年电力行业信用回顾与</w:t>
      </w:r>
      <w:r>
        <w:rPr>
          <w:rFonts w:ascii="SimHei" w:eastAsia="SimHei" w:hAnsi="SimHei" w:cs="SimHei"/>
          <w:spacing w:val="-62"/>
          <w:sz w:val="31"/>
          <w:szCs w:val="31"/>
        </w:rPr>
        <w:t xml:space="preserve"> </w:t>
      </w:r>
      <w:r>
        <w:rPr>
          <w:rFonts w:ascii="SimHei" w:eastAsia="SimHei" w:hAnsi="SimHei" w:cs="SimHei"/>
          <w:spacing w:val="5"/>
          <w:sz w:val="31"/>
          <w:szCs w:val="31"/>
        </w:rPr>
        <w:t>2024</w:t>
      </w:r>
      <w:r>
        <w:rPr>
          <w:rFonts w:ascii="SimHei" w:eastAsia="SimHei" w:hAnsi="SimHei" w:cs="SimHei"/>
          <w:spacing w:val="-63"/>
          <w:sz w:val="31"/>
          <w:szCs w:val="31"/>
        </w:rPr>
        <w:t xml:space="preserve"> </w:t>
      </w:r>
      <w:r>
        <w:rPr>
          <w:rFonts w:ascii="SimHei" w:eastAsia="SimHei" w:hAnsi="SimHei" w:cs="SimHei"/>
          <w:spacing w:val="5"/>
          <w:sz w:val="31"/>
          <w:szCs w:val="31"/>
        </w:rPr>
        <w:t>年展望</w:t>
      </w:r>
      <w:r>
        <w:rPr>
          <w:rFonts w:ascii="SimHei" w:eastAsia="SimHei" w:hAnsi="SimHei" w:cs="SimHei"/>
          <w:sz w:val="31"/>
          <w:szCs w:val="31"/>
        </w:rPr>
        <w:t xml:space="preserve"> </w:t>
      </w:r>
      <w:r>
        <w:rPr>
          <w:rFonts w:ascii="SimSun" w:eastAsia="SimSun" w:hAnsi="SimSun" w:cs="SimSun"/>
          <w:spacing w:val="-2"/>
          <w:sz w:val="18"/>
          <w:szCs w:val="18"/>
        </w:rPr>
        <w:t>工商企业评级部</w:t>
      </w:r>
      <w:r>
        <w:rPr>
          <w:rFonts w:ascii="SimSun" w:eastAsia="SimSun" w:hAnsi="SimSun" w:cs="SimSun"/>
          <w:spacing w:val="8"/>
          <w:sz w:val="18"/>
          <w:szCs w:val="18"/>
        </w:rPr>
        <w:t xml:space="preserve">  </w:t>
      </w:r>
      <w:r>
        <w:rPr>
          <w:rFonts w:ascii="SimSun" w:eastAsia="SimSun" w:hAnsi="SimSun" w:cs="SimSun"/>
          <w:spacing w:val="-2"/>
          <w:sz w:val="18"/>
          <w:szCs w:val="18"/>
        </w:rPr>
        <w:t>喻俐萍</w:t>
      </w:r>
    </w:p>
    <w:p>
      <w:pPr>
        <w:spacing w:line="269" w:lineRule="auto"/>
        <w:rPr>
          <w:rFonts w:ascii="Arial"/>
          <w:sz w:val="21"/>
        </w:rPr>
      </w:pPr>
    </w:p>
    <w:p>
      <w:pPr>
        <w:spacing w:line="270" w:lineRule="auto"/>
        <w:rPr>
          <w:rFonts w:ascii="Arial"/>
          <w:sz w:val="21"/>
        </w:rPr>
      </w:pPr>
    </w:p>
    <w:p>
      <w:pPr>
        <w:spacing w:before="91" w:line="220" w:lineRule="auto"/>
        <w:ind w:left="38"/>
        <w:rPr>
          <w:rFonts w:ascii="SimHei" w:eastAsia="SimHei" w:hAnsi="SimHei" w:cs="SimHei"/>
          <w:sz w:val="28"/>
          <w:szCs w:val="28"/>
        </w:rPr>
      </w:pPr>
      <w:r>
        <w:rPr>
          <w:rFonts w:ascii="SimHei" w:eastAsia="SimHei" w:hAnsi="SimHei" w:cs="SimHei"/>
          <w:spacing w:val="-3"/>
          <w:sz w:val="28"/>
          <w:szCs w:val="28"/>
        </w:rPr>
        <w:t>摘要</w:t>
      </w:r>
    </w:p>
    <w:p>
      <w:pPr>
        <w:pStyle w:val="BodyText"/>
        <w:spacing w:before="273" w:line="234" w:lineRule="auto"/>
        <w:ind w:left="33" w:right="28" w:hanging="1"/>
      </w:pPr>
      <w:r>
        <w:rPr>
          <w:rFonts w:ascii="Times New Roman" w:eastAsia="Times New Roman" w:hAnsi="Times New Roman" w:cs="Times New Roman"/>
          <w:spacing w:val="-7"/>
        </w:rPr>
        <w:t>2023</w:t>
      </w:r>
      <w:r>
        <w:rPr>
          <w:rFonts w:ascii="Times New Roman" w:eastAsia="Times New Roman" w:hAnsi="Times New Roman" w:cs="Times New Roman"/>
          <w:spacing w:val="18"/>
        </w:rPr>
        <w:t xml:space="preserve"> </w:t>
      </w:r>
      <w:r>
        <w:rPr>
          <w:spacing w:val="-7"/>
        </w:rPr>
        <w:t>年以来，</w:t>
      </w:r>
      <w:r>
        <w:rPr>
          <w:spacing w:val="32"/>
        </w:rPr>
        <w:t xml:space="preserve"> </w:t>
      </w:r>
      <w:r>
        <w:rPr>
          <w:spacing w:val="-7"/>
        </w:rPr>
        <w:t xml:space="preserve">我国电力行业经受住了来水持续偏枯、多轮高温等考验， </w:t>
      </w:r>
      <w:r>
        <w:rPr>
          <w:spacing w:val="-8"/>
        </w:rPr>
        <w:t xml:space="preserve">  电力消费量稳中有升，  供需总体平衡。我国用电结构</w:t>
      </w:r>
      <w:r>
        <w:t xml:space="preserve"> </w:t>
      </w:r>
      <w:r>
        <w:rPr>
          <w:spacing w:val="-6"/>
        </w:rPr>
        <w:t>持续优化，  工业用电量占比近年来持续下降，   战</w:t>
      </w:r>
      <w:r>
        <w:rPr>
          <w:spacing w:val="-7"/>
        </w:rPr>
        <w:t>略性新兴产业和现代服务业已成为用电增长的主要动力，  预计未来仍将拉动</w:t>
      </w:r>
      <w:r>
        <w:t xml:space="preserve"> </w:t>
      </w:r>
      <w:r>
        <w:rPr>
          <w:spacing w:val="-5"/>
        </w:rPr>
        <w:t>全社会用电量较快增长。从电力供应端看，行业整体延续绿色低碳转型趋势，</w:t>
      </w:r>
      <w:r>
        <w:rPr>
          <w:spacing w:val="-6"/>
        </w:rPr>
        <w:t>新增装机仍以太阳能发电等清洁电源装机为主，</w:t>
      </w:r>
      <w:r>
        <w:t xml:space="preserve">  </w:t>
      </w:r>
      <w:r>
        <w:rPr>
          <w:spacing w:val="-5"/>
        </w:rPr>
        <w:t>但此类装机发电效率偏低，且供电存在随机性、波动性及间歇性等局限性，加上</w:t>
      </w:r>
      <w:r>
        <w:rPr>
          <w:spacing w:val="-6"/>
        </w:rPr>
        <w:t>前期我国多地出现限电及电力供应紧缺现象，</w:t>
      </w:r>
      <w:r>
        <w:t xml:space="preserve">  </w:t>
      </w:r>
      <w:r>
        <w:rPr>
          <w:spacing w:val="-3"/>
        </w:rPr>
        <w:t xml:space="preserve">火电基础电源地位得到重新认识，使得火电投资审批重新加速。未来火电基础能源地位将长期得到重视，  </w:t>
      </w:r>
      <w:r>
        <w:rPr>
          <w:spacing w:val="-4"/>
        </w:rPr>
        <w:t>且将更多的参与调</w:t>
      </w:r>
      <w:r>
        <w:t xml:space="preserve"> </w:t>
      </w:r>
      <w:r>
        <w:rPr>
          <w:spacing w:val="-2"/>
        </w:rPr>
        <w:t>峰调频服务，发挥兜底保供作用。</w:t>
      </w:r>
    </w:p>
    <w:p>
      <w:pPr>
        <w:pStyle w:val="BodyText"/>
        <w:spacing w:before="156" w:line="229" w:lineRule="auto"/>
        <w:ind w:left="43" w:right="26" w:hanging="11"/>
        <w:jc w:val="both"/>
      </w:pPr>
      <w:r>
        <w:rPr>
          <w:rFonts w:ascii="Times New Roman" w:eastAsia="Times New Roman" w:hAnsi="Times New Roman" w:cs="Times New Roman"/>
          <w:spacing w:val="-2"/>
        </w:rPr>
        <w:t xml:space="preserve">2023  </w:t>
      </w:r>
      <w:r>
        <w:rPr>
          <w:spacing w:val="-2"/>
        </w:rPr>
        <w:t>年以来，我国电力行业政策主要涵盖布局电力全局工作，推进清洁能源、储能发展，   构建</w:t>
      </w:r>
      <w:r>
        <w:rPr>
          <w:spacing w:val="-3"/>
        </w:rPr>
        <w:t>新型电力市场以及深化电力</w:t>
      </w:r>
      <w:r>
        <w:t xml:space="preserve"> </w:t>
      </w:r>
      <w:r>
        <w:rPr>
          <w:spacing w:val="-7"/>
        </w:rPr>
        <w:t>市场改革等方面。未来，</w:t>
      </w:r>
      <w:r>
        <w:rPr>
          <w:spacing w:val="13"/>
        </w:rPr>
        <w:t xml:space="preserve">  </w:t>
      </w:r>
      <w:r>
        <w:rPr>
          <w:spacing w:val="-7"/>
        </w:rPr>
        <w:t>我国电力市场化程度将进一步加深，  清洁电源企业面临</w:t>
      </w:r>
      <w:r>
        <w:rPr>
          <w:spacing w:val="-8"/>
        </w:rPr>
        <w:t>的政策环境持续向好；   同时随着两部制电价</w:t>
      </w:r>
      <w:r>
        <w:t xml:space="preserve"> </w:t>
      </w:r>
      <w:r>
        <w:rPr>
          <w:spacing w:val="-4"/>
        </w:rPr>
        <w:t>政策实施</w:t>
      </w:r>
      <w:r>
        <w:rPr>
          <w:spacing w:val="-11"/>
        </w:rPr>
        <w:t xml:space="preserve"> </w:t>
      </w:r>
      <w:r>
        <w:rPr>
          <w:spacing w:val="-4"/>
        </w:rPr>
        <w:t>，煤电企业盈利预期趋于稳定。</w:t>
      </w:r>
    </w:p>
    <w:p>
      <w:pPr>
        <w:pStyle w:val="BodyText"/>
        <w:spacing w:before="159" w:line="231" w:lineRule="auto"/>
        <w:ind w:left="50" w:right="27" w:hanging="18"/>
        <w:jc w:val="both"/>
      </w:pPr>
      <w:r>
        <w:rPr>
          <w:rFonts w:ascii="Times New Roman" w:eastAsia="Times New Roman" w:hAnsi="Times New Roman" w:cs="Times New Roman"/>
          <w:spacing w:val="-2"/>
        </w:rPr>
        <w:t xml:space="preserve">2023  </w:t>
      </w:r>
      <w:r>
        <w:rPr>
          <w:spacing w:val="-2"/>
        </w:rPr>
        <w:t>年前三季度，   用电量持续增长加之上网电价相对维持较高水平，电力企业营收规模保持增长；</w:t>
      </w:r>
      <w:r>
        <w:rPr>
          <w:spacing w:val="-3"/>
        </w:rPr>
        <w:t>同时虽电煤市场价格持</w:t>
      </w:r>
      <w:r>
        <w:t xml:space="preserve"> </w:t>
      </w:r>
      <w:r>
        <w:rPr>
          <w:spacing w:val="-8"/>
        </w:rPr>
        <w:t>续高位震荡，  但较前期高点已有回落，  有力缓解了煤电企业亏损局面，   带动整体电力企业盈利性增强。  由于火电成本</w:t>
      </w:r>
      <w:r>
        <w:rPr>
          <w:spacing w:val="-9"/>
        </w:rPr>
        <w:t>仍较高</w:t>
      </w:r>
      <w:r>
        <w:t xml:space="preserve"> </w:t>
      </w:r>
      <w:r>
        <w:rPr>
          <w:spacing w:val="-7"/>
        </w:rPr>
        <w:t>以及电源投资规模较大，   当期电力企业整体债务规模继续扩大，</w:t>
      </w:r>
      <w:r>
        <w:rPr>
          <w:spacing w:val="12"/>
        </w:rPr>
        <w:t xml:space="preserve">  </w:t>
      </w:r>
      <w:r>
        <w:rPr>
          <w:spacing w:val="-8"/>
        </w:rPr>
        <w:t>财务杠杆偏高；  但受益于盈利增强，行业内整体权益资本对</w:t>
      </w:r>
      <w:r>
        <w:t xml:space="preserve"> </w:t>
      </w:r>
      <w:r>
        <w:rPr>
          <w:spacing w:val="-4"/>
        </w:rPr>
        <w:t>刚性债务的覆盖程度有所提升。</w:t>
      </w:r>
    </w:p>
    <w:p>
      <w:pPr>
        <w:pStyle w:val="BodyText"/>
        <w:spacing w:before="157" w:line="232" w:lineRule="auto"/>
        <w:ind w:left="33" w:right="28" w:firstLine="7"/>
        <w:jc w:val="both"/>
      </w:pPr>
      <w:r>
        <w:rPr>
          <w:spacing w:val="-2"/>
        </w:rPr>
        <w:t>债券发行方面，</w:t>
      </w:r>
      <w:r>
        <w:rPr>
          <w:spacing w:val="17"/>
          <w:w w:val="101"/>
        </w:rPr>
        <w:t xml:space="preserve">  </w:t>
      </w:r>
      <w:r>
        <w:rPr>
          <w:rFonts w:ascii="Times New Roman" w:eastAsia="Times New Roman" w:hAnsi="Times New Roman" w:cs="Times New Roman"/>
          <w:spacing w:val="-2"/>
        </w:rPr>
        <w:t xml:space="preserve">2023  </w:t>
      </w:r>
      <w:r>
        <w:rPr>
          <w:spacing w:val="-2"/>
        </w:rPr>
        <w:t>年前三季度，我国电力企业仍以发行短期融资券、中期票据和公司</w:t>
      </w:r>
      <w:r>
        <w:rPr>
          <w:spacing w:val="-3"/>
        </w:rPr>
        <w:t>债券等传统债券为主，当期共发行</w:t>
      </w:r>
      <w:r>
        <w:t xml:space="preserve"> </w:t>
      </w:r>
      <w:r>
        <w:rPr>
          <w:spacing w:val="-7"/>
        </w:rPr>
        <w:t xml:space="preserve">了 </w:t>
      </w:r>
      <w:r>
        <w:rPr>
          <w:rFonts w:ascii="Times New Roman" w:eastAsia="Times New Roman" w:hAnsi="Times New Roman" w:cs="Times New Roman"/>
          <w:spacing w:val="-7"/>
        </w:rPr>
        <w:t>214</w:t>
      </w:r>
      <w:r>
        <w:rPr>
          <w:rFonts w:ascii="Times New Roman" w:eastAsia="Times New Roman" w:hAnsi="Times New Roman" w:cs="Times New Roman"/>
          <w:spacing w:val="31"/>
          <w:w w:val="101"/>
        </w:rPr>
        <w:t xml:space="preserve"> </w:t>
      </w:r>
      <w:r>
        <w:rPr>
          <w:spacing w:val="-7"/>
        </w:rPr>
        <w:t xml:space="preserve">支债券，  其中包括 </w:t>
      </w:r>
      <w:r>
        <w:rPr>
          <w:rFonts w:ascii="Times New Roman" w:eastAsia="Times New Roman" w:hAnsi="Times New Roman" w:cs="Times New Roman"/>
          <w:spacing w:val="-7"/>
        </w:rPr>
        <w:t xml:space="preserve">5  </w:t>
      </w:r>
      <w:r>
        <w:rPr>
          <w:spacing w:val="-7"/>
        </w:rPr>
        <w:t>支一般短期融资券、</w:t>
      </w:r>
      <w:r>
        <w:rPr>
          <w:spacing w:val="17"/>
        </w:rPr>
        <w:t xml:space="preserve">  </w:t>
      </w:r>
      <w:r>
        <w:rPr>
          <w:rFonts w:ascii="Times New Roman" w:eastAsia="Times New Roman" w:hAnsi="Times New Roman" w:cs="Times New Roman"/>
          <w:spacing w:val="-7"/>
        </w:rPr>
        <w:t>182</w:t>
      </w:r>
      <w:r>
        <w:rPr>
          <w:rFonts w:ascii="Times New Roman" w:eastAsia="Times New Roman" w:hAnsi="Times New Roman" w:cs="Times New Roman"/>
          <w:spacing w:val="29"/>
        </w:rPr>
        <w:t xml:space="preserve"> </w:t>
      </w:r>
      <w:r>
        <w:rPr>
          <w:spacing w:val="-7"/>
        </w:rPr>
        <w:t xml:space="preserve">支中期票据和 </w:t>
      </w:r>
      <w:r>
        <w:rPr>
          <w:rFonts w:ascii="Times New Roman" w:eastAsia="Times New Roman" w:hAnsi="Times New Roman" w:cs="Times New Roman"/>
          <w:spacing w:val="-7"/>
        </w:rPr>
        <w:t>27</w:t>
      </w:r>
      <w:r>
        <w:rPr>
          <w:rFonts w:ascii="Times New Roman" w:eastAsia="Times New Roman" w:hAnsi="Times New Roman" w:cs="Times New Roman"/>
          <w:spacing w:val="28"/>
          <w:w w:val="101"/>
        </w:rPr>
        <w:t xml:space="preserve"> </w:t>
      </w:r>
      <w:r>
        <w:rPr>
          <w:spacing w:val="-7"/>
        </w:rPr>
        <w:t xml:space="preserve">支公司债券，主要集中在 </w:t>
      </w:r>
      <w:r>
        <w:rPr>
          <w:rFonts w:ascii="Times New Roman" w:eastAsia="Times New Roman" w:hAnsi="Times New Roman" w:cs="Times New Roman"/>
          <w:spacing w:val="-7"/>
        </w:rPr>
        <w:t>AAA</w:t>
      </w:r>
      <w:r>
        <w:rPr>
          <w:rFonts w:ascii="Times New Roman" w:eastAsia="Times New Roman" w:hAnsi="Times New Roman" w:cs="Times New Roman"/>
          <w:spacing w:val="18"/>
        </w:rPr>
        <w:t xml:space="preserve"> </w:t>
      </w:r>
      <w:r>
        <w:rPr>
          <w:spacing w:val="-7"/>
        </w:rPr>
        <w:t xml:space="preserve">级和 </w:t>
      </w:r>
      <w:r>
        <w:rPr>
          <w:rFonts w:ascii="Times New Roman" w:eastAsia="Times New Roman" w:hAnsi="Times New Roman" w:cs="Times New Roman"/>
          <w:spacing w:val="-7"/>
        </w:rPr>
        <w:t>AA</w:t>
      </w:r>
      <w:r>
        <w:rPr>
          <w:rFonts w:ascii="Times New Roman" w:eastAsia="Times New Roman" w:hAnsi="Times New Roman" w:cs="Times New Roman"/>
          <w:spacing w:val="-7"/>
          <w:position w:val="5"/>
          <w:sz w:val="12"/>
          <w:szCs w:val="12"/>
        </w:rPr>
        <w:t>+</w:t>
      </w:r>
      <w:r>
        <w:rPr>
          <w:rFonts w:ascii="Times New Roman" w:eastAsia="Times New Roman" w:hAnsi="Times New Roman" w:cs="Times New Roman"/>
          <w:spacing w:val="-11"/>
          <w:position w:val="5"/>
          <w:sz w:val="12"/>
          <w:szCs w:val="12"/>
        </w:rPr>
        <w:t xml:space="preserve"> </w:t>
      </w:r>
      <w:r>
        <w:rPr>
          <w:spacing w:val="-7"/>
        </w:rPr>
        <w:t>级。级别调整</w:t>
      </w:r>
      <w:r>
        <w:t xml:space="preserve"> </w:t>
      </w:r>
      <w:r>
        <w:rPr>
          <w:spacing w:val="-3"/>
        </w:rPr>
        <w:t>方面，</w:t>
      </w:r>
      <w:r>
        <w:rPr>
          <w:spacing w:val="36"/>
        </w:rPr>
        <w:t xml:space="preserve"> </w:t>
      </w:r>
      <w:r>
        <w:rPr>
          <w:rFonts w:ascii="Times New Roman" w:eastAsia="Times New Roman" w:hAnsi="Times New Roman" w:cs="Times New Roman"/>
          <w:spacing w:val="-3"/>
        </w:rPr>
        <w:t>2023</w:t>
      </w:r>
      <w:r>
        <w:rPr>
          <w:rFonts w:ascii="Times New Roman" w:eastAsia="Times New Roman" w:hAnsi="Times New Roman" w:cs="Times New Roman"/>
          <w:spacing w:val="17"/>
          <w:w w:val="101"/>
        </w:rPr>
        <w:t xml:space="preserve"> </w:t>
      </w:r>
      <w:r>
        <w:rPr>
          <w:spacing w:val="-3"/>
        </w:rPr>
        <w:t>年我国电力行业无企业主体信用级别发生</w:t>
      </w:r>
      <w:r>
        <w:rPr>
          <w:spacing w:val="-4"/>
        </w:rPr>
        <w:t xml:space="preserve">调降；级别调升共 </w:t>
      </w:r>
      <w:r>
        <w:rPr>
          <w:rFonts w:ascii="Times New Roman" w:eastAsia="Times New Roman" w:hAnsi="Times New Roman" w:cs="Times New Roman"/>
          <w:spacing w:val="-4"/>
        </w:rPr>
        <w:t>4</w:t>
      </w:r>
      <w:r>
        <w:rPr>
          <w:rFonts w:ascii="Times New Roman" w:eastAsia="Times New Roman" w:hAnsi="Times New Roman" w:cs="Times New Roman"/>
          <w:spacing w:val="28"/>
          <w:w w:val="101"/>
        </w:rPr>
        <w:t xml:space="preserve"> </w:t>
      </w:r>
      <w:r>
        <w:rPr>
          <w:spacing w:val="-4"/>
        </w:rPr>
        <w:t>家，</w:t>
      </w:r>
      <w:r>
        <w:rPr>
          <w:spacing w:val="23"/>
        </w:rPr>
        <w:t xml:space="preserve"> </w:t>
      </w:r>
      <w:r>
        <w:rPr>
          <w:spacing w:val="-4"/>
        </w:rPr>
        <w:t xml:space="preserve">为江苏核电、甘肃电投主体信用级别由 </w:t>
      </w:r>
      <w:r>
        <w:rPr>
          <w:rFonts w:ascii="Times New Roman" w:eastAsia="Times New Roman" w:hAnsi="Times New Roman" w:cs="Times New Roman"/>
          <w:spacing w:val="-4"/>
        </w:rPr>
        <w:t>AA</w:t>
      </w:r>
      <w:r>
        <w:rPr>
          <w:rFonts w:ascii="Times New Roman" w:eastAsia="Times New Roman" w:hAnsi="Times New Roman" w:cs="Times New Roman"/>
          <w:spacing w:val="-4"/>
          <w:position w:val="5"/>
          <w:sz w:val="12"/>
          <w:szCs w:val="12"/>
        </w:rPr>
        <w:t>+</w:t>
      </w:r>
      <w:r>
        <w:rPr>
          <w:rFonts w:ascii="Times New Roman" w:eastAsia="Times New Roman" w:hAnsi="Times New Roman" w:cs="Times New Roman"/>
          <w:spacing w:val="-4"/>
        </w:rPr>
        <w:t>/</w:t>
      </w:r>
      <w:r>
        <w:rPr>
          <w:rFonts w:ascii="Times New Roman" w:eastAsia="Times New Roman" w:hAnsi="Times New Roman" w:cs="Times New Roman"/>
        </w:rPr>
        <w:t xml:space="preserve"> </w:t>
      </w:r>
      <w:r>
        <w:rPr>
          <w:spacing w:val="-1"/>
        </w:rPr>
        <w:t xml:space="preserve">稳定调升至 </w:t>
      </w:r>
      <w:r>
        <w:rPr>
          <w:rFonts w:ascii="Times New Roman" w:eastAsia="Times New Roman" w:hAnsi="Times New Roman" w:cs="Times New Roman"/>
          <w:spacing w:val="-1"/>
        </w:rPr>
        <w:t>AAA/</w:t>
      </w:r>
      <w:r>
        <w:rPr>
          <w:spacing w:val="-1"/>
        </w:rPr>
        <w:t>稳定，</w:t>
      </w:r>
      <w:r>
        <w:rPr>
          <w:spacing w:val="-13"/>
        </w:rPr>
        <w:t xml:space="preserve"> </w:t>
      </w:r>
      <w:r>
        <w:rPr>
          <w:spacing w:val="-1"/>
        </w:rPr>
        <w:t>以及四川新能源</w:t>
      </w:r>
      <w:r>
        <w:rPr>
          <w:spacing w:val="-26"/>
        </w:rPr>
        <w:t xml:space="preserve"> </w:t>
      </w:r>
      <w:r>
        <w:rPr>
          <w:spacing w:val="-1"/>
        </w:rPr>
        <w:t>、赣能股份</w:t>
      </w:r>
      <w:r>
        <w:rPr>
          <w:spacing w:val="-2"/>
        </w:rPr>
        <w:t xml:space="preserve">主体信用级别由 </w:t>
      </w:r>
      <w:r>
        <w:rPr>
          <w:rFonts w:ascii="Times New Roman" w:eastAsia="Times New Roman" w:hAnsi="Times New Roman" w:cs="Times New Roman"/>
          <w:spacing w:val="-2"/>
        </w:rPr>
        <w:t>AA/</w:t>
      </w:r>
      <w:r>
        <w:rPr>
          <w:spacing w:val="-2"/>
        </w:rPr>
        <w:t xml:space="preserve">稳定调升至 </w:t>
      </w:r>
      <w:r>
        <w:rPr>
          <w:rFonts w:ascii="Times New Roman" w:eastAsia="Times New Roman" w:hAnsi="Times New Roman" w:cs="Times New Roman"/>
          <w:spacing w:val="-2"/>
        </w:rPr>
        <w:t>AA</w:t>
      </w:r>
      <w:r>
        <w:rPr>
          <w:rFonts w:ascii="Times New Roman" w:eastAsia="Times New Roman" w:hAnsi="Times New Roman" w:cs="Times New Roman"/>
          <w:spacing w:val="-2"/>
          <w:position w:val="5"/>
          <w:sz w:val="12"/>
          <w:szCs w:val="12"/>
        </w:rPr>
        <w:t>+</w:t>
      </w:r>
      <w:r>
        <w:rPr>
          <w:rFonts w:ascii="Times New Roman" w:eastAsia="Times New Roman" w:hAnsi="Times New Roman" w:cs="Times New Roman"/>
          <w:spacing w:val="-2"/>
        </w:rPr>
        <w:t>/</w:t>
      </w:r>
      <w:r>
        <w:rPr>
          <w:spacing w:val="-2"/>
        </w:rPr>
        <w:t>稳定。</w:t>
      </w:r>
    </w:p>
    <w:p>
      <w:pPr>
        <w:pStyle w:val="BodyText"/>
        <w:spacing w:before="159" w:line="234" w:lineRule="auto"/>
        <w:ind w:left="36" w:right="27" w:hanging="1"/>
        <w:jc w:val="both"/>
      </w:pPr>
      <w:r>
        <w:rPr>
          <w:spacing w:val="-3"/>
        </w:rPr>
        <w:t xml:space="preserve">展望 </w:t>
      </w:r>
      <w:r>
        <w:rPr>
          <w:rFonts w:ascii="Times New Roman" w:eastAsia="Times New Roman" w:hAnsi="Times New Roman" w:cs="Times New Roman"/>
          <w:spacing w:val="-3"/>
        </w:rPr>
        <w:t>2024</w:t>
      </w:r>
      <w:r>
        <w:rPr>
          <w:rFonts w:ascii="Times New Roman" w:eastAsia="Times New Roman" w:hAnsi="Times New Roman" w:cs="Times New Roman"/>
          <w:spacing w:val="19"/>
          <w:w w:val="102"/>
        </w:rPr>
        <w:t xml:space="preserve"> </w:t>
      </w:r>
      <w:r>
        <w:rPr>
          <w:spacing w:val="-3"/>
        </w:rPr>
        <w:t>年，</w:t>
      </w:r>
      <w:r>
        <w:rPr>
          <w:spacing w:val="19"/>
        </w:rPr>
        <w:t xml:space="preserve"> </w:t>
      </w:r>
      <w:r>
        <w:rPr>
          <w:spacing w:val="-3"/>
        </w:rPr>
        <w:t>预计全国全社会用电量仍</w:t>
      </w:r>
      <w:r>
        <w:rPr>
          <w:spacing w:val="-4"/>
        </w:rPr>
        <w:t>将继续保持较快增长，装机容量进一步增长且仍主要由清洁电源装机增加带动，   结</w:t>
      </w:r>
      <w:r>
        <w:t xml:space="preserve"> </w:t>
      </w:r>
      <w:r>
        <w:rPr>
          <w:spacing w:val="-6"/>
        </w:rPr>
        <w:t>构持续优化。其中，   火电投资受缺电情况推动使得审批重新加速，逆转多年下跌趋势；水电基地建设获得积极推进，</w:t>
      </w:r>
      <w:r>
        <w:rPr>
          <w:spacing w:val="13"/>
          <w:w w:val="101"/>
        </w:rPr>
        <w:t xml:space="preserve">  </w:t>
      </w:r>
      <w:r>
        <w:rPr>
          <w:spacing w:val="-6"/>
        </w:rPr>
        <w:t>核电规</w:t>
      </w:r>
      <w:r>
        <w:t xml:space="preserve"> </w:t>
      </w:r>
      <w:r>
        <w:rPr>
          <w:spacing w:val="-3"/>
        </w:rPr>
        <w:t>模总体遵循积极安全有序发展，  风光等清洁能源装机明显扩大。装机结</w:t>
      </w:r>
      <w:r>
        <w:rPr>
          <w:spacing w:val="-4"/>
        </w:rPr>
        <w:t>构变化将使得整体发电设备利用效率进一步降低，但</w:t>
      </w:r>
      <w:r>
        <w:t xml:space="preserve"> </w:t>
      </w:r>
      <w:r>
        <w:rPr>
          <w:spacing w:val="-8"/>
        </w:rPr>
        <w:t>随着相关政策推进，</w:t>
      </w:r>
      <w:r>
        <w:rPr>
          <w:spacing w:val="15"/>
          <w:w w:val="101"/>
        </w:rPr>
        <w:t xml:space="preserve">  </w:t>
      </w:r>
      <w:r>
        <w:rPr>
          <w:spacing w:val="-8"/>
        </w:rPr>
        <w:t>清洁能源利用效率或将提升</w:t>
      </w:r>
      <w:r>
        <w:rPr>
          <w:spacing w:val="-20"/>
        </w:rPr>
        <w:t xml:space="preserve"> </w:t>
      </w:r>
      <w:r>
        <w:rPr>
          <w:spacing w:val="-8"/>
        </w:rPr>
        <w:t>。电力市场化程度加深</w:t>
      </w:r>
      <w:r>
        <w:rPr>
          <w:spacing w:val="-9"/>
        </w:rPr>
        <w:t>，</w:t>
      </w:r>
      <w:r>
        <w:rPr>
          <w:spacing w:val="12"/>
        </w:rPr>
        <w:t xml:space="preserve">  </w:t>
      </w:r>
      <w:r>
        <w:rPr>
          <w:spacing w:val="-9"/>
        </w:rPr>
        <w:t>且随着两部制电价政策实施，   火电企业预期盈利稳</w:t>
      </w:r>
      <w:r>
        <w:t xml:space="preserve"> </w:t>
      </w:r>
      <w:r>
        <w:rPr>
          <w:spacing w:val="-8"/>
        </w:rPr>
        <w:t>定性提升。总体来看，   电力行业在我国经济中的基础性地位稳固，   能够获得较好的资源、政策等支持，   可继续为行业整体信</w:t>
      </w:r>
      <w:r>
        <w:rPr>
          <w:spacing w:val="8"/>
        </w:rPr>
        <w:t xml:space="preserve"> </w:t>
      </w:r>
      <w:r>
        <w:rPr>
          <w:spacing w:val="-1"/>
        </w:rPr>
        <w:t>用品质提供有力支撑，行业基本面将保持良好且稳定。</w:t>
      </w:r>
    </w:p>
    <w:p>
      <w:pPr>
        <w:spacing w:line="234" w:lineRule="auto"/>
        <w:sectPr>
          <w:headerReference w:type="default" r:id="rId4"/>
          <w:footerReference w:type="default" r:id="rId5"/>
          <w:pgSz w:w="11907" w:h="16839"/>
          <w:pgMar w:top="1053" w:right="1104" w:bottom="1187" w:left="1104" w:header="867" w:footer="993" w:gutter="0"/>
          <w:cols w:space="708"/>
        </w:sectPr>
      </w:pPr>
    </w:p>
    <w:p>
      <w:pPr>
        <w:spacing w:line="427" w:lineRule="auto"/>
        <w:rPr>
          <w:rFonts w:ascii="Arial"/>
          <w:sz w:val="21"/>
        </w:rPr>
      </w:pPr>
    </w:p>
    <w:p>
      <w:pPr>
        <w:spacing w:before="101" w:line="224" w:lineRule="auto"/>
        <w:ind w:left="66"/>
        <w:rPr>
          <w:rFonts w:ascii="SimHei" w:eastAsia="SimHei" w:hAnsi="SimHei" w:cs="SimHei"/>
          <w:sz w:val="31"/>
          <w:szCs w:val="31"/>
        </w:rPr>
      </w:pPr>
      <w:r>
        <w:rPr>
          <w:rFonts w:ascii="Times New Roman" w:eastAsia="Times New Roman" w:hAnsi="Times New Roman" w:cs="Times New Roman"/>
          <w:spacing w:val="-2"/>
          <w:sz w:val="31"/>
          <w:szCs w:val="31"/>
        </w:rPr>
        <w:t>1.</w:t>
      </w:r>
      <w:r>
        <w:rPr>
          <w:rFonts w:ascii="Times New Roman" w:eastAsia="Times New Roman" w:hAnsi="Times New Roman" w:cs="Times New Roman"/>
          <w:spacing w:val="63"/>
          <w:sz w:val="31"/>
          <w:szCs w:val="31"/>
        </w:rPr>
        <w:t xml:space="preserve"> </w:t>
      </w:r>
      <w:r>
        <w:rPr>
          <w:rFonts w:ascii="SimHei" w:eastAsia="SimHei" w:hAnsi="SimHei" w:cs="SimHei"/>
          <w:spacing w:val="-2"/>
          <w:sz w:val="31"/>
          <w:szCs w:val="31"/>
        </w:rPr>
        <w:t>运行状况</w:t>
      </w:r>
    </w:p>
    <w:p>
      <w:pPr>
        <w:spacing w:line="430" w:lineRule="auto"/>
        <w:rPr>
          <w:rFonts w:ascii="Arial"/>
          <w:sz w:val="21"/>
        </w:rPr>
      </w:pPr>
    </w:p>
    <w:p>
      <w:pPr>
        <w:spacing w:before="68" w:line="287" w:lineRule="auto"/>
        <w:ind w:left="34" w:right="74" w:hanging="1"/>
        <w:jc w:val="both"/>
        <w:rPr>
          <w:rFonts w:ascii="SimHei" w:eastAsia="SimHei" w:hAnsi="SimHei" w:cs="SimHei"/>
          <w:sz w:val="21"/>
          <w:szCs w:val="21"/>
        </w:rPr>
      </w:pPr>
      <w:r>
        <w:rPr>
          <w:rFonts w:ascii="Times New Roman" w:eastAsia="Times New Roman" w:hAnsi="Times New Roman" w:cs="Times New Roman"/>
          <w:spacing w:val="-4"/>
          <w:sz w:val="21"/>
          <w:szCs w:val="21"/>
        </w:rPr>
        <w:t xml:space="preserve">2023 </w:t>
      </w:r>
      <w:r>
        <w:rPr>
          <w:rFonts w:ascii="SimHei" w:eastAsia="SimHei" w:hAnsi="SimHei" w:cs="SimHei"/>
          <w:spacing w:val="-4"/>
          <w:sz w:val="21"/>
          <w:szCs w:val="21"/>
        </w:rPr>
        <w:t>年以来，</w:t>
      </w:r>
      <w:r>
        <w:rPr>
          <w:rFonts w:ascii="SimHei" w:eastAsia="SimHei" w:hAnsi="SimHei" w:cs="SimHei"/>
          <w:spacing w:val="-36"/>
          <w:sz w:val="21"/>
          <w:szCs w:val="21"/>
        </w:rPr>
        <w:t xml:space="preserve"> </w:t>
      </w:r>
      <w:r>
        <w:rPr>
          <w:rFonts w:ascii="SimHei" w:eastAsia="SimHei" w:hAnsi="SimHei" w:cs="SimHei"/>
          <w:spacing w:val="-4"/>
          <w:sz w:val="21"/>
          <w:szCs w:val="21"/>
        </w:rPr>
        <w:t>我国电力行业经受住了来水持续偏</w:t>
      </w:r>
      <w:r>
        <w:rPr>
          <w:rFonts w:ascii="SimHei" w:eastAsia="SimHei" w:hAnsi="SimHei" w:cs="SimHei"/>
          <w:spacing w:val="-5"/>
          <w:sz w:val="21"/>
          <w:szCs w:val="21"/>
        </w:rPr>
        <w:t>枯、多轮高温等考验，</w:t>
      </w:r>
      <w:r>
        <w:rPr>
          <w:rFonts w:ascii="SimHei" w:eastAsia="SimHei" w:hAnsi="SimHei" w:cs="SimHei"/>
          <w:spacing w:val="-26"/>
          <w:sz w:val="21"/>
          <w:szCs w:val="21"/>
        </w:rPr>
        <w:t xml:space="preserve"> </w:t>
      </w:r>
      <w:r>
        <w:rPr>
          <w:rFonts w:ascii="SimHei" w:eastAsia="SimHei" w:hAnsi="SimHei" w:cs="SimHei"/>
          <w:spacing w:val="-5"/>
          <w:sz w:val="21"/>
          <w:szCs w:val="21"/>
        </w:rPr>
        <w:t>电力消费量稳中有升，供需总体平</w:t>
      </w:r>
      <w:r>
        <w:rPr>
          <w:rFonts w:ascii="SimHei" w:eastAsia="SimHei" w:hAnsi="SimHei" w:cs="SimHei"/>
          <w:sz w:val="21"/>
          <w:szCs w:val="21"/>
        </w:rPr>
        <w:t xml:space="preserve"> </w:t>
      </w:r>
      <w:r>
        <w:rPr>
          <w:rFonts w:ascii="SimHei" w:eastAsia="SimHei" w:hAnsi="SimHei" w:cs="SimHei"/>
          <w:spacing w:val="-4"/>
          <w:sz w:val="21"/>
          <w:szCs w:val="21"/>
        </w:rPr>
        <w:t>衡。</w:t>
      </w:r>
      <w:r>
        <w:rPr>
          <w:rFonts w:ascii="SimHei" w:eastAsia="SimHei" w:hAnsi="SimHei" w:cs="SimHei"/>
          <w:spacing w:val="-19"/>
          <w:sz w:val="21"/>
          <w:szCs w:val="21"/>
        </w:rPr>
        <w:t xml:space="preserve"> </w:t>
      </w:r>
      <w:r>
        <w:rPr>
          <w:rFonts w:ascii="SimHei" w:eastAsia="SimHei" w:hAnsi="SimHei" w:cs="SimHei"/>
          <w:spacing w:val="-4"/>
          <w:sz w:val="21"/>
          <w:szCs w:val="21"/>
        </w:rPr>
        <w:t>同时用电结构持续优化，</w:t>
      </w:r>
      <w:r>
        <w:rPr>
          <w:rFonts w:ascii="SimHei" w:eastAsia="SimHei" w:hAnsi="SimHei" w:cs="SimHei"/>
          <w:spacing w:val="-29"/>
          <w:sz w:val="21"/>
          <w:szCs w:val="21"/>
        </w:rPr>
        <w:t xml:space="preserve"> </w:t>
      </w:r>
      <w:r>
        <w:rPr>
          <w:rFonts w:ascii="SimHei" w:eastAsia="SimHei" w:hAnsi="SimHei" w:cs="SimHei"/>
          <w:spacing w:val="-4"/>
          <w:sz w:val="21"/>
          <w:szCs w:val="21"/>
        </w:rPr>
        <w:t>工业用电量近年来持续下降，战略性新兴产业和现代服务业已成为用电增长</w:t>
      </w:r>
      <w:r>
        <w:rPr>
          <w:rFonts w:ascii="SimHei" w:eastAsia="SimHei" w:hAnsi="SimHei" w:cs="SimHei"/>
          <w:sz w:val="21"/>
          <w:szCs w:val="21"/>
        </w:rPr>
        <w:t xml:space="preserve"> </w:t>
      </w:r>
      <w:r>
        <w:rPr>
          <w:rFonts w:ascii="SimHei" w:eastAsia="SimHei" w:hAnsi="SimHei" w:cs="SimHei"/>
          <w:sz w:val="21"/>
          <w:szCs w:val="21"/>
        </w:rPr>
        <w:t>的主要动力，预计未来仍将拉动全社会用电量较快增长</w:t>
      </w:r>
      <w:r>
        <w:rPr>
          <w:rFonts w:ascii="SimHei" w:eastAsia="SimHei" w:hAnsi="SimHei" w:cs="SimHei"/>
          <w:spacing w:val="-1"/>
          <w:sz w:val="21"/>
          <w:szCs w:val="21"/>
        </w:rPr>
        <w:t>。从电力供应端看，行业整体延续绿色低碳转型趋</w:t>
      </w:r>
      <w:r>
        <w:rPr>
          <w:rFonts w:ascii="SimHei" w:eastAsia="SimHei" w:hAnsi="SimHei" w:cs="SimHei"/>
          <w:sz w:val="21"/>
          <w:szCs w:val="21"/>
        </w:rPr>
        <w:t xml:space="preserve"> </w:t>
      </w:r>
      <w:r>
        <w:rPr>
          <w:rFonts w:ascii="SimHei" w:eastAsia="SimHei" w:hAnsi="SimHei" w:cs="SimHei"/>
          <w:spacing w:val="-4"/>
          <w:sz w:val="21"/>
          <w:szCs w:val="21"/>
        </w:rPr>
        <w:t>势，</w:t>
      </w:r>
      <w:r>
        <w:rPr>
          <w:rFonts w:ascii="SimHei" w:eastAsia="SimHei" w:hAnsi="SimHei" w:cs="SimHei"/>
          <w:spacing w:val="-16"/>
          <w:sz w:val="21"/>
          <w:szCs w:val="21"/>
        </w:rPr>
        <w:t xml:space="preserve"> </w:t>
      </w:r>
      <w:r>
        <w:rPr>
          <w:rFonts w:ascii="SimHei" w:eastAsia="SimHei" w:hAnsi="SimHei" w:cs="SimHei"/>
          <w:spacing w:val="-4"/>
          <w:sz w:val="21"/>
          <w:szCs w:val="21"/>
        </w:rPr>
        <w:t>新增装机以太阳能发电等清洁电源装机为主，</w:t>
      </w:r>
      <w:r>
        <w:rPr>
          <w:rFonts w:ascii="SimHei" w:eastAsia="SimHei" w:hAnsi="SimHei" w:cs="SimHei"/>
          <w:spacing w:val="-32"/>
          <w:sz w:val="21"/>
          <w:szCs w:val="21"/>
        </w:rPr>
        <w:t xml:space="preserve"> </w:t>
      </w:r>
      <w:r>
        <w:rPr>
          <w:rFonts w:ascii="SimHei" w:eastAsia="SimHei" w:hAnsi="SimHei" w:cs="SimHei"/>
          <w:spacing w:val="-4"/>
          <w:sz w:val="21"/>
          <w:szCs w:val="21"/>
        </w:rPr>
        <w:t>但其发电效率偏低且供电存在随机性、波动性及间歇性</w:t>
      </w:r>
      <w:r>
        <w:rPr>
          <w:rFonts w:ascii="SimHei" w:eastAsia="SimHei" w:hAnsi="SimHei" w:cs="SimHei"/>
          <w:sz w:val="21"/>
          <w:szCs w:val="21"/>
        </w:rPr>
        <w:t xml:space="preserve"> </w:t>
      </w:r>
      <w:r>
        <w:rPr>
          <w:rFonts w:ascii="SimHei" w:eastAsia="SimHei" w:hAnsi="SimHei" w:cs="SimHei"/>
          <w:spacing w:val="-2"/>
          <w:sz w:val="21"/>
          <w:szCs w:val="21"/>
        </w:rPr>
        <w:t>等局限性；火电基础能源地位仍将得到重视，未来将更多地参与调峰调频服务</w:t>
      </w:r>
      <w:r>
        <w:rPr>
          <w:rFonts w:ascii="SimHei" w:eastAsia="SimHei" w:hAnsi="SimHei" w:cs="SimHei"/>
          <w:spacing w:val="-3"/>
          <w:sz w:val="21"/>
          <w:szCs w:val="21"/>
        </w:rPr>
        <w:t>，</w:t>
      </w:r>
      <w:r>
        <w:rPr>
          <w:rFonts w:ascii="SimHei" w:eastAsia="SimHei" w:hAnsi="SimHei" w:cs="SimHei"/>
          <w:spacing w:val="-25"/>
          <w:sz w:val="21"/>
          <w:szCs w:val="21"/>
        </w:rPr>
        <w:t xml:space="preserve"> </w:t>
      </w:r>
      <w:r>
        <w:rPr>
          <w:rFonts w:ascii="SimHei" w:eastAsia="SimHei" w:hAnsi="SimHei" w:cs="SimHei"/>
          <w:spacing w:val="-3"/>
          <w:sz w:val="21"/>
          <w:szCs w:val="21"/>
        </w:rPr>
        <w:t>发挥兜底保供作用。预计</w:t>
      </w:r>
      <w:r>
        <w:rPr>
          <w:rFonts w:ascii="SimHei" w:eastAsia="SimHei" w:hAnsi="SimHei" w:cs="SimHei"/>
          <w:sz w:val="21"/>
          <w:szCs w:val="21"/>
        </w:rPr>
        <w:t xml:space="preserve"> </w:t>
      </w:r>
      <w:r>
        <w:rPr>
          <w:rFonts w:ascii="SimHei" w:eastAsia="SimHei" w:hAnsi="SimHei" w:cs="SimHei"/>
          <w:sz w:val="21"/>
          <w:szCs w:val="21"/>
        </w:rPr>
        <w:t>我国全社会用电量将继续保持较快增长，且在</w:t>
      </w:r>
      <w:r>
        <w:rPr>
          <w:rFonts w:ascii="Times New Roman" w:eastAsia="Times New Roman" w:hAnsi="Times New Roman" w:cs="Times New Roman"/>
          <w:sz w:val="21"/>
          <w:szCs w:val="21"/>
        </w:rPr>
        <w:t>“</w:t>
      </w:r>
      <w:r>
        <w:rPr>
          <w:rFonts w:ascii="SimHei" w:eastAsia="SimHei" w:hAnsi="SimHei" w:cs="SimHei"/>
          <w:sz w:val="21"/>
          <w:szCs w:val="21"/>
        </w:rPr>
        <w:t>双碳</w:t>
      </w:r>
      <w:r>
        <w:rPr>
          <w:rFonts w:ascii="Times New Roman" w:eastAsia="Times New Roman" w:hAnsi="Times New Roman" w:cs="Times New Roman"/>
          <w:sz w:val="21"/>
          <w:szCs w:val="21"/>
        </w:rPr>
        <w:t>”</w:t>
      </w:r>
      <w:r>
        <w:rPr>
          <w:rFonts w:ascii="SimHei" w:eastAsia="SimHei" w:hAnsi="SimHei" w:cs="SimHei"/>
          <w:sz w:val="21"/>
          <w:szCs w:val="21"/>
        </w:rPr>
        <w:t>政策推动下，发电装机规模快速增长，新增装机仍以</w:t>
      </w:r>
      <w:r>
        <w:rPr>
          <w:rFonts w:ascii="SimHei" w:eastAsia="SimHei" w:hAnsi="SimHei" w:cs="SimHei"/>
          <w:sz w:val="21"/>
          <w:szCs w:val="21"/>
        </w:rPr>
        <w:t xml:space="preserve"> </w:t>
      </w:r>
      <w:r>
        <w:rPr>
          <w:rFonts w:ascii="SimHei" w:eastAsia="SimHei" w:hAnsi="SimHei" w:cs="SimHei"/>
          <w:sz w:val="21"/>
          <w:szCs w:val="21"/>
        </w:rPr>
        <w:t>清洁装机为主，但平均机组利用小时将被进一步</w:t>
      </w:r>
      <w:r>
        <w:rPr>
          <w:rFonts w:ascii="SimHei" w:eastAsia="SimHei" w:hAnsi="SimHei" w:cs="SimHei"/>
          <w:spacing w:val="-1"/>
          <w:sz w:val="21"/>
          <w:szCs w:val="21"/>
        </w:rPr>
        <w:t>拉低。</w:t>
      </w:r>
    </w:p>
    <w:p>
      <w:pPr>
        <w:spacing w:before="220" w:line="290" w:lineRule="auto"/>
        <w:ind w:left="33" w:right="74" w:firstLine="28"/>
        <w:jc w:val="both"/>
        <w:rPr>
          <w:rFonts w:ascii="SimSun" w:eastAsia="SimSun" w:hAnsi="SimSun" w:cs="SimSun"/>
          <w:sz w:val="21"/>
          <w:szCs w:val="21"/>
        </w:rPr>
      </w:pPr>
      <w:r>
        <w:rPr>
          <w:rFonts w:ascii="SimSun" w:eastAsia="SimSun" w:hAnsi="SimSun" w:cs="SimSun"/>
          <w:spacing w:val="-1"/>
          <w:sz w:val="21"/>
          <w:szCs w:val="21"/>
        </w:rPr>
        <w:t>电力行业系将能源转化电能以及输送到最终用户处的基础性工业行业，主要包括发电、输电、配电</w:t>
      </w:r>
      <w:r>
        <w:rPr>
          <w:rFonts w:ascii="SimSun" w:eastAsia="SimSun" w:hAnsi="SimSun" w:cs="SimSun"/>
          <w:spacing w:val="-2"/>
          <w:sz w:val="21"/>
          <w:szCs w:val="21"/>
        </w:rPr>
        <w:t>和供电</w:t>
      </w:r>
      <w:r>
        <w:rPr>
          <w:rFonts w:ascii="SimSun" w:eastAsia="SimSun" w:hAnsi="SimSun" w:cs="SimSun"/>
          <w:sz w:val="21"/>
          <w:szCs w:val="21"/>
        </w:rPr>
        <w:t xml:space="preserve"> </w:t>
      </w:r>
      <w:r>
        <w:rPr>
          <w:rFonts w:ascii="SimSun" w:eastAsia="SimSun" w:hAnsi="SimSun" w:cs="SimSun"/>
          <w:spacing w:val="-4"/>
          <w:sz w:val="21"/>
          <w:szCs w:val="21"/>
        </w:rPr>
        <w:t>四个环节。其上游除固有的电力设备外，</w:t>
      </w:r>
      <w:r>
        <w:rPr>
          <w:rFonts w:ascii="SimSun" w:eastAsia="SimSun" w:hAnsi="SimSun" w:cs="SimSun"/>
          <w:spacing w:val="-28"/>
          <w:sz w:val="21"/>
          <w:szCs w:val="21"/>
        </w:rPr>
        <w:t xml:space="preserve"> </w:t>
      </w:r>
      <w:r>
        <w:rPr>
          <w:rFonts w:ascii="SimSun" w:eastAsia="SimSun" w:hAnsi="SimSun" w:cs="SimSun"/>
          <w:spacing w:val="-4"/>
          <w:sz w:val="21"/>
          <w:szCs w:val="21"/>
        </w:rPr>
        <w:t>还包括煤炭、天然气等原料。按</w:t>
      </w:r>
      <w:r>
        <w:rPr>
          <w:rFonts w:ascii="SimSun" w:eastAsia="SimSun" w:hAnsi="SimSun" w:cs="SimSun"/>
          <w:spacing w:val="-5"/>
          <w:sz w:val="21"/>
          <w:szCs w:val="21"/>
        </w:rPr>
        <w:t>生产电能的能源种类来看， 目前</w:t>
      </w:r>
      <w:r>
        <w:rPr>
          <w:rFonts w:ascii="SimSun" w:eastAsia="SimSun" w:hAnsi="SimSun" w:cs="SimSun"/>
          <w:sz w:val="21"/>
          <w:szCs w:val="21"/>
        </w:rPr>
        <w:t xml:space="preserve"> </w:t>
      </w:r>
      <w:r>
        <w:rPr>
          <w:rFonts w:ascii="SimSun" w:eastAsia="SimSun" w:hAnsi="SimSun" w:cs="SimSun"/>
          <w:sz w:val="21"/>
          <w:szCs w:val="21"/>
        </w:rPr>
        <w:t>电源类型主要包括火电、水电、风电、太阳能发电、核电</w:t>
      </w:r>
      <w:r>
        <w:rPr>
          <w:rFonts w:ascii="SimSun" w:eastAsia="SimSun" w:hAnsi="SimSun" w:cs="SimSun"/>
          <w:spacing w:val="-1"/>
          <w:sz w:val="21"/>
          <w:szCs w:val="21"/>
        </w:rPr>
        <w:t>和生物质发电等其他发电。电力下游属工业行业</w:t>
      </w:r>
      <w:r>
        <w:rPr>
          <w:rFonts w:ascii="SimSun" w:eastAsia="SimSun" w:hAnsi="SimSun" w:cs="SimSun"/>
          <w:sz w:val="21"/>
          <w:szCs w:val="21"/>
        </w:rPr>
        <w:t xml:space="preserve"> </w:t>
      </w:r>
      <w:r>
        <w:rPr>
          <w:rFonts w:ascii="SimSun" w:eastAsia="SimSun" w:hAnsi="SimSun" w:cs="SimSun"/>
          <w:spacing w:val="4"/>
          <w:sz w:val="21"/>
          <w:szCs w:val="21"/>
        </w:rPr>
        <w:t xml:space="preserve">用电量居于高位，主要为制造业用电，其中又以四大高耗能制造业为首（合计占制造业用电量的比重超 </w:t>
      </w:r>
      <w:r>
        <w:rPr>
          <w:rFonts w:ascii="Times New Roman" w:eastAsia="Times New Roman" w:hAnsi="Times New Roman" w:cs="Times New Roman"/>
          <w:spacing w:val="-7"/>
          <w:sz w:val="21"/>
          <w:szCs w:val="21"/>
        </w:rPr>
        <w:t>50%</w:t>
      </w:r>
      <w:r>
        <w:rPr>
          <w:rFonts w:ascii="SimSun" w:eastAsia="SimSun" w:hAnsi="SimSun" w:cs="SimSun"/>
          <w:spacing w:val="-7"/>
          <w:sz w:val="21"/>
          <w:szCs w:val="21"/>
        </w:rPr>
        <w:t>）。此外，</w:t>
      </w:r>
      <w:r>
        <w:rPr>
          <w:rFonts w:ascii="SimSun" w:eastAsia="SimSun" w:hAnsi="SimSun" w:cs="SimSun"/>
          <w:spacing w:val="-25"/>
          <w:sz w:val="21"/>
          <w:szCs w:val="21"/>
        </w:rPr>
        <w:t xml:space="preserve"> </w:t>
      </w:r>
      <w:r>
        <w:rPr>
          <w:rFonts w:ascii="SimSun" w:eastAsia="SimSun" w:hAnsi="SimSun" w:cs="SimSun"/>
          <w:spacing w:val="-7"/>
          <w:sz w:val="21"/>
          <w:szCs w:val="21"/>
        </w:rPr>
        <w:t>高技术及装备制造业、消费品制造业及其他制造业等均为重点耗电行业，</w:t>
      </w:r>
      <w:r>
        <w:rPr>
          <w:rFonts w:ascii="SimSun" w:eastAsia="SimSun" w:hAnsi="SimSun" w:cs="SimSun"/>
          <w:spacing w:val="-45"/>
          <w:sz w:val="21"/>
          <w:szCs w:val="21"/>
        </w:rPr>
        <w:t xml:space="preserve"> </w:t>
      </w:r>
      <w:r>
        <w:rPr>
          <w:rFonts w:ascii="SimSun" w:eastAsia="SimSun" w:hAnsi="SimSun" w:cs="SimSun"/>
          <w:spacing w:val="-7"/>
          <w:sz w:val="21"/>
          <w:szCs w:val="21"/>
        </w:rPr>
        <w:t>上述产业发展对电</w:t>
      </w:r>
      <w:r>
        <w:rPr>
          <w:rFonts w:ascii="SimSun" w:eastAsia="SimSun" w:hAnsi="SimSun" w:cs="SimSun"/>
          <w:sz w:val="21"/>
          <w:szCs w:val="21"/>
        </w:rPr>
        <w:t xml:space="preserve"> </w:t>
      </w:r>
      <w:r>
        <w:rPr>
          <w:rFonts w:ascii="SimSun" w:eastAsia="SimSun" w:hAnsi="SimSun" w:cs="SimSun"/>
          <w:spacing w:val="-2"/>
          <w:sz w:val="21"/>
          <w:szCs w:val="21"/>
        </w:rPr>
        <w:t>力消费影响较大。</w:t>
      </w:r>
      <w:r>
        <w:rPr>
          <w:rFonts w:ascii="SimSun" w:eastAsia="SimSun" w:hAnsi="SimSun" w:cs="SimSun"/>
          <w:spacing w:val="-24"/>
          <w:sz w:val="21"/>
          <w:szCs w:val="21"/>
        </w:rPr>
        <w:t xml:space="preserve"> </w:t>
      </w:r>
      <w:r>
        <w:rPr>
          <w:rFonts w:ascii="SimSun" w:eastAsia="SimSun" w:hAnsi="SimSun" w:cs="SimSun"/>
          <w:spacing w:val="-2"/>
          <w:sz w:val="21"/>
          <w:szCs w:val="21"/>
        </w:rPr>
        <w:t>随着近年来我国产业结构不断调整与优化，高耗能产业增速趋缓</w:t>
      </w:r>
      <w:r>
        <w:rPr>
          <w:rFonts w:ascii="SimSun" w:eastAsia="SimSun" w:hAnsi="SimSun" w:cs="SimSun"/>
          <w:spacing w:val="-3"/>
          <w:sz w:val="21"/>
          <w:szCs w:val="21"/>
        </w:rPr>
        <w:t>，其工业用电量占比从</w:t>
      </w:r>
      <w:r>
        <w:rPr>
          <w:rFonts w:ascii="SimSun" w:eastAsia="SimSun" w:hAnsi="SimSun" w:cs="SimSun"/>
          <w:sz w:val="21"/>
          <w:szCs w:val="21"/>
        </w:rPr>
        <w:t xml:space="preserve"> </w:t>
      </w:r>
      <w:r>
        <w:rPr>
          <w:rFonts w:ascii="Times New Roman" w:eastAsia="Times New Roman" w:hAnsi="Times New Roman" w:cs="Times New Roman"/>
          <w:sz w:val="21"/>
          <w:szCs w:val="21"/>
        </w:rPr>
        <w:t xml:space="preserve">2010 </w:t>
      </w:r>
      <w:r>
        <w:rPr>
          <w:rFonts w:ascii="SimSun" w:eastAsia="SimSun" w:hAnsi="SimSun" w:cs="SimSun"/>
          <w:sz w:val="21"/>
          <w:szCs w:val="21"/>
        </w:rPr>
        <w:t>年近</w:t>
      </w:r>
      <w:r>
        <w:rPr>
          <w:rFonts w:ascii="SimSun" w:eastAsia="SimSun" w:hAnsi="SimSun" w:cs="SimSun"/>
          <w:spacing w:val="-45"/>
          <w:sz w:val="21"/>
          <w:szCs w:val="21"/>
        </w:rPr>
        <w:t xml:space="preserve"> </w:t>
      </w:r>
      <w:r>
        <w:rPr>
          <w:rFonts w:ascii="Times New Roman" w:eastAsia="Times New Roman" w:hAnsi="Times New Roman" w:cs="Times New Roman"/>
          <w:sz w:val="21"/>
          <w:szCs w:val="21"/>
        </w:rPr>
        <w:t>74%</w:t>
      </w:r>
      <w:r>
        <w:rPr>
          <w:rFonts w:ascii="SimSun" w:eastAsia="SimSun" w:hAnsi="SimSun" w:cs="SimSun"/>
          <w:sz w:val="21"/>
          <w:szCs w:val="21"/>
        </w:rPr>
        <w:t>下降至目前</w:t>
      </w:r>
      <w:r>
        <w:rPr>
          <w:rFonts w:ascii="SimSun" w:eastAsia="SimSun" w:hAnsi="SimSun" w:cs="SimSun"/>
          <w:spacing w:val="-45"/>
          <w:sz w:val="21"/>
          <w:szCs w:val="21"/>
        </w:rPr>
        <w:t xml:space="preserve"> </w:t>
      </w:r>
      <w:r>
        <w:rPr>
          <w:rFonts w:ascii="Times New Roman" w:eastAsia="Times New Roman" w:hAnsi="Times New Roman" w:cs="Times New Roman"/>
          <w:sz w:val="21"/>
          <w:szCs w:val="21"/>
        </w:rPr>
        <w:t>64%</w:t>
      </w:r>
      <w:r>
        <w:rPr>
          <w:rFonts w:ascii="SimSun" w:eastAsia="SimSun" w:hAnsi="SimSun" w:cs="SimSun"/>
          <w:sz w:val="21"/>
          <w:szCs w:val="21"/>
        </w:rPr>
        <w:t>左</w:t>
      </w:r>
      <w:r>
        <w:rPr>
          <w:rFonts w:ascii="SimSun" w:eastAsia="SimSun" w:hAnsi="SimSun" w:cs="SimSun"/>
          <w:spacing w:val="-1"/>
          <w:sz w:val="21"/>
          <w:szCs w:val="21"/>
        </w:rPr>
        <w:t>右，战略性新兴产业和现代服务业已成为用电增长的主要动力。</w:t>
      </w:r>
    </w:p>
    <w:p>
      <w:pPr>
        <w:spacing w:line="244" w:lineRule="auto"/>
        <w:rPr>
          <w:rFonts w:ascii="Arial"/>
          <w:sz w:val="21"/>
        </w:rPr>
      </w:pPr>
    </w:p>
    <w:p>
      <w:pPr>
        <w:spacing w:before="69" w:line="270" w:lineRule="auto"/>
        <w:ind w:left="39" w:right="74"/>
        <w:jc w:val="both"/>
        <w:rPr>
          <w:rFonts w:ascii="SimHei" w:eastAsia="SimHei" w:hAnsi="SimHei" w:cs="SimHei"/>
          <w:sz w:val="21"/>
          <w:szCs w:val="21"/>
        </w:rPr>
      </w:pPr>
      <w:r>
        <w:rPr>
          <w:rFonts w:ascii="SimHei" w:eastAsia="SimHei" w:hAnsi="SimHei" w:cs="SimHei"/>
          <w:sz w:val="21"/>
          <w:szCs w:val="21"/>
        </w:rPr>
        <w:t>十三五以来，我国全社会用电量总体保持较快增长，年均增速达到</w:t>
      </w:r>
      <w:r>
        <w:rPr>
          <w:rFonts w:ascii="SimHei" w:eastAsia="SimHei" w:hAnsi="SimHei" w:cs="SimHei"/>
          <w:spacing w:val="-41"/>
          <w:sz w:val="21"/>
          <w:szCs w:val="21"/>
        </w:rPr>
        <w:t xml:space="preserve"> </w:t>
      </w:r>
      <w:r>
        <w:rPr>
          <w:rFonts w:ascii="Times New Roman" w:eastAsia="Times New Roman" w:hAnsi="Times New Roman" w:cs="Times New Roman"/>
          <w:sz w:val="21"/>
          <w:szCs w:val="21"/>
        </w:rPr>
        <w:t>5.94%</w:t>
      </w:r>
      <w:r>
        <w:rPr>
          <w:rFonts w:ascii="SimHei" w:eastAsia="SimHei" w:hAnsi="SimHei" w:cs="SimHei"/>
          <w:sz w:val="21"/>
          <w:szCs w:val="21"/>
        </w:rPr>
        <w:t>，</w:t>
      </w:r>
      <w:r>
        <w:rPr>
          <w:rFonts w:ascii="SimHei" w:eastAsia="SimHei" w:hAnsi="SimHei" w:cs="SimHei"/>
          <w:spacing w:val="-1"/>
          <w:sz w:val="21"/>
          <w:szCs w:val="21"/>
        </w:rPr>
        <w:t>其中仅</w:t>
      </w:r>
      <w:r>
        <w:rPr>
          <w:rFonts w:ascii="SimHei" w:eastAsia="SimHei" w:hAnsi="SimHei" w:cs="SimHei"/>
          <w:spacing w:val="-46"/>
          <w:sz w:val="21"/>
          <w:szCs w:val="21"/>
        </w:rPr>
        <w:t xml:space="preserve"> </w:t>
      </w:r>
      <w:r>
        <w:rPr>
          <w:rFonts w:ascii="Times New Roman" w:eastAsia="Times New Roman" w:hAnsi="Times New Roman" w:cs="Times New Roman"/>
          <w:spacing w:val="-1"/>
          <w:sz w:val="21"/>
          <w:szCs w:val="21"/>
        </w:rPr>
        <w:t xml:space="preserve">2020 </w:t>
      </w:r>
      <w:r>
        <w:rPr>
          <w:rFonts w:ascii="SimHei" w:eastAsia="SimHei" w:hAnsi="SimHei" w:cs="SimHei"/>
          <w:spacing w:val="-1"/>
          <w:sz w:val="21"/>
          <w:szCs w:val="21"/>
        </w:rPr>
        <w:t>年及</w:t>
      </w:r>
      <w:r>
        <w:rPr>
          <w:rFonts w:ascii="SimHei" w:eastAsia="SimHei" w:hAnsi="SimHei" w:cs="SimHei"/>
          <w:spacing w:val="-44"/>
          <w:sz w:val="21"/>
          <w:szCs w:val="21"/>
        </w:rPr>
        <w:t xml:space="preserve"> </w:t>
      </w:r>
      <w:r>
        <w:rPr>
          <w:rFonts w:ascii="Times New Roman" w:eastAsia="Times New Roman" w:hAnsi="Times New Roman" w:cs="Times New Roman"/>
          <w:spacing w:val="-1"/>
          <w:sz w:val="21"/>
          <w:szCs w:val="21"/>
        </w:rPr>
        <w:t xml:space="preserve">2022 </w:t>
      </w:r>
      <w:r>
        <w:rPr>
          <w:rFonts w:ascii="SimHei" w:eastAsia="SimHei" w:hAnsi="SimHei" w:cs="SimHei"/>
          <w:spacing w:val="-1"/>
          <w:sz w:val="21"/>
          <w:szCs w:val="21"/>
        </w:rPr>
        <w:t>年增速</w:t>
      </w:r>
      <w:r>
        <w:rPr>
          <w:rFonts w:ascii="SimHei" w:eastAsia="SimHei" w:hAnsi="SimHei" w:cs="SimHei"/>
          <w:sz w:val="21"/>
          <w:szCs w:val="21"/>
        </w:rPr>
        <w:t xml:space="preserve"> </w:t>
      </w:r>
      <w:r>
        <w:rPr>
          <w:rFonts w:ascii="SimHei" w:eastAsia="SimHei" w:hAnsi="SimHei" w:cs="SimHei"/>
          <w:spacing w:val="-2"/>
          <w:sz w:val="21"/>
          <w:szCs w:val="21"/>
        </w:rPr>
        <w:t>不及</w:t>
      </w:r>
      <w:r>
        <w:rPr>
          <w:rFonts w:ascii="SimHei" w:eastAsia="SimHei" w:hAnsi="SimHei" w:cs="SimHei"/>
          <w:spacing w:val="-2"/>
          <w:sz w:val="21"/>
          <w:szCs w:val="21"/>
        </w:rPr>
        <w:t xml:space="preserve"> </w:t>
      </w:r>
      <w:r>
        <w:rPr>
          <w:rFonts w:ascii="Times New Roman" w:eastAsia="Times New Roman" w:hAnsi="Times New Roman" w:cs="Times New Roman"/>
          <w:spacing w:val="-2"/>
          <w:sz w:val="21"/>
          <w:szCs w:val="21"/>
        </w:rPr>
        <w:t>4%</w:t>
      </w:r>
      <w:r>
        <w:rPr>
          <w:rFonts w:ascii="SimHei" w:eastAsia="SimHei" w:hAnsi="SimHei" w:cs="SimHei"/>
          <w:spacing w:val="-2"/>
          <w:sz w:val="21"/>
          <w:szCs w:val="21"/>
        </w:rPr>
        <w:t>。用电结构进一步优化，</w:t>
      </w:r>
      <w:r>
        <w:rPr>
          <w:rFonts w:ascii="SimHei" w:eastAsia="SimHei" w:hAnsi="SimHei" w:cs="SimHei"/>
          <w:spacing w:val="-2"/>
          <w:sz w:val="21"/>
          <w:szCs w:val="21"/>
        </w:rPr>
        <w:t xml:space="preserve"> </w:t>
      </w:r>
      <w:r>
        <w:rPr>
          <w:rFonts w:ascii="SimHei" w:eastAsia="SimHei" w:hAnsi="SimHei" w:cs="SimHei"/>
          <w:spacing w:val="-2"/>
          <w:sz w:val="21"/>
          <w:szCs w:val="21"/>
        </w:rPr>
        <w:t>主要体现为二产用电量占比持续下降，战略性新兴产业和现代</w:t>
      </w:r>
      <w:r>
        <w:rPr>
          <w:rFonts w:ascii="SimHei" w:eastAsia="SimHei" w:hAnsi="SimHei" w:cs="SimHei"/>
          <w:spacing w:val="-3"/>
          <w:sz w:val="21"/>
          <w:szCs w:val="21"/>
        </w:rPr>
        <w:t>服务业成</w:t>
      </w:r>
      <w:r>
        <w:rPr>
          <w:rFonts w:ascii="SimHei" w:eastAsia="SimHei" w:hAnsi="SimHei" w:cs="SimHei"/>
          <w:sz w:val="21"/>
          <w:szCs w:val="21"/>
        </w:rPr>
        <w:t xml:space="preserve"> </w:t>
      </w:r>
      <w:r>
        <w:rPr>
          <w:rFonts w:ascii="SimHei" w:eastAsia="SimHei" w:hAnsi="SimHei" w:cs="SimHei"/>
          <w:spacing w:val="-1"/>
          <w:sz w:val="21"/>
          <w:szCs w:val="21"/>
        </w:rPr>
        <w:t>为用电增长的主要动力；且二产内部制造业升级板块用电量增幅明显。</w:t>
      </w:r>
    </w:p>
    <w:p>
      <w:pPr>
        <w:spacing w:before="214" w:line="290" w:lineRule="auto"/>
        <w:ind w:left="36" w:firstLine="1"/>
        <w:rPr>
          <w:rFonts w:ascii="SimSun" w:eastAsia="SimSun" w:hAnsi="SimSun" w:cs="SimSun"/>
          <w:sz w:val="21"/>
          <w:szCs w:val="21"/>
        </w:rPr>
      </w:pPr>
      <w:r>
        <w:rPr>
          <w:rFonts w:ascii="SimSun" w:eastAsia="SimSun" w:hAnsi="SimSun" w:cs="SimSun"/>
          <w:spacing w:val="-2"/>
          <w:sz w:val="21"/>
          <w:szCs w:val="21"/>
        </w:rPr>
        <w:t>十三五以来我国全社会用电量年均增速</w:t>
      </w:r>
      <w:r>
        <w:rPr>
          <w:rFonts w:ascii="SimSun" w:eastAsia="SimSun" w:hAnsi="SimSun" w:cs="SimSun"/>
          <w:spacing w:val="-40"/>
          <w:sz w:val="21"/>
          <w:szCs w:val="21"/>
        </w:rPr>
        <w:t xml:space="preserve"> </w:t>
      </w:r>
      <w:r>
        <w:rPr>
          <w:rFonts w:ascii="Times New Roman" w:eastAsia="Times New Roman" w:hAnsi="Times New Roman" w:cs="Times New Roman"/>
          <w:spacing w:val="-2"/>
          <w:sz w:val="21"/>
          <w:szCs w:val="21"/>
        </w:rPr>
        <w:t>5.94%</w:t>
      </w:r>
      <w:r>
        <w:rPr>
          <w:rFonts w:ascii="SimSun" w:eastAsia="SimSun" w:hAnsi="SimSun" w:cs="SimSun"/>
          <w:spacing w:val="-2"/>
          <w:sz w:val="21"/>
          <w:szCs w:val="21"/>
        </w:rPr>
        <w:t>，除</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 xml:space="preserve">2020 </w:t>
      </w:r>
      <w:r>
        <w:rPr>
          <w:rFonts w:ascii="SimSun" w:eastAsia="SimSun" w:hAnsi="SimSun" w:cs="SimSun"/>
          <w:spacing w:val="-2"/>
          <w:sz w:val="21"/>
          <w:szCs w:val="21"/>
        </w:rPr>
        <w:t>年受到外部不可抗因素影响增速下降至</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3.10%</w:t>
      </w:r>
      <w:r>
        <w:rPr>
          <w:rFonts w:ascii="SimSun" w:eastAsia="SimSun" w:hAnsi="SimSun" w:cs="SimSun"/>
          <w:spacing w:val="-2"/>
          <w:sz w:val="21"/>
          <w:szCs w:val="21"/>
        </w:rPr>
        <w:t>，以</w:t>
      </w:r>
      <w:r>
        <w:rPr>
          <w:rFonts w:ascii="SimSun" w:eastAsia="SimSun" w:hAnsi="SimSun" w:cs="SimSun"/>
          <w:sz w:val="21"/>
          <w:szCs w:val="21"/>
        </w:rPr>
        <w:t xml:space="preserve">  </w:t>
      </w:r>
      <w:r>
        <w:rPr>
          <w:rFonts w:ascii="SimSun" w:eastAsia="SimSun" w:hAnsi="SimSun" w:cs="SimSun"/>
          <w:spacing w:val="-1"/>
          <w:sz w:val="21"/>
          <w:szCs w:val="21"/>
        </w:rPr>
        <w:t>及</w:t>
      </w:r>
      <w:r>
        <w:rPr>
          <w:rFonts w:ascii="SimSun" w:eastAsia="SimSun" w:hAnsi="SimSun" w:cs="SimSun"/>
          <w:spacing w:val="-47"/>
          <w:sz w:val="21"/>
          <w:szCs w:val="21"/>
        </w:rPr>
        <w:t xml:space="preserve"> </w:t>
      </w:r>
      <w:r>
        <w:rPr>
          <w:rFonts w:ascii="Times New Roman" w:eastAsia="Times New Roman" w:hAnsi="Times New Roman" w:cs="Times New Roman"/>
          <w:spacing w:val="-1"/>
          <w:sz w:val="21"/>
          <w:szCs w:val="21"/>
        </w:rPr>
        <w:t xml:space="preserve">2022 </w:t>
      </w:r>
      <w:r>
        <w:rPr>
          <w:rFonts w:ascii="SimSun" w:eastAsia="SimSun" w:hAnsi="SimSun" w:cs="SimSun"/>
          <w:spacing w:val="-1"/>
          <w:sz w:val="21"/>
          <w:szCs w:val="21"/>
        </w:rPr>
        <w:t>年在上年高基数背景下小幅增长</w:t>
      </w:r>
      <w:r>
        <w:rPr>
          <w:rFonts w:ascii="SimSun" w:eastAsia="SimSun" w:hAnsi="SimSun" w:cs="SimSun"/>
          <w:spacing w:val="-44"/>
          <w:sz w:val="21"/>
          <w:szCs w:val="21"/>
        </w:rPr>
        <w:t xml:space="preserve"> </w:t>
      </w:r>
      <w:r>
        <w:rPr>
          <w:rFonts w:ascii="Times New Roman" w:eastAsia="Times New Roman" w:hAnsi="Times New Roman" w:cs="Times New Roman"/>
          <w:spacing w:val="-1"/>
          <w:sz w:val="21"/>
          <w:szCs w:val="21"/>
        </w:rPr>
        <w:t>3.60%</w:t>
      </w:r>
      <w:r>
        <w:rPr>
          <w:rFonts w:ascii="SimSun" w:eastAsia="SimSun" w:hAnsi="SimSun" w:cs="SimSun"/>
          <w:spacing w:val="-1"/>
          <w:sz w:val="21"/>
          <w:szCs w:val="21"/>
        </w:rPr>
        <w:t>，其他年份全社会用电量增幅均超过</w:t>
      </w:r>
      <w:r>
        <w:rPr>
          <w:rFonts w:ascii="SimSun" w:eastAsia="SimSun" w:hAnsi="SimSun" w:cs="SimSun"/>
          <w:spacing w:val="-49"/>
          <w:sz w:val="21"/>
          <w:szCs w:val="21"/>
        </w:rPr>
        <w:t xml:space="preserve"> </w:t>
      </w:r>
      <w:r>
        <w:rPr>
          <w:rFonts w:ascii="Times New Roman" w:eastAsia="Times New Roman" w:hAnsi="Times New Roman" w:cs="Times New Roman"/>
          <w:spacing w:val="-1"/>
          <w:sz w:val="21"/>
          <w:szCs w:val="21"/>
        </w:rPr>
        <w:t>4%</w:t>
      </w:r>
      <w:r>
        <w:rPr>
          <w:rFonts w:ascii="Times New Roman" w:eastAsia="Times New Roman" w:hAnsi="Times New Roman" w:cs="Times New Roman"/>
          <w:spacing w:val="-28"/>
          <w:sz w:val="21"/>
          <w:szCs w:val="21"/>
        </w:rPr>
        <w:t xml:space="preserve"> </w:t>
      </w:r>
      <w:r>
        <w:rPr>
          <w:rFonts w:ascii="SimSun" w:eastAsia="SimSun" w:hAnsi="SimSun" w:cs="SimSun"/>
          <w:spacing w:val="-1"/>
          <w:sz w:val="21"/>
          <w:szCs w:val="21"/>
        </w:rPr>
        <w:t>，总</w:t>
      </w:r>
      <w:r>
        <w:rPr>
          <w:rFonts w:ascii="SimSun" w:eastAsia="SimSun" w:hAnsi="SimSun" w:cs="SimSun"/>
          <w:spacing w:val="-2"/>
          <w:sz w:val="21"/>
          <w:szCs w:val="21"/>
        </w:rPr>
        <w:t xml:space="preserve">体保持较好增 </w:t>
      </w:r>
      <w:r>
        <w:rPr>
          <w:rFonts w:ascii="SimSun" w:eastAsia="SimSun" w:hAnsi="SimSun" w:cs="SimSun"/>
          <w:spacing w:val="-3"/>
          <w:sz w:val="21"/>
          <w:szCs w:val="21"/>
        </w:rPr>
        <w:t>长态势。</w:t>
      </w:r>
      <w:r>
        <w:rPr>
          <w:rFonts w:ascii="Times New Roman" w:eastAsia="Times New Roman" w:hAnsi="Times New Roman" w:cs="Times New Roman"/>
          <w:spacing w:val="-3"/>
          <w:sz w:val="21"/>
          <w:szCs w:val="21"/>
        </w:rPr>
        <w:t xml:space="preserve">2023 </w:t>
      </w:r>
      <w:r>
        <w:rPr>
          <w:rFonts w:ascii="SimSun" w:eastAsia="SimSun" w:hAnsi="SimSun" w:cs="SimSun"/>
          <w:spacing w:val="-3"/>
          <w:sz w:val="21"/>
          <w:szCs w:val="21"/>
        </w:rPr>
        <w:t>年以来，</w:t>
      </w:r>
      <w:r>
        <w:rPr>
          <w:rFonts w:ascii="SimSun" w:eastAsia="SimSun" w:hAnsi="SimSun" w:cs="SimSun"/>
          <w:spacing w:val="-36"/>
          <w:sz w:val="21"/>
          <w:szCs w:val="21"/>
        </w:rPr>
        <w:t xml:space="preserve"> </w:t>
      </w:r>
      <w:r>
        <w:rPr>
          <w:rFonts w:ascii="SimSun" w:eastAsia="SimSun" w:hAnsi="SimSun" w:cs="SimSun"/>
          <w:spacing w:val="-3"/>
          <w:sz w:val="21"/>
          <w:szCs w:val="21"/>
        </w:rPr>
        <w:t>我国经受住了来水持续偏枯、多轮高温等考验，电力消费稳中向好，电</w:t>
      </w:r>
      <w:r>
        <w:rPr>
          <w:rFonts w:ascii="SimSun" w:eastAsia="SimSun" w:hAnsi="SimSun" w:cs="SimSun"/>
          <w:spacing w:val="-4"/>
          <w:sz w:val="21"/>
          <w:szCs w:val="21"/>
        </w:rPr>
        <w:t xml:space="preserve">力供需总体 </w:t>
      </w:r>
      <w:r>
        <w:rPr>
          <w:rFonts w:ascii="SimSun" w:eastAsia="SimSun" w:hAnsi="SimSun" w:cs="SimSun"/>
          <w:spacing w:val="-2"/>
          <w:sz w:val="21"/>
          <w:szCs w:val="21"/>
        </w:rPr>
        <w:t>平衡，当年前三季度我国全社会用电量同比增长</w:t>
      </w:r>
      <w:r>
        <w:rPr>
          <w:rFonts w:ascii="SimSun" w:eastAsia="SimSun" w:hAnsi="SimSun" w:cs="SimSun"/>
          <w:spacing w:val="-42"/>
          <w:sz w:val="21"/>
          <w:szCs w:val="21"/>
        </w:rPr>
        <w:t xml:space="preserve"> </w:t>
      </w:r>
      <w:r>
        <w:rPr>
          <w:rFonts w:ascii="Times New Roman" w:eastAsia="Times New Roman" w:hAnsi="Times New Roman" w:cs="Times New Roman"/>
          <w:spacing w:val="-2"/>
          <w:sz w:val="21"/>
          <w:szCs w:val="21"/>
        </w:rPr>
        <w:t>5.6</w:t>
      </w:r>
      <w:r>
        <w:rPr>
          <w:rFonts w:ascii="Times New Roman" w:eastAsia="Times New Roman" w:hAnsi="Times New Roman" w:cs="Times New Roman"/>
          <w:spacing w:val="-3"/>
          <w:sz w:val="21"/>
          <w:szCs w:val="21"/>
        </w:rPr>
        <w:t>0%</w:t>
      </w:r>
      <w:r>
        <w:rPr>
          <w:rFonts w:ascii="SimSun" w:eastAsia="SimSun" w:hAnsi="SimSun" w:cs="SimSun"/>
          <w:spacing w:val="-3"/>
          <w:sz w:val="21"/>
          <w:szCs w:val="21"/>
        </w:rPr>
        <w:t>至</w:t>
      </w:r>
      <w:r>
        <w:rPr>
          <w:rFonts w:ascii="SimSun" w:eastAsia="SimSun" w:hAnsi="SimSun" w:cs="SimSun"/>
          <w:spacing w:val="-43"/>
          <w:sz w:val="21"/>
          <w:szCs w:val="21"/>
        </w:rPr>
        <w:t xml:space="preserve"> </w:t>
      </w:r>
      <w:r>
        <w:rPr>
          <w:rFonts w:ascii="Times New Roman" w:eastAsia="Times New Roman" w:hAnsi="Times New Roman" w:cs="Times New Roman"/>
          <w:spacing w:val="-3"/>
          <w:sz w:val="21"/>
          <w:szCs w:val="21"/>
        </w:rPr>
        <w:t>6.86</w:t>
      </w:r>
      <w:r>
        <w:rPr>
          <w:rFonts w:ascii="Times New Roman" w:eastAsia="Times New Roman" w:hAnsi="Times New Roman" w:cs="Times New Roman"/>
          <w:spacing w:val="14"/>
          <w:sz w:val="21"/>
          <w:szCs w:val="21"/>
        </w:rPr>
        <w:t xml:space="preserve"> </w:t>
      </w:r>
      <w:r>
        <w:rPr>
          <w:rFonts w:ascii="SimSun" w:eastAsia="SimSun" w:hAnsi="SimSun" w:cs="SimSun"/>
          <w:spacing w:val="-3"/>
          <w:sz w:val="21"/>
          <w:szCs w:val="21"/>
        </w:rPr>
        <w:t>万亿千瓦时。根据中电联发布《</w:t>
      </w:r>
      <w:r>
        <w:rPr>
          <w:rFonts w:ascii="Times New Roman" w:eastAsia="Times New Roman" w:hAnsi="Times New Roman" w:cs="Times New Roman"/>
          <w:spacing w:val="-3"/>
          <w:sz w:val="21"/>
          <w:szCs w:val="21"/>
        </w:rPr>
        <w:t xml:space="preserve">2023 </w:t>
      </w:r>
      <w:r>
        <w:rPr>
          <w:rFonts w:ascii="SimSun" w:eastAsia="SimSun" w:hAnsi="SimSun" w:cs="SimSun"/>
          <w:spacing w:val="-3"/>
          <w:sz w:val="21"/>
          <w:szCs w:val="21"/>
        </w:rPr>
        <w:t xml:space="preserve">年三季 </w:t>
      </w:r>
      <w:r>
        <w:rPr>
          <w:rFonts w:ascii="SimSun" w:eastAsia="SimSun" w:hAnsi="SimSun" w:cs="SimSun"/>
          <w:spacing w:val="-5"/>
          <w:sz w:val="21"/>
          <w:szCs w:val="21"/>
        </w:rPr>
        <w:t>度全国电力供需形势分析预测报告》，预计</w:t>
      </w:r>
      <w:r>
        <w:rPr>
          <w:rFonts w:ascii="SimSun" w:eastAsia="SimSun" w:hAnsi="SimSun" w:cs="SimSun"/>
          <w:spacing w:val="-45"/>
          <w:sz w:val="21"/>
          <w:szCs w:val="21"/>
        </w:rPr>
        <w:t xml:space="preserve"> </w:t>
      </w:r>
      <w:r>
        <w:rPr>
          <w:rFonts w:ascii="Times New Roman" w:eastAsia="Times New Roman" w:hAnsi="Times New Roman" w:cs="Times New Roman"/>
          <w:spacing w:val="-5"/>
          <w:sz w:val="21"/>
          <w:szCs w:val="21"/>
        </w:rPr>
        <w:t>20</w:t>
      </w:r>
      <w:r>
        <w:rPr>
          <w:rFonts w:ascii="Times New Roman" w:eastAsia="Times New Roman" w:hAnsi="Times New Roman" w:cs="Times New Roman"/>
          <w:spacing w:val="-6"/>
          <w:sz w:val="21"/>
          <w:szCs w:val="21"/>
        </w:rPr>
        <w:t>23</w:t>
      </w:r>
      <w:r>
        <w:rPr>
          <w:rFonts w:ascii="Times New Roman" w:eastAsia="Times New Roman" w:hAnsi="Times New Roman" w:cs="Times New Roman"/>
          <w:spacing w:val="11"/>
          <w:sz w:val="21"/>
          <w:szCs w:val="21"/>
        </w:rPr>
        <w:t xml:space="preserve"> </w:t>
      </w:r>
      <w:r>
        <w:rPr>
          <w:rFonts w:ascii="SimSun" w:eastAsia="SimSun" w:hAnsi="SimSun" w:cs="SimSun"/>
          <w:spacing w:val="-6"/>
          <w:sz w:val="21"/>
          <w:szCs w:val="21"/>
        </w:rPr>
        <w:t>年全年全社会用电量</w:t>
      </w:r>
      <w:r>
        <w:rPr>
          <w:rFonts w:ascii="SimSun" w:eastAsia="SimSun" w:hAnsi="SimSun" w:cs="SimSun"/>
          <w:spacing w:val="-41"/>
          <w:sz w:val="21"/>
          <w:szCs w:val="21"/>
        </w:rPr>
        <w:t xml:space="preserve"> </w:t>
      </w:r>
      <w:r>
        <w:rPr>
          <w:rFonts w:ascii="Times New Roman" w:eastAsia="Times New Roman" w:hAnsi="Times New Roman" w:cs="Times New Roman"/>
          <w:spacing w:val="-6"/>
          <w:sz w:val="21"/>
          <w:szCs w:val="21"/>
        </w:rPr>
        <w:t>9.2</w:t>
      </w:r>
      <w:r>
        <w:rPr>
          <w:rFonts w:ascii="Times New Roman" w:eastAsia="Times New Roman" w:hAnsi="Times New Roman" w:cs="Times New Roman"/>
          <w:spacing w:val="16"/>
          <w:w w:val="101"/>
          <w:sz w:val="21"/>
          <w:szCs w:val="21"/>
        </w:rPr>
        <w:t xml:space="preserve"> </w:t>
      </w:r>
      <w:r>
        <w:rPr>
          <w:rFonts w:ascii="SimSun" w:eastAsia="SimSun" w:hAnsi="SimSun" w:cs="SimSun"/>
          <w:spacing w:val="-6"/>
          <w:sz w:val="21"/>
          <w:szCs w:val="21"/>
        </w:rPr>
        <w:t>万亿千瓦时， 同比增长</w:t>
      </w:r>
      <w:r>
        <w:rPr>
          <w:rFonts w:ascii="SimSun" w:eastAsia="SimSun" w:hAnsi="SimSun" w:cs="SimSun"/>
          <w:spacing w:val="-43"/>
          <w:sz w:val="21"/>
          <w:szCs w:val="21"/>
        </w:rPr>
        <w:t xml:space="preserve"> </w:t>
      </w:r>
      <w:r>
        <w:rPr>
          <w:rFonts w:ascii="Times New Roman" w:eastAsia="Times New Roman" w:hAnsi="Times New Roman" w:cs="Times New Roman"/>
          <w:spacing w:val="-6"/>
          <w:sz w:val="21"/>
          <w:szCs w:val="21"/>
        </w:rPr>
        <w:t>6%</w:t>
      </w:r>
      <w:r>
        <w:rPr>
          <w:rFonts w:ascii="SimSun" w:eastAsia="SimSun" w:hAnsi="SimSun" w:cs="SimSun"/>
          <w:spacing w:val="-6"/>
          <w:sz w:val="21"/>
          <w:szCs w:val="21"/>
        </w:rPr>
        <w:t>左右。</w:t>
      </w:r>
      <w:r>
        <w:rPr>
          <w:rFonts w:ascii="SimSun" w:eastAsia="SimSun" w:hAnsi="SimSun" w:cs="SimSun"/>
          <w:sz w:val="21"/>
          <w:szCs w:val="21"/>
        </w:rPr>
        <w:t xml:space="preserve"> </w:t>
      </w:r>
      <w:r>
        <w:rPr>
          <w:rFonts w:ascii="SimSun" w:eastAsia="SimSun" w:hAnsi="SimSun" w:cs="SimSun"/>
          <w:spacing w:val="-11"/>
          <w:sz w:val="21"/>
          <w:szCs w:val="21"/>
        </w:rPr>
        <w:t>根据《电力行业“十四五”发展规划研究》，预计到</w:t>
      </w:r>
      <w:r>
        <w:rPr>
          <w:rFonts w:ascii="SimSun" w:eastAsia="SimSun" w:hAnsi="SimSun" w:cs="SimSun"/>
          <w:spacing w:val="-47"/>
          <w:sz w:val="21"/>
          <w:szCs w:val="21"/>
        </w:rPr>
        <w:t xml:space="preserve"> </w:t>
      </w:r>
      <w:r>
        <w:rPr>
          <w:rFonts w:ascii="Times New Roman" w:eastAsia="Times New Roman" w:hAnsi="Times New Roman" w:cs="Times New Roman"/>
          <w:spacing w:val="-11"/>
          <w:sz w:val="21"/>
          <w:szCs w:val="21"/>
        </w:rPr>
        <w:t>2025</w:t>
      </w:r>
      <w:r>
        <w:rPr>
          <w:rFonts w:ascii="Times New Roman" w:eastAsia="Times New Roman" w:hAnsi="Times New Roman" w:cs="Times New Roman"/>
          <w:spacing w:val="9"/>
          <w:sz w:val="21"/>
          <w:szCs w:val="21"/>
        </w:rPr>
        <w:t xml:space="preserve"> </w:t>
      </w:r>
      <w:r>
        <w:rPr>
          <w:rFonts w:ascii="SimSun" w:eastAsia="SimSun" w:hAnsi="SimSun" w:cs="SimSun"/>
          <w:spacing w:val="-11"/>
          <w:sz w:val="21"/>
          <w:szCs w:val="21"/>
        </w:rPr>
        <w:t>年，全社</w:t>
      </w:r>
      <w:r>
        <w:rPr>
          <w:rFonts w:ascii="SimSun" w:eastAsia="SimSun" w:hAnsi="SimSun" w:cs="SimSun"/>
          <w:spacing w:val="-12"/>
          <w:sz w:val="21"/>
          <w:szCs w:val="21"/>
        </w:rPr>
        <w:t>会用电量</w:t>
      </w:r>
      <w:r>
        <w:rPr>
          <w:rFonts w:ascii="SimSun" w:eastAsia="SimSun" w:hAnsi="SimSun" w:cs="SimSun"/>
          <w:spacing w:val="-44"/>
          <w:sz w:val="21"/>
          <w:szCs w:val="21"/>
        </w:rPr>
        <w:t xml:space="preserve"> </w:t>
      </w:r>
      <w:r>
        <w:rPr>
          <w:rFonts w:ascii="Times New Roman" w:eastAsia="Times New Roman" w:hAnsi="Times New Roman" w:cs="Times New Roman"/>
          <w:spacing w:val="-12"/>
          <w:sz w:val="21"/>
          <w:szCs w:val="21"/>
        </w:rPr>
        <w:t>9.5</w:t>
      </w:r>
      <w:r>
        <w:rPr>
          <w:rFonts w:ascii="Times New Roman" w:eastAsia="Times New Roman" w:hAnsi="Times New Roman" w:cs="Times New Roman"/>
          <w:spacing w:val="11"/>
          <w:sz w:val="21"/>
          <w:szCs w:val="21"/>
        </w:rPr>
        <w:t xml:space="preserve"> </w:t>
      </w:r>
      <w:r>
        <w:rPr>
          <w:rFonts w:ascii="SimSun" w:eastAsia="SimSun" w:hAnsi="SimSun" w:cs="SimSun"/>
          <w:spacing w:val="-12"/>
          <w:sz w:val="21"/>
          <w:szCs w:val="21"/>
        </w:rPr>
        <w:t>万亿千瓦时，年均增速</w:t>
      </w:r>
      <w:r>
        <w:rPr>
          <w:rFonts w:ascii="SimSun" w:eastAsia="SimSun" w:hAnsi="SimSun" w:cs="SimSun"/>
          <w:spacing w:val="-50"/>
          <w:sz w:val="21"/>
          <w:szCs w:val="21"/>
        </w:rPr>
        <w:t xml:space="preserve"> </w:t>
      </w:r>
      <w:r>
        <w:rPr>
          <w:rFonts w:ascii="Times New Roman" w:eastAsia="Times New Roman" w:hAnsi="Times New Roman" w:cs="Times New Roman"/>
          <w:spacing w:val="-12"/>
          <w:sz w:val="21"/>
          <w:szCs w:val="21"/>
        </w:rPr>
        <w:t>4.4%</w:t>
      </w:r>
      <w:r>
        <w:rPr>
          <w:rFonts w:ascii="Times New Roman" w:eastAsia="Times New Roman" w:hAnsi="Times New Roman" w:cs="Times New Roman"/>
          <w:spacing w:val="-27"/>
          <w:sz w:val="21"/>
          <w:szCs w:val="21"/>
        </w:rPr>
        <w:t xml:space="preserve"> </w:t>
      </w:r>
      <w:r>
        <w:rPr>
          <w:rFonts w:ascii="SimSun" w:eastAsia="SimSun" w:hAnsi="SimSun" w:cs="SimSun"/>
          <w:spacing w:val="-12"/>
          <w:sz w:val="21"/>
          <w:szCs w:val="21"/>
        </w:rPr>
        <w:t>。</w:t>
      </w:r>
      <w:r>
        <w:rPr>
          <w:rFonts w:ascii="SimSun" w:eastAsia="SimSun" w:hAnsi="SimSun" w:cs="SimSun"/>
          <w:sz w:val="21"/>
          <w:szCs w:val="21"/>
        </w:rPr>
        <w:t xml:space="preserve"> </w:t>
      </w:r>
      <w:r>
        <w:rPr>
          <w:rFonts w:ascii="SimSun" w:eastAsia="SimSun" w:hAnsi="SimSun" w:cs="SimSun"/>
          <w:spacing w:val="-3"/>
          <w:sz w:val="21"/>
          <w:szCs w:val="21"/>
        </w:rPr>
        <w:t>随着我国能源清洁化发展，电能占终端能源消费比重将不断提升，</w:t>
      </w:r>
      <w:r>
        <w:rPr>
          <w:rFonts w:ascii="SimSun" w:eastAsia="SimSun" w:hAnsi="SimSun" w:cs="SimSun"/>
          <w:spacing w:val="-25"/>
          <w:sz w:val="21"/>
          <w:szCs w:val="21"/>
        </w:rPr>
        <w:t xml:space="preserve"> </w:t>
      </w:r>
      <w:r>
        <w:rPr>
          <w:rFonts w:ascii="SimSun" w:eastAsia="SimSun" w:hAnsi="SimSun" w:cs="SimSun"/>
          <w:spacing w:val="-3"/>
          <w:sz w:val="21"/>
          <w:szCs w:val="21"/>
        </w:rPr>
        <w:t>预计</w:t>
      </w:r>
      <w:r>
        <w:rPr>
          <w:rFonts w:ascii="SimSun" w:eastAsia="SimSun" w:hAnsi="SimSun" w:cs="SimSun"/>
          <w:spacing w:val="-50"/>
          <w:sz w:val="21"/>
          <w:szCs w:val="21"/>
        </w:rPr>
        <w:t xml:space="preserve"> </w:t>
      </w:r>
      <w:r>
        <w:rPr>
          <w:rFonts w:ascii="Times New Roman" w:eastAsia="Times New Roman" w:hAnsi="Times New Roman" w:cs="Times New Roman"/>
          <w:spacing w:val="-3"/>
          <w:sz w:val="21"/>
          <w:szCs w:val="21"/>
        </w:rPr>
        <w:t xml:space="preserve">2025 </w:t>
      </w:r>
      <w:r>
        <w:rPr>
          <w:rFonts w:ascii="SimSun" w:eastAsia="SimSun" w:hAnsi="SimSun" w:cs="SimSun"/>
          <w:spacing w:val="-3"/>
          <w:sz w:val="21"/>
          <w:szCs w:val="21"/>
        </w:rPr>
        <w:t>年、</w:t>
      </w:r>
      <w:r>
        <w:rPr>
          <w:rFonts w:ascii="Times New Roman" w:eastAsia="Times New Roman" w:hAnsi="Times New Roman" w:cs="Times New Roman"/>
          <w:spacing w:val="-3"/>
          <w:sz w:val="21"/>
          <w:szCs w:val="21"/>
        </w:rPr>
        <w:t xml:space="preserve">2035 </w:t>
      </w:r>
      <w:r>
        <w:rPr>
          <w:rFonts w:ascii="SimSun" w:eastAsia="SimSun" w:hAnsi="SimSun" w:cs="SimSun"/>
          <w:spacing w:val="-3"/>
          <w:sz w:val="21"/>
          <w:szCs w:val="21"/>
        </w:rPr>
        <w:t>年、</w:t>
      </w:r>
      <w:r>
        <w:rPr>
          <w:rFonts w:ascii="Times New Roman" w:eastAsia="Times New Roman" w:hAnsi="Times New Roman" w:cs="Times New Roman"/>
          <w:spacing w:val="-3"/>
          <w:sz w:val="21"/>
          <w:szCs w:val="21"/>
        </w:rPr>
        <w:t xml:space="preserve">2050 </w:t>
      </w:r>
      <w:r>
        <w:rPr>
          <w:rFonts w:ascii="SimSun" w:eastAsia="SimSun" w:hAnsi="SimSun" w:cs="SimSun"/>
          <w:spacing w:val="-3"/>
          <w:sz w:val="21"/>
          <w:szCs w:val="21"/>
        </w:rPr>
        <w:t>年和</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 xml:space="preserve">2060  </w:t>
      </w:r>
      <w:r>
        <w:rPr>
          <w:rFonts w:ascii="SimSun" w:eastAsia="SimSun" w:hAnsi="SimSun" w:cs="SimSun"/>
          <w:spacing w:val="-2"/>
          <w:sz w:val="21"/>
          <w:szCs w:val="21"/>
        </w:rPr>
        <w:t>年电能占终端能源消费比重有望分别达到约</w:t>
      </w:r>
      <w:r>
        <w:rPr>
          <w:rFonts w:ascii="SimSun" w:eastAsia="SimSun" w:hAnsi="SimSun" w:cs="SimSun"/>
          <w:spacing w:val="-38"/>
          <w:sz w:val="21"/>
          <w:szCs w:val="21"/>
        </w:rPr>
        <w:t xml:space="preserve"> </w:t>
      </w:r>
      <w:r>
        <w:rPr>
          <w:rFonts w:ascii="Times New Roman" w:eastAsia="Times New Roman" w:hAnsi="Times New Roman" w:cs="Times New Roman"/>
          <w:spacing w:val="-2"/>
          <w:sz w:val="21"/>
          <w:szCs w:val="21"/>
        </w:rPr>
        <w:t>32%</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45%</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60%</w:t>
      </w:r>
      <w:r>
        <w:rPr>
          <w:rFonts w:ascii="SimSun" w:eastAsia="SimSun" w:hAnsi="SimSun" w:cs="SimSun"/>
          <w:spacing w:val="-2"/>
          <w:sz w:val="21"/>
          <w:szCs w:val="21"/>
        </w:rPr>
        <w:t>和</w:t>
      </w:r>
      <w:r>
        <w:rPr>
          <w:rFonts w:ascii="SimSun" w:eastAsia="SimSun" w:hAnsi="SimSun" w:cs="SimSun"/>
          <w:spacing w:val="-45"/>
          <w:sz w:val="21"/>
          <w:szCs w:val="21"/>
        </w:rPr>
        <w:t xml:space="preserve"> </w:t>
      </w:r>
      <w:r>
        <w:rPr>
          <w:rFonts w:ascii="Times New Roman" w:eastAsia="Times New Roman" w:hAnsi="Times New Roman" w:cs="Times New Roman"/>
          <w:spacing w:val="-2"/>
          <w:sz w:val="21"/>
          <w:szCs w:val="21"/>
        </w:rPr>
        <w:t>70%</w:t>
      </w:r>
      <w:r>
        <w:rPr>
          <w:rFonts w:ascii="SimSun" w:eastAsia="SimSun" w:hAnsi="SimSun" w:cs="SimSun"/>
          <w:spacing w:val="-2"/>
          <w:sz w:val="21"/>
          <w:szCs w:val="21"/>
        </w:rPr>
        <w:t>。</w:t>
      </w:r>
    </w:p>
    <w:p>
      <w:pPr>
        <w:spacing w:before="213" w:line="291" w:lineRule="auto"/>
        <w:ind w:left="36" w:right="20" w:firstLine="3"/>
        <w:jc w:val="both"/>
        <w:rPr>
          <w:rFonts w:ascii="SimSun" w:eastAsia="SimSun" w:hAnsi="SimSun" w:cs="SimSun"/>
          <w:sz w:val="21"/>
          <w:szCs w:val="21"/>
        </w:rPr>
        <w:sectPr>
          <w:headerReference w:type="default" r:id="rId6"/>
          <w:footerReference w:type="default" r:id="rId7"/>
          <w:pgSz w:w="11907" w:h="16839"/>
          <w:pgMar w:top="1336" w:right="1053" w:bottom="1272" w:left="1104" w:header="1148" w:footer="1077" w:gutter="0"/>
          <w:pgNumType w:start="2"/>
          <w:cols w:space="708"/>
        </w:sectPr>
      </w:pPr>
      <w:r>
        <w:rPr>
          <w:rFonts w:ascii="SimSun" w:eastAsia="SimSun" w:hAnsi="SimSun" w:cs="SimSun"/>
          <w:sz w:val="21"/>
          <w:szCs w:val="21"/>
        </w:rPr>
        <w:t>分产业来看，目前我国电力行业仍保持第二</w:t>
      </w:r>
      <w:r>
        <w:rPr>
          <w:rFonts w:ascii="SimSun" w:eastAsia="SimSun" w:hAnsi="SimSun" w:cs="SimSun"/>
          <w:spacing w:val="-1"/>
          <w:sz w:val="21"/>
          <w:szCs w:val="21"/>
        </w:rPr>
        <w:t>产业为用电主体，第三产业及城乡居民用电双驱并重，第一产</w:t>
      </w:r>
      <w:r>
        <w:rPr>
          <w:rFonts w:ascii="SimSun" w:eastAsia="SimSun" w:hAnsi="SimSun" w:cs="SimSun"/>
          <w:sz w:val="21"/>
          <w:szCs w:val="21"/>
        </w:rPr>
        <w:t xml:space="preserve"> </w:t>
      </w:r>
      <w:r>
        <w:rPr>
          <w:rFonts w:ascii="SimSun" w:eastAsia="SimSun" w:hAnsi="SimSun" w:cs="SimSun"/>
          <w:spacing w:val="-2"/>
          <w:sz w:val="21"/>
          <w:szCs w:val="21"/>
        </w:rPr>
        <w:t>业用电规模较小的格局。</w:t>
      </w:r>
      <w:r>
        <w:rPr>
          <w:rFonts w:ascii="SimSun" w:eastAsia="SimSun" w:hAnsi="SimSun" w:cs="SimSun"/>
          <w:spacing w:val="-36"/>
          <w:sz w:val="21"/>
          <w:szCs w:val="21"/>
        </w:rPr>
        <w:t xml:space="preserve"> </w:t>
      </w:r>
      <w:r>
        <w:rPr>
          <w:rFonts w:ascii="SimSun" w:eastAsia="SimSun" w:hAnsi="SimSun" w:cs="SimSun"/>
          <w:spacing w:val="-2"/>
          <w:sz w:val="21"/>
          <w:szCs w:val="21"/>
        </w:rPr>
        <w:t>尽管近年来各产业用电规模均有所增加，但随着产业结构不断调整，二产用电量</w:t>
      </w:r>
      <w:r>
        <w:rPr>
          <w:rFonts w:ascii="SimSun" w:eastAsia="SimSun" w:hAnsi="SimSun" w:cs="SimSun"/>
          <w:sz w:val="21"/>
          <w:szCs w:val="21"/>
        </w:rPr>
        <w:t xml:space="preserve"> </w:t>
      </w:r>
      <w:r>
        <w:rPr>
          <w:rFonts w:ascii="SimSun" w:eastAsia="SimSun" w:hAnsi="SimSun" w:cs="SimSun"/>
          <w:spacing w:val="-2"/>
          <w:sz w:val="21"/>
          <w:szCs w:val="21"/>
        </w:rPr>
        <w:t>占比呈下降趋势，三产及城乡居民用电占比稳中有升；</w:t>
      </w:r>
      <w:r>
        <w:rPr>
          <w:rFonts w:ascii="SimSun" w:eastAsia="SimSun" w:hAnsi="SimSun" w:cs="SimSun"/>
          <w:spacing w:val="-28"/>
          <w:sz w:val="21"/>
          <w:szCs w:val="21"/>
        </w:rPr>
        <w:t xml:space="preserve"> </w:t>
      </w:r>
      <w:r>
        <w:rPr>
          <w:rFonts w:ascii="SimSun" w:eastAsia="SimSun" w:hAnsi="SimSun" w:cs="SimSun"/>
          <w:spacing w:val="-2"/>
          <w:sz w:val="21"/>
          <w:szCs w:val="21"/>
        </w:rPr>
        <w:t>一产用电量虽保持快速增长势</w:t>
      </w:r>
      <w:r>
        <w:rPr>
          <w:rFonts w:ascii="SimSun" w:eastAsia="SimSun" w:hAnsi="SimSun" w:cs="SimSun"/>
          <w:spacing w:val="-3"/>
          <w:sz w:val="21"/>
          <w:szCs w:val="21"/>
        </w:rPr>
        <w:t>头但基数小且占比仍</w:t>
      </w:r>
      <w:r>
        <w:rPr>
          <w:rFonts w:ascii="SimSun" w:eastAsia="SimSun" w:hAnsi="SimSun" w:cs="SimSun"/>
          <w:sz w:val="21"/>
          <w:szCs w:val="21"/>
        </w:rPr>
        <w:t xml:space="preserve"> </w:t>
      </w:r>
      <w:r>
        <w:rPr>
          <w:rFonts w:ascii="SimSun" w:eastAsia="SimSun" w:hAnsi="SimSun" w:cs="SimSun"/>
          <w:spacing w:val="-4"/>
          <w:sz w:val="21"/>
          <w:szCs w:val="21"/>
        </w:rPr>
        <w:t>低。</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年前三季度，</w:t>
      </w:r>
      <w:r>
        <w:rPr>
          <w:rFonts w:ascii="SimSun" w:eastAsia="SimSun" w:hAnsi="SimSun" w:cs="SimSun"/>
          <w:spacing w:val="-49"/>
          <w:sz w:val="21"/>
          <w:szCs w:val="21"/>
        </w:rPr>
        <w:t xml:space="preserve"> </w:t>
      </w:r>
      <w:r>
        <w:rPr>
          <w:rFonts w:ascii="SimSun" w:eastAsia="SimSun" w:hAnsi="SimSun" w:cs="SimSun"/>
          <w:spacing w:val="-4"/>
          <w:sz w:val="21"/>
          <w:szCs w:val="21"/>
        </w:rPr>
        <w:t>一二三产及城乡居民用</w:t>
      </w:r>
      <w:r>
        <w:rPr>
          <w:rFonts w:ascii="SimSun" w:eastAsia="SimSun" w:hAnsi="SimSun" w:cs="SimSun"/>
          <w:spacing w:val="-5"/>
          <w:sz w:val="21"/>
          <w:szCs w:val="21"/>
        </w:rPr>
        <w:t>电占比分别为</w:t>
      </w:r>
      <w:r>
        <w:rPr>
          <w:rFonts w:ascii="SimSun" w:eastAsia="SimSun" w:hAnsi="SimSun" w:cs="SimSun"/>
          <w:spacing w:val="-27"/>
          <w:sz w:val="21"/>
          <w:szCs w:val="21"/>
        </w:rPr>
        <w:t xml:space="preserve"> </w:t>
      </w:r>
      <w:r>
        <w:rPr>
          <w:rFonts w:ascii="Times New Roman" w:eastAsia="Times New Roman" w:hAnsi="Times New Roman" w:cs="Times New Roman"/>
          <w:spacing w:val="-5"/>
          <w:sz w:val="21"/>
          <w:szCs w:val="21"/>
        </w:rPr>
        <w:t>1.42%</w:t>
      </w:r>
      <w:r>
        <w:rPr>
          <w:rFonts w:ascii="SimSun" w:eastAsia="SimSun" w:hAnsi="SimSun" w:cs="SimSun"/>
          <w:spacing w:val="-5"/>
          <w:sz w:val="21"/>
          <w:szCs w:val="21"/>
        </w:rPr>
        <w:t>、</w:t>
      </w:r>
      <w:r>
        <w:rPr>
          <w:rFonts w:ascii="Times New Roman" w:eastAsia="Times New Roman" w:hAnsi="Times New Roman" w:cs="Times New Roman"/>
          <w:spacing w:val="-5"/>
          <w:sz w:val="21"/>
          <w:szCs w:val="21"/>
        </w:rPr>
        <w:t>65.13%</w:t>
      </w:r>
      <w:r>
        <w:rPr>
          <w:rFonts w:ascii="Times New Roman" w:eastAsia="Times New Roman" w:hAnsi="Times New Roman" w:cs="Times New Roman"/>
          <w:spacing w:val="-30"/>
          <w:sz w:val="21"/>
          <w:szCs w:val="21"/>
        </w:rPr>
        <w:t xml:space="preserve"> </w:t>
      </w:r>
      <w:r>
        <w:rPr>
          <w:rFonts w:ascii="SimSun" w:eastAsia="SimSun" w:hAnsi="SimSun" w:cs="SimSun"/>
          <w:spacing w:val="-5"/>
          <w:sz w:val="21"/>
          <w:szCs w:val="21"/>
        </w:rPr>
        <w:t>、</w:t>
      </w:r>
      <w:r>
        <w:rPr>
          <w:rFonts w:ascii="Times New Roman" w:eastAsia="Times New Roman" w:hAnsi="Times New Roman" w:cs="Times New Roman"/>
          <w:spacing w:val="-5"/>
          <w:sz w:val="21"/>
          <w:szCs w:val="21"/>
        </w:rPr>
        <w:t>18.28%</w:t>
      </w:r>
      <w:r>
        <w:rPr>
          <w:rFonts w:ascii="SimSun" w:eastAsia="SimSun" w:hAnsi="SimSun" w:cs="SimSun"/>
          <w:spacing w:val="-5"/>
          <w:sz w:val="21"/>
          <w:szCs w:val="21"/>
        </w:rPr>
        <w:t>和</w:t>
      </w:r>
      <w:r>
        <w:rPr>
          <w:rFonts w:ascii="SimSun" w:eastAsia="SimSun" w:hAnsi="SimSun" w:cs="SimSun"/>
          <w:spacing w:val="-28"/>
          <w:sz w:val="21"/>
          <w:szCs w:val="21"/>
        </w:rPr>
        <w:t xml:space="preserve"> </w:t>
      </w:r>
      <w:r>
        <w:rPr>
          <w:rFonts w:ascii="Times New Roman" w:eastAsia="Times New Roman" w:hAnsi="Times New Roman" w:cs="Times New Roman"/>
          <w:spacing w:val="-5"/>
          <w:sz w:val="21"/>
          <w:szCs w:val="21"/>
        </w:rPr>
        <w:t>15.17%</w:t>
      </w:r>
      <w:r>
        <w:rPr>
          <w:rFonts w:ascii="SimSun" w:eastAsia="SimSun" w:hAnsi="SimSun" w:cs="SimSun"/>
          <w:spacing w:val="-5"/>
          <w:sz w:val="21"/>
          <w:szCs w:val="21"/>
        </w:rPr>
        <w:t>，同比增速</w:t>
      </w:r>
      <w:r>
        <w:rPr>
          <w:rFonts w:ascii="SimSun" w:eastAsia="SimSun" w:hAnsi="SimSun" w:cs="SimSun"/>
          <w:sz w:val="21"/>
          <w:szCs w:val="21"/>
        </w:rPr>
        <w:t xml:space="preserve"> </w:t>
      </w:r>
      <w:r>
        <w:rPr>
          <w:rFonts w:ascii="SimSun" w:eastAsia="SimSun" w:hAnsi="SimSun" w:cs="SimSun"/>
          <w:spacing w:val="-1"/>
          <w:sz w:val="21"/>
          <w:szCs w:val="21"/>
        </w:rPr>
        <w:t>分别为</w:t>
      </w:r>
      <w:r>
        <w:rPr>
          <w:rFonts w:ascii="SimSun" w:eastAsia="SimSun" w:hAnsi="SimSun" w:cs="SimSun"/>
          <w:spacing w:val="-20"/>
          <w:sz w:val="21"/>
          <w:szCs w:val="21"/>
        </w:rPr>
        <w:t xml:space="preserve"> </w:t>
      </w:r>
      <w:r>
        <w:rPr>
          <w:rFonts w:ascii="Times New Roman" w:eastAsia="Times New Roman" w:hAnsi="Times New Roman" w:cs="Times New Roman"/>
          <w:spacing w:val="-1"/>
          <w:sz w:val="21"/>
          <w:szCs w:val="21"/>
        </w:rPr>
        <w:t>11.30%</w:t>
      </w:r>
      <w:r>
        <w:rPr>
          <w:rFonts w:ascii="Times New Roman" w:eastAsia="Times New Roman" w:hAnsi="Times New Roman" w:cs="Times New Roman"/>
          <w:spacing w:val="-30"/>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5.50%</w:t>
      </w:r>
      <w:r>
        <w:rPr>
          <w:rFonts w:ascii="SimSun" w:eastAsia="SimSun" w:hAnsi="SimSun" w:cs="SimSun"/>
          <w:spacing w:val="-1"/>
          <w:sz w:val="21"/>
          <w:szCs w:val="21"/>
        </w:rPr>
        <w:t>、</w:t>
      </w:r>
      <w:r>
        <w:rPr>
          <w:rFonts w:ascii="Times New Roman" w:eastAsia="Times New Roman" w:hAnsi="Times New Roman" w:cs="Times New Roman"/>
          <w:spacing w:val="-1"/>
          <w:sz w:val="21"/>
          <w:szCs w:val="21"/>
        </w:rPr>
        <w:t>10.10%</w:t>
      </w:r>
      <w:r>
        <w:rPr>
          <w:rFonts w:ascii="SimSun" w:eastAsia="SimSun" w:hAnsi="SimSun" w:cs="SimSun"/>
          <w:spacing w:val="-1"/>
          <w:sz w:val="21"/>
          <w:szCs w:val="21"/>
        </w:rPr>
        <w:t>和</w:t>
      </w:r>
      <w:r>
        <w:rPr>
          <w:rFonts w:ascii="SimSun" w:eastAsia="SimSun" w:hAnsi="SimSun" w:cs="SimSun"/>
          <w:spacing w:val="-35"/>
          <w:sz w:val="21"/>
          <w:szCs w:val="21"/>
        </w:rPr>
        <w:t xml:space="preserve"> </w:t>
      </w:r>
      <w:r>
        <w:rPr>
          <w:rFonts w:ascii="Times New Roman" w:eastAsia="Times New Roman" w:hAnsi="Times New Roman" w:cs="Times New Roman"/>
          <w:spacing w:val="-1"/>
          <w:sz w:val="21"/>
          <w:szCs w:val="21"/>
        </w:rPr>
        <w:t>0.5</w:t>
      </w:r>
      <w:r>
        <w:rPr>
          <w:rFonts w:ascii="Times New Roman" w:eastAsia="Times New Roman" w:hAnsi="Times New Roman" w:cs="Times New Roman"/>
          <w:spacing w:val="-2"/>
          <w:sz w:val="21"/>
          <w:szCs w:val="21"/>
        </w:rPr>
        <w:t>0%</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，一二三产用电量增幅同比均有所扩大；其中农业生产及乡村产</w:t>
      </w:r>
      <w:r>
        <w:rPr>
          <w:rFonts w:ascii="SimSun" w:eastAsia="SimSun" w:hAnsi="SimSun" w:cs="SimSun"/>
          <w:sz w:val="21"/>
          <w:szCs w:val="21"/>
        </w:rPr>
        <w:t xml:space="preserve"> </w:t>
      </w:r>
      <w:r>
        <w:rPr>
          <w:rFonts w:ascii="SimSun" w:eastAsia="SimSun" w:hAnsi="SimSun" w:cs="SimSun"/>
          <w:spacing w:val="1"/>
          <w:sz w:val="21"/>
          <w:szCs w:val="21"/>
        </w:rPr>
        <w:t>业电气化改造升级持续推进带动一产用电量高速增长；二产中部分高技</w:t>
      </w:r>
      <w:r>
        <w:rPr>
          <w:rFonts w:ascii="SimSun" w:eastAsia="SimSun" w:hAnsi="SimSun" w:cs="SimSun"/>
          <w:sz w:val="21"/>
          <w:szCs w:val="21"/>
        </w:rPr>
        <w:t xml:space="preserve">术及装备制造业用电量增幅明显， </w:t>
      </w:r>
      <w:r>
        <w:rPr>
          <w:rFonts w:ascii="SimSun" w:eastAsia="SimSun" w:hAnsi="SimSun" w:cs="SimSun"/>
          <w:sz w:val="21"/>
          <w:szCs w:val="21"/>
        </w:rPr>
        <w:t>如光伏设备及元器件制造业、新能源整车制造等反</w:t>
      </w:r>
      <w:r>
        <w:rPr>
          <w:rFonts w:ascii="SimSun" w:eastAsia="SimSun" w:hAnsi="SimSun" w:cs="SimSun"/>
          <w:spacing w:val="-1"/>
          <w:sz w:val="21"/>
          <w:szCs w:val="21"/>
        </w:rPr>
        <w:t>映制造业升级板块；三产用电量呈快速增长主要系上年</w:t>
      </w:r>
      <w:r>
        <w:rPr>
          <w:rFonts w:ascii="SimSun" w:eastAsia="SimSun" w:hAnsi="SimSun" w:cs="SimSun"/>
          <w:sz w:val="21"/>
          <w:szCs w:val="21"/>
        </w:rPr>
        <w:t xml:space="preserve"> </w:t>
      </w:r>
      <w:r>
        <w:rPr>
          <w:rFonts w:ascii="SimSun" w:eastAsia="SimSun" w:hAnsi="SimSun" w:cs="SimSun"/>
          <w:spacing w:val="-3"/>
          <w:sz w:val="21"/>
          <w:szCs w:val="21"/>
        </w:rPr>
        <w:t xml:space="preserve">基数受外部负面因素影响较大； 当期城乡居民用电增幅同比下降 </w:t>
      </w:r>
      <w:r>
        <w:rPr>
          <w:rFonts w:ascii="Times New Roman" w:eastAsia="Times New Roman" w:hAnsi="Times New Roman" w:cs="Times New Roman"/>
          <w:spacing w:val="-3"/>
          <w:sz w:val="21"/>
          <w:szCs w:val="21"/>
        </w:rPr>
        <w:t>13.00</w:t>
      </w:r>
      <w:r>
        <w:rPr>
          <w:rFonts w:ascii="Times New Roman" w:eastAsia="Times New Roman" w:hAnsi="Times New Roman" w:cs="Times New Roman"/>
          <w:spacing w:val="22"/>
          <w:w w:val="101"/>
          <w:sz w:val="21"/>
          <w:szCs w:val="21"/>
        </w:rPr>
        <w:t xml:space="preserve"> </w:t>
      </w:r>
      <w:r>
        <w:rPr>
          <w:rFonts w:ascii="SimSun" w:eastAsia="SimSun" w:hAnsi="SimSun" w:cs="SimSun"/>
          <w:spacing w:val="-3"/>
          <w:sz w:val="21"/>
          <w:szCs w:val="21"/>
        </w:rPr>
        <w:t>个百分点，主要系上年夏季平均气</w:t>
      </w:r>
      <w:r>
        <w:rPr>
          <w:rFonts w:ascii="SimSun" w:eastAsia="SimSun" w:hAnsi="SimSun" w:cs="SimSun"/>
          <w:sz w:val="21"/>
          <w:szCs w:val="21"/>
        </w:rPr>
        <w:t xml:space="preserve"> </w:t>
      </w:r>
    </w:p>
    <w:p>
      <w:pPr>
        <w:spacing w:before="213" w:line="291" w:lineRule="auto"/>
        <w:ind w:left="36" w:right="20" w:firstLine="3"/>
        <w:jc w:val="both"/>
        <w:rPr>
          <w:rFonts w:ascii="SimSun" w:eastAsia="SimSun" w:hAnsi="SimSun" w:cs="SimSun"/>
          <w:sz w:val="21"/>
          <w:szCs w:val="21"/>
        </w:rPr>
      </w:pPr>
      <w:r>
        <w:rPr>
          <w:rFonts w:ascii="SimSun" w:eastAsia="SimSun" w:hAnsi="SimSun" w:cs="SimSun"/>
          <w:spacing w:val="-1"/>
          <w:sz w:val="21"/>
          <w:szCs w:val="21"/>
        </w:rPr>
        <w:t>温为近</w:t>
      </w:r>
      <w:r>
        <w:rPr>
          <w:rFonts w:ascii="SimSun" w:eastAsia="SimSun" w:hAnsi="SimSun" w:cs="SimSun"/>
          <w:spacing w:val="-39"/>
          <w:sz w:val="21"/>
          <w:szCs w:val="21"/>
        </w:rPr>
        <w:t xml:space="preserve"> </w:t>
      </w:r>
      <w:r>
        <w:rPr>
          <w:rFonts w:ascii="Times New Roman" w:eastAsia="Times New Roman" w:hAnsi="Times New Roman" w:cs="Times New Roman"/>
          <w:spacing w:val="-1"/>
          <w:sz w:val="21"/>
          <w:szCs w:val="21"/>
        </w:rPr>
        <w:t xml:space="preserve">60 </w:t>
      </w:r>
      <w:r>
        <w:rPr>
          <w:rFonts w:ascii="SimSun" w:eastAsia="SimSun" w:hAnsi="SimSun" w:cs="SimSun"/>
          <w:spacing w:val="-1"/>
          <w:sz w:val="21"/>
          <w:szCs w:val="21"/>
        </w:rPr>
        <w:t>年以来第</w:t>
      </w:r>
      <w:r>
        <w:rPr>
          <w:rFonts w:ascii="SimSun" w:eastAsia="SimSun" w:hAnsi="SimSun" w:cs="SimSun"/>
          <w:spacing w:val="-22"/>
          <w:sz w:val="21"/>
          <w:szCs w:val="21"/>
        </w:rPr>
        <w:t xml:space="preserve"> </w:t>
      </w:r>
      <w:r>
        <w:rPr>
          <w:rFonts w:ascii="Times New Roman" w:eastAsia="Times New Roman" w:hAnsi="Times New Roman" w:cs="Times New Roman"/>
          <w:spacing w:val="-1"/>
          <w:sz w:val="21"/>
          <w:szCs w:val="21"/>
        </w:rPr>
        <w:t>1</w:t>
      </w:r>
      <w:r>
        <w:rPr>
          <w:rFonts w:ascii="Times New Roman" w:eastAsia="Times New Roman" w:hAnsi="Times New Roman" w:cs="Times New Roman"/>
          <w:spacing w:val="19"/>
          <w:sz w:val="21"/>
          <w:szCs w:val="21"/>
        </w:rPr>
        <w:t xml:space="preserve"> </w:t>
      </w:r>
      <w:r>
        <w:rPr>
          <w:rFonts w:ascii="SimSun" w:eastAsia="SimSun" w:hAnsi="SimSun" w:cs="SimSun"/>
          <w:spacing w:val="-1"/>
          <w:sz w:val="21"/>
          <w:szCs w:val="21"/>
        </w:rPr>
        <w:t>高，用电增速高，当年虽经受多轮高温，但同比气温略有下降，夏季平均气温为</w:t>
      </w:r>
      <w:r>
        <w:rPr>
          <w:rFonts w:ascii="SimSun" w:eastAsia="SimSun" w:hAnsi="SimSun" w:cs="SimSun"/>
          <w:spacing w:val="-41"/>
          <w:sz w:val="21"/>
          <w:szCs w:val="21"/>
        </w:rPr>
        <w:t xml:space="preserve"> </w:t>
      </w:r>
      <w:r>
        <w:rPr>
          <w:rFonts w:ascii="Times New Roman" w:eastAsia="Times New Roman" w:hAnsi="Times New Roman" w:cs="Times New Roman"/>
          <w:spacing w:val="-1"/>
          <w:sz w:val="21"/>
          <w:szCs w:val="21"/>
        </w:rPr>
        <w:t>60</w:t>
      </w:r>
      <w:r>
        <w:rPr>
          <w:rFonts w:ascii="Times New Roman" w:eastAsia="Times New Roman" w:hAnsi="Times New Roman" w:cs="Times New Roman"/>
          <w:sz w:val="21"/>
          <w:szCs w:val="21"/>
        </w:rPr>
        <w:t xml:space="preserve">  </w:t>
      </w:r>
      <w:r>
        <w:rPr>
          <w:rFonts w:ascii="SimSun" w:eastAsia="SimSun" w:hAnsi="SimSun" w:cs="SimSun"/>
          <w:spacing w:val="-2"/>
          <w:sz w:val="21"/>
          <w:szCs w:val="21"/>
        </w:rPr>
        <w:t>年以来第</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 xml:space="preserve">2 </w:t>
      </w:r>
      <w:r>
        <w:rPr>
          <w:rFonts w:ascii="SimSun" w:eastAsia="SimSun" w:hAnsi="SimSun" w:cs="SimSun"/>
          <w:spacing w:val="-2"/>
          <w:sz w:val="21"/>
          <w:szCs w:val="21"/>
        </w:rPr>
        <w:t>高。</w:t>
      </w:r>
    </w:p>
    <w:p>
      <w:pPr>
        <w:spacing w:line="291" w:lineRule="auto"/>
        <w:rPr>
          <w:rFonts w:ascii="SimSun" w:eastAsia="SimSun" w:hAnsi="SimSun" w:cs="SimSun"/>
          <w:sz w:val="21"/>
          <w:szCs w:val="21"/>
        </w:rPr>
        <w:sectPr>
          <w:headerReference w:type="default" r:id="rId8"/>
          <w:footerReference w:type="default" r:id="rId9"/>
          <w:type w:val="nextPage"/>
          <w:pgSz w:w="11907" w:h="16839"/>
          <w:pgMar w:top="1336" w:right="1053" w:bottom="1272" w:left="1104" w:header="1148" w:footer="1077" w:gutter="0"/>
          <w:pgNumType w:start="3"/>
          <w:cols w:space="708"/>
          <w:titlePg w:val="0"/>
        </w:sectPr>
      </w:pPr>
    </w:p>
    <w:p>
      <w:pPr>
        <w:spacing w:line="384" w:lineRule="auto"/>
        <w:rPr>
          <w:rFonts w:ascii="Arial"/>
          <w:sz w:val="21"/>
        </w:rPr>
      </w:pPr>
      <w:r>
        <w:pict>
          <v:rect id="_x0000_s1027" style="width:406.95pt;height:0.75pt;margin-top:108.84pt;margin-left:91.68pt;mso-position-horizontal-relative:page;mso-position-vertical-relative:page;position:absolute;z-index:251669504" o:allowincell="f" filled="t" fillcolor="#d9d9d9" stroked="f"/>
        </w:pict>
      </w:r>
      <w:r>
        <w:pict>
          <v:rect id="_x0000_s1028" style="width:401.3pt;height:0.75pt;margin-top:694.08pt;margin-left:100.44pt;mso-position-horizontal-relative:page;mso-position-vertical-relative:page;position:absolute;z-index:251666432" o:allowincell="f" filled="t" fillcolor="#d9d9d9" stroked="f"/>
        </w:pict>
      </w:r>
      <w:r>
        <w:pict>
          <v:shape id="_x0000_s1029" style="width:481.8pt;height:0.5pt;margin-top:260.69pt;margin-left:56.88pt;mso-position-horizontal-relative:page;mso-position-vertical-relative:page;position:absolute;z-index:251664384" coordorigin="0,0" coordsize="9635,10" o:allowincell="f" path="m,9l9635,9l9635,l,l,9xe" filled="t" fillcolor="black" stroked="f"/>
        </w:pict>
      </w:r>
      <w:r>
        <w:pict>
          <v:shape id="_x0000_s1030" style="width:481.8pt;height:0.5pt;margin-top:573.7pt;margin-left:56.88pt;mso-position-horizontal-relative:page;mso-position-vertical-relative:page;position:absolute;z-index:251663360" coordorigin="0,0" coordsize="9635,10" o:allowincell="f" path="m,9l9635,9l9635,l,l,9xe" filled="t" fillcolor="black" stroked="f"/>
        </w:pict>
      </w:r>
      <w:r>
        <w:drawing>
          <wp:anchor distT="0" distB="0" distL="0" distR="0" simplePos="0" relativeHeight="251665408" behindDoc="0" locked="0" layoutInCell="0" allowOverlap="1">
            <wp:simplePos x="0" y="0"/>
            <wp:positionH relativeFrom="page">
              <wp:posOffset>1466088</wp:posOffset>
            </wp:positionH>
            <wp:positionV relativeFrom="page">
              <wp:posOffset>7513320</wp:posOffset>
            </wp:positionV>
            <wp:extent cx="4715255" cy="1306067"/>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4715255" cy="1306067"/>
                    </a:xfrm>
                    <a:prstGeom prst="rect">
                      <a:avLst/>
                    </a:prstGeom>
                  </pic:spPr>
                </pic:pic>
              </a:graphicData>
            </a:graphic>
          </wp:anchor>
        </w:drawing>
      </w:r>
      <w:r>
        <w:pict>
          <v:shape id="_x0000_s1031" style="width:352.1pt;height:57.5pt;margin-top:599.76pt;margin-left:125.04pt;mso-position-horizontal-relative:page;mso-position-vertical-relative:page;position:absolute;z-index:251668480" coordorigin="0,0" coordsize="7042,1150" o:allowincell="f" path="m9,410l1012,698l2015,772l3019,1140l4022,439l5025,739l6028,652l7032,9e" filled="f" strokecolor="#00b050" strokeweight="0.96pt">
            <v:stroke endcap="round"/>
          </v:shape>
        </w:pict>
      </w:r>
      <w:r>
        <w:pict>
          <v:shape id="_x0000_s1032" style="width:352.1pt;height:20.55pt;margin-top:662.52pt;margin-left:125.04pt;mso-position-horizontal-relative:page;mso-position-vertical-relative:page;position:absolute;z-index:251667456" coordorigin="0,0" coordsize="7042,410" o:allowincell="f" path="m9,9l1012,259l2015,338l3019,285l4022,223l5025,276l6028,400l7032,259e" filled="f" strokecolor="#c55a11" strokeweight="0.96pt">
            <v:stroke endcap="round"/>
          </v:shape>
        </w:pict>
      </w:r>
      <w:r>
        <w:pict>
          <v:shape id="_x0000_s1033" style="width:19.2pt;height:3pt;margin-top:715.2pt;margin-left:184.8pt;mso-position-horizontal-relative:page;mso-position-vertical-relative:page;position:absolute;z-index:-251655168" coordorigin="0,0" coordsize="384,60" o:allowincell="f" path="m,60l383,60l383,l,l,60xe" filled="t" fillcolor="#92d050" stroked="f"/>
        </w:pict>
      </w:r>
      <w:r>
        <w:pict>
          <v:shape id="_x0000_s1034" style="width:481.8pt;height:0.55pt;margin-top:730.06pt;margin-left:56.88pt;mso-position-horizontal-relative:page;mso-position-vertical-relative:page;position:absolute;z-index:251662336" coordorigin="0,0" coordsize="9635,11" o:allowincell="f" path="m,10l9635,10l9635,l,l,10xe" filled="t" fillcolor="black" stroked="f"/>
        </w:pict>
      </w:r>
    </w:p>
    <w:p>
      <w:pPr>
        <w:spacing w:before="59" w:line="224" w:lineRule="auto"/>
        <w:ind w:left="319"/>
        <w:rPr>
          <w:rFonts w:ascii="SimHei" w:eastAsia="SimHei" w:hAnsi="SimHei" w:cs="SimHei"/>
          <w:sz w:val="18"/>
          <w:szCs w:val="18"/>
        </w:rPr>
      </w:pPr>
      <w:r>
        <w:rPr>
          <w:rFonts w:ascii="SimHei" w:eastAsia="SimHei" w:hAnsi="SimHei" w:cs="SimHei"/>
          <w:spacing w:val="-10"/>
          <w:sz w:val="18"/>
          <w:szCs w:val="18"/>
        </w:rPr>
        <w:t>图表</w:t>
      </w:r>
      <w:r>
        <w:rPr>
          <w:rFonts w:ascii="SimHei" w:eastAsia="SimHei" w:hAnsi="SimHei" w:cs="SimHei"/>
          <w:spacing w:val="-23"/>
          <w:sz w:val="18"/>
          <w:szCs w:val="18"/>
        </w:rPr>
        <w:t xml:space="preserve"> </w:t>
      </w:r>
      <w:r>
        <w:rPr>
          <w:rFonts w:ascii="Times New Roman" w:eastAsia="Times New Roman" w:hAnsi="Times New Roman" w:cs="Times New Roman"/>
          <w:spacing w:val="-10"/>
          <w:sz w:val="18"/>
          <w:szCs w:val="18"/>
        </w:rPr>
        <w:t xml:space="preserve">1.    </w:t>
      </w:r>
      <w:r>
        <w:rPr>
          <w:rFonts w:ascii="SimHei" w:eastAsia="SimHei" w:hAnsi="SimHei" w:cs="SimHei"/>
          <w:spacing w:val="-10"/>
          <w:sz w:val="18"/>
          <w:szCs w:val="18"/>
        </w:rPr>
        <w:t>我国产业用电量及占比情况</w:t>
      </w:r>
      <w:r>
        <w:rPr>
          <w:rFonts w:ascii="SimHei" w:eastAsia="SimHei" w:hAnsi="SimHei" w:cs="SimHei"/>
          <w:spacing w:val="-39"/>
          <w:sz w:val="18"/>
          <w:szCs w:val="18"/>
        </w:rPr>
        <w:t xml:space="preserve"> </w:t>
      </w:r>
      <w:r>
        <w:rPr>
          <w:rFonts w:ascii="SimHei" w:eastAsia="SimHei" w:hAnsi="SimHei" w:cs="SimHei"/>
          <w:spacing w:val="-10"/>
          <w:sz w:val="18"/>
          <w:szCs w:val="18"/>
        </w:rPr>
        <w:t>（单位：</w:t>
      </w:r>
      <w:r>
        <w:rPr>
          <w:rFonts w:ascii="SimHei" w:eastAsia="SimHei" w:hAnsi="SimHei" w:cs="SimHei"/>
          <w:spacing w:val="-10"/>
          <w:sz w:val="18"/>
          <w:szCs w:val="18"/>
        </w:rPr>
        <w:t xml:space="preserve"> </w:t>
      </w:r>
      <w:r>
        <w:rPr>
          <w:rFonts w:ascii="SimHei" w:eastAsia="SimHei" w:hAnsi="SimHei" w:cs="SimHei"/>
          <w:spacing w:val="-10"/>
          <w:sz w:val="18"/>
          <w:szCs w:val="18"/>
        </w:rPr>
        <w:t>万亿千</w:t>
      </w:r>
      <w:r>
        <w:rPr>
          <w:rFonts w:ascii="SimHei" w:eastAsia="SimHei" w:hAnsi="SimHei" w:cs="SimHei"/>
          <w:spacing w:val="-11"/>
          <w:sz w:val="18"/>
          <w:szCs w:val="18"/>
        </w:rPr>
        <w:t>瓦时，</w:t>
      </w:r>
      <w:r>
        <w:rPr>
          <w:rFonts w:ascii="SimHei" w:eastAsia="SimHei" w:hAnsi="SimHei" w:cs="SimHei"/>
          <w:spacing w:val="49"/>
          <w:sz w:val="18"/>
          <w:szCs w:val="18"/>
        </w:rPr>
        <w:t xml:space="preserve"> </w:t>
      </w:r>
      <w:r>
        <w:rPr>
          <w:rFonts w:ascii="Times New Roman" w:eastAsia="Times New Roman" w:hAnsi="Times New Roman" w:cs="Times New Roman"/>
          <w:spacing w:val="-11"/>
          <w:sz w:val="18"/>
          <w:szCs w:val="18"/>
        </w:rPr>
        <w:t>%</w:t>
      </w:r>
      <w:r>
        <w:rPr>
          <w:rFonts w:ascii="SimHei" w:eastAsia="SimHei" w:hAnsi="SimHei" w:cs="SimHei"/>
          <w:spacing w:val="-11"/>
          <w:sz w:val="18"/>
          <w:szCs w:val="18"/>
        </w:rPr>
        <w:t>）</w:t>
      </w:r>
    </w:p>
    <w:p>
      <w:pPr>
        <w:spacing w:line="139" w:lineRule="exact"/>
      </w:pPr>
    </w:p>
    <w:p>
      <w:pPr>
        <w:spacing w:line="139" w:lineRule="exact"/>
        <w:sectPr>
          <w:headerReference w:type="default" r:id="rId11"/>
          <w:footerReference w:type="default" r:id="rId12"/>
          <w:pgSz w:w="11907" w:h="16839"/>
          <w:pgMar w:top="1336" w:right="1073" w:bottom="1272" w:left="982" w:header="1148" w:footer="1077" w:gutter="0"/>
          <w:pgNumType w:start="4"/>
          <w:cols w:num="1" w:space="708" w:equalWidth="0">
            <w:col w:w="9851" w:space="0"/>
          </w:cols>
        </w:sectPr>
      </w:pPr>
    </w:p>
    <w:p>
      <w:pPr>
        <w:spacing w:before="3" w:line="369" w:lineRule="auto"/>
        <w:ind w:left="510" w:right="4" w:hanging="47"/>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w:t>
      </w:r>
      <w:r>
        <w:rPr>
          <w:rFonts w:ascii="Times New Roman" w:eastAsia="Times New Roman" w:hAnsi="Times New Roman" w:cs="Times New Roman"/>
          <w:color w:val="595959"/>
          <w:spacing w:val="1"/>
          <w:sz w:val="12"/>
          <w:szCs w:val="12"/>
        </w:rPr>
        <w:t xml:space="preserve"> </w:t>
      </w:r>
      <w:r>
        <w:rPr>
          <w:rFonts w:ascii="Times New Roman" w:eastAsia="Times New Roman" w:hAnsi="Times New Roman" w:cs="Times New Roman"/>
          <w:color w:val="595959"/>
          <w:spacing w:val="-1"/>
          <w:sz w:val="12"/>
          <w:szCs w:val="12"/>
        </w:rPr>
        <w:t>9.00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8.00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7.00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6.00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5.00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4.00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3.00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2.00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4"/>
          <w:sz w:val="12"/>
          <w:szCs w:val="12"/>
        </w:rPr>
        <w:t>1.00</w:t>
      </w:r>
    </w:p>
    <w:p>
      <w:pPr>
        <w:spacing w:line="186" w:lineRule="auto"/>
        <w:ind w:right="4"/>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line="14" w:lineRule="auto"/>
        <w:rPr>
          <w:rFonts w:ascii="Arial"/>
          <w:sz w:val="2"/>
        </w:rPr>
      </w:pPr>
      <w:r>
        <w:rPr>
          <w:rFonts w:ascii="Arial" w:eastAsia="Arial" w:hAnsi="Arial" w:cs="Arial"/>
          <w:sz w:val="2"/>
          <w:szCs w:val="2"/>
        </w:rPr>
        <w:br w:type="column"/>
      </w:r>
    </w:p>
    <w:p>
      <w:pPr>
        <w:spacing w:line="244" w:lineRule="auto"/>
        <w:rPr>
          <w:rFonts w:ascii="Arial"/>
          <w:sz w:val="21"/>
        </w:rPr>
      </w:pPr>
    </w:p>
    <w:p>
      <w:pPr>
        <w:spacing w:line="1956" w:lineRule="exact"/>
        <w:ind w:firstLine="19"/>
      </w:pPr>
      <w:r>
        <w:rPr>
          <w:position w:val="-39"/>
        </w:rPr>
        <w:drawing>
          <wp:inline distT="0" distB="0" distL="0" distR="0">
            <wp:extent cx="5177027" cy="12420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5177027" cy="1242059"/>
                    </a:xfrm>
                    <a:prstGeom prst="rect">
                      <a:avLst/>
                    </a:prstGeom>
                  </pic:spPr>
                </pic:pic>
              </a:graphicData>
            </a:graphic>
          </wp:inline>
        </w:drawing>
      </w:r>
    </w:p>
    <w:p>
      <w:pPr>
        <w:spacing w:before="52" w:line="220" w:lineRule="auto"/>
        <w:ind w:left="662"/>
        <w:rPr>
          <w:rFonts w:ascii="SimSun" w:eastAsia="SimSun" w:hAnsi="SimSun" w:cs="SimSun"/>
          <w:sz w:val="12"/>
          <w:szCs w:val="12"/>
        </w:rPr>
      </w:pPr>
      <w:r>
        <w:rPr>
          <w:rFonts w:ascii="Times New Roman" w:eastAsia="Times New Roman" w:hAnsi="Times New Roman" w:cs="Times New Roman"/>
          <w:color w:val="595959"/>
          <w:spacing w:val="1"/>
          <w:sz w:val="12"/>
          <w:szCs w:val="12"/>
        </w:rPr>
        <w:t>2020</w:t>
      </w:r>
      <w:r>
        <w:rPr>
          <w:rFonts w:ascii="SimSun" w:eastAsia="SimSun" w:hAnsi="SimSun" w:cs="SimSun"/>
          <w:color w:val="595959"/>
          <w:spacing w:val="1"/>
          <w:sz w:val="12"/>
          <w:szCs w:val="12"/>
        </w:rPr>
        <w:t xml:space="preserve">年                     </w:t>
      </w:r>
      <w:r>
        <w:rPr>
          <w:rFonts w:ascii="Times New Roman" w:eastAsia="Times New Roman" w:hAnsi="Times New Roman" w:cs="Times New Roman"/>
          <w:color w:val="595959"/>
          <w:spacing w:val="1"/>
          <w:sz w:val="12"/>
          <w:szCs w:val="12"/>
        </w:rPr>
        <w:t>202</w:t>
      </w:r>
      <w:r>
        <w:rPr>
          <w:rFonts w:ascii="Times New Roman" w:eastAsia="Times New Roman" w:hAnsi="Times New Roman" w:cs="Times New Roman"/>
          <w:color w:val="595959"/>
          <w:sz w:val="12"/>
          <w:szCs w:val="12"/>
        </w:rPr>
        <w:t>1</w:t>
      </w:r>
      <w:r>
        <w:rPr>
          <w:rFonts w:ascii="SimSun" w:eastAsia="SimSun" w:hAnsi="SimSun" w:cs="SimSun"/>
          <w:color w:val="595959"/>
          <w:sz w:val="12"/>
          <w:szCs w:val="12"/>
        </w:rPr>
        <w:t xml:space="preserve">年                     </w:t>
      </w:r>
      <w:r>
        <w:rPr>
          <w:rFonts w:ascii="Times New Roman" w:eastAsia="Times New Roman" w:hAnsi="Times New Roman" w:cs="Times New Roman"/>
          <w:color w:val="595959"/>
          <w:sz w:val="12"/>
          <w:szCs w:val="12"/>
        </w:rPr>
        <w:t>2022</w:t>
      </w:r>
      <w:r>
        <w:rPr>
          <w:rFonts w:ascii="SimSun" w:eastAsia="SimSun" w:hAnsi="SimSun" w:cs="SimSun"/>
          <w:color w:val="595959"/>
          <w:sz w:val="12"/>
          <w:szCs w:val="12"/>
        </w:rPr>
        <w:t xml:space="preserve">年                 </w:t>
      </w:r>
      <w:r>
        <w:rPr>
          <w:rFonts w:ascii="Times New Roman" w:eastAsia="Times New Roman" w:hAnsi="Times New Roman" w:cs="Times New Roman"/>
          <w:color w:val="595959"/>
          <w:sz w:val="12"/>
          <w:szCs w:val="12"/>
        </w:rPr>
        <w:t>2023</w:t>
      </w:r>
      <w:r>
        <w:rPr>
          <w:rFonts w:ascii="SimSun" w:eastAsia="SimSun" w:hAnsi="SimSun" w:cs="SimSun"/>
          <w:color w:val="595959"/>
          <w:sz w:val="12"/>
          <w:szCs w:val="12"/>
        </w:rPr>
        <w:t xml:space="preserve">年前三季度             </w:t>
      </w:r>
      <w:r>
        <w:rPr>
          <w:rFonts w:ascii="Times New Roman" w:eastAsia="Times New Roman" w:hAnsi="Times New Roman" w:cs="Times New Roman"/>
          <w:color w:val="595959"/>
          <w:sz w:val="12"/>
          <w:szCs w:val="12"/>
        </w:rPr>
        <w:t>2022</w:t>
      </w:r>
      <w:r>
        <w:rPr>
          <w:rFonts w:ascii="SimSun" w:eastAsia="SimSun" w:hAnsi="SimSun" w:cs="SimSun"/>
          <w:color w:val="595959"/>
          <w:sz w:val="12"/>
          <w:szCs w:val="12"/>
        </w:rPr>
        <w:t>年前三季度</w:t>
      </w:r>
    </w:p>
    <w:p>
      <w:pPr>
        <w:spacing w:line="94" w:lineRule="exact"/>
      </w:pPr>
    </w:p>
    <w:tbl>
      <w:tblPr>
        <w:tblStyle w:val="TableNormal0"/>
        <w:tblW w:w="7549" w:type="dxa"/>
        <w:tblInd w:w="0" w:type="dxa"/>
        <w:tblBorders>
          <w:top w:val="nil"/>
          <w:left w:val="nil"/>
          <w:bottom w:val="nil"/>
          <w:right w:val="nil"/>
          <w:insideH w:val="nil"/>
          <w:insideV w:val="nil"/>
        </w:tblBorders>
        <w:tblLayout w:type="fixed"/>
      </w:tblPr>
      <w:tblGrid>
        <w:gridCol w:w="421"/>
        <w:gridCol w:w="1857"/>
        <w:gridCol w:w="1134"/>
        <w:gridCol w:w="2152"/>
        <w:gridCol w:w="844"/>
        <w:gridCol w:w="1141"/>
      </w:tblGrid>
      <w:tr>
        <w:tblPrEx>
          <w:tblW w:w="7549" w:type="dxa"/>
          <w:tblInd w:w="0" w:type="dxa"/>
          <w:tblBorders>
            <w:top w:val="nil"/>
            <w:left w:val="nil"/>
            <w:bottom w:val="nil"/>
            <w:right w:val="nil"/>
            <w:insideH w:val="nil"/>
            <w:insideV w:val="nil"/>
          </w:tblBorders>
          <w:tblLayout w:type="fixed"/>
        </w:tblPrEx>
        <w:trPr>
          <w:trHeight w:val="472"/>
        </w:trPr>
        <w:tc>
          <w:tcPr>
            <w:tcW w:w="421" w:type="dxa"/>
            <w:vAlign w:val="top"/>
          </w:tcPr>
          <w:p>
            <w:pPr>
              <w:spacing w:before="32" w:line="55" w:lineRule="exact"/>
              <w:ind w:firstLine="9"/>
            </w:pPr>
            <w:r>
              <w:pict>
                <v:rect id="_x0000_s1035" style="width:19.25pt;height:2.8pt;margin-top:10.48pt;margin-left:-20.57pt;mso-position-horizontal-relative:right-margin-area;mso-position-vertical-relative:top-margin-area;position:absolute;z-index:251673600" filled="t" fillcolor="#ffc000" stroked="f"/>
              </w:pict>
            </w:r>
            <w:r>
              <w:pict>
                <v:rect id="_x0000_s1036" style="width:20.2pt;height:1pt;margin-top:20.2pt;margin-left:-21.05pt;mso-position-horizontal-relative:right-margin-area;mso-position-vertical-relative:top-margin-area;position:absolute;z-index:251670528" filled="t" fillcolor="#255e91" stroked="f"/>
              </w:pict>
            </w:r>
            <w:r>
              <w:rPr>
                <w:position w:val="-1"/>
              </w:rPr>
              <w:pict>
                <v:shape id="_x0000_i1037" style="width:19.25pt;height:2.8pt;mso-position-horizontal-relative:char;mso-position-vertical-relative:line" coordorigin="0,0" coordsize="385,55" path="m,55l384,55l384,l,l,55xe" filled="t" fillcolor="#5b9bd5" stroked="f">
                  <w10:wrap type="none"/>
                </v:shape>
              </w:pict>
            </w:r>
          </w:p>
        </w:tc>
        <w:tc>
          <w:tcPr>
            <w:tcW w:w="1857" w:type="dxa"/>
            <w:vAlign w:val="top"/>
          </w:tcPr>
          <w:p>
            <w:pPr>
              <w:spacing w:line="219" w:lineRule="auto"/>
              <w:ind w:left="18"/>
              <w:rPr>
                <w:rFonts w:ascii="SimSun" w:eastAsia="SimSun" w:hAnsi="SimSun" w:cs="SimSun"/>
                <w:sz w:val="12"/>
                <w:szCs w:val="12"/>
              </w:rPr>
            </w:pPr>
            <w:r>
              <w:rPr>
                <w:rFonts w:ascii="SimSun" w:eastAsia="SimSun" w:hAnsi="SimSun" w:cs="SimSun"/>
                <w:color w:val="595959"/>
                <w:spacing w:val="-1"/>
                <w:sz w:val="12"/>
                <w:szCs w:val="12"/>
              </w:rPr>
              <w:t>第一产业用电量</w:t>
            </w:r>
          </w:p>
          <w:p>
            <w:pPr>
              <w:spacing w:before="33" w:line="170" w:lineRule="exact"/>
              <w:ind w:left="18"/>
              <w:rPr>
                <w:rFonts w:ascii="SimSun" w:eastAsia="SimSun" w:hAnsi="SimSun" w:cs="SimSun"/>
                <w:sz w:val="12"/>
                <w:szCs w:val="12"/>
              </w:rPr>
            </w:pPr>
            <w:r>
              <w:rPr>
                <w:rFonts w:ascii="SimSun" w:eastAsia="SimSun" w:hAnsi="SimSun" w:cs="SimSun"/>
                <w:color w:val="595959"/>
                <w:spacing w:val="-1"/>
                <w:position w:val="4"/>
                <w:sz w:val="12"/>
                <w:szCs w:val="12"/>
              </w:rPr>
              <w:t>城乡居民生活用电量</w:t>
            </w:r>
          </w:p>
          <w:p>
            <w:pPr>
              <w:spacing w:line="177" w:lineRule="auto"/>
              <w:ind w:left="18"/>
              <w:rPr>
                <w:rFonts w:ascii="SimSun" w:eastAsia="SimSun" w:hAnsi="SimSun" w:cs="SimSun"/>
                <w:sz w:val="12"/>
                <w:szCs w:val="12"/>
              </w:rPr>
            </w:pPr>
            <w:r>
              <w:rPr>
                <w:rFonts w:ascii="SimSun" w:eastAsia="SimSun" w:hAnsi="SimSun" w:cs="SimSun"/>
                <w:color w:val="595959"/>
                <w:spacing w:val="-2"/>
                <w:sz w:val="12"/>
                <w:szCs w:val="12"/>
              </w:rPr>
              <w:t>第三产业同比（右轴）</w:t>
            </w:r>
          </w:p>
        </w:tc>
        <w:tc>
          <w:tcPr>
            <w:tcW w:w="1134" w:type="dxa"/>
            <w:vAlign w:val="top"/>
          </w:tcPr>
          <w:p>
            <w:pPr>
              <w:spacing w:before="32" w:line="55" w:lineRule="exact"/>
              <w:ind w:firstLine="721"/>
            </w:pPr>
            <w:r>
              <w:pict>
                <v:rect id="_x0000_s1038" style="width:20.2pt;height:1pt;margin-top:11.32pt;margin-left:-21.08pt;mso-position-horizontal-relative:right-margin-area;mso-position-vertical-relative:top-margin-area;position:absolute;z-index:251671552" filled="t" fillcolor="#4472c4" stroked="f"/>
              </w:pict>
            </w:r>
            <w:r>
              <w:pict>
                <v:rect id="_x0000_s1039" style="width:20.2pt;height:1pt;margin-top:20.2pt;margin-left:-21.08pt;mso-position-horizontal-relative:right-margin-area;mso-position-vertical-relative:top-margin-area;position:absolute;z-index:251672576" filled="t" fillcolor="#9e480e" stroked="f"/>
              </w:pict>
            </w:r>
            <w:r>
              <w:rPr>
                <w:position w:val="-1"/>
              </w:rPr>
              <w:pict>
                <v:shape id="_x0000_i1040" style="width:19.2pt;height:2.8pt;mso-position-horizontal-relative:char;mso-position-vertical-relative:line" coordorigin="0,0" coordsize="384,55" path="m,55l383,55l383,l,l,55xe" filled="t" fillcolor="#ed7d31" stroked="f">
                  <w10:wrap type="none"/>
                </v:shape>
              </w:pict>
            </w:r>
          </w:p>
        </w:tc>
        <w:tc>
          <w:tcPr>
            <w:tcW w:w="2152" w:type="dxa"/>
            <w:vAlign w:val="top"/>
          </w:tcPr>
          <w:p>
            <w:pPr>
              <w:spacing w:line="219" w:lineRule="auto"/>
              <w:ind w:left="18"/>
              <w:rPr>
                <w:rFonts w:ascii="SimSun" w:eastAsia="SimSun" w:hAnsi="SimSun" w:cs="SimSun"/>
                <w:sz w:val="12"/>
                <w:szCs w:val="12"/>
              </w:rPr>
            </w:pPr>
            <w:r>
              <w:rPr>
                <w:rFonts w:ascii="SimSun" w:eastAsia="SimSun" w:hAnsi="SimSun" w:cs="SimSun"/>
                <w:color w:val="595959"/>
                <w:spacing w:val="-1"/>
                <w:sz w:val="12"/>
                <w:szCs w:val="12"/>
              </w:rPr>
              <w:t>第二产业用电量</w:t>
            </w:r>
          </w:p>
          <w:p>
            <w:pPr>
              <w:spacing w:before="33" w:line="219" w:lineRule="auto"/>
              <w:ind w:left="18"/>
              <w:rPr>
                <w:rFonts w:ascii="SimSun" w:eastAsia="SimSun" w:hAnsi="SimSun" w:cs="SimSun"/>
                <w:sz w:val="12"/>
                <w:szCs w:val="12"/>
              </w:rPr>
            </w:pPr>
            <w:r>
              <w:rPr>
                <w:rFonts w:ascii="SimSun" w:eastAsia="SimSun" w:hAnsi="SimSun" w:cs="SimSun"/>
                <w:color w:val="595959"/>
                <w:spacing w:val="-2"/>
                <w:sz w:val="12"/>
                <w:szCs w:val="12"/>
              </w:rPr>
              <w:t>第一产业同比（右轴）</w:t>
            </w:r>
          </w:p>
          <w:p>
            <w:pPr>
              <w:spacing w:before="34" w:line="167" w:lineRule="auto"/>
              <w:ind w:left="18"/>
              <w:rPr>
                <w:rFonts w:ascii="SimSun" w:eastAsia="SimSun" w:hAnsi="SimSun" w:cs="SimSun"/>
                <w:sz w:val="12"/>
                <w:szCs w:val="12"/>
              </w:rPr>
            </w:pPr>
            <w:r>
              <w:rPr>
                <w:rFonts w:ascii="SimSun" w:eastAsia="SimSun" w:hAnsi="SimSun" w:cs="SimSun"/>
                <w:color w:val="595959"/>
                <w:spacing w:val="-1"/>
                <w:sz w:val="12"/>
                <w:szCs w:val="12"/>
              </w:rPr>
              <w:t>城乡居民生活用电量同比（右轴）</w:t>
            </w:r>
          </w:p>
        </w:tc>
        <w:tc>
          <w:tcPr>
            <w:tcW w:w="844" w:type="dxa"/>
            <w:vAlign w:val="top"/>
          </w:tcPr>
          <w:p>
            <w:pPr>
              <w:spacing w:before="32" w:line="55" w:lineRule="exact"/>
              <w:ind w:firstLine="426"/>
            </w:pPr>
            <w:r>
              <w:pict>
                <v:rect id="_x0000_s1041" style="width:21.25pt;height:2.05pt;margin-top:10.84pt;margin-left:-21.84pt;mso-position-horizontal-relative:right-margin-area;mso-position-vertical-relative:top-margin-area;position:absolute;z-index:251674624" filled="t" fillcolor="#70ad47" stroked="f"/>
              </w:pict>
            </w:r>
            <w:r>
              <w:rPr>
                <w:position w:val="-1"/>
              </w:rPr>
              <w:pict>
                <v:shape id="_x0000_i1042" style="width:19.25pt;height:2.8pt;mso-position-horizontal-relative:char;mso-position-vertical-relative:line" coordorigin="0,0" coordsize="385,55" path="m,55l384,55l384,l,l,55xe" filled="t" fillcolor="#a5a5a5" stroked="f">
                  <w10:wrap type="none"/>
                </v:shape>
              </w:pict>
            </w:r>
          </w:p>
        </w:tc>
        <w:tc>
          <w:tcPr>
            <w:tcW w:w="1141" w:type="dxa"/>
            <w:vAlign w:val="top"/>
          </w:tcPr>
          <w:p>
            <w:pPr>
              <w:spacing w:line="219" w:lineRule="auto"/>
              <w:ind w:left="14"/>
              <w:rPr>
                <w:rFonts w:ascii="SimSun" w:eastAsia="SimSun" w:hAnsi="SimSun" w:cs="SimSun"/>
                <w:sz w:val="12"/>
                <w:szCs w:val="12"/>
              </w:rPr>
            </w:pPr>
            <w:r>
              <w:rPr>
                <w:rFonts w:ascii="SimSun" w:eastAsia="SimSun" w:hAnsi="SimSun" w:cs="SimSun"/>
                <w:color w:val="595959"/>
                <w:spacing w:val="-1"/>
                <w:sz w:val="12"/>
                <w:szCs w:val="12"/>
              </w:rPr>
              <w:t>第三产业用电量</w:t>
            </w:r>
          </w:p>
          <w:p>
            <w:pPr>
              <w:spacing w:before="33" w:line="219" w:lineRule="auto"/>
              <w:jc w:val="right"/>
              <w:rPr>
                <w:rFonts w:ascii="SimSun" w:eastAsia="SimSun" w:hAnsi="SimSun" w:cs="SimSun"/>
                <w:sz w:val="12"/>
                <w:szCs w:val="12"/>
              </w:rPr>
            </w:pPr>
            <w:r>
              <w:rPr>
                <w:rFonts w:ascii="SimSun" w:eastAsia="SimSun" w:hAnsi="SimSun" w:cs="SimSun"/>
                <w:color w:val="595959"/>
                <w:spacing w:val="-8"/>
                <w:sz w:val="12"/>
                <w:szCs w:val="12"/>
              </w:rPr>
              <w:t>第二产业同比（右轴）</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spacing w:line="212" w:lineRule="exact"/>
        <w:rPr>
          <w:rFonts w:ascii="Times New Roman" w:eastAsia="Times New Roman" w:hAnsi="Times New Roman" w:cs="Times New Roman"/>
          <w:sz w:val="12"/>
          <w:szCs w:val="12"/>
        </w:rPr>
      </w:pPr>
      <w:r>
        <w:rPr>
          <w:rFonts w:ascii="Times New Roman" w:eastAsia="Times New Roman" w:hAnsi="Times New Roman" w:cs="Times New Roman"/>
          <w:color w:val="595959"/>
          <w:spacing w:val="-1"/>
          <w:position w:val="9"/>
          <w:sz w:val="12"/>
          <w:szCs w:val="12"/>
        </w:rPr>
        <w:t>20.00</w:t>
      </w:r>
    </w:p>
    <w:p>
      <w:pPr>
        <w:spacing w:line="186" w:lineRule="auto"/>
        <w:ind w:left="12"/>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18.00</w:t>
      </w:r>
    </w:p>
    <w:p>
      <w:pPr>
        <w:spacing w:before="105" w:line="186" w:lineRule="auto"/>
        <w:ind w:left="12"/>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16.00</w:t>
      </w:r>
    </w:p>
    <w:p>
      <w:pPr>
        <w:spacing w:before="104" w:line="186" w:lineRule="auto"/>
        <w:ind w:left="12"/>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14.00</w:t>
      </w:r>
    </w:p>
    <w:p>
      <w:pPr>
        <w:spacing w:before="106" w:line="186" w:lineRule="auto"/>
        <w:ind w:left="12"/>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12.00</w:t>
      </w:r>
    </w:p>
    <w:p>
      <w:pPr>
        <w:spacing w:before="106" w:line="186" w:lineRule="auto"/>
        <w:ind w:left="12"/>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w:t>
      </w:r>
    </w:p>
    <w:p>
      <w:pPr>
        <w:spacing w:before="105" w:line="186" w:lineRule="auto"/>
        <w:ind w:left="5"/>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8.00</w:t>
      </w:r>
    </w:p>
    <w:p>
      <w:pPr>
        <w:spacing w:before="106" w:line="186" w:lineRule="auto"/>
        <w:ind w:left="3"/>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6.00</w:t>
      </w:r>
    </w:p>
    <w:p>
      <w:pPr>
        <w:spacing w:before="105" w:line="186" w:lineRule="auto"/>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4.00</w:t>
      </w:r>
    </w:p>
    <w:p>
      <w:pPr>
        <w:spacing w:before="105" w:line="186" w:lineRule="auto"/>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w:t>
      </w:r>
    </w:p>
    <w:p>
      <w:pPr>
        <w:spacing w:before="106" w:line="186" w:lineRule="auto"/>
        <w:ind w:left="2"/>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line="186" w:lineRule="auto"/>
        <w:rPr>
          <w:rFonts w:ascii="Times New Roman" w:eastAsia="Times New Roman" w:hAnsi="Times New Roman" w:cs="Times New Roman"/>
          <w:sz w:val="12"/>
          <w:szCs w:val="12"/>
        </w:rPr>
        <w:sectPr>
          <w:headerReference w:type="default" r:id="rId14"/>
          <w:footerReference w:type="default" r:id="rId15"/>
          <w:type w:val="continuous"/>
          <w:pgSz w:w="11907" w:h="16839"/>
          <w:pgMar w:top="1336" w:right="1073" w:bottom="1272" w:left="982" w:header="1148" w:footer="1077" w:gutter="0"/>
          <w:pgNumType w:start="5"/>
          <w:cols w:num="3" w:space="708" w:equalWidth="0">
            <w:col w:w="725" w:space="100"/>
            <w:col w:w="8172" w:space="97"/>
            <w:col w:w="757" w:space="0"/>
          </w:cols>
        </w:sectPr>
      </w:pPr>
    </w:p>
    <w:p>
      <w:pPr>
        <w:spacing w:before="200" w:line="221" w:lineRule="auto"/>
        <w:ind w:left="272"/>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line="253" w:lineRule="auto"/>
        <w:rPr>
          <w:rFonts w:ascii="Arial"/>
          <w:sz w:val="21"/>
        </w:rPr>
      </w:pPr>
    </w:p>
    <w:p>
      <w:pPr>
        <w:spacing w:before="68" w:line="274" w:lineRule="auto"/>
        <w:ind w:left="156" w:right="55" w:hanging="2"/>
        <w:jc w:val="both"/>
        <w:rPr>
          <w:rFonts w:ascii="SimHei" w:eastAsia="SimHei" w:hAnsi="SimHei" w:cs="SimHei"/>
          <w:sz w:val="21"/>
          <w:szCs w:val="21"/>
        </w:rPr>
      </w:pPr>
      <w:r>
        <w:rPr>
          <w:rFonts w:ascii="Times New Roman" w:eastAsia="Times New Roman" w:hAnsi="Times New Roman" w:cs="Times New Roman"/>
          <w:spacing w:val="-3"/>
          <w:sz w:val="21"/>
          <w:szCs w:val="21"/>
        </w:rPr>
        <w:t xml:space="preserve">2023 </w:t>
      </w:r>
      <w:r>
        <w:rPr>
          <w:rFonts w:ascii="SimHei" w:eastAsia="SimHei" w:hAnsi="SimHei" w:cs="SimHei"/>
          <w:spacing w:val="-3"/>
          <w:sz w:val="21"/>
          <w:szCs w:val="21"/>
        </w:rPr>
        <w:t>年以来，</w:t>
      </w:r>
      <w:r>
        <w:rPr>
          <w:rFonts w:ascii="SimHei" w:eastAsia="SimHei" w:hAnsi="SimHei" w:cs="SimHei"/>
          <w:spacing w:val="-31"/>
          <w:sz w:val="21"/>
          <w:szCs w:val="21"/>
        </w:rPr>
        <w:t xml:space="preserve"> </w:t>
      </w:r>
      <w:r>
        <w:rPr>
          <w:rFonts w:ascii="SimHei" w:eastAsia="SimHei" w:hAnsi="SimHei" w:cs="SimHei"/>
          <w:spacing w:val="-3"/>
          <w:sz w:val="21"/>
          <w:szCs w:val="21"/>
        </w:rPr>
        <w:t>我国电力装机规模大幅增长，增幅主要由风电、太阳能发电等清洁电源装机带动，绿色低碳</w:t>
      </w:r>
      <w:r>
        <w:rPr>
          <w:rFonts w:ascii="SimHei" w:eastAsia="SimHei" w:hAnsi="SimHei" w:cs="SimHei"/>
          <w:sz w:val="21"/>
          <w:szCs w:val="21"/>
        </w:rPr>
        <w:t xml:space="preserve"> </w:t>
      </w:r>
      <w:r>
        <w:rPr>
          <w:rFonts w:ascii="SimHei" w:eastAsia="SimHei" w:hAnsi="SimHei" w:cs="SimHei"/>
          <w:spacing w:val="-1"/>
          <w:sz w:val="21"/>
          <w:szCs w:val="21"/>
        </w:rPr>
        <w:t>转型趋势明显。当年前三季度，新增并网太阳能发电装机容量占总新增容量的</w:t>
      </w:r>
      <w:r>
        <w:rPr>
          <w:rFonts w:ascii="SimHei" w:eastAsia="SimHei" w:hAnsi="SimHei" w:cs="SimHei"/>
          <w:spacing w:val="-42"/>
          <w:sz w:val="21"/>
          <w:szCs w:val="21"/>
        </w:rPr>
        <w:t xml:space="preserve"> </w:t>
      </w:r>
      <w:r>
        <w:rPr>
          <w:rFonts w:ascii="Times New Roman" w:eastAsia="Times New Roman" w:hAnsi="Times New Roman" w:cs="Times New Roman"/>
          <w:spacing w:val="-1"/>
          <w:sz w:val="21"/>
          <w:szCs w:val="21"/>
        </w:rPr>
        <w:t>57%</w:t>
      </w:r>
      <w:r>
        <w:rPr>
          <w:rFonts w:ascii="SimHei" w:eastAsia="SimHei" w:hAnsi="SimHei" w:cs="SimHei"/>
          <w:spacing w:val="-1"/>
          <w:sz w:val="21"/>
          <w:szCs w:val="21"/>
        </w:rPr>
        <w:t>；当期末</w:t>
      </w:r>
      <w:r>
        <w:rPr>
          <w:rFonts w:ascii="SimHei" w:eastAsia="SimHei" w:hAnsi="SimHei" w:cs="SimHei"/>
          <w:spacing w:val="-2"/>
          <w:sz w:val="21"/>
          <w:szCs w:val="21"/>
        </w:rPr>
        <w:t>火电装机容量</w:t>
      </w:r>
      <w:r>
        <w:rPr>
          <w:rFonts w:ascii="SimHei" w:eastAsia="SimHei" w:hAnsi="SimHei" w:cs="SimHei"/>
          <w:sz w:val="21"/>
          <w:szCs w:val="21"/>
        </w:rPr>
        <w:t xml:space="preserve"> </w:t>
      </w:r>
      <w:r>
        <w:rPr>
          <w:rFonts w:ascii="SimHei" w:eastAsia="SimHei" w:hAnsi="SimHei" w:cs="SimHei"/>
          <w:spacing w:val="-6"/>
          <w:sz w:val="21"/>
          <w:szCs w:val="21"/>
        </w:rPr>
        <w:t>占比降至</w:t>
      </w:r>
      <w:r>
        <w:rPr>
          <w:rFonts w:ascii="SimHei" w:eastAsia="SimHei" w:hAnsi="SimHei" w:cs="SimHei"/>
          <w:spacing w:val="-29"/>
          <w:sz w:val="21"/>
          <w:szCs w:val="21"/>
        </w:rPr>
        <w:t xml:space="preserve"> </w:t>
      </w:r>
      <w:r>
        <w:rPr>
          <w:rFonts w:ascii="Times New Roman" w:eastAsia="Times New Roman" w:hAnsi="Times New Roman" w:cs="Times New Roman"/>
          <w:spacing w:val="-6"/>
          <w:sz w:val="21"/>
          <w:szCs w:val="21"/>
        </w:rPr>
        <w:t>50%</w:t>
      </w:r>
      <w:r>
        <w:rPr>
          <w:rFonts w:ascii="SimHei" w:eastAsia="SimHei" w:hAnsi="SimHei" w:cs="SimHei"/>
          <w:spacing w:val="-6"/>
          <w:sz w:val="21"/>
          <w:szCs w:val="21"/>
        </w:rPr>
        <w:t>以下，未来装机结构将进一步优化。从投资主体来看，目前仍集中在“五大六小”电力集团。</w:t>
      </w:r>
    </w:p>
    <w:p>
      <w:pPr>
        <w:spacing w:before="204" w:line="284" w:lineRule="auto"/>
        <w:ind w:left="157" w:firstLine="3"/>
        <w:jc w:val="both"/>
        <w:rPr>
          <w:rFonts w:ascii="SimSun" w:eastAsia="SimSun" w:hAnsi="SimSun" w:cs="SimSun"/>
          <w:sz w:val="21"/>
          <w:szCs w:val="21"/>
        </w:rPr>
      </w:pPr>
      <w:r>
        <w:rPr>
          <w:rFonts w:ascii="SimSun" w:eastAsia="SimSun" w:hAnsi="SimSun" w:cs="SimSun"/>
          <w:spacing w:val="-2"/>
          <w:sz w:val="21"/>
          <w:szCs w:val="21"/>
        </w:rPr>
        <w:t>从电力供应端来看，近年来我国电力装机规模持续扩张，其增速</w:t>
      </w:r>
      <w:r>
        <w:rPr>
          <w:rFonts w:ascii="SimSun" w:eastAsia="SimSun" w:hAnsi="SimSun" w:cs="SimSun"/>
          <w:spacing w:val="-3"/>
          <w:sz w:val="21"/>
          <w:szCs w:val="21"/>
        </w:rPr>
        <w:t>在</w:t>
      </w:r>
      <w:r>
        <w:rPr>
          <w:rFonts w:ascii="SimSun" w:eastAsia="SimSun" w:hAnsi="SimSun" w:cs="SimSun"/>
          <w:spacing w:val="-47"/>
          <w:sz w:val="21"/>
          <w:szCs w:val="21"/>
        </w:rPr>
        <w:t xml:space="preserve"> </w:t>
      </w:r>
      <w:r>
        <w:rPr>
          <w:rFonts w:ascii="Times New Roman" w:eastAsia="Times New Roman" w:hAnsi="Times New Roman" w:cs="Times New Roman"/>
          <w:spacing w:val="-3"/>
          <w:sz w:val="21"/>
          <w:szCs w:val="21"/>
        </w:rPr>
        <w:t xml:space="preserve">2015 </w:t>
      </w:r>
      <w:r>
        <w:rPr>
          <w:rFonts w:ascii="SimSun" w:eastAsia="SimSun" w:hAnsi="SimSun" w:cs="SimSun"/>
          <w:spacing w:val="-3"/>
          <w:sz w:val="21"/>
          <w:szCs w:val="21"/>
        </w:rPr>
        <w:t>年达到高点</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10.40%</w:t>
      </w:r>
      <w:r>
        <w:rPr>
          <w:rFonts w:ascii="SimSun" w:eastAsia="SimSun" w:hAnsi="SimSun" w:cs="SimSun"/>
          <w:spacing w:val="-3"/>
          <w:sz w:val="21"/>
          <w:szCs w:val="21"/>
        </w:rPr>
        <w:t>后至</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 xml:space="preserve">2019 </w:t>
      </w:r>
      <w:r>
        <w:rPr>
          <w:rFonts w:ascii="SimSun" w:eastAsia="SimSun" w:hAnsi="SimSun" w:cs="SimSun"/>
          <w:spacing w:val="-3"/>
          <w:sz w:val="21"/>
          <w:szCs w:val="21"/>
        </w:rPr>
        <w:t>年期</w:t>
      </w:r>
      <w:r>
        <w:rPr>
          <w:rFonts w:ascii="SimSun" w:eastAsia="SimSun" w:hAnsi="SimSun" w:cs="SimSun"/>
          <w:sz w:val="21"/>
          <w:szCs w:val="21"/>
        </w:rPr>
        <w:t xml:space="preserve"> </w:t>
      </w:r>
      <w:r>
        <w:rPr>
          <w:rFonts w:ascii="SimSun" w:eastAsia="SimSun" w:hAnsi="SimSun" w:cs="SimSun"/>
          <w:spacing w:val="-2"/>
          <w:sz w:val="21"/>
          <w:szCs w:val="21"/>
        </w:rPr>
        <w:t>间呈逐年下降趋势（</w:t>
      </w:r>
      <w:r>
        <w:rPr>
          <w:rFonts w:ascii="Times New Roman" w:eastAsia="Times New Roman" w:hAnsi="Times New Roman" w:cs="Times New Roman"/>
          <w:spacing w:val="-2"/>
          <w:sz w:val="21"/>
          <w:szCs w:val="21"/>
        </w:rPr>
        <w:t>2019</w:t>
      </w:r>
      <w:r>
        <w:rPr>
          <w:rFonts w:ascii="Times New Roman" w:eastAsia="Times New Roman" w:hAnsi="Times New Roman" w:cs="Times New Roman"/>
          <w:spacing w:val="22"/>
          <w:w w:val="101"/>
          <w:sz w:val="21"/>
          <w:szCs w:val="21"/>
        </w:rPr>
        <w:t xml:space="preserve"> </w:t>
      </w:r>
      <w:r>
        <w:rPr>
          <w:rFonts w:ascii="SimSun" w:eastAsia="SimSun" w:hAnsi="SimSun" w:cs="SimSun"/>
          <w:spacing w:val="-2"/>
          <w:sz w:val="21"/>
          <w:szCs w:val="21"/>
        </w:rPr>
        <w:t>年增速降至</w:t>
      </w:r>
      <w:r>
        <w:rPr>
          <w:rFonts w:ascii="SimSun" w:eastAsia="SimSun" w:hAnsi="SimSun" w:cs="SimSun"/>
          <w:spacing w:val="-30"/>
          <w:sz w:val="21"/>
          <w:szCs w:val="21"/>
        </w:rPr>
        <w:t xml:space="preserve"> </w:t>
      </w:r>
      <w:r>
        <w:rPr>
          <w:rFonts w:ascii="Times New Roman" w:eastAsia="Times New Roman" w:hAnsi="Times New Roman" w:cs="Times New Roman"/>
          <w:spacing w:val="-2"/>
          <w:sz w:val="21"/>
          <w:szCs w:val="21"/>
        </w:rPr>
        <w:t>5.80%</w:t>
      </w:r>
      <w:r>
        <w:rPr>
          <w:rFonts w:ascii="SimSun" w:eastAsia="SimSun" w:hAnsi="SimSun" w:cs="SimSun"/>
          <w:spacing w:val="-49"/>
          <w:sz w:val="21"/>
          <w:szCs w:val="21"/>
        </w:rPr>
        <w:t>），</w:t>
      </w:r>
      <w:r>
        <w:rPr>
          <w:rFonts w:ascii="Times New Roman" w:eastAsia="Times New Roman" w:hAnsi="Times New Roman" w:cs="Times New Roman"/>
          <w:spacing w:val="-2"/>
          <w:sz w:val="21"/>
          <w:szCs w:val="21"/>
        </w:rPr>
        <w:t>2020</w:t>
      </w:r>
      <w:r>
        <w:rPr>
          <w:rFonts w:ascii="Times New Roman" w:eastAsia="Times New Roman" w:hAnsi="Times New Roman" w:cs="Times New Roman"/>
          <w:spacing w:val="21"/>
          <w:w w:val="101"/>
          <w:sz w:val="21"/>
          <w:szCs w:val="21"/>
        </w:rPr>
        <w:t xml:space="preserve"> </w:t>
      </w:r>
      <w:r>
        <w:rPr>
          <w:rFonts w:ascii="SimSun" w:eastAsia="SimSun" w:hAnsi="SimSun" w:cs="SimSun"/>
          <w:spacing w:val="-2"/>
          <w:sz w:val="21"/>
          <w:szCs w:val="21"/>
        </w:rPr>
        <w:t>年陡然回升（增速</w:t>
      </w:r>
      <w:r>
        <w:rPr>
          <w:rFonts w:ascii="SimSun" w:eastAsia="SimSun" w:hAnsi="SimSun" w:cs="SimSun"/>
          <w:spacing w:val="-34"/>
          <w:sz w:val="21"/>
          <w:szCs w:val="21"/>
        </w:rPr>
        <w:t xml:space="preserve"> </w:t>
      </w:r>
      <w:r>
        <w:rPr>
          <w:rFonts w:ascii="Times New Roman" w:eastAsia="Times New Roman" w:hAnsi="Times New Roman" w:cs="Times New Roman"/>
          <w:spacing w:val="-2"/>
          <w:sz w:val="21"/>
          <w:szCs w:val="21"/>
        </w:rPr>
        <w:t>9.50%</w:t>
      </w:r>
      <w:r>
        <w:rPr>
          <w:rFonts w:ascii="SimSun" w:eastAsia="SimSun" w:hAnsi="SimSun" w:cs="SimSun"/>
          <w:spacing w:val="-49"/>
          <w:sz w:val="21"/>
          <w:szCs w:val="21"/>
        </w:rPr>
        <w:t>），</w:t>
      </w:r>
      <w:r>
        <w:rPr>
          <w:rFonts w:ascii="SimSun" w:eastAsia="SimSun" w:hAnsi="SimSun" w:cs="SimSun"/>
          <w:spacing w:val="-2"/>
          <w:sz w:val="21"/>
          <w:szCs w:val="21"/>
        </w:rPr>
        <w:t>并呈持续高速增长态势，</w:t>
      </w:r>
      <w:r>
        <w:rPr>
          <w:rFonts w:ascii="SimSun" w:eastAsia="SimSun" w:hAnsi="SimSun" w:cs="SimSun"/>
          <w:sz w:val="21"/>
          <w:szCs w:val="21"/>
        </w:rPr>
        <w:t xml:space="preserve"> </w:t>
      </w:r>
      <w:r>
        <w:rPr>
          <w:rFonts w:ascii="SimSun" w:eastAsia="SimSun" w:hAnsi="SimSun" w:cs="SimSun"/>
          <w:spacing w:val="-2"/>
          <w:sz w:val="21"/>
          <w:szCs w:val="21"/>
        </w:rPr>
        <w:t>至</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w:t>
      </w:r>
      <w:r>
        <w:rPr>
          <w:rFonts w:ascii="SimSun" w:eastAsia="SimSun" w:hAnsi="SimSun" w:cs="SimSun"/>
          <w:spacing w:val="-46"/>
          <w:sz w:val="21"/>
          <w:szCs w:val="21"/>
        </w:rPr>
        <w:t xml:space="preserve"> </w:t>
      </w:r>
      <w:r>
        <w:rPr>
          <w:rFonts w:ascii="Times New Roman" w:eastAsia="Times New Roman" w:hAnsi="Times New Roman" w:cs="Times New Roman"/>
          <w:spacing w:val="-2"/>
          <w:sz w:val="21"/>
          <w:szCs w:val="21"/>
        </w:rPr>
        <w:t>9</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月增速重回两位数，总装机规模升至</w:t>
      </w:r>
      <w:r>
        <w:rPr>
          <w:rFonts w:ascii="SimSun" w:eastAsia="SimSun" w:hAnsi="SimSun" w:cs="SimSun"/>
          <w:spacing w:val="-50"/>
          <w:sz w:val="21"/>
          <w:szCs w:val="21"/>
        </w:rPr>
        <w:t xml:space="preserve"> </w:t>
      </w:r>
      <w:r>
        <w:rPr>
          <w:rFonts w:ascii="Times New Roman" w:eastAsia="Times New Roman" w:hAnsi="Times New Roman" w:cs="Times New Roman"/>
          <w:spacing w:val="-2"/>
          <w:sz w:val="21"/>
          <w:szCs w:val="21"/>
        </w:rPr>
        <w:t xml:space="preserve">27.91 </w:t>
      </w:r>
      <w:r>
        <w:rPr>
          <w:rFonts w:ascii="SimSun" w:eastAsia="SimSun" w:hAnsi="SimSun" w:cs="SimSun"/>
          <w:spacing w:val="-2"/>
          <w:sz w:val="21"/>
          <w:szCs w:val="21"/>
        </w:rPr>
        <w:t>亿千瓦，最主要原因是风电、太阳能发电</w:t>
      </w:r>
      <w:r>
        <w:rPr>
          <w:rFonts w:ascii="SimSun" w:eastAsia="SimSun" w:hAnsi="SimSun" w:cs="SimSun"/>
          <w:spacing w:val="-3"/>
          <w:sz w:val="21"/>
          <w:szCs w:val="21"/>
        </w:rPr>
        <w:t>等清洁电</w:t>
      </w:r>
      <w:r>
        <w:rPr>
          <w:rFonts w:ascii="SimSun" w:eastAsia="SimSun" w:hAnsi="SimSun" w:cs="SimSun"/>
          <w:sz w:val="21"/>
          <w:szCs w:val="21"/>
        </w:rPr>
        <w:t xml:space="preserve"> </w:t>
      </w:r>
      <w:r>
        <w:rPr>
          <w:rFonts w:ascii="SimSun" w:eastAsia="SimSun" w:hAnsi="SimSun" w:cs="SimSun"/>
          <w:sz w:val="21"/>
          <w:szCs w:val="21"/>
        </w:rPr>
        <w:t>源新增装机规模大幅增加，传统化石能源发电装机</w:t>
      </w:r>
      <w:r>
        <w:rPr>
          <w:rFonts w:ascii="SimSun" w:eastAsia="SimSun" w:hAnsi="SimSun" w:cs="SimSun"/>
          <w:spacing w:val="-1"/>
          <w:sz w:val="21"/>
          <w:szCs w:val="21"/>
        </w:rPr>
        <w:t>比重持续下降、清洁能源装机占比明显上升，绿色低碳</w:t>
      </w:r>
      <w:r>
        <w:rPr>
          <w:rFonts w:ascii="SimSun" w:eastAsia="SimSun" w:hAnsi="SimSun" w:cs="SimSun"/>
          <w:sz w:val="21"/>
          <w:szCs w:val="21"/>
        </w:rPr>
        <w:t xml:space="preserve"> </w:t>
      </w:r>
      <w:r>
        <w:rPr>
          <w:rFonts w:ascii="SimSun" w:eastAsia="SimSun" w:hAnsi="SimSun" w:cs="SimSun"/>
          <w:spacing w:val="-1"/>
          <w:sz w:val="21"/>
          <w:szCs w:val="21"/>
        </w:rPr>
        <w:t>转型趋势明显。</w:t>
      </w:r>
    </w:p>
    <w:p>
      <w:pPr>
        <w:spacing w:before="210" w:line="288" w:lineRule="auto"/>
        <w:ind w:left="154" w:right="57"/>
        <w:jc w:val="both"/>
        <w:rPr>
          <w:rFonts w:ascii="SimSun" w:eastAsia="SimSun" w:hAnsi="SimSun" w:cs="SimSun"/>
          <w:sz w:val="21"/>
          <w:szCs w:val="21"/>
        </w:rPr>
      </w:pPr>
      <w:r>
        <w:rPr>
          <w:rFonts w:ascii="Times New Roman" w:eastAsia="Times New Roman" w:hAnsi="Times New Roman" w:cs="Times New Roman"/>
          <w:spacing w:val="-1"/>
          <w:sz w:val="21"/>
          <w:szCs w:val="21"/>
        </w:rPr>
        <w:t>2023</w:t>
      </w:r>
      <w:r>
        <w:rPr>
          <w:rFonts w:ascii="Times New Roman" w:eastAsia="Times New Roman" w:hAnsi="Times New Roman" w:cs="Times New Roman"/>
          <w:spacing w:val="15"/>
          <w:sz w:val="21"/>
          <w:szCs w:val="21"/>
        </w:rPr>
        <w:t xml:space="preserve"> </w:t>
      </w:r>
      <w:r>
        <w:rPr>
          <w:rFonts w:ascii="SimSun" w:eastAsia="SimSun" w:hAnsi="SimSun" w:cs="SimSun"/>
          <w:spacing w:val="-1"/>
          <w:sz w:val="21"/>
          <w:szCs w:val="21"/>
        </w:rPr>
        <w:t>年前三季度，全国新增发电装机容量</w:t>
      </w:r>
      <w:r>
        <w:rPr>
          <w:rFonts w:ascii="SimSun" w:eastAsia="SimSun" w:hAnsi="SimSun" w:cs="SimSun"/>
          <w:spacing w:val="-43"/>
          <w:sz w:val="21"/>
          <w:szCs w:val="21"/>
        </w:rPr>
        <w:t xml:space="preserve"> </w:t>
      </w:r>
      <w:r>
        <w:rPr>
          <w:rFonts w:ascii="Times New Roman" w:eastAsia="Times New Roman" w:hAnsi="Times New Roman" w:cs="Times New Roman"/>
          <w:spacing w:val="-1"/>
          <w:sz w:val="21"/>
          <w:szCs w:val="21"/>
        </w:rPr>
        <w:t xml:space="preserve">2.3 </w:t>
      </w:r>
      <w:r>
        <w:rPr>
          <w:rFonts w:ascii="SimSun" w:eastAsia="SimSun" w:hAnsi="SimSun" w:cs="SimSun"/>
          <w:spacing w:val="-1"/>
          <w:sz w:val="21"/>
          <w:szCs w:val="21"/>
        </w:rPr>
        <w:t>亿千瓦，其中新增并网太阳能发电装机容量</w:t>
      </w:r>
      <w:r>
        <w:rPr>
          <w:rFonts w:ascii="SimSun" w:eastAsia="SimSun" w:hAnsi="SimSun" w:cs="SimSun"/>
          <w:spacing w:val="-23"/>
          <w:sz w:val="21"/>
          <w:szCs w:val="21"/>
        </w:rPr>
        <w:t xml:space="preserve"> </w:t>
      </w:r>
      <w:r>
        <w:rPr>
          <w:rFonts w:ascii="Times New Roman" w:eastAsia="Times New Roman" w:hAnsi="Times New Roman" w:cs="Times New Roman"/>
          <w:spacing w:val="-1"/>
          <w:sz w:val="21"/>
          <w:szCs w:val="21"/>
        </w:rPr>
        <w:t>1.3</w:t>
      </w:r>
      <w:r>
        <w:rPr>
          <w:rFonts w:ascii="Times New Roman" w:eastAsia="Times New Roman" w:hAnsi="Times New Roman" w:cs="Times New Roman"/>
          <w:spacing w:val="15"/>
          <w:sz w:val="21"/>
          <w:szCs w:val="21"/>
        </w:rPr>
        <w:t xml:space="preserve"> </w:t>
      </w:r>
      <w:r>
        <w:rPr>
          <w:rFonts w:ascii="SimSun" w:eastAsia="SimSun" w:hAnsi="SimSun" w:cs="SimSun"/>
          <w:spacing w:val="-1"/>
          <w:sz w:val="21"/>
          <w:szCs w:val="21"/>
        </w:rPr>
        <w:t>亿千</w:t>
      </w:r>
      <w:r>
        <w:rPr>
          <w:rFonts w:ascii="SimSun" w:eastAsia="SimSun" w:hAnsi="SimSun" w:cs="SimSun"/>
          <w:spacing w:val="-2"/>
          <w:sz w:val="21"/>
          <w:szCs w:val="21"/>
        </w:rPr>
        <w:t>瓦，占</w:t>
      </w:r>
      <w:r>
        <w:rPr>
          <w:rFonts w:ascii="SimSun" w:eastAsia="SimSun" w:hAnsi="SimSun" w:cs="SimSun"/>
          <w:sz w:val="21"/>
          <w:szCs w:val="21"/>
        </w:rPr>
        <w:t xml:space="preserve"> </w:t>
      </w:r>
      <w:r>
        <w:rPr>
          <w:rFonts w:ascii="SimSun" w:eastAsia="SimSun" w:hAnsi="SimSun" w:cs="SimSun"/>
          <w:spacing w:val="-2"/>
          <w:sz w:val="21"/>
          <w:szCs w:val="21"/>
        </w:rPr>
        <w:t>新增发电装机总容量的比重达到</w:t>
      </w:r>
      <w:r>
        <w:rPr>
          <w:rFonts w:ascii="SimSun" w:eastAsia="SimSun" w:hAnsi="SimSun" w:cs="SimSun"/>
          <w:spacing w:val="-20"/>
          <w:sz w:val="21"/>
          <w:szCs w:val="21"/>
        </w:rPr>
        <w:t xml:space="preserve"> </w:t>
      </w:r>
      <w:r>
        <w:rPr>
          <w:rFonts w:ascii="Times New Roman" w:eastAsia="Times New Roman" w:hAnsi="Times New Roman" w:cs="Times New Roman"/>
          <w:spacing w:val="-2"/>
          <w:sz w:val="21"/>
          <w:szCs w:val="21"/>
        </w:rPr>
        <w:t>57.0%</w:t>
      </w:r>
      <w:r>
        <w:rPr>
          <w:rFonts w:ascii="Times New Roman" w:eastAsia="Times New Roman" w:hAnsi="Times New Roman" w:cs="Times New Roman"/>
          <w:spacing w:val="-27"/>
          <w:sz w:val="21"/>
          <w:szCs w:val="21"/>
        </w:rPr>
        <w:t xml:space="preserve"> </w:t>
      </w:r>
      <w:r>
        <w:rPr>
          <w:rFonts w:ascii="SimSun" w:eastAsia="SimSun" w:hAnsi="SimSun" w:cs="SimSun"/>
          <w:spacing w:val="-2"/>
          <w:sz w:val="21"/>
          <w:szCs w:val="21"/>
        </w:rPr>
        <w:t>。截至</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2023</w:t>
      </w:r>
      <w:r>
        <w:rPr>
          <w:rFonts w:ascii="Times New Roman" w:eastAsia="Times New Roman" w:hAnsi="Times New Roman" w:cs="Times New Roman"/>
          <w:spacing w:val="14"/>
          <w:w w:val="101"/>
          <w:sz w:val="21"/>
          <w:szCs w:val="21"/>
        </w:rPr>
        <w:t xml:space="preserve"> </w:t>
      </w:r>
      <w:r>
        <w:rPr>
          <w:rFonts w:ascii="SimSun" w:eastAsia="SimSun" w:hAnsi="SimSun" w:cs="SimSun"/>
          <w:spacing w:val="-2"/>
          <w:sz w:val="21"/>
          <w:szCs w:val="21"/>
        </w:rPr>
        <w:t>年</w:t>
      </w:r>
      <w:r>
        <w:rPr>
          <w:rFonts w:ascii="SimSun" w:eastAsia="SimSun" w:hAnsi="SimSun" w:cs="SimSun"/>
          <w:spacing w:val="-37"/>
          <w:sz w:val="21"/>
          <w:szCs w:val="21"/>
        </w:rPr>
        <w:t xml:space="preserve"> </w:t>
      </w:r>
      <w:r>
        <w:rPr>
          <w:rFonts w:ascii="Times New Roman" w:eastAsia="Times New Roman" w:hAnsi="Times New Roman" w:cs="Times New Roman"/>
          <w:spacing w:val="-2"/>
          <w:sz w:val="21"/>
          <w:szCs w:val="21"/>
        </w:rPr>
        <w:t>9</w:t>
      </w:r>
      <w:r>
        <w:rPr>
          <w:rFonts w:ascii="Times New Roman" w:eastAsia="Times New Roman" w:hAnsi="Times New Roman" w:cs="Times New Roman"/>
          <w:spacing w:val="21"/>
          <w:sz w:val="21"/>
          <w:szCs w:val="21"/>
        </w:rPr>
        <w:t xml:space="preserve"> </w:t>
      </w:r>
      <w:r>
        <w:rPr>
          <w:rFonts w:ascii="SimSun" w:eastAsia="SimSun" w:hAnsi="SimSun" w:cs="SimSun"/>
          <w:spacing w:val="-2"/>
          <w:sz w:val="21"/>
          <w:szCs w:val="21"/>
        </w:rPr>
        <w:t>月底全国全口径发电装机容量同比增长</w:t>
      </w:r>
      <w:r>
        <w:rPr>
          <w:rFonts w:ascii="SimSun" w:eastAsia="SimSun" w:hAnsi="SimSun" w:cs="SimSun"/>
          <w:spacing w:val="-20"/>
          <w:sz w:val="21"/>
          <w:szCs w:val="21"/>
        </w:rPr>
        <w:t xml:space="preserve"> </w:t>
      </w:r>
      <w:r>
        <w:rPr>
          <w:rFonts w:ascii="Times New Roman" w:eastAsia="Times New Roman" w:hAnsi="Times New Roman" w:cs="Times New Roman"/>
          <w:spacing w:val="-2"/>
          <w:sz w:val="21"/>
          <w:szCs w:val="21"/>
        </w:rPr>
        <w:t>12.30%</w:t>
      </w:r>
      <w:r>
        <w:rPr>
          <w:rFonts w:ascii="SimSun" w:eastAsia="SimSun" w:hAnsi="SimSun" w:cs="SimSun"/>
          <w:spacing w:val="-2"/>
          <w:sz w:val="21"/>
          <w:szCs w:val="21"/>
        </w:rPr>
        <w:t>至</w:t>
      </w:r>
      <w:r>
        <w:rPr>
          <w:rFonts w:ascii="SimSun" w:eastAsia="SimSun" w:hAnsi="SimSun" w:cs="SimSun"/>
          <w:sz w:val="21"/>
          <w:szCs w:val="21"/>
        </w:rPr>
        <w:t xml:space="preserve"> </w:t>
      </w:r>
      <w:r>
        <w:rPr>
          <w:rFonts w:ascii="Times New Roman" w:eastAsia="Times New Roman" w:hAnsi="Times New Roman" w:cs="Times New Roman"/>
          <w:spacing w:val="-2"/>
          <w:sz w:val="21"/>
          <w:szCs w:val="21"/>
        </w:rPr>
        <w:t xml:space="preserve">27.91 </w:t>
      </w:r>
      <w:r>
        <w:rPr>
          <w:rFonts w:ascii="SimSun" w:eastAsia="SimSun" w:hAnsi="SimSun" w:cs="SimSun"/>
          <w:spacing w:val="-2"/>
          <w:sz w:val="21"/>
          <w:szCs w:val="21"/>
        </w:rPr>
        <w:t>亿千瓦，</w:t>
      </w:r>
      <w:r>
        <w:rPr>
          <w:rFonts w:ascii="SimSun" w:eastAsia="SimSun" w:hAnsi="SimSun" w:cs="SimSun"/>
          <w:spacing w:val="-51"/>
          <w:sz w:val="21"/>
          <w:szCs w:val="21"/>
        </w:rPr>
        <w:t xml:space="preserve"> </w:t>
      </w:r>
      <w:r>
        <w:rPr>
          <w:rFonts w:ascii="SimSun" w:eastAsia="SimSun" w:hAnsi="SimSun" w:cs="SimSun"/>
          <w:spacing w:val="-2"/>
          <w:sz w:val="21"/>
          <w:szCs w:val="21"/>
        </w:rPr>
        <w:t>其中火电及清洁电源装机占比分别为</w:t>
      </w:r>
      <w:r>
        <w:rPr>
          <w:rFonts w:ascii="SimSun" w:eastAsia="SimSun" w:hAnsi="SimSun" w:cs="SimSun"/>
          <w:spacing w:val="-52"/>
          <w:sz w:val="21"/>
          <w:szCs w:val="21"/>
        </w:rPr>
        <w:t xml:space="preserve"> </w:t>
      </w:r>
      <w:r>
        <w:rPr>
          <w:rFonts w:ascii="Times New Roman" w:eastAsia="Times New Roman" w:hAnsi="Times New Roman" w:cs="Times New Roman"/>
          <w:spacing w:val="-2"/>
          <w:sz w:val="21"/>
          <w:szCs w:val="21"/>
        </w:rPr>
        <w:t>49.18%</w:t>
      </w:r>
      <w:r>
        <w:rPr>
          <w:rFonts w:ascii="SimSun" w:eastAsia="SimSun" w:hAnsi="SimSun" w:cs="SimSun"/>
          <w:spacing w:val="-2"/>
          <w:sz w:val="21"/>
          <w:szCs w:val="21"/>
        </w:rPr>
        <w:t>和</w:t>
      </w:r>
      <w:r>
        <w:rPr>
          <w:rFonts w:ascii="SimSun" w:eastAsia="SimSun" w:hAnsi="SimSun" w:cs="SimSun"/>
          <w:spacing w:val="-41"/>
          <w:sz w:val="21"/>
          <w:szCs w:val="21"/>
        </w:rPr>
        <w:t xml:space="preserve"> </w:t>
      </w:r>
      <w:r>
        <w:rPr>
          <w:rFonts w:ascii="Times New Roman" w:eastAsia="Times New Roman" w:hAnsi="Times New Roman" w:cs="Times New Roman"/>
          <w:spacing w:val="-2"/>
          <w:sz w:val="21"/>
          <w:szCs w:val="21"/>
        </w:rPr>
        <w:t>50.82%</w:t>
      </w:r>
      <w:r>
        <w:rPr>
          <w:rFonts w:ascii="SimSun" w:eastAsia="SimSun" w:hAnsi="SimSun" w:cs="SimSun"/>
          <w:spacing w:val="-3"/>
          <w:sz w:val="21"/>
          <w:szCs w:val="21"/>
        </w:rPr>
        <w:t>，火电装机容量占比近年来首次降至</w:t>
      </w:r>
      <w:r>
        <w:rPr>
          <w:rFonts w:ascii="SimSun" w:eastAsia="SimSun" w:hAnsi="SimSun" w:cs="SimSun"/>
          <w:sz w:val="21"/>
          <w:szCs w:val="21"/>
        </w:rPr>
        <w:t xml:space="preserve"> </w:t>
      </w:r>
      <w:r>
        <w:rPr>
          <w:rFonts w:ascii="Times New Roman" w:eastAsia="Times New Roman" w:hAnsi="Times New Roman" w:cs="Times New Roman"/>
          <w:spacing w:val="-2"/>
          <w:sz w:val="21"/>
          <w:szCs w:val="21"/>
        </w:rPr>
        <w:t>50%</w:t>
      </w:r>
      <w:r>
        <w:rPr>
          <w:rFonts w:ascii="SimSun" w:eastAsia="SimSun" w:hAnsi="SimSun" w:cs="SimSun"/>
          <w:spacing w:val="-2"/>
          <w:sz w:val="21"/>
          <w:szCs w:val="21"/>
        </w:rPr>
        <w:t>以下。根据中国电力企业联合会发布的《</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年三季度全国电力供需形势分析预测报告》，预计在新</w:t>
      </w:r>
      <w:r>
        <w:rPr>
          <w:rFonts w:ascii="SimSun" w:eastAsia="SimSun" w:hAnsi="SimSun" w:cs="SimSun"/>
          <w:spacing w:val="6"/>
          <w:sz w:val="21"/>
          <w:szCs w:val="21"/>
        </w:rPr>
        <w:t xml:space="preserve"> </w:t>
      </w:r>
      <w:r>
        <w:rPr>
          <w:rFonts w:ascii="SimSun" w:eastAsia="SimSun" w:hAnsi="SimSun" w:cs="SimSun"/>
          <w:spacing w:val="-2"/>
          <w:sz w:val="21"/>
          <w:szCs w:val="21"/>
        </w:rPr>
        <w:t>能源快速发展带动下，</w:t>
      </w:r>
      <w:r>
        <w:rPr>
          <w:rFonts w:ascii="Times New Roman" w:eastAsia="Times New Roman" w:hAnsi="Times New Roman" w:cs="Times New Roman"/>
          <w:spacing w:val="-2"/>
          <w:sz w:val="21"/>
          <w:szCs w:val="21"/>
        </w:rPr>
        <w:t>2023</w:t>
      </w:r>
      <w:r>
        <w:rPr>
          <w:rFonts w:ascii="Times New Roman" w:eastAsia="Times New Roman" w:hAnsi="Times New Roman" w:cs="Times New Roman"/>
          <w:spacing w:val="27"/>
          <w:sz w:val="21"/>
          <w:szCs w:val="21"/>
        </w:rPr>
        <w:t xml:space="preserve"> </w:t>
      </w:r>
      <w:r>
        <w:rPr>
          <w:rFonts w:ascii="SimSun" w:eastAsia="SimSun" w:hAnsi="SimSun" w:cs="SimSun"/>
          <w:spacing w:val="-2"/>
          <w:sz w:val="21"/>
          <w:szCs w:val="21"/>
        </w:rPr>
        <w:t>年新增装机</w:t>
      </w:r>
      <w:r>
        <w:rPr>
          <w:rFonts w:ascii="SimSun" w:eastAsia="SimSun" w:hAnsi="SimSun" w:cs="SimSun"/>
          <w:spacing w:val="-3"/>
          <w:sz w:val="21"/>
          <w:szCs w:val="21"/>
        </w:rPr>
        <w:t>规模有望首次突破</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3.0</w:t>
      </w:r>
      <w:r>
        <w:rPr>
          <w:rFonts w:ascii="Times New Roman" w:eastAsia="Times New Roman" w:hAnsi="Times New Roman" w:cs="Times New Roman"/>
          <w:spacing w:val="26"/>
          <w:w w:val="101"/>
          <w:sz w:val="21"/>
          <w:szCs w:val="21"/>
        </w:rPr>
        <w:t xml:space="preserve"> </w:t>
      </w:r>
      <w:r>
        <w:rPr>
          <w:rFonts w:ascii="SimSun" w:eastAsia="SimSun" w:hAnsi="SimSun" w:cs="SimSun"/>
          <w:spacing w:val="-3"/>
          <w:sz w:val="21"/>
          <w:szCs w:val="21"/>
        </w:rPr>
        <w:t>亿千瓦，</w:t>
      </w:r>
      <w:r>
        <w:rPr>
          <w:rFonts w:ascii="SimSun" w:eastAsia="SimSun" w:hAnsi="SimSun" w:cs="SimSun"/>
          <w:spacing w:val="-21"/>
          <w:sz w:val="21"/>
          <w:szCs w:val="21"/>
        </w:rPr>
        <w:t xml:space="preserve"> </w:t>
      </w:r>
      <w:r>
        <w:rPr>
          <w:rFonts w:ascii="SimSun" w:eastAsia="SimSun" w:hAnsi="SimSun" w:cs="SimSun"/>
          <w:spacing w:val="-3"/>
          <w:sz w:val="21"/>
          <w:szCs w:val="21"/>
        </w:rPr>
        <w:t>至</w:t>
      </w:r>
      <w:r>
        <w:rPr>
          <w:rFonts w:ascii="SimSun" w:eastAsia="SimSun" w:hAnsi="SimSun" w:cs="SimSun"/>
          <w:spacing w:val="-31"/>
          <w:sz w:val="21"/>
          <w:szCs w:val="21"/>
        </w:rPr>
        <w:t xml:space="preserve"> </w:t>
      </w:r>
      <w:r>
        <w:rPr>
          <w:rFonts w:ascii="Times New Roman" w:eastAsia="Times New Roman" w:hAnsi="Times New Roman" w:cs="Times New Roman"/>
          <w:spacing w:val="-3"/>
          <w:sz w:val="21"/>
          <w:szCs w:val="21"/>
        </w:rPr>
        <w:t>2023</w:t>
      </w:r>
      <w:r>
        <w:rPr>
          <w:rFonts w:ascii="Times New Roman" w:eastAsia="Times New Roman" w:hAnsi="Times New Roman" w:cs="Times New Roman"/>
          <w:spacing w:val="26"/>
          <w:sz w:val="21"/>
          <w:szCs w:val="21"/>
        </w:rPr>
        <w:t xml:space="preserve"> </w:t>
      </w:r>
      <w:r>
        <w:rPr>
          <w:rFonts w:ascii="SimSun" w:eastAsia="SimSun" w:hAnsi="SimSun" w:cs="SimSun"/>
          <w:spacing w:val="-3"/>
          <w:sz w:val="21"/>
          <w:szCs w:val="21"/>
        </w:rPr>
        <w:t>年底全口径发电装机容量</w:t>
      </w:r>
      <w:r>
        <w:rPr>
          <w:rFonts w:ascii="SimSun" w:eastAsia="SimSun" w:hAnsi="SimSun" w:cs="SimSun"/>
          <w:sz w:val="21"/>
          <w:szCs w:val="21"/>
        </w:rPr>
        <w:t xml:space="preserve"> </w:t>
      </w:r>
      <w:r>
        <w:rPr>
          <w:rFonts w:ascii="SimSun" w:eastAsia="SimSun" w:hAnsi="SimSun" w:cs="SimSun"/>
          <w:spacing w:val="-3"/>
          <w:sz w:val="21"/>
          <w:szCs w:val="21"/>
        </w:rPr>
        <w:t>将达到</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29</w:t>
      </w:r>
      <w:r>
        <w:rPr>
          <w:rFonts w:ascii="Times New Roman" w:eastAsia="Times New Roman" w:hAnsi="Times New Roman" w:cs="Times New Roman"/>
          <w:spacing w:val="14"/>
          <w:sz w:val="21"/>
          <w:szCs w:val="21"/>
        </w:rPr>
        <w:t xml:space="preserve"> </w:t>
      </w:r>
      <w:r>
        <w:rPr>
          <w:rFonts w:ascii="SimSun" w:eastAsia="SimSun" w:hAnsi="SimSun" w:cs="SimSun"/>
          <w:spacing w:val="-3"/>
          <w:sz w:val="21"/>
          <w:szCs w:val="21"/>
        </w:rPr>
        <w:t>亿千瓦左右，其中非化石能源发电装机容量占比将上升至</w:t>
      </w:r>
      <w:r>
        <w:rPr>
          <w:rFonts w:ascii="SimSun" w:eastAsia="SimSun" w:hAnsi="SimSun" w:cs="SimSun"/>
          <w:spacing w:val="-37"/>
          <w:sz w:val="21"/>
          <w:szCs w:val="21"/>
        </w:rPr>
        <w:t xml:space="preserve"> </w:t>
      </w:r>
      <w:r>
        <w:rPr>
          <w:rFonts w:ascii="Times New Roman" w:eastAsia="Times New Roman" w:hAnsi="Times New Roman" w:cs="Times New Roman"/>
          <w:spacing w:val="-3"/>
          <w:sz w:val="21"/>
          <w:szCs w:val="21"/>
        </w:rPr>
        <w:t>53.5%</w:t>
      </w:r>
      <w:r>
        <w:rPr>
          <w:rFonts w:ascii="SimSun" w:eastAsia="SimSun" w:hAnsi="SimSun" w:cs="SimSun"/>
          <w:spacing w:val="-3"/>
          <w:sz w:val="21"/>
          <w:szCs w:val="21"/>
        </w:rPr>
        <w:t>左右。（即化石能源发电装机容</w:t>
      </w:r>
      <w:r>
        <w:rPr>
          <w:rFonts w:ascii="SimSun" w:eastAsia="SimSun" w:hAnsi="SimSun" w:cs="SimSun"/>
          <w:sz w:val="21"/>
          <w:szCs w:val="21"/>
        </w:rPr>
        <w:t xml:space="preserve"> </w:t>
      </w:r>
      <w:r>
        <w:rPr>
          <w:rFonts w:ascii="SimSun" w:eastAsia="SimSun" w:hAnsi="SimSun" w:cs="SimSun"/>
          <w:spacing w:val="-1"/>
          <w:sz w:val="21"/>
          <w:szCs w:val="21"/>
        </w:rPr>
        <w:t>量下降至</w:t>
      </w:r>
      <w:r>
        <w:rPr>
          <w:rFonts w:ascii="SimSun" w:eastAsia="SimSun" w:hAnsi="SimSun" w:cs="SimSun"/>
          <w:spacing w:val="-45"/>
          <w:sz w:val="21"/>
          <w:szCs w:val="21"/>
        </w:rPr>
        <w:t xml:space="preserve"> </w:t>
      </w:r>
      <w:r>
        <w:rPr>
          <w:rFonts w:ascii="Times New Roman" w:eastAsia="Times New Roman" w:hAnsi="Times New Roman" w:cs="Times New Roman"/>
          <w:spacing w:val="-1"/>
          <w:sz w:val="21"/>
          <w:szCs w:val="21"/>
        </w:rPr>
        <w:t>46.5%</w:t>
      </w:r>
      <w:r>
        <w:rPr>
          <w:rFonts w:ascii="SimSun" w:eastAsia="SimSun" w:hAnsi="SimSun" w:cs="SimSun"/>
          <w:spacing w:val="-1"/>
          <w:sz w:val="21"/>
          <w:szCs w:val="21"/>
        </w:rPr>
        <w:t>）</w:t>
      </w:r>
    </w:p>
    <w:p>
      <w:pPr>
        <w:spacing w:before="139" w:line="224" w:lineRule="auto"/>
        <w:ind w:left="319"/>
        <w:rPr>
          <w:rFonts w:ascii="SimHei" w:eastAsia="SimHei" w:hAnsi="SimHei" w:cs="SimHei"/>
          <w:sz w:val="18"/>
          <w:szCs w:val="18"/>
        </w:rPr>
      </w:pPr>
      <w:r>
        <w:rPr>
          <w:rFonts w:ascii="SimHei" w:eastAsia="SimHei" w:hAnsi="SimHei" w:cs="SimHei"/>
          <w:spacing w:val="-5"/>
          <w:sz w:val="18"/>
          <w:szCs w:val="18"/>
        </w:rPr>
        <w:t>图表</w:t>
      </w:r>
      <w:r>
        <w:rPr>
          <w:rFonts w:ascii="SimHei" w:eastAsia="SimHei" w:hAnsi="SimHei" w:cs="SimHei"/>
          <w:spacing w:val="-40"/>
          <w:sz w:val="18"/>
          <w:szCs w:val="18"/>
        </w:rPr>
        <w:t xml:space="preserve"> </w:t>
      </w:r>
      <w:r>
        <w:rPr>
          <w:rFonts w:ascii="Times New Roman" w:eastAsia="Times New Roman" w:hAnsi="Times New Roman" w:cs="Times New Roman"/>
          <w:spacing w:val="-5"/>
          <w:sz w:val="18"/>
          <w:szCs w:val="18"/>
        </w:rPr>
        <w:t>2.</w:t>
      </w:r>
      <w:r>
        <w:rPr>
          <w:rFonts w:ascii="Times New Roman" w:eastAsia="Times New Roman" w:hAnsi="Times New Roman" w:cs="Times New Roman"/>
          <w:spacing w:val="12"/>
          <w:sz w:val="18"/>
          <w:szCs w:val="18"/>
        </w:rPr>
        <w:t xml:space="preserve">   </w:t>
      </w:r>
      <w:r>
        <w:rPr>
          <w:rFonts w:ascii="SimHei" w:eastAsia="SimHei" w:hAnsi="SimHei" w:cs="SimHei"/>
          <w:spacing w:val="-5"/>
          <w:sz w:val="18"/>
          <w:szCs w:val="18"/>
        </w:rPr>
        <w:t>我国传统火电及清洁电源装机容量情况</w:t>
      </w:r>
      <w:r>
        <w:rPr>
          <w:rFonts w:ascii="SimHei" w:eastAsia="SimHei" w:hAnsi="SimHei" w:cs="SimHei"/>
          <w:spacing w:val="-39"/>
          <w:sz w:val="18"/>
          <w:szCs w:val="18"/>
        </w:rPr>
        <w:t xml:space="preserve"> </w:t>
      </w:r>
      <w:r>
        <w:rPr>
          <w:rFonts w:ascii="SimHei" w:eastAsia="SimHei" w:hAnsi="SimHei" w:cs="SimHei"/>
          <w:spacing w:val="-5"/>
          <w:sz w:val="18"/>
          <w:szCs w:val="18"/>
        </w:rPr>
        <w:t>（</w:t>
      </w:r>
      <w:r>
        <w:rPr>
          <w:rFonts w:ascii="SimHei" w:eastAsia="SimHei" w:hAnsi="SimHei" w:cs="SimHei"/>
          <w:spacing w:val="-6"/>
          <w:sz w:val="18"/>
          <w:szCs w:val="18"/>
        </w:rPr>
        <w:t>单位：</w:t>
      </w:r>
      <w:r>
        <w:rPr>
          <w:rFonts w:ascii="SimHei" w:eastAsia="SimHei" w:hAnsi="SimHei" w:cs="SimHei"/>
          <w:spacing w:val="-6"/>
          <w:sz w:val="18"/>
          <w:szCs w:val="18"/>
        </w:rPr>
        <w:t xml:space="preserve"> </w:t>
      </w:r>
      <w:r>
        <w:rPr>
          <w:rFonts w:ascii="SimHei" w:eastAsia="SimHei" w:hAnsi="SimHei" w:cs="SimHei"/>
          <w:spacing w:val="-6"/>
          <w:sz w:val="18"/>
          <w:szCs w:val="18"/>
        </w:rPr>
        <w:t>万千瓦，</w:t>
      </w:r>
      <w:r>
        <w:rPr>
          <w:rFonts w:ascii="Times New Roman" w:eastAsia="Times New Roman" w:hAnsi="Times New Roman" w:cs="Times New Roman"/>
          <w:spacing w:val="-6"/>
          <w:sz w:val="18"/>
          <w:szCs w:val="18"/>
        </w:rPr>
        <w:t>%</w:t>
      </w:r>
      <w:r>
        <w:rPr>
          <w:rFonts w:ascii="SimHei" w:eastAsia="SimHei" w:hAnsi="SimHei" w:cs="SimHei"/>
          <w:spacing w:val="-6"/>
          <w:sz w:val="18"/>
          <w:szCs w:val="18"/>
        </w:rPr>
        <w:t>）</w:t>
      </w:r>
    </w:p>
    <w:p>
      <w:pPr>
        <w:spacing w:line="210" w:lineRule="exact"/>
      </w:pPr>
    </w:p>
    <w:p>
      <w:pPr>
        <w:spacing w:line="210" w:lineRule="exact"/>
        <w:sectPr>
          <w:headerReference w:type="default" r:id="rId16"/>
          <w:footerReference w:type="default" r:id="rId17"/>
          <w:type w:val="continuous"/>
          <w:pgSz w:w="11907" w:h="16839"/>
          <w:pgMar w:top="1336" w:right="1073" w:bottom="1272" w:left="982" w:header="1148" w:footer="1077" w:gutter="0"/>
          <w:pgNumType w:start="6"/>
          <w:cols w:num="1" w:space="708" w:equalWidth="0">
            <w:col w:w="9851" w:space="0"/>
          </w:cols>
        </w:sectPr>
      </w:pPr>
    </w:p>
    <w:p>
      <w:pPr>
        <w:spacing w:line="200" w:lineRule="auto"/>
        <w:ind w:left="359"/>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300,000.00</w:t>
      </w:r>
    </w:p>
    <w:p>
      <w:pPr>
        <w:spacing w:before="253" w:line="200" w:lineRule="auto"/>
        <w:ind w:left="35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250,000.00</w:t>
      </w:r>
    </w:p>
    <w:p>
      <w:pPr>
        <w:spacing w:before="254" w:line="200" w:lineRule="auto"/>
        <w:ind w:left="35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200,000.00</w:t>
      </w:r>
    </w:p>
    <w:p>
      <w:pPr>
        <w:spacing w:before="253" w:line="201" w:lineRule="auto"/>
        <w:ind w:left="368"/>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150,000.00</w:t>
      </w:r>
    </w:p>
    <w:p>
      <w:pPr>
        <w:spacing w:before="253" w:line="200" w:lineRule="auto"/>
        <w:ind w:left="368"/>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100,000.00</w:t>
      </w:r>
    </w:p>
    <w:p>
      <w:pPr>
        <w:spacing w:before="254" w:line="200" w:lineRule="auto"/>
        <w:ind w:left="420"/>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50,000.00</w:t>
      </w:r>
    </w:p>
    <w:p>
      <w:pPr>
        <w:spacing w:before="256" w:line="186" w:lineRule="auto"/>
        <w:ind w:left="68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line="14" w:lineRule="auto"/>
        <w:rPr>
          <w:rFonts w:ascii="Arial"/>
          <w:sz w:val="2"/>
        </w:rPr>
      </w:pPr>
      <w:r>
        <w:rPr>
          <w:rFonts w:ascii="Arial" w:eastAsia="Arial" w:hAnsi="Arial" w:cs="Arial"/>
          <w:sz w:val="2"/>
          <w:szCs w:val="2"/>
        </w:rPr>
        <w:br w:type="column"/>
      </w:r>
    </w:p>
    <w:tbl>
      <w:tblPr>
        <w:tblStyle w:val="TableNormal0"/>
        <w:tblW w:w="8025" w:type="dxa"/>
        <w:tblInd w:w="0" w:type="dxa"/>
        <w:tblBorders>
          <w:top w:val="nil"/>
          <w:left w:val="nil"/>
          <w:bottom w:val="nil"/>
          <w:right w:val="nil"/>
          <w:insideH w:val="nil"/>
          <w:insideV w:val="nil"/>
        </w:tblBorders>
        <w:tblLayout w:type="fixed"/>
      </w:tblPr>
      <w:tblGrid>
        <w:gridCol w:w="8025"/>
      </w:tblGrid>
      <w:tr>
        <w:tblPrEx>
          <w:tblW w:w="8025" w:type="dxa"/>
          <w:tblInd w:w="0" w:type="dxa"/>
          <w:tblBorders>
            <w:top w:val="nil"/>
            <w:left w:val="nil"/>
            <w:bottom w:val="nil"/>
            <w:right w:val="nil"/>
            <w:insideH w:val="nil"/>
            <w:insideV w:val="nil"/>
          </w:tblBorders>
          <w:tblLayout w:type="fixed"/>
        </w:tblPrEx>
        <w:trPr>
          <w:trHeight w:val="362"/>
        </w:trPr>
        <w:tc>
          <w:tcPr>
            <w:tcW w:w="8025" w:type="dxa"/>
            <w:tcBorders>
              <w:top w:val="single" w:sz="4" w:space="0" w:color="D9D9D9"/>
              <w:bottom w:val="single" w:sz="4" w:space="0" w:color="D9D9D9"/>
            </w:tcBorders>
            <w:vAlign w:val="top"/>
          </w:tcPr>
          <w:p>
            <w:pPr>
              <w:rPr>
                <w:rFonts w:ascii="Arial"/>
                <w:sz w:val="21"/>
              </w:rPr>
            </w:pPr>
          </w:p>
        </w:tc>
      </w:tr>
      <w:tr>
        <w:tblPrEx>
          <w:tblW w:w="8025" w:type="dxa"/>
          <w:tblInd w:w="0" w:type="dxa"/>
          <w:tblLayout w:type="fixed"/>
        </w:tblPrEx>
        <w:trPr>
          <w:trHeight w:val="358"/>
        </w:trPr>
        <w:tc>
          <w:tcPr>
            <w:tcW w:w="8025" w:type="dxa"/>
            <w:tcBorders>
              <w:top w:val="single" w:sz="4" w:space="0" w:color="D9D9D9"/>
              <w:bottom w:val="single" w:sz="4" w:space="0" w:color="D9D9D9"/>
            </w:tcBorders>
            <w:vAlign w:val="top"/>
          </w:tcPr>
          <w:p>
            <w:pPr>
              <w:rPr>
                <w:rFonts w:ascii="Arial"/>
                <w:sz w:val="21"/>
              </w:rPr>
            </w:pPr>
          </w:p>
        </w:tc>
      </w:tr>
    </w:tbl>
    <w:p>
      <w:pPr>
        <w:sectPr>
          <w:headerReference w:type="default" r:id="rId18"/>
          <w:footerReference w:type="default" r:id="rId19"/>
          <w:type w:val="continuous"/>
          <w:pgSz w:w="11907" w:h="16839"/>
          <w:pgMar w:top="1336" w:right="1073" w:bottom="1272" w:left="982" w:header="1148" w:footer="1077" w:gutter="0"/>
          <w:pgNumType w:start="7"/>
          <w:cols w:num="3" w:space="708" w:equalWidth="0">
            <w:col w:w="927" w:space="100"/>
            <w:col w:w="8026" w:space="78"/>
            <w:col w:w="720" w:space="0"/>
          </w:cols>
        </w:sectPr>
      </w:pPr>
    </w:p>
    <w:tbl>
      <w:tblPr>
        <w:tblStyle w:val="TableNormal1"/>
        <w:tblW w:w="8025" w:type="dxa"/>
        <w:tblInd w:w="0" w:type="dxa"/>
        <w:tblBorders>
          <w:top w:val="nil"/>
          <w:left w:val="nil"/>
          <w:bottom w:val="nil"/>
          <w:right w:val="nil"/>
          <w:insideH w:val="nil"/>
          <w:insideV w:val="nil"/>
        </w:tblBorders>
        <w:tblLayout w:type="fixed"/>
      </w:tblPr>
      <w:tblGrid>
        <w:gridCol w:w="8025"/>
      </w:tblGrid>
      <w:tr>
        <w:tblPrEx>
          <w:tblW w:w="8025" w:type="dxa"/>
          <w:tblInd w:w="0" w:type="dxa"/>
          <w:tblBorders>
            <w:top w:val="nil"/>
            <w:left w:val="nil"/>
            <w:bottom w:val="nil"/>
            <w:right w:val="nil"/>
            <w:insideH w:val="nil"/>
            <w:insideV w:val="nil"/>
          </w:tblBorders>
          <w:tblLayout w:type="fixed"/>
        </w:tblPrEx>
        <w:trPr>
          <w:trHeight w:val="355"/>
        </w:trPr>
        <w:tc>
          <w:tcPr>
            <w:tcW w:w="8025" w:type="dxa"/>
            <w:tcBorders>
              <w:top w:val="single" w:sz="4" w:space="0" w:color="D9D9D9"/>
              <w:bottom w:val="single" w:sz="4" w:space="0" w:color="D9D9D9"/>
            </w:tcBorders>
            <w:vAlign w:val="top"/>
          </w:tcPr>
          <w:p>
            <w:pPr>
              <w:rPr>
                <w:rFonts w:ascii="Arial"/>
                <w:sz w:val="21"/>
              </w:rPr>
            </w:pPr>
          </w:p>
        </w:tc>
      </w:tr>
      <w:tr>
        <w:tblPrEx>
          <w:tblW w:w="8025" w:type="dxa"/>
          <w:tblInd w:w="0" w:type="dxa"/>
          <w:tblLayout w:type="fixed"/>
        </w:tblPrEx>
        <w:trPr>
          <w:trHeight w:val="358"/>
        </w:trPr>
        <w:tc>
          <w:tcPr>
            <w:tcW w:w="8025" w:type="dxa"/>
            <w:tcBorders>
              <w:top w:val="single" w:sz="4" w:space="0" w:color="D9D9D9"/>
              <w:bottom w:val="single" w:sz="4" w:space="0" w:color="D9D9D9"/>
            </w:tcBorders>
            <w:vAlign w:val="top"/>
          </w:tcPr>
          <w:p>
            <w:pPr>
              <w:rPr>
                <w:rFonts w:ascii="Arial"/>
                <w:sz w:val="21"/>
              </w:rPr>
            </w:pPr>
          </w:p>
        </w:tc>
      </w:tr>
      <w:tr>
        <w:tblPrEx>
          <w:tblW w:w="8025" w:type="dxa"/>
          <w:tblInd w:w="0" w:type="dxa"/>
          <w:tblLayout w:type="fixed"/>
        </w:tblPrEx>
        <w:trPr>
          <w:trHeight w:val="362"/>
        </w:trPr>
        <w:tc>
          <w:tcPr>
            <w:tcW w:w="8025" w:type="dxa"/>
            <w:tcBorders>
              <w:top w:val="single" w:sz="4" w:space="0" w:color="D9D9D9"/>
              <w:bottom w:val="single" w:sz="4" w:space="0" w:color="D9D9D9"/>
            </w:tcBorders>
            <w:vAlign w:val="top"/>
          </w:tcPr>
          <w:p>
            <w:pPr>
              <w:rPr>
                <w:rFonts w:ascii="Arial"/>
                <w:sz w:val="21"/>
              </w:rPr>
            </w:pPr>
          </w:p>
        </w:tc>
      </w:tr>
    </w:tbl>
    <w:p>
      <w:pPr>
        <w:spacing w:line="410" w:lineRule="auto"/>
        <w:rPr>
          <w:rFonts w:ascii="Arial"/>
          <w:sz w:val="21"/>
        </w:rPr>
      </w:pPr>
    </w:p>
    <w:p>
      <w:pPr>
        <w:spacing w:before="40" w:line="220" w:lineRule="auto"/>
        <w:ind w:left="264"/>
        <w:rPr>
          <w:rFonts w:ascii="SimSun" w:eastAsia="SimSun" w:hAnsi="SimSun" w:cs="SimSun"/>
          <w:sz w:val="12"/>
          <w:szCs w:val="12"/>
        </w:rPr>
      </w:pPr>
      <w:r>
        <w:rPr>
          <w:rFonts w:ascii="Times New Roman" w:eastAsia="Times New Roman" w:hAnsi="Times New Roman" w:cs="Times New Roman"/>
          <w:color w:val="595959"/>
          <w:sz w:val="12"/>
          <w:szCs w:val="12"/>
        </w:rPr>
        <w:t>2016</w:t>
      </w:r>
      <w:r>
        <w:rPr>
          <w:rFonts w:ascii="SimSun" w:eastAsia="SimSun" w:hAnsi="SimSun" w:cs="SimSun"/>
          <w:color w:val="595959"/>
          <w:sz w:val="12"/>
          <w:szCs w:val="12"/>
        </w:rPr>
        <w:t>年末</w:t>
      </w:r>
      <w:r>
        <w:rPr>
          <w:rFonts w:ascii="SimSun" w:eastAsia="SimSun" w:hAnsi="SimSun" w:cs="SimSun"/>
          <w:color w:val="595959"/>
          <w:spacing w:val="5"/>
          <w:sz w:val="12"/>
          <w:szCs w:val="12"/>
        </w:rPr>
        <w:t xml:space="preserve">        </w:t>
      </w:r>
      <w:r>
        <w:rPr>
          <w:rFonts w:ascii="Times New Roman" w:eastAsia="Times New Roman" w:hAnsi="Times New Roman" w:cs="Times New Roman"/>
          <w:color w:val="595959"/>
          <w:sz w:val="12"/>
          <w:szCs w:val="12"/>
        </w:rPr>
        <w:t>2017</w:t>
      </w:r>
      <w:r>
        <w:rPr>
          <w:rFonts w:ascii="SimSun" w:eastAsia="SimSun" w:hAnsi="SimSun" w:cs="SimSun"/>
          <w:color w:val="595959"/>
          <w:sz w:val="12"/>
          <w:szCs w:val="12"/>
        </w:rPr>
        <w:t>年末</w:t>
      </w:r>
      <w:r>
        <w:rPr>
          <w:rFonts w:ascii="SimSun" w:eastAsia="SimSun" w:hAnsi="SimSun" w:cs="SimSun"/>
          <w:color w:val="595959"/>
          <w:spacing w:val="6"/>
          <w:sz w:val="12"/>
          <w:szCs w:val="12"/>
        </w:rPr>
        <w:t xml:space="preserve">        </w:t>
      </w:r>
      <w:r>
        <w:rPr>
          <w:rFonts w:ascii="Times New Roman" w:eastAsia="Times New Roman" w:hAnsi="Times New Roman" w:cs="Times New Roman"/>
          <w:color w:val="595959"/>
          <w:sz w:val="12"/>
          <w:szCs w:val="12"/>
        </w:rPr>
        <w:t>2018</w:t>
      </w:r>
      <w:r>
        <w:rPr>
          <w:rFonts w:ascii="SimSun" w:eastAsia="SimSun" w:hAnsi="SimSun" w:cs="SimSun"/>
          <w:color w:val="595959"/>
          <w:sz w:val="12"/>
          <w:szCs w:val="12"/>
        </w:rPr>
        <w:t>年末</w:t>
      </w:r>
      <w:r>
        <w:rPr>
          <w:rFonts w:ascii="SimSun" w:eastAsia="SimSun" w:hAnsi="SimSun" w:cs="SimSun"/>
          <w:color w:val="595959"/>
          <w:spacing w:val="6"/>
          <w:sz w:val="12"/>
          <w:szCs w:val="12"/>
        </w:rPr>
        <w:t xml:space="preserve">        </w:t>
      </w:r>
      <w:r>
        <w:rPr>
          <w:rFonts w:ascii="Times New Roman" w:eastAsia="Times New Roman" w:hAnsi="Times New Roman" w:cs="Times New Roman"/>
          <w:color w:val="595959"/>
          <w:sz w:val="12"/>
          <w:szCs w:val="12"/>
        </w:rPr>
        <w:t>2019</w:t>
      </w:r>
      <w:r>
        <w:rPr>
          <w:rFonts w:ascii="SimSun" w:eastAsia="SimSun" w:hAnsi="SimSun" w:cs="SimSun"/>
          <w:color w:val="595959"/>
          <w:sz w:val="12"/>
          <w:szCs w:val="12"/>
        </w:rPr>
        <w:t>年末</w:t>
      </w:r>
      <w:r>
        <w:rPr>
          <w:rFonts w:ascii="SimSun" w:eastAsia="SimSun" w:hAnsi="SimSun" w:cs="SimSun"/>
          <w:color w:val="595959"/>
          <w:spacing w:val="6"/>
          <w:sz w:val="12"/>
          <w:szCs w:val="12"/>
        </w:rPr>
        <w:t xml:space="preserve">        </w:t>
      </w:r>
      <w:r>
        <w:rPr>
          <w:rFonts w:ascii="Times New Roman" w:eastAsia="Times New Roman" w:hAnsi="Times New Roman" w:cs="Times New Roman"/>
          <w:color w:val="595959"/>
          <w:sz w:val="12"/>
          <w:szCs w:val="12"/>
        </w:rPr>
        <w:t>2020</w:t>
      </w:r>
      <w:r>
        <w:rPr>
          <w:rFonts w:ascii="SimSun" w:eastAsia="SimSun" w:hAnsi="SimSun" w:cs="SimSun"/>
          <w:color w:val="595959"/>
          <w:sz w:val="12"/>
          <w:szCs w:val="12"/>
        </w:rPr>
        <w:t>年末</w:t>
      </w:r>
      <w:r>
        <w:rPr>
          <w:rFonts w:ascii="SimSun" w:eastAsia="SimSun" w:hAnsi="SimSun" w:cs="SimSun"/>
          <w:color w:val="595959"/>
          <w:spacing w:val="5"/>
          <w:sz w:val="12"/>
          <w:szCs w:val="12"/>
        </w:rPr>
        <w:t xml:space="preserve">        </w:t>
      </w:r>
      <w:r>
        <w:rPr>
          <w:rFonts w:ascii="Times New Roman" w:eastAsia="Times New Roman" w:hAnsi="Times New Roman" w:cs="Times New Roman"/>
          <w:color w:val="595959"/>
          <w:sz w:val="12"/>
          <w:szCs w:val="12"/>
        </w:rPr>
        <w:t>2021</w:t>
      </w:r>
      <w:r>
        <w:rPr>
          <w:rFonts w:ascii="SimSun" w:eastAsia="SimSun" w:hAnsi="SimSun" w:cs="SimSun"/>
          <w:color w:val="595959"/>
          <w:sz w:val="12"/>
          <w:szCs w:val="12"/>
        </w:rPr>
        <w:t>年末</w:t>
      </w:r>
      <w:r>
        <w:rPr>
          <w:rFonts w:ascii="SimSun" w:eastAsia="SimSun" w:hAnsi="SimSun" w:cs="SimSun"/>
          <w:color w:val="595959"/>
          <w:spacing w:val="6"/>
          <w:sz w:val="12"/>
          <w:szCs w:val="12"/>
        </w:rPr>
        <w:t xml:space="preserve">        </w:t>
      </w:r>
      <w:r>
        <w:rPr>
          <w:rFonts w:ascii="Times New Roman" w:eastAsia="Times New Roman" w:hAnsi="Times New Roman" w:cs="Times New Roman"/>
          <w:color w:val="595959"/>
          <w:sz w:val="12"/>
          <w:szCs w:val="12"/>
        </w:rPr>
        <w:t>2022</w:t>
      </w:r>
      <w:r>
        <w:rPr>
          <w:rFonts w:ascii="SimSun" w:eastAsia="SimSun" w:hAnsi="SimSun" w:cs="SimSun"/>
          <w:color w:val="595959"/>
          <w:sz w:val="12"/>
          <w:szCs w:val="12"/>
        </w:rPr>
        <w:t xml:space="preserve">年末       </w:t>
      </w:r>
      <w:r>
        <w:rPr>
          <w:rFonts w:ascii="Times New Roman" w:eastAsia="Times New Roman" w:hAnsi="Times New Roman" w:cs="Times New Roman"/>
          <w:color w:val="595959"/>
          <w:sz w:val="12"/>
          <w:szCs w:val="12"/>
        </w:rPr>
        <w:t>2</w:t>
      </w:r>
      <w:r>
        <w:rPr>
          <w:rFonts w:ascii="Times New Roman" w:eastAsia="Times New Roman" w:hAnsi="Times New Roman" w:cs="Times New Roman"/>
          <w:color w:val="595959"/>
          <w:spacing w:val="-1"/>
          <w:sz w:val="12"/>
          <w:szCs w:val="12"/>
        </w:rPr>
        <w:t>023</w:t>
      </w:r>
      <w:r>
        <w:rPr>
          <w:rFonts w:ascii="SimSun" w:eastAsia="SimSun" w:hAnsi="SimSun" w:cs="SimSun"/>
          <w:color w:val="595959"/>
          <w:spacing w:val="-1"/>
          <w:sz w:val="12"/>
          <w:szCs w:val="12"/>
        </w:rPr>
        <w:t>年</w:t>
      </w:r>
      <w:r>
        <w:rPr>
          <w:rFonts w:ascii="Times New Roman" w:eastAsia="Times New Roman" w:hAnsi="Times New Roman" w:cs="Times New Roman"/>
          <w:color w:val="595959"/>
          <w:spacing w:val="-1"/>
          <w:sz w:val="12"/>
          <w:szCs w:val="12"/>
        </w:rPr>
        <w:t>9</w:t>
      </w:r>
      <w:r>
        <w:rPr>
          <w:rFonts w:ascii="SimSun" w:eastAsia="SimSun" w:hAnsi="SimSun" w:cs="SimSun"/>
          <w:color w:val="595959"/>
          <w:spacing w:val="-1"/>
          <w:sz w:val="12"/>
          <w:szCs w:val="12"/>
        </w:rPr>
        <w:t>月末</w:t>
      </w:r>
    </w:p>
    <w:p>
      <w:pPr>
        <w:spacing w:before="149" w:line="185" w:lineRule="auto"/>
        <w:ind w:left="136"/>
        <w:rPr>
          <w:rFonts w:ascii="SimSun" w:eastAsia="SimSun" w:hAnsi="SimSun" w:cs="SimSun"/>
          <w:sz w:val="12"/>
          <w:szCs w:val="12"/>
        </w:rPr>
      </w:pPr>
      <w:r>
        <w:rPr>
          <w:rFonts w:ascii="SimSun" w:eastAsia="SimSun" w:hAnsi="SimSun" w:cs="SimSun"/>
          <w:color w:val="595959"/>
          <w:position w:val="1"/>
          <w:sz w:val="12"/>
          <w:szCs w:val="12"/>
        </w:rPr>
        <w:drawing>
          <wp:inline distT="0" distB="0" distL="0" distR="0">
            <wp:extent cx="243839"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0"/>
                    <a:stretch>
                      <a:fillRect/>
                    </a:stretch>
                  </pic:blipFill>
                  <pic:spPr>
                    <a:xfrm>
                      <a:off x="0" y="0"/>
                      <a:ext cx="243839" cy="38100"/>
                    </a:xfrm>
                    <a:prstGeom prst="rect">
                      <a:avLst/>
                    </a:prstGeom>
                  </pic:spPr>
                </pic:pic>
              </a:graphicData>
            </a:graphic>
          </wp:inline>
        </w:drawing>
      </w:r>
      <w:r>
        <w:rPr>
          <w:rFonts w:ascii="SimSun" w:eastAsia="SimSun" w:hAnsi="SimSun" w:cs="SimSun"/>
          <w:color w:val="595959"/>
          <w:spacing w:val="-8"/>
          <w:sz w:val="12"/>
          <w:szCs w:val="12"/>
        </w:rPr>
        <w:t xml:space="preserve"> </w:t>
      </w:r>
      <w:r>
        <w:rPr>
          <w:rFonts w:ascii="SimSun" w:eastAsia="SimSun" w:hAnsi="SimSun" w:cs="SimSun"/>
          <w:color w:val="595959"/>
          <w:spacing w:val="-2"/>
          <w:sz w:val="12"/>
          <w:szCs w:val="12"/>
        </w:rPr>
        <w:t>火电装机容量              清洁电源装机容量</w:t>
      </w:r>
      <w:r>
        <w:rPr>
          <w:rFonts w:ascii="SimSun" w:eastAsia="SimSun" w:hAnsi="SimSun" w:cs="SimSun"/>
          <w:color w:val="595959"/>
          <w:spacing w:val="6"/>
          <w:sz w:val="12"/>
          <w:szCs w:val="12"/>
        </w:rPr>
        <w:t xml:space="preserve">      </w:t>
      </w:r>
      <w:r>
        <w:rPr>
          <w:position w:val="3"/>
          <w:sz w:val="12"/>
          <w:szCs w:val="12"/>
        </w:rPr>
        <w:drawing>
          <wp:inline distT="0" distB="0" distL="0" distR="0">
            <wp:extent cx="256032" cy="1219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1"/>
                    <a:stretch>
                      <a:fillRect/>
                    </a:stretch>
                  </pic:blipFill>
                  <pic:spPr>
                    <a:xfrm>
                      <a:off x="0" y="0"/>
                      <a:ext cx="256032" cy="12192"/>
                    </a:xfrm>
                    <a:prstGeom prst="rect">
                      <a:avLst/>
                    </a:prstGeom>
                  </pic:spPr>
                </pic:pic>
              </a:graphicData>
            </a:graphic>
          </wp:inline>
        </w:drawing>
      </w:r>
      <w:r>
        <w:rPr>
          <w:rFonts w:ascii="SimSun" w:eastAsia="SimSun" w:hAnsi="SimSun" w:cs="SimSun"/>
          <w:color w:val="595959"/>
          <w:spacing w:val="-23"/>
          <w:sz w:val="12"/>
          <w:szCs w:val="12"/>
        </w:rPr>
        <w:t xml:space="preserve"> </w:t>
      </w:r>
      <w:r>
        <w:rPr>
          <w:rFonts w:ascii="SimSun" w:eastAsia="SimSun" w:hAnsi="SimSun" w:cs="SimSun"/>
          <w:color w:val="595959"/>
          <w:spacing w:val="-2"/>
          <w:sz w:val="12"/>
          <w:szCs w:val="12"/>
        </w:rPr>
        <w:t xml:space="preserve">火电装机容量同比（右轴）        </w:t>
      </w:r>
      <w:r>
        <w:rPr>
          <w:position w:val="3"/>
          <w:sz w:val="12"/>
          <w:szCs w:val="12"/>
        </w:rPr>
        <w:drawing>
          <wp:inline distT="0" distB="0" distL="0" distR="0">
            <wp:extent cx="256032" cy="1219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2"/>
                    <a:stretch>
                      <a:fillRect/>
                    </a:stretch>
                  </pic:blipFill>
                  <pic:spPr>
                    <a:xfrm>
                      <a:off x="0" y="0"/>
                      <a:ext cx="256032" cy="12192"/>
                    </a:xfrm>
                    <a:prstGeom prst="rect">
                      <a:avLst/>
                    </a:prstGeom>
                  </pic:spPr>
                </pic:pic>
              </a:graphicData>
            </a:graphic>
          </wp:inline>
        </w:drawing>
      </w:r>
      <w:r>
        <w:rPr>
          <w:rFonts w:ascii="SimSun" w:eastAsia="SimSun" w:hAnsi="SimSun" w:cs="SimSun"/>
          <w:color w:val="595959"/>
          <w:spacing w:val="-24"/>
          <w:sz w:val="12"/>
          <w:szCs w:val="12"/>
        </w:rPr>
        <w:t xml:space="preserve"> </w:t>
      </w:r>
      <w:r>
        <w:rPr>
          <w:rFonts w:ascii="SimSun" w:eastAsia="SimSun" w:hAnsi="SimSun" w:cs="SimSun"/>
          <w:color w:val="595959"/>
          <w:spacing w:val="-2"/>
          <w:sz w:val="12"/>
          <w:szCs w:val="12"/>
        </w:rPr>
        <w:t>清洁电源装机容量同比（右轴）</w:t>
      </w:r>
    </w:p>
    <w:p>
      <w:pPr>
        <w:spacing w:line="14" w:lineRule="auto"/>
        <w:rPr>
          <w:rFonts w:ascii="Arial"/>
          <w:sz w:val="2"/>
        </w:rPr>
      </w:pPr>
      <w:r>
        <w:rPr>
          <w:rFonts w:ascii="Arial" w:eastAsia="Arial" w:hAnsi="Arial" w:cs="Arial"/>
          <w:sz w:val="2"/>
          <w:szCs w:val="2"/>
        </w:rPr>
        <w:br w:type="column"/>
      </w:r>
    </w:p>
    <w:p>
      <w:pPr>
        <w:spacing w:before="1" w:line="186" w:lineRule="auto"/>
        <w:ind w:left="2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25.00</w:t>
      </w:r>
    </w:p>
    <w:p>
      <w:pPr>
        <w:spacing w:line="298" w:lineRule="auto"/>
        <w:rPr>
          <w:rFonts w:ascii="Arial"/>
          <w:sz w:val="21"/>
        </w:rPr>
      </w:pPr>
    </w:p>
    <w:p>
      <w:pPr>
        <w:spacing w:before="35" w:line="186" w:lineRule="auto"/>
        <w:ind w:left="2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20.00</w:t>
      </w:r>
    </w:p>
    <w:p>
      <w:pPr>
        <w:spacing w:line="299" w:lineRule="auto"/>
        <w:rPr>
          <w:rFonts w:ascii="Arial"/>
          <w:sz w:val="21"/>
        </w:rPr>
      </w:pPr>
    </w:p>
    <w:p>
      <w:pPr>
        <w:spacing w:before="35" w:line="186" w:lineRule="auto"/>
        <w:ind w:left="39"/>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15.00</w:t>
      </w:r>
    </w:p>
    <w:p>
      <w:pPr>
        <w:spacing w:line="298" w:lineRule="auto"/>
        <w:rPr>
          <w:rFonts w:ascii="Arial"/>
          <w:sz w:val="21"/>
        </w:rPr>
      </w:pPr>
    </w:p>
    <w:p>
      <w:pPr>
        <w:spacing w:before="35" w:line="186" w:lineRule="auto"/>
        <w:ind w:left="39"/>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w:t>
      </w:r>
    </w:p>
    <w:p>
      <w:pPr>
        <w:spacing w:line="299" w:lineRule="auto"/>
        <w:rPr>
          <w:rFonts w:ascii="Arial"/>
          <w:sz w:val="21"/>
        </w:rPr>
      </w:pPr>
    </w:p>
    <w:p>
      <w:pPr>
        <w:spacing w:before="35" w:line="186" w:lineRule="auto"/>
        <w:ind w:left="31"/>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5.00</w:t>
      </w:r>
    </w:p>
    <w:p>
      <w:pPr>
        <w:spacing w:line="298" w:lineRule="auto"/>
        <w:rPr>
          <w:rFonts w:ascii="Arial"/>
          <w:sz w:val="21"/>
        </w:rPr>
      </w:pPr>
    </w:p>
    <w:p>
      <w:pPr>
        <w:spacing w:before="35" w:line="186" w:lineRule="auto"/>
        <w:ind w:left="29"/>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line="186" w:lineRule="auto"/>
        <w:rPr>
          <w:rFonts w:ascii="Times New Roman" w:eastAsia="Times New Roman" w:hAnsi="Times New Roman" w:cs="Times New Roman"/>
          <w:sz w:val="12"/>
          <w:szCs w:val="12"/>
        </w:rPr>
        <w:sectPr>
          <w:headerReference w:type="default" r:id="rId23"/>
          <w:footerReference w:type="default" r:id="rId24"/>
          <w:type w:val="nextPage"/>
          <w:pgSz w:w="11907" w:h="16839"/>
          <w:pgMar w:top="1336" w:right="1073" w:bottom="1272" w:left="982" w:header="1148" w:footer="1077" w:gutter="0"/>
          <w:pgNumType w:start="8"/>
          <w:cols w:num="3" w:space="708" w:equalWidth="0">
            <w:col w:w="927" w:space="100"/>
            <w:col w:w="8026" w:space="78"/>
            <w:col w:w="720" w:space="0"/>
          </w:cols>
          <w:titlePg w:val="0"/>
        </w:sectPr>
      </w:pPr>
    </w:p>
    <w:p>
      <w:pPr>
        <w:spacing w:line="310" w:lineRule="auto"/>
        <w:rPr>
          <w:rFonts w:ascii="Arial"/>
          <w:sz w:val="21"/>
        </w:rPr>
      </w:pPr>
    </w:p>
    <w:p>
      <w:pPr>
        <w:spacing w:before="49" w:line="221" w:lineRule="auto"/>
        <w:ind w:left="272"/>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before="193" w:line="186" w:lineRule="auto"/>
        <w:ind w:left="277"/>
        <w:rPr>
          <w:rFonts w:ascii="SimSun" w:eastAsia="SimSun" w:hAnsi="SimSun" w:cs="SimSun"/>
          <w:sz w:val="21"/>
          <w:szCs w:val="21"/>
        </w:rPr>
      </w:pPr>
      <w:r>
        <w:rPr>
          <w:rFonts w:ascii="SimSun" w:eastAsia="SimSun" w:hAnsi="SimSun" w:cs="SimSun"/>
          <w:spacing w:val="-2"/>
          <w:sz w:val="21"/>
          <w:szCs w:val="21"/>
        </w:rPr>
        <w:t>从电源投资来看，清洁电源投资带动了我国电源投资规模持续增长。</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年前三季度电源基本建设投资</w:t>
      </w:r>
    </w:p>
    <w:p>
      <w:pPr>
        <w:spacing w:line="186" w:lineRule="auto"/>
        <w:rPr>
          <w:rFonts w:ascii="SimSun" w:eastAsia="SimSun" w:hAnsi="SimSun" w:cs="SimSun"/>
          <w:sz w:val="21"/>
          <w:szCs w:val="21"/>
        </w:rPr>
        <w:sectPr>
          <w:headerReference w:type="default" r:id="rId25"/>
          <w:footerReference w:type="default" r:id="rId26"/>
          <w:type w:val="continuous"/>
          <w:pgSz w:w="11907" w:h="16839"/>
          <w:pgMar w:top="1336" w:right="1073" w:bottom="1272" w:left="982" w:header="1148" w:footer="1077" w:gutter="0"/>
          <w:pgNumType w:start="9"/>
          <w:cols w:num="1" w:space="708" w:equalWidth="0">
            <w:col w:w="9851" w:space="0"/>
          </w:cols>
        </w:sectPr>
      </w:pPr>
    </w:p>
    <w:p>
      <w:pPr>
        <w:spacing w:line="326" w:lineRule="auto"/>
        <w:rPr>
          <w:rFonts w:ascii="Arial"/>
          <w:sz w:val="21"/>
        </w:rPr>
      </w:pPr>
      <w:r>
        <w:pict>
          <v:rect id="_x0000_s1043" style="width:433.95pt;height:0.75pt;margin-top:611.28pt;margin-left:91.92pt;mso-position-horizontal-relative:page;mso-position-vertical-relative:page;position:absolute;z-index:251686912" o:allowincell="f" filled="t" fillcolor="#d9d9d9" stroked="f"/>
        </w:pict>
      </w:r>
      <w:r>
        <w:pict>
          <v:rect id="_x0000_s1044" style="width:433.95pt;height:0.75pt;margin-top:697.8pt;margin-left:91.92pt;mso-position-horizontal-relative:page;mso-position-vertical-relative:page;position:absolute;z-index:251685888" o:allowincell="f" filled="t" fillcolor="#d9d9d9" stroked="f"/>
        </w:pict>
      </w:r>
      <w:r>
        <w:pict>
          <v:shape id="_x0000_s1045" style="width:481.8pt;height:0.5pt;margin-top:187.46pt;margin-left:56.88pt;mso-position-horizontal-relative:page;mso-position-vertical-relative:page;position:absolute;z-index:251683840" coordorigin="0,0" coordsize="9635,10" o:allowincell="f" path="m,9l9635,9l9635,l,l,9xe" filled="t" fillcolor="black" stroked="f"/>
        </w:pict>
      </w:r>
      <w:r>
        <w:pict>
          <v:group id="_x0000_s1046" style="width:312.5pt;height:77.4pt;margin-top:205.2pt;margin-left:145.32pt;mso-position-horizontal-relative:page;mso-position-vertical-relative:page;position:absolute;z-index:251687936" coordorigin="0,0" coordsize="6250,1548" o:allowincell="f" filled="f" stroked="f">
            <v:shape id="_x0000_s1047" style="width:2096;height:980;position:absolute;top:568" coordorigin="0,0" coordsize="2096,980" path="m9,969l2085,9e" filled="f" strokecolor="#c00000" strokeweight="0.96pt">
              <v:stroke endcap="round"/>
            </v:shape>
            <v:shape id="_x0000_s1048" style="width:6250;height:898;position:absolute" coordorigin="0,0" coordsize="6250,898" path="m9,71l2085,887l4164,335l6240,9e" filled="f" strokecolor="#00b050" strokeweight="0.96pt">
              <v:stroke endcap="round"/>
            </v:shape>
          </v:group>
        </w:pict>
      </w:r>
      <w:r>
        <w:drawing>
          <wp:anchor distT="0" distB="0" distL="0" distR="0" simplePos="0" relativeHeight="251675648" behindDoc="1" locked="0" layoutInCell="0" allowOverlap="1">
            <wp:simplePos x="0" y="0"/>
            <wp:positionH relativeFrom="page">
              <wp:posOffset>1588008</wp:posOffset>
            </wp:positionH>
            <wp:positionV relativeFrom="page">
              <wp:posOffset>2667000</wp:posOffset>
            </wp:positionV>
            <wp:extent cx="4483608" cy="108813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7"/>
                    <a:stretch>
                      <a:fillRect/>
                    </a:stretch>
                  </pic:blipFill>
                  <pic:spPr>
                    <a:xfrm>
                      <a:off x="0" y="0"/>
                      <a:ext cx="4483608" cy="1088135"/>
                    </a:xfrm>
                    <a:prstGeom prst="rect">
                      <a:avLst/>
                    </a:prstGeom>
                  </pic:spPr>
                </pic:pic>
              </a:graphicData>
            </a:graphic>
          </wp:anchor>
        </w:drawing>
      </w:r>
      <w:r>
        <w:pict>
          <v:shape id="_x0000_s1049" style="width:481.8pt;height:0.5pt;margin-top:339.17pt;margin-left:56.88pt;mso-position-horizontal-relative:page;mso-position-vertical-relative:page;position:absolute;z-index:251682816" coordorigin="0,0" coordsize="9635,10" o:allowincell="f" path="m,9l9635,9l9635,l,l,9xe" filled="t" fillcolor="black" stroked="f"/>
        </w:pict>
      </w:r>
      <w:r>
        <w:pict>
          <v:shape id="_x0000_s1050" style="width:485.4pt;height:0.5pt;margin-top:601.9pt;margin-left:56.88pt;mso-position-horizontal-relative:page;mso-position-vertical-relative:page;position:absolute;z-index:251681792" coordorigin="0,0" coordsize="9707,10" o:allowincell="f" path="m,9l9707,9l9707,l,l,9xe" filled="t" fillcolor="black" stroked="f"/>
        </w:pict>
      </w:r>
      <w:r>
        <w:drawing>
          <wp:anchor distT="0" distB="0" distL="0" distR="0" simplePos="0" relativeHeight="251677696" behindDoc="0" locked="0" layoutInCell="0" allowOverlap="1">
            <wp:simplePos x="0" y="0"/>
            <wp:positionH relativeFrom="page">
              <wp:posOffset>3426840</wp:posOffset>
            </wp:positionH>
            <wp:positionV relativeFrom="page">
              <wp:posOffset>8936101</wp:posOffset>
            </wp:positionV>
            <wp:extent cx="857123" cy="37553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8"/>
                    <a:stretch>
                      <a:fillRect/>
                    </a:stretch>
                  </pic:blipFill>
                  <pic:spPr>
                    <a:xfrm>
                      <a:off x="0" y="0"/>
                      <a:ext cx="857123" cy="375539"/>
                    </a:xfrm>
                    <a:prstGeom prst="rect">
                      <a:avLst/>
                    </a:prstGeom>
                  </pic:spPr>
                </pic:pic>
              </a:graphicData>
            </a:graphic>
          </wp:anchor>
        </w:drawing>
      </w:r>
      <w:r>
        <w:drawing>
          <wp:anchor distT="0" distB="0" distL="0" distR="0" simplePos="0" relativeHeight="251676672" behindDoc="0" locked="0" layoutInCell="0" allowOverlap="1">
            <wp:simplePos x="0" y="0"/>
            <wp:positionH relativeFrom="page">
              <wp:posOffset>5371719</wp:posOffset>
            </wp:positionH>
            <wp:positionV relativeFrom="page">
              <wp:posOffset>8933688</wp:posOffset>
            </wp:positionV>
            <wp:extent cx="1161161" cy="408432"/>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9"/>
                    <a:stretch>
                      <a:fillRect/>
                    </a:stretch>
                  </pic:blipFill>
                  <pic:spPr>
                    <a:xfrm>
                      <a:off x="0" y="0"/>
                      <a:ext cx="1161161" cy="408432"/>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1157795</wp:posOffset>
            </wp:positionH>
            <wp:positionV relativeFrom="page">
              <wp:posOffset>8936101</wp:posOffset>
            </wp:positionV>
            <wp:extent cx="177355" cy="1905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0"/>
                    <a:stretch>
                      <a:fillRect/>
                    </a:stretch>
                  </pic:blipFill>
                  <pic:spPr>
                    <a:xfrm>
                      <a:off x="0" y="0"/>
                      <a:ext cx="177355" cy="190500"/>
                    </a:xfrm>
                    <a:prstGeom prst="rect">
                      <a:avLst/>
                    </a:prstGeom>
                  </pic:spPr>
                </pic:pic>
              </a:graphicData>
            </a:graphic>
          </wp:anchor>
        </w:drawing>
      </w:r>
      <w:r>
        <w:drawing>
          <wp:anchor distT="0" distB="0" distL="0" distR="0" simplePos="0" relativeHeight="251679744" behindDoc="0" locked="0" layoutInCell="0" allowOverlap="1">
            <wp:simplePos x="0" y="0"/>
            <wp:positionH relativeFrom="page">
              <wp:posOffset>1481963</wp:posOffset>
            </wp:positionH>
            <wp:positionV relativeFrom="page">
              <wp:posOffset>8936101</wp:posOffset>
            </wp:positionV>
            <wp:extent cx="501523" cy="1905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1"/>
                    <a:stretch>
                      <a:fillRect/>
                    </a:stretch>
                  </pic:blipFill>
                  <pic:spPr>
                    <a:xfrm>
                      <a:off x="0" y="0"/>
                      <a:ext cx="501523" cy="190500"/>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4399279</wp:posOffset>
            </wp:positionH>
            <wp:positionV relativeFrom="page">
              <wp:posOffset>8936101</wp:posOffset>
            </wp:positionV>
            <wp:extent cx="825627" cy="1905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2"/>
                    <a:stretch>
                      <a:fillRect/>
                    </a:stretch>
                  </pic:blipFill>
                  <pic:spPr>
                    <a:xfrm>
                      <a:off x="0" y="0"/>
                      <a:ext cx="825627" cy="190500"/>
                    </a:xfrm>
                    <a:prstGeom prst="rect">
                      <a:avLst/>
                    </a:prstGeom>
                  </pic:spPr>
                </pic:pic>
              </a:graphicData>
            </a:graphic>
          </wp:anchor>
        </w:drawing>
      </w:r>
      <w:r>
        <w:pict>
          <v:shape id="_x0000_s1051" style="width:485.4pt;height:0.5pt;margin-top:743.64pt;margin-left:56.88pt;mso-position-horizontal-relative:page;mso-position-vertical-relative:page;position:absolute;z-index:251680768" coordorigin="0,0" coordsize="9707,10" o:allowincell="f" path="m,9l9707,9l9707,l,l,9xe" filled="t" fillcolor="black" stroked="f"/>
        </w:pict>
      </w:r>
    </w:p>
    <w:p>
      <w:pPr>
        <w:spacing w:before="69" w:line="283" w:lineRule="auto"/>
        <w:ind w:left="270" w:right="180" w:firstLine="2"/>
        <w:jc w:val="both"/>
        <w:rPr>
          <w:rFonts w:ascii="SimSun" w:eastAsia="SimSun" w:hAnsi="SimSun" w:cs="SimSun"/>
          <w:sz w:val="21"/>
          <w:szCs w:val="21"/>
        </w:rPr>
      </w:pPr>
      <w:r>
        <w:rPr>
          <w:rFonts w:ascii="SimSun" w:eastAsia="SimSun" w:hAnsi="SimSun" w:cs="SimSun"/>
          <w:spacing w:val="-3"/>
          <w:sz w:val="21"/>
          <w:szCs w:val="21"/>
        </w:rPr>
        <w:t>完成额同比增长</w:t>
      </w:r>
      <w:r>
        <w:rPr>
          <w:rFonts w:ascii="SimSun" w:eastAsia="SimSun" w:hAnsi="SimSun" w:cs="SimSun"/>
          <w:spacing w:val="-36"/>
          <w:sz w:val="21"/>
          <w:szCs w:val="21"/>
        </w:rPr>
        <w:t xml:space="preserve"> </w:t>
      </w:r>
      <w:r>
        <w:rPr>
          <w:rFonts w:ascii="Times New Roman" w:eastAsia="Times New Roman" w:hAnsi="Times New Roman" w:cs="Times New Roman"/>
          <w:spacing w:val="-3"/>
          <w:sz w:val="21"/>
          <w:szCs w:val="21"/>
        </w:rPr>
        <w:t>41.10%</w:t>
      </w:r>
      <w:r>
        <w:rPr>
          <w:rFonts w:ascii="SimSun" w:eastAsia="SimSun" w:hAnsi="SimSun" w:cs="SimSun"/>
          <w:spacing w:val="-3"/>
          <w:sz w:val="21"/>
          <w:szCs w:val="21"/>
        </w:rPr>
        <w:t>，其中火电及清洁电源分别同比增长</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16.20%</w:t>
      </w:r>
      <w:r>
        <w:rPr>
          <w:rFonts w:ascii="SimSun" w:eastAsia="SimSun" w:hAnsi="SimSun" w:cs="SimSun"/>
          <w:spacing w:val="-3"/>
          <w:sz w:val="21"/>
          <w:szCs w:val="21"/>
        </w:rPr>
        <w:t>和</w:t>
      </w:r>
      <w:r>
        <w:rPr>
          <w:rFonts w:ascii="SimSun" w:eastAsia="SimSun" w:hAnsi="SimSun" w:cs="SimSun"/>
          <w:spacing w:val="-49"/>
          <w:sz w:val="21"/>
          <w:szCs w:val="21"/>
        </w:rPr>
        <w:t xml:space="preserve"> </w:t>
      </w:r>
      <w:r>
        <w:rPr>
          <w:rFonts w:ascii="Times New Roman" w:eastAsia="Times New Roman" w:hAnsi="Times New Roman" w:cs="Times New Roman"/>
          <w:spacing w:val="-3"/>
          <w:sz w:val="21"/>
          <w:szCs w:val="21"/>
        </w:rPr>
        <w:t>45.10%</w:t>
      </w:r>
      <w:r>
        <w:rPr>
          <w:rFonts w:ascii="SimSun" w:eastAsia="SimSun" w:hAnsi="SimSun" w:cs="SimSun"/>
          <w:spacing w:val="-3"/>
          <w:sz w:val="21"/>
          <w:szCs w:val="21"/>
        </w:rPr>
        <w:t>。需关注的是，</w:t>
      </w:r>
      <w:r>
        <w:rPr>
          <w:rFonts w:ascii="SimSun" w:eastAsia="SimSun" w:hAnsi="SimSun" w:cs="SimSun"/>
          <w:spacing w:val="-31"/>
          <w:sz w:val="21"/>
          <w:szCs w:val="21"/>
        </w:rPr>
        <w:t xml:space="preserve"> </w:t>
      </w:r>
      <w:r>
        <w:rPr>
          <w:rFonts w:ascii="SimSun" w:eastAsia="SimSun" w:hAnsi="SimSun" w:cs="SimSun"/>
          <w:spacing w:val="-3"/>
          <w:sz w:val="21"/>
          <w:szCs w:val="21"/>
        </w:rPr>
        <w:t>火电投资</w:t>
      </w:r>
      <w:r>
        <w:rPr>
          <w:rFonts w:ascii="SimSun" w:eastAsia="SimSun" w:hAnsi="SimSun" w:cs="SimSun"/>
          <w:sz w:val="21"/>
          <w:szCs w:val="21"/>
        </w:rPr>
        <w:t xml:space="preserve"> </w:t>
      </w:r>
      <w:r>
        <w:rPr>
          <w:rFonts w:ascii="SimSun" w:eastAsia="SimSun" w:hAnsi="SimSun" w:cs="SimSun"/>
          <w:spacing w:val="-2"/>
          <w:sz w:val="21"/>
          <w:szCs w:val="21"/>
        </w:rPr>
        <w:t>完成额十三五期间增速均值为</w:t>
      </w:r>
      <w:r>
        <w:rPr>
          <w:rFonts w:ascii="Times New Roman" w:eastAsia="Times New Roman" w:hAnsi="Times New Roman" w:cs="Times New Roman"/>
          <w:spacing w:val="-2"/>
          <w:sz w:val="21"/>
          <w:szCs w:val="21"/>
        </w:rPr>
        <w: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2"/>
          <w:sz w:val="21"/>
          <w:szCs w:val="21"/>
        </w:rPr>
        <w:t>17.92%</w:t>
      </w:r>
      <w:r>
        <w:rPr>
          <w:rFonts w:ascii="SimSun" w:eastAsia="SimSun" w:hAnsi="SimSun" w:cs="SimSun"/>
          <w:spacing w:val="-2"/>
          <w:sz w:val="21"/>
          <w:szCs w:val="21"/>
        </w:rPr>
        <w:t>，</w:t>
      </w:r>
      <w:r>
        <w:rPr>
          <w:rFonts w:ascii="Times New Roman" w:eastAsia="Times New Roman" w:hAnsi="Times New Roman" w:cs="Times New Roman"/>
          <w:spacing w:val="-2"/>
          <w:sz w:val="21"/>
          <w:szCs w:val="21"/>
        </w:rPr>
        <w:t xml:space="preserve">2021 </w:t>
      </w:r>
      <w:r>
        <w:rPr>
          <w:rFonts w:ascii="SimSun" w:eastAsia="SimSun" w:hAnsi="SimSun" w:cs="SimSun"/>
          <w:spacing w:val="-2"/>
          <w:sz w:val="21"/>
          <w:szCs w:val="21"/>
        </w:rPr>
        <w:t>年出现缺电限电现象后，火电投资重新加速，</w:t>
      </w:r>
      <w:r>
        <w:rPr>
          <w:rFonts w:ascii="Times New Roman" w:eastAsia="Times New Roman" w:hAnsi="Times New Roman" w:cs="Times New Roman"/>
          <w:spacing w:val="-2"/>
          <w:sz w:val="21"/>
          <w:szCs w:val="21"/>
        </w:rPr>
        <w:t xml:space="preserve">2021-2022 </w:t>
      </w:r>
      <w:r>
        <w:rPr>
          <w:rFonts w:ascii="SimSun" w:eastAsia="SimSun" w:hAnsi="SimSun" w:cs="SimSun"/>
          <w:spacing w:val="-2"/>
          <w:sz w:val="21"/>
          <w:szCs w:val="21"/>
        </w:rPr>
        <w:t>年</w:t>
      </w:r>
      <w:r>
        <w:rPr>
          <w:rFonts w:ascii="SimSun" w:eastAsia="SimSun" w:hAnsi="SimSun" w:cs="SimSun"/>
          <w:sz w:val="21"/>
          <w:szCs w:val="21"/>
        </w:rPr>
        <w:t xml:space="preserve"> </w:t>
      </w:r>
      <w:r>
        <w:rPr>
          <w:rFonts w:ascii="SimSun" w:eastAsia="SimSun" w:hAnsi="SimSun" w:cs="SimSun"/>
          <w:spacing w:val="-1"/>
          <w:sz w:val="21"/>
          <w:szCs w:val="21"/>
        </w:rPr>
        <w:t>及</w:t>
      </w:r>
      <w:r>
        <w:rPr>
          <w:rFonts w:ascii="SimSun" w:eastAsia="SimSun" w:hAnsi="SimSun" w:cs="SimSun"/>
          <w:spacing w:val="-48"/>
          <w:sz w:val="21"/>
          <w:szCs w:val="21"/>
        </w:rPr>
        <w:t xml:space="preserve"> </w:t>
      </w: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年前三季度增速分别达</w:t>
      </w:r>
      <w:r>
        <w:rPr>
          <w:rFonts w:ascii="SimSun" w:eastAsia="SimSun" w:hAnsi="SimSun" w:cs="SimSun"/>
          <w:spacing w:val="-27"/>
          <w:sz w:val="21"/>
          <w:szCs w:val="21"/>
        </w:rPr>
        <w:t xml:space="preserve"> </w:t>
      </w:r>
      <w:r>
        <w:rPr>
          <w:rFonts w:ascii="Times New Roman" w:eastAsia="Times New Roman" w:hAnsi="Times New Roman" w:cs="Times New Roman"/>
          <w:spacing w:val="-1"/>
          <w:sz w:val="21"/>
          <w:szCs w:val="21"/>
        </w:rPr>
        <w:t>18.30%</w:t>
      </w:r>
      <w:r>
        <w:rPr>
          <w:rFonts w:ascii="SimSun" w:eastAsia="SimSun" w:hAnsi="SimSun" w:cs="SimSun"/>
          <w:spacing w:val="-2"/>
          <w:sz w:val="21"/>
          <w:szCs w:val="21"/>
        </w:rPr>
        <w:t>、</w:t>
      </w:r>
      <w:r>
        <w:rPr>
          <w:rFonts w:ascii="Times New Roman" w:eastAsia="Times New Roman" w:hAnsi="Times New Roman" w:cs="Times New Roman"/>
          <w:spacing w:val="-2"/>
          <w:sz w:val="21"/>
          <w:szCs w:val="21"/>
        </w:rPr>
        <w:t>28.40%</w:t>
      </w:r>
      <w:r>
        <w:rPr>
          <w:rFonts w:ascii="SimSun" w:eastAsia="SimSun" w:hAnsi="SimSun" w:cs="SimSun"/>
          <w:spacing w:val="-2"/>
          <w:sz w:val="21"/>
          <w:szCs w:val="21"/>
        </w:rPr>
        <w:t>和</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16.20%</w:t>
      </w:r>
      <w:r>
        <w:rPr>
          <w:rFonts w:ascii="SimSun" w:eastAsia="SimSun" w:hAnsi="SimSun" w:cs="SimSun"/>
          <w:spacing w:val="-2"/>
          <w:sz w:val="21"/>
          <w:szCs w:val="21"/>
        </w:rPr>
        <w:t>，火电基础能源地位得到进一步重视与巩固。</w:t>
      </w:r>
      <w:r>
        <w:rPr>
          <w:rFonts w:ascii="SimSun" w:eastAsia="SimSun" w:hAnsi="SimSun" w:cs="SimSun"/>
          <w:sz w:val="21"/>
          <w:szCs w:val="21"/>
        </w:rPr>
        <w:t xml:space="preserve"> </w:t>
      </w:r>
      <w:r>
        <w:rPr>
          <w:rFonts w:ascii="SimSun" w:eastAsia="SimSun" w:hAnsi="SimSun" w:cs="SimSun"/>
          <w:spacing w:val="-2"/>
          <w:sz w:val="21"/>
          <w:szCs w:val="21"/>
        </w:rPr>
        <w:t>近年来清洁电源投资规模大，</w:t>
      </w:r>
      <w:r>
        <w:rPr>
          <w:rFonts w:ascii="SimSun" w:eastAsia="SimSun" w:hAnsi="SimSun" w:cs="SimSun"/>
          <w:spacing w:val="-29"/>
          <w:sz w:val="21"/>
          <w:szCs w:val="21"/>
        </w:rPr>
        <w:t xml:space="preserve"> </w:t>
      </w:r>
      <w:r>
        <w:rPr>
          <w:rFonts w:ascii="SimSun" w:eastAsia="SimSun" w:hAnsi="SimSun" w:cs="SimSun"/>
          <w:spacing w:val="-2"/>
          <w:sz w:val="21"/>
          <w:szCs w:val="21"/>
        </w:rPr>
        <w:t>装机规模迅速扩大。</w:t>
      </w:r>
      <w:r>
        <w:rPr>
          <w:rFonts w:ascii="SimSun" w:eastAsia="SimSun" w:hAnsi="SimSun" w:cs="SimSun"/>
          <w:spacing w:val="-3"/>
          <w:sz w:val="21"/>
          <w:szCs w:val="21"/>
        </w:rPr>
        <w:t>从投资主体来看，目前我国电力投资仍集中在“五大</w:t>
      </w:r>
      <w:r>
        <w:rPr>
          <w:rFonts w:ascii="SimSun" w:eastAsia="SimSun" w:hAnsi="SimSun" w:cs="SimSun"/>
          <w:sz w:val="21"/>
          <w:szCs w:val="21"/>
        </w:rPr>
        <w:t xml:space="preserve"> </w:t>
      </w:r>
      <w:r>
        <w:rPr>
          <w:rFonts w:ascii="SimSun" w:eastAsia="SimSun" w:hAnsi="SimSun" w:cs="SimSun"/>
          <w:sz w:val="21"/>
          <w:szCs w:val="21"/>
        </w:rPr>
        <w:t>六小”电力集团，地方性能源国企整体投资规模相对较</w:t>
      </w:r>
      <w:r>
        <w:rPr>
          <w:rFonts w:ascii="SimSun" w:eastAsia="SimSun" w:hAnsi="SimSun" w:cs="SimSun"/>
          <w:spacing w:val="-1"/>
          <w:sz w:val="21"/>
          <w:szCs w:val="21"/>
        </w:rPr>
        <w:t>低。</w:t>
      </w:r>
    </w:p>
    <w:p>
      <w:pPr>
        <w:spacing w:before="140" w:line="224" w:lineRule="auto"/>
        <w:ind w:left="316"/>
        <w:rPr>
          <w:rFonts w:ascii="SimHei" w:eastAsia="SimHei" w:hAnsi="SimHei" w:cs="SimHei"/>
          <w:sz w:val="18"/>
          <w:szCs w:val="18"/>
        </w:rPr>
      </w:pPr>
      <w:r>
        <w:rPr>
          <w:rFonts w:ascii="SimHei" w:eastAsia="SimHei" w:hAnsi="SimHei" w:cs="SimHei"/>
          <w:spacing w:val="-5"/>
          <w:sz w:val="18"/>
          <w:szCs w:val="18"/>
        </w:rPr>
        <w:t>图表</w:t>
      </w:r>
      <w:r>
        <w:rPr>
          <w:rFonts w:ascii="SimHei" w:eastAsia="SimHei" w:hAnsi="SimHei" w:cs="SimHei"/>
          <w:spacing w:val="-37"/>
          <w:sz w:val="18"/>
          <w:szCs w:val="18"/>
        </w:rPr>
        <w:t xml:space="preserve"> </w:t>
      </w:r>
      <w:r>
        <w:rPr>
          <w:rFonts w:ascii="Times New Roman" w:eastAsia="Times New Roman" w:hAnsi="Times New Roman" w:cs="Times New Roman"/>
          <w:spacing w:val="-5"/>
          <w:sz w:val="18"/>
          <w:szCs w:val="18"/>
        </w:rPr>
        <w:t>3.</w:t>
      </w:r>
      <w:r>
        <w:rPr>
          <w:rFonts w:ascii="Times New Roman" w:eastAsia="Times New Roman" w:hAnsi="Times New Roman" w:cs="Times New Roman"/>
          <w:spacing w:val="12"/>
          <w:sz w:val="18"/>
          <w:szCs w:val="18"/>
        </w:rPr>
        <w:t xml:space="preserve">   </w:t>
      </w:r>
      <w:r>
        <w:rPr>
          <w:rFonts w:ascii="SimHei" w:eastAsia="SimHei" w:hAnsi="SimHei" w:cs="SimHei"/>
          <w:spacing w:val="-5"/>
          <w:sz w:val="18"/>
          <w:szCs w:val="18"/>
        </w:rPr>
        <w:t>我国传统火电及清洁电源基本建设投资完成额（单</w:t>
      </w:r>
      <w:r>
        <w:rPr>
          <w:rFonts w:ascii="SimHei" w:eastAsia="SimHei" w:hAnsi="SimHei" w:cs="SimHei"/>
          <w:spacing w:val="-6"/>
          <w:sz w:val="18"/>
          <w:szCs w:val="18"/>
        </w:rPr>
        <w:t>位：亿元，</w:t>
      </w:r>
      <w:r>
        <w:rPr>
          <w:rFonts w:ascii="SimHei" w:eastAsia="SimHei" w:hAnsi="SimHei" w:cs="SimHei"/>
          <w:spacing w:val="50"/>
          <w:sz w:val="18"/>
          <w:szCs w:val="18"/>
        </w:rPr>
        <w:t xml:space="preserve"> </w:t>
      </w:r>
      <w:r>
        <w:rPr>
          <w:rFonts w:ascii="Times New Roman" w:eastAsia="Times New Roman" w:hAnsi="Times New Roman" w:cs="Times New Roman"/>
          <w:spacing w:val="-6"/>
          <w:sz w:val="18"/>
          <w:szCs w:val="18"/>
        </w:rPr>
        <w:t>%</w:t>
      </w:r>
      <w:r>
        <w:rPr>
          <w:rFonts w:ascii="SimHei" w:eastAsia="SimHei" w:hAnsi="SimHei" w:cs="SimHei"/>
          <w:spacing w:val="-6"/>
          <w:sz w:val="18"/>
          <w:szCs w:val="18"/>
        </w:rPr>
        <w:t>）</w:t>
      </w:r>
    </w:p>
    <w:p>
      <w:pPr>
        <w:spacing w:before="22"/>
      </w:pPr>
    </w:p>
    <w:p>
      <w:pPr>
        <w:sectPr>
          <w:headerReference w:type="default" r:id="rId33"/>
          <w:footerReference w:type="default" r:id="rId34"/>
          <w:pgSz w:w="11907" w:h="16839"/>
          <w:pgMar w:top="1336" w:right="1000" w:bottom="1271" w:left="985" w:header="1148" w:footer="1077" w:gutter="0"/>
          <w:pgNumType w:start="10"/>
          <w:cols w:num="1" w:space="708" w:equalWidth="0">
            <w:col w:w="9921" w:space="0"/>
          </w:cols>
        </w:sectPr>
      </w:pPr>
    </w:p>
    <w:p>
      <w:pPr>
        <w:spacing w:before="1" w:line="414" w:lineRule="auto"/>
        <w:ind w:left="341" w:right="31" w:firstLine="5"/>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8,000.00</w:t>
      </w:r>
      <w:r>
        <w:rPr>
          <w:rFonts w:ascii="Times New Roman" w:eastAsia="Times New Roman" w:hAnsi="Times New Roman" w:cs="Times New Roman"/>
          <w:color w:val="595959"/>
          <w:sz w:val="12"/>
          <w:szCs w:val="12"/>
        </w:rPr>
        <w:t xml:space="preserve"> </w:t>
      </w:r>
      <w:r>
        <w:rPr>
          <w:rFonts w:ascii="Times New Roman" w:eastAsia="Times New Roman" w:hAnsi="Times New Roman" w:cs="Times New Roman"/>
          <w:color w:val="595959"/>
          <w:spacing w:val="-1"/>
          <w:sz w:val="12"/>
          <w:szCs w:val="12"/>
        </w:rPr>
        <w:t>7,000.00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6,000.00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5,000.00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4,000.00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3,000.00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2,000.00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2"/>
          <w:sz w:val="12"/>
          <w:szCs w:val="12"/>
        </w:rPr>
        <w:t>1,000.00</w:t>
      </w:r>
    </w:p>
    <w:p>
      <w:pPr>
        <w:spacing w:line="186" w:lineRule="auto"/>
        <w:ind w:left="554"/>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line="14" w:lineRule="auto"/>
        <w:rPr>
          <w:rFonts w:ascii="Arial"/>
          <w:sz w:val="2"/>
        </w:rPr>
      </w:pPr>
      <w:r>
        <w:rPr>
          <w:rFonts w:ascii="Arial" w:eastAsia="Arial" w:hAnsi="Arial" w:cs="Arial"/>
          <w:sz w:val="2"/>
          <w:szCs w:val="2"/>
        </w:rPr>
        <w:br w:type="column"/>
      </w:r>
    </w:p>
    <w:p>
      <w:pPr>
        <w:spacing w:line="35" w:lineRule="exact"/>
      </w:pPr>
    </w:p>
    <w:tbl>
      <w:tblPr>
        <w:tblStyle w:val="TableNormal2"/>
        <w:tblW w:w="8308" w:type="dxa"/>
        <w:tblInd w:w="0" w:type="dxa"/>
        <w:tblBorders>
          <w:top w:val="nil"/>
          <w:left w:val="nil"/>
          <w:bottom w:val="nil"/>
          <w:right w:val="nil"/>
          <w:insideH w:val="nil"/>
          <w:insideV w:val="nil"/>
        </w:tblBorders>
        <w:tblLayout w:type="fixed"/>
      </w:tblPr>
      <w:tblGrid>
        <w:gridCol w:w="8308"/>
      </w:tblGrid>
      <w:tr>
        <w:tblPrEx>
          <w:tblW w:w="8308" w:type="dxa"/>
          <w:tblInd w:w="0" w:type="dxa"/>
          <w:tblBorders>
            <w:top w:val="nil"/>
            <w:left w:val="nil"/>
            <w:bottom w:val="nil"/>
            <w:right w:val="nil"/>
            <w:insideH w:val="nil"/>
            <w:insideV w:val="nil"/>
          </w:tblBorders>
          <w:tblLayout w:type="fixed"/>
        </w:tblPrEx>
        <w:trPr>
          <w:trHeight w:val="234"/>
        </w:trPr>
        <w:tc>
          <w:tcPr>
            <w:tcW w:w="8308" w:type="dxa"/>
            <w:tcBorders>
              <w:top w:val="single" w:sz="4" w:space="0" w:color="D9D9D9"/>
              <w:bottom w:val="single" w:sz="4" w:space="0" w:color="D9D9D9"/>
            </w:tcBorders>
            <w:vAlign w:val="top"/>
          </w:tcPr>
          <w:p>
            <w:pPr>
              <w:spacing w:line="224" w:lineRule="exact"/>
              <w:rPr>
                <w:rFonts w:ascii="Arial"/>
                <w:sz w:val="19"/>
              </w:rPr>
            </w:pPr>
          </w:p>
        </w:tc>
      </w:tr>
      <w:tr>
        <w:tblPrEx>
          <w:tblW w:w="8308" w:type="dxa"/>
          <w:tblInd w:w="0" w:type="dxa"/>
          <w:tblLayout w:type="fixed"/>
        </w:tblPrEx>
        <w:trPr>
          <w:trHeight w:val="226"/>
        </w:trPr>
        <w:tc>
          <w:tcPr>
            <w:tcW w:w="8308" w:type="dxa"/>
            <w:tcBorders>
              <w:top w:val="single" w:sz="4" w:space="0" w:color="D9D9D9"/>
              <w:bottom w:val="single" w:sz="4" w:space="0" w:color="D9D9D9"/>
            </w:tcBorders>
            <w:vAlign w:val="top"/>
          </w:tcPr>
          <w:p>
            <w:pPr>
              <w:spacing w:line="215" w:lineRule="exact"/>
              <w:rPr>
                <w:rFonts w:ascii="Arial"/>
                <w:sz w:val="18"/>
              </w:rPr>
            </w:pPr>
          </w:p>
        </w:tc>
      </w:tr>
      <w:tr>
        <w:tblPrEx>
          <w:tblW w:w="8308" w:type="dxa"/>
          <w:tblInd w:w="0" w:type="dxa"/>
          <w:tblLayout w:type="fixed"/>
        </w:tblPrEx>
        <w:trPr>
          <w:trHeight w:val="229"/>
        </w:trPr>
        <w:tc>
          <w:tcPr>
            <w:tcW w:w="8308" w:type="dxa"/>
            <w:tcBorders>
              <w:top w:val="single" w:sz="4" w:space="0" w:color="D9D9D9"/>
              <w:bottom w:val="single" w:sz="4" w:space="0" w:color="D9D9D9"/>
            </w:tcBorders>
            <w:vAlign w:val="top"/>
          </w:tcPr>
          <w:p>
            <w:pPr>
              <w:spacing w:line="219" w:lineRule="exact"/>
              <w:ind w:firstLine="3105"/>
            </w:pPr>
            <w:r>
              <w:rPr>
                <w:position w:val="-6"/>
              </w:rPr>
              <w:pict>
                <v:shape id="_x0000_i1052" style="width:208.7pt;height:13.8pt;mso-position-horizontal-relative:char;mso-position-vertical-relative:line" coordorigin="0,0" coordsize="4173,276" path="m9,223l2088,9l4164,266e" filled="f" strokecolor="#c00000" strokeweight="0.96pt">
                  <v:stroke endcap="round"/>
                  <w10:wrap type="none"/>
                </v:shape>
              </w:pict>
            </w:r>
          </w:p>
        </w:tc>
      </w:tr>
      <w:tr>
        <w:tblPrEx>
          <w:tblW w:w="8308" w:type="dxa"/>
          <w:tblInd w:w="0" w:type="dxa"/>
          <w:tblLayout w:type="fixed"/>
        </w:tblPrEx>
        <w:trPr>
          <w:trHeight w:val="226"/>
        </w:trPr>
        <w:tc>
          <w:tcPr>
            <w:tcW w:w="8308" w:type="dxa"/>
            <w:tcBorders>
              <w:top w:val="single" w:sz="4" w:space="0" w:color="D9D9D9"/>
              <w:bottom w:val="single" w:sz="4" w:space="0" w:color="D9D9D9"/>
            </w:tcBorders>
            <w:vAlign w:val="top"/>
          </w:tcPr>
          <w:p>
            <w:pPr>
              <w:spacing w:line="215" w:lineRule="exact"/>
              <w:rPr>
                <w:rFonts w:ascii="Arial"/>
                <w:sz w:val="18"/>
              </w:rPr>
            </w:pPr>
          </w:p>
        </w:tc>
      </w:tr>
      <w:tr>
        <w:tblPrEx>
          <w:tblW w:w="8308" w:type="dxa"/>
          <w:tblInd w:w="0" w:type="dxa"/>
          <w:tblLayout w:type="fixed"/>
        </w:tblPrEx>
        <w:trPr>
          <w:trHeight w:val="226"/>
        </w:trPr>
        <w:tc>
          <w:tcPr>
            <w:tcW w:w="8308" w:type="dxa"/>
            <w:tcBorders>
              <w:top w:val="single" w:sz="4" w:space="0" w:color="D9D9D9"/>
              <w:bottom w:val="single" w:sz="4" w:space="0" w:color="D9D9D9"/>
            </w:tcBorders>
            <w:vAlign w:val="top"/>
          </w:tcPr>
          <w:p>
            <w:pPr>
              <w:spacing w:line="215" w:lineRule="exact"/>
              <w:rPr>
                <w:rFonts w:ascii="Arial"/>
                <w:sz w:val="18"/>
              </w:rPr>
            </w:pPr>
          </w:p>
        </w:tc>
      </w:tr>
      <w:tr>
        <w:tblPrEx>
          <w:tblW w:w="8308" w:type="dxa"/>
          <w:tblInd w:w="0" w:type="dxa"/>
          <w:tblLayout w:type="fixed"/>
        </w:tblPrEx>
        <w:trPr>
          <w:trHeight w:val="226"/>
        </w:trPr>
        <w:tc>
          <w:tcPr>
            <w:tcW w:w="8308" w:type="dxa"/>
            <w:tcBorders>
              <w:top w:val="single" w:sz="4" w:space="0" w:color="D9D9D9"/>
              <w:bottom w:val="single" w:sz="4" w:space="0" w:color="D9D9D9"/>
            </w:tcBorders>
            <w:vAlign w:val="top"/>
          </w:tcPr>
          <w:p>
            <w:pPr>
              <w:spacing w:line="215" w:lineRule="exact"/>
              <w:rPr>
                <w:rFonts w:ascii="Arial"/>
                <w:sz w:val="18"/>
              </w:rPr>
            </w:pPr>
          </w:p>
        </w:tc>
      </w:tr>
      <w:tr>
        <w:tblPrEx>
          <w:tblW w:w="8308" w:type="dxa"/>
          <w:tblInd w:w="0" w:type="dxa"/>
          <w:tblLayout w:type="fixed"/>
        </w:tblPrEx>
        <w:trPr>
          <w:trHeight w:val="226"/>
        </w:trPr>
        <w:tc>
          <w:tcPr>
            <w:tcW w:w="8308" w:type="dxa"/>
            <w:tcBorders>
              <w:top w:val="single" w:sz="4" w:space="0" w:color="D9D9D9"/>
              <w:bottom w:val="single" w:sz="4" w:space="0" w:color="D9D9D9"/>
            </w:tcBorders>
            <w:vAlign w:val="top"/>
          </w:tcPr>
          <w:p>
            <w:pPr>
              <w:spacing w:line="215" w:lineRule="exact"/>
              <w:rPr>
                <w:rFonts w:ascii="Arial"/>
                <w:sz w:val="18"/>
              </w:rPr>
            </w:pPr>
          </w:p>
        </w:tc>
      </w:tr>
      <w:tr>
        <w:tblPrEx>
          <w:tblW w:w="8308" w:type="dxa"/>
          <w:tblInd w:w="0" w:type="dxa"/>
          <w:tblLayout w:type="fixed"/>
        </w:tblPrEx>
        <w:trPr>
          <w:trHeight w:val="234"/>
        </w:trPr>
        <w:tc>
          <w:tcPr>
            <w:tcW w:w="8308" w:type="dxa"/>
            <w:tcBorders>
              <w:top w:val="single" w:sz="4" w:space="0" w:color="D9D9D9"/>
              <w:bottom w:val="single" w:sz="4" w:space="0" w:color="D9D9D9"/>
            </w:tcBorders>
            <w:vAlign w:val="top"/>
          </w:tcPr>
          <w:p>
            <w:pPr>
              <w:spacing w:line="224" w:lineRule="exact"/>
              <w:rPr>
                <w:rFonts w:ascii="Arial"/>
                <w:sz w:val="19"/>
              </w:rPr>
            </w:pPr>
          </w:p>
        </w:tc>
      </w:tr>
    </w:tbl>
    <w:p>
      <w:pPr>
        <w:spacing w:before="81" w:line="220" w:lineRule="auto"/>
        <w:ind w:left="860"/>
        <w:rPr>
          <w:rFonts w:ascii="SimSun" w:eastAsia="SimSun" w:hAnsi="SimSun" w:cs="SimSun"/>
          <w:sz w:val="12"/>
          <w:szCs w:val="12"/>
        </w:rPr>
      </w:pPr>
      <w:r>
        <w:rPr>
          <w:rFonts w:ascii="Times New Roman" w:eastAsia="Times New Roman" w:hAnsi="Times New Roman" w:cs="Times New Roman"/>
          <w:color w:val="595959"/>
          <w:spacing w:val="-1"/>
          <w:sz w:val="12"/>
          <w:szCs w:val="12"/>
        </w:rPr>
        <w:t>2020</w:t>
      </w:r>
      <w:r>
        <w:rPr>
          <w:rFonts w:ascii="SimSun" w:eastAsia="SimSun" w:hAnsi="SimSun" w:cs="SimSun"/>
          <w:color w:val="595959"/>
          <w:spacing w:val="-1"/>
          <w:sz w:val="12"/>
          <w:szCs w:val="12"/>
        </w:rPr>
        <w:t>年</w:t>
      </w:r>
      <w:r>
        <w:rPr>
          <w:rFonts w:ascii="SimSun" w:eastAsia="SimSun" w:hAnsi="SimSun" w:cs="SimSun"/>
          <w:color w:val="595959"/>
          <w:spacing w:val="2"/>
          <w:sz w:val="12"/>
          <w:szCs w:val="12"/>
        </w:rPr>
        <w:t xml:space="preserve">                       </w:t>
      </w:r>
      <w:r>
        <w:rPr>
          <w:rFonts w:ascii="SimSun" w:eastAsia="SimSun" w:hAnsi="SimSun" w:cs="SimSun"/>
          <w:color w:val="595959"/>
          <w:spacing w:val="1"/>
          <w:sz w:val="12"/>
          <w:szCs w:val="12"/>
        </w:rPr>
        <w:t xml:space="preserve">     </w:t>
      </w:r>
      <w:r>
        <w:rPr>
          <w:rFonts w:ascii="Times New Roman" w:eastAsia="Times New Roman" w:hAnsi="Times New Roman" w:cs="Times New Roman"/>
          <w:color w:val="595959"/>
          <w:spacing w:val="-1"/>
          <w:sz w:val="12"/>
          <w:szCs w:val="12"/>
        </w:rPr>
        <w:t>2021</w:t>
      </w:r>
      <w:r>
        <w:rPr>
          <w:rFonts w:ascii="SimSun" w:eastAsia="SimSun" w:hAnsi="SimSun" w:cs="SimSun"/>
          <w:color w:val="595959"/>
          <w:spacing w:val="-1"/>
          <w:sz w:val="12"/>
          <w:szCs w:val="12"/>
        </w:rPr>
        <w:t>年</w:t>
      </w:r>
      <w:r>
        <w:rPr>
          <w:rFonts w:ascii="SimSun" w:eastAsia="SimSun" w:hAnsi="SimSun" w:cs="SimSun"/>
          <w:color w:val="595959"/>
          <w:spacing w:val="1"/>
          <w:sz w:val="12"/>
          <w:szCs w:val="12"/>
        </w:rPr>
        <w:t xml:space="preserve">                            </w:t>
      </w:r>
      <w:r>
        <w:rPr>
          <w:rFonts w:ascii="Times New Roman" w:eastAsia="Times New Roman" w:hAnsi="Times New Roman" w:cs="Times New Roman"/>
          <w:color w:val="595959"/>
          <w:spacing w:val="-1"/>
          <w:sz w:val="12"/>
          <w:szCs w:val="12"/>
        </w:rPr>
        <w:t>2022</w:t>
      </w:r>
      <w:r>
        <w:rPr>
          <w:rFonts w:ascii="SimSun" w:eastAsia="SimSun" w:hAnsi="SimSun" w:cs="SimSun"/>
          <w:color w:val="595959"/>
          <w:spacing w:val="-1"/>
          <w:sz w:val="12"/>
          <w:szCs w:val="12"/>
        </w:rPr>
        <w:t>年</w:t>
      </w:r>
      <w:r>
        <w:rPr>
          <w:rFonts w:ascii="SimSun" w:eastAsia="SimSun" w:hAnsi="SimSun" w:cs="SimSun"/>
          <w:color w:val="595959"/>
          <w:spacing w:val="2"/>
          <w:sz w:val="12"/>
          <w:szCs w:val="12"/>
        </w:rPr>
        <w:t xml:space="preserve">                        </w:t>
      </w:r>
      <w:r>
        <w:rPr>
          <w:rFonts w:ascii="Times New Roman" w:eastAsia="Times New Roman" w:hAnsi="Times New Roman" w:cs="Times New Roman"/>
          <w:color w:val="595959"/>
          <w:spacing w:val="-1"/>
          <w:sz w:val="12"/>
          <w:szCs w:val="12"/>
        </w:rPr>
        <w:t>2023</w:t>
      </w:r>
      <w:r>
        <w:rPr>
          <w:rFonts w:ascii="SimSun" w:eastAsia="SimSun" w:hAnsi="SimSun" w:cs="SimSun"/>
          <w:color w:val="595959"/>
          <w:spacing w:val="-1"/>
          <w:sz w:val="12"/>
          <w:szCs w:val="12"/>
        </w:rPr>
        <w:t>年前三季度</w:t>
      </w:r>
    </w:p>
    <w:p>
      <w:pPr>
        <w:spacing w:line="66" w:lineRule="exact"/>
      </w:pPr>
    </w:p>
    <w:tbl>
      <w:tblPr>
        <w:tblStyle w:val="TableNormal2"/>
        <w:tblW w:w="7036" w:type="dxa"/>
        <w:tblInd w:w="722" w:type="dxa"/>
        <w:tblBorders>
          <w:top w:val="nil"/>
          <w:left w:val="nil"/>
          <w:bottom w:val="nil"/>
          <w:right w:val="nil"/>
          <w:insideH w:val="nil"/>
          <w:insideV w:val="nil"/>
        </w:tblBorders>
        <w:tblLayout w:type="fixed"/>
      </w:tblPr>
      <w:tblGrid>
        <w:gridCol w:w="3518"/>
        <w:gridCol w:w="3518"/>
      </w:tblGrid>
      <w:tr>
        <w:tblPrEx>
          <w:tblW w:w="7036" w:type="dxa"/>
          <w:tblInd w:w="722" w:type="dxa"/>
          <w:tblBorders>
            <w:top w:val="nil"/>
            <w:left w:val="nil"/>
            <w:bottom w:val="nil"/>
            <w:right w:val="nil"/>
            <w:insideH w:val="nil"/>
            <w:insideV w:val="nil"/>
          </w:tblBorders>
          <w:tblLayout w:type="fixed"/>
        </w:tblPrEx>
        <w:trPr>
          <w:trHeight w:val="176"/>
        </w:trPr>
        <w:tc>
          <w:tcPr>
            <w:tcW w:w="3518" w:type="dxa"/>
            <w:vAlign w:val="top"/>
          </w:tcPr>
          <w:p>
            <w:pPr>
              <w:pStyle w:val="TableText"/>
              <w:spacing w:line="201" w:lineRule="auto"/>
              <w:ind w:left="9"/>
            </w:pPr>
            <w:r>
              <w:rPr>
                <w:rFonts w:ascii="Arial" w:eastAsia="Arial" w:hAnsi="Arial" w:cs="Arial"/>
                <w:color w:val="C55A11"/>
                <w:spacing w:val="-2"/>
                <w:position w:val="2"/>
              </w:rPr>
              <w:t>______</w:t>
            </w:r>
            <w:r>
              <w:rPr>
                <w:rFonts w:ascii="Arial" w:eastAsia="Arial" w:hAnsi="Arial" w:cs="Arial"/>
                <w:color w:val="C55A11"/>
                <w:spacing w:val="28"/>
                <w:w w:val="101"/>
                <w:position w:val="2"/>
              </w:rPr>
              <w:t xml:space="preserve"> </w:t>
            </w:r>
            <w:r>
              <w:rPr>
                <w:color w:val="595959"/>
                <w:spacing w:val="-2"/>
              </w:rPr>
              <w:t>火电电源基本建设投资完成额</w:t>
            </w:r>
          </w:p>
        </w:tc>
        <w:tc>
          <w:tcPr>
            <w:tcW w:w="3518" w:type="dxa"/>
            <w:vAlign w:val="top"/>
          </w:tcPr>
          <w:p>
            <w:pPr>
              <w:pStyle w:val="TableText"/>
              <w:spacing w:line="201" w:lineRule="auto"/>
              <w:ind w:left="960"/>
            </w:pPr>
            <w:r>
              <w:rPr>
                <w:rFonts w:ascii="Arial" w:eastAsia="Arial" w:hAnsi="Arial" w:cs="Arial"/>
                <w:color w:val="92D050"/>
                <w:spacing w:val="-2"/>
                <w:position w:val="2"/>
              </w:rPr>
              <w:t>______</w:t>
            </w:r>
            <w:r>
              <w:rPr>
                <w:rFonts w:ascii="Arial" w:eastAsia="Arial" w:hAnsi="Arial" w:cs="Arial"/>
                <w:color w:val="92D050"/>
                <w:spacing w:val="28"/>
                <w:w w:val="102"/>
                <w:position w:val="2"/>
              </w:rPr>
              <w:t xml:space="preserve"> </w:t>
            </w:r>
            <w:r>
              <w:rPr>
                <w:color w:val="595959"/>
                <w:spacing w:val="-2"/>
              </w:rPr>
              <w:t>清洁电源基本建设投资完成额</w:t>
            </w:r>
          </w:p>
        </w:tc>
      </w:tr>
      <w:tr>
        <w:tblPrEx>
          <w:tblW w:w="7036" w:type="dxa"/>
          <w:tblInd w:w="722" w:type="dxa"/>
          <w:tblLayout w:type="fixed"/>
        </w:tblPrEx>
        <w:trPr>
          <w:trHeight w:val="184"/>
        </w:trPr>
        <w:tc>
          <w:tcPr>
            <w:tcW w:w="3518" w:type="dxa"/>
            <w:vAlign w:val="top"/>
          </w:tcPr>
          <w:p>
            <w:pPr>
              <w:pStyle w:val="TableText"/>
              <w:spacing w:before="56" w:line="181" w:lineRule="auto"/>
            </w:pPr>
            <w:r>
              <w:rPr>
                <w:color w:val="595959"/>
              </w:rPr>
              <w:drawing>
                <wp:inline distT="0" distB="0" distL="0" distR="0">
                  <wp:extent cx="256031" cy="1111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5"/>
                          <a:stretch>
                            <a:fillRect/>
                          </a:stretch>
                        </pic:blipFill>
                        <pic:spPr>
                          <a:xfrm>
                            <a:off x="0" y="0"/>
                            <a:ext cx="256031" cy="11114"/>
                          </a:xfrm>
                          <a:prstGeom prst="rect">
                            <a:avLst/>
                          </a:prstGeom>
                        </pic:spPr>
                      </pic:pic>
                    </a:graphicData>
                  </a:graphic>
                </wp:inline>
              </w:drawing>
            </w:r>
            <w:r>
              <w:rPr>
                <w:color w:val="595959"/>
                <w:spacing w:val="-16"/>
              </w:rPr>
              <w:t xml:space="preserve"> </w:t>
            </w:r>
            <w:r>
              <w:rPr>
                <w:color w:val="595959"/>
                <w:spacing w:val="-1"/>
              </w:rPr>
              <w:t>火电电源基本建设投资完成额同比</w:t>
            </w:r>
            <w:r>
              <w:rPr>
                <w:rFonts w:ascii="Times New Roman" w:eastAsia="Times New Roman" w:hAnsi="Times New Roman" w:cs="Times New Roman"/>
                <w:color w:val="595959"/>
                <w:spacing w:val="-1"/>
              </w:rPr>
              <w:t>(</w:t>
            </w:r>
            <w:r>
              <w:rPr>
                <w:color w:val="595959"/>
                <w:spacing w:val="-1"/>
              </w:rPr>
              <w:t>右轴）</w:t>
            </w:r>
          </w:p>
        </w:tc>
        <w:tc>
          <w:tcPr>
            <w:tcW w:w="3518" w:type="dxa"/>
            <w:vAlign w:val="top"/>
          </w:tcPr>
          <w:p>
            <w:pPr>
              <w:pStyle w:val="TableText"/>
              <w:spacing w:before="56" w:line="181" w:lineRule="auto"/>
              <w:jc w:val="right"/>
            </w:pPr>
            <w:r>
              <w:rPr>
                <w:color w:val="595959"/>
              </w:rPr>
              <w:drawing>
                <wp:inline distT="0" distB="0" distL="0" distR="0">
                  <wp:extent cx="250138" cy="1111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6"/>
                          <a:stretch>
                            <a:fillRect/>
                          </a:stretch>
                        </pic:blipFill>
                        <pic:spPr>
                          <a:xfrm>
                            <a:off x="0" y="0"/>
                            <a:ext cx="250138" cy="11114"/>
                          </a:xfrm>
                          <a:prstGeom prst="rect">
                            <a:avLst/>
                          </a:prstGeom>
                        </pic:spPr>
                      </pic:pic>
                    </a:graphicData>
                  </a:graphic>
                </wp:inline>
              </w:drawing>
            </w:r>
            <w:r>
              <w:rPr>
                <w:color w:val="595959"/>
                <w:spacing w:val="-12"/>
              </w:rPr>
              <w:t xml:space="preserve"> </w:t>
            </w:r>
            <w:r>
              <w:rPr>
                <w:color w:val="595959"/>
                <w:spacing w:val="-4"/>
              </w:rPr>
              <w:t>清洁电源基本建设投资完成额同比</w:t>
            </w:r>
            <w:r>
              <w:rPr>
                <w:rFonts w:ascii="Times New Roman" w:eastAsia="Times New Roman" w:hAnsi="Times New Roman" w:cs="Times New Roman"/>
                <w:color w:val="595959"/>
                <w:spacing w:val="-4"/>
              </w:rPr>
              <w:t>(</w:t>
            </w:r>
            <w:r>
              <w:rPr>
                <w:color w:val="595959"/>
                <w:spacing w:val="-4"/>
              </w:rPr>
              <w:t>右轴）</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spacing w:line="212" w:lineRule="exact"/>
        <w:ind w:left="109"/>
        <w:rPr>
          <w:rFonts w:ascii="Times New Roman" w:eastAsia="Times New Roman" w:hAnsi="Times New Roman" w:cs="Times New Roman"/>
          <w:sz w:val="12"/>
          <w:szCs w:val="12"/>
        </w:rPr>
      </w:pPr>
      <w:r>
        <w:rPr>
          <w:rFonts w:ascii="Times New Roman" w:eastAsia="Times New Roman" w:hAnsi="Times New Roman" w:cs="Times New Roman"/>
          <w:color w:val="595959"/>
          <w:spacing w:val="-1"/>
          <w:position w:val="9"/>
          <w:sz w:val="12"/>
          <w:szCs w:val="12"/>
        </w:rPr>
        <w:t>50.00</w:t>
      </w:r>
    </w:p>
    <w:p>
      <w:pPr>
        <w:spacing w:line="186" w:lineRule="auto"/>
        <w:ind w:left="105"/>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40.00</w:t>
      </w:r>
    </w:p>
    <w:p>
      <w:pPr>
        <w:spacing w:before="104"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30.00</w:t>
      </w:r>
    </w:p>
    <w:p>
      <w:pPr>
        <w:spacing w:before="104" w:line="186" w:lineRule="auto"/>
        <w:ind w:left="105"/>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20.00</w:t>
      </w:r>
    </w:p>
    <w:p>
      <w:pPr>
        <w:spacing w:before="105" w:line="186" w:lineRule="auto"/>
        <w:ind w:left="117"/>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w:t>
      </w:r>
    </w:p>
    <w:p>
      <w:pPr>
        <w:spacing w:before="104" w:line="186" w:lineRule="auto"/>
        <w:ind w:left="107"/>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before="105" w:line="211" w:lineRule="exact"/>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position w:val="9"/>
          <w:sz w:val="12"/>
          <w:szCs w:val="12"/>
        </w:rPr>
        <w:t>-10.00</w:t>
      </w:r>
    </w:p>
    <w:p>
      <w:pPr>
        <w:spacing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-20.00</w:t>
      </w:r>
    </w:p>
    <w:p>
      <w:pPr>
        <w:spacing w:before="105"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-30.00</w:t>
      </w:r>
    </w:p>
    <w:p>
      <w:pPr>
        <w:spacing w:before="105" w:line="186" w:lineRule="auto"/>
        <w:ind w:left="108"/>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-40.00</w:t>
      </w:r>
    </w:p>
    <w:p>
      <w:pPr>
        <w:spacing w:line="186" w:lineRule="auto"/>
        <w:rPr>
          <w:rFonts w:ascii="Times New Roman" w:eastAsia="Times New Roman" w:hAnsi="Times New Roman" w:cs="Times New Roman"/>
          <w:sz w:val="12"/>
          <w:szCs w:val="12"/>
        </w:rPr>
        <w:sectPr>
          <w:headerReference w:type="default" r:id="rId37"/>
          <w:footerReference w:type="default" r:id="rId38"/>
          <w:type w:val="continuous"/>
          <w:pgSz w:w="11907" w:h="16839"/>
          <w:pgMar w:top="1336" w:right="1000" w:bottom="1271" w:left="985" w:header="1148" w:footer="1077" w:gutter="0"/>
          <w:pgNumType w:start="11"/>
          <w:cols w:num="3" w:space="708" w:equalWidth="0">
            <w:col w:w="792" w:space="100"/>
            <w:col w:w="8309" w:space="0"/>
            <w:col w:w="720" w:space="0"/>
          </w:cols>
        </w:sectPr>
      </w:pPr>
    </w:p>
    <w:p>
      <w:pPr>
        <w:spacing w:line="251" w:lineRule="auto"/>
        <w:rPr>
          <w:rFonts w:ascii="Arial"/>
          <w:sz w:val="21"/>
        </w:rPr>
      </w:pPr>
    </w:p>
    <w:p>
      <w:pPr>
        <w:spacing w:before="49" w:line="221" w:lineRule="auto"/>
        <w:ind w:left="268"/>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line="268" w:lineRule="auto"/>
        <w:rPr>
          <w:rFonts w:ascii="Arial"/>
          <w:sz w:val="21"/>
        </w:rPr>
      </w:pPr>
    </w:p>
    <w:p>
      <w:pPr>
        <w:spacing w:before="78" w:line="220" w:lineRule="auto"/>
        <w:ind w:left="168"/>
        <w:rPr>
          <w:rFonts w:ascii="SimHei" w:eastAsia="SimHei" w:hAnsi="SimHei" w:cs="SimHei"/>
          <w:sz w:val="24"/>
          <w:szCs w:val="24"/>
        </w:rPr>
      </w:pPr>
      <w:r>
        <w:rPr>
          <w:rFonts w:ascii="SimHei" w:eastAsia="SimHei" w:hAnsi="SimHei" w:cs="SimHei"/>
          <w:spacing w:val="-6"/>
          <w:sz w:val="24"/>
          <w:szCs w:val="24"/>
        </w:rPr>
        <w:t>1.1</w:t>
      </w:r>
      <w:r>
        <w:rPr>
          <w:rFonts w:ascii="SimHei" w:eastAsia="SimHei" w:hAnsi="SimHei" w:cs="SimHei"/>
          <w:spacing w:val="-47"/>
          <w:sz w:val="24"/>
          <w:szCs w:val="24"/>
        </w:rPr>
        <w:t xml:space="preserve"> </w:t>
      </w:r>
      <w:r>
        <w:rPr>
          <w:rFonts w:ascii="SimHei" w:eastAsia="SimHei" w:hAnsi="SimHei" w:cs="SimHei"/>
          <w:spacing w:val="-6"/>
          <w:sz w:val="24"/>
          <w:szCs w:val="24"/>
        </w:rPr>
        <w:t>火电</w:t>
      </w:r>
    </w:p>
    <w:p>
      <w:pPr>
        <w:spacing w:line="437" w:lineRule="auto"/>
        <w:rPr>
          <w:rFonts w:ascii="Arial"/>
          <w:sz w:val="21"/>
        </w:rPr>
      </w:pPr>
    </w:p>
    <w:p>
      <w:pPr>
        <w:spacing w:before="69" w:line="270" w:lineRule="auto"/>
        <w:ind w:left="153" w:right="127" w:firstLine="6"/>
        <w:jc w:val="both"/>
        <w:rPr>
          <w:rFonts w:ascii="SimHei" w:eastAsia="SimHei" w:hAnsi="SimHei" w:cs="SimHei"/>
          <w:sz w:val="21"/>
          <w:szCs w:val="21"/>
        </w:rPr>
      </w:pPr>
      <w:r>
        <w:rPr>
          <w:rFonts w:ascii="SimHei" w:eastAsia="SimHei" w:hAnsi="SimHei" w:cs="SimHei"/>
          <w:spacing w:val="-2"/>
          <w:sz w:val="21"/>
          <w:szCs w:val="21"/>
        </w:rPr>
        <w:t>随着清洁电源装机规模不断增加，政策引导下火电需为清洁电力上网腾出空间，</w:t>
      </w:r>
      <w:r>
        <w:rPr>
          <w:rFonts w:ascii="SimHei" w:eastAsia="SimHei" w:hAnsi="SimHei" w:cs="SimHei"/>
          <w:spacing w:val="-32"/>
          <w:sz w:val="21"/>
          <w:szCs w:val="21"/>
        </w:rPr>
        <w:t xml:space="preserve"> </w:t>
      </w:r>
      <w:r>
        <w:rPr>
          <w:rFonts w:ascii="SimHei" w:eastAsia="SimHei" w:hAnsi="SimHei" w:cs="SimHei"/>
          <w:spacing w:val="-3"/>
          <w:sz w:val="21"/>
          <w:szCs w:val="21"/>
        </w:rPr>
        <w:t>火力发电设备利用小时数</w:t>
      </w:r>
      <w:r>
        <w:rPr>
          <w:rFonts w:ascii="SimHei" w:eastAsia="SimHei" w:hAnsi="SimHei" w:cs="SimHei"/>
          <w:sz w:val="21"/>
          <w:szCs w:val="21"/>
        </w:rPr>
        <w:t xml:space="preserve"> </w:t>
      </w:r>
      <w:r>
        <w:rPr>
          <w:rFonts w:ascii="SimHei" w:eastAsia="SimHei" w:hAnsi="SimHei" w:cs="SimHei"/>
          <w:spacing w:val="-2"/>
          <w:sz w:val="21"/>
          <w:szCs w:val="21"/>
        </w:rPr>
        <w:t>总体呈下降趋势。但火电仍承担保供兜底作用，在清洁电力出力不佳的情况下，</w:t>
      </w:r>
      <w:r>
        <w:rPr>
          <w:rFonts w:ascii="SimHei" w:eastAsia="SimHei" w:hAnsi="SimHei" w:cs="SimHei"/>
          <w:spacing w:val="-27"/>
          <w:sz w:val="21"/>
          <w:szCs w:val="21"/>
        </w:rPr>
        <w:t xml:space="preserve"> </w:t>
      </w:r>
      <w:r>
        <w:rPr>
          <w:rFonts w:ascii="SimHei" w:eastAsia="SimHei" w:hAnsi="SimHei" w:cs="SimHei"/>
          <w:spacing w:val="-2"/>
          <w:sz w:val="21"/>
          <w:szCs w:val="21"/>
        </w:rPr>
        <w:t>其机</w:t>
      </w:r>
      <w:r>
        <w:rPr>
          <w:rFonts w:ascii="SimHei" w:eastAsia="SimHei" w:hAnsi="SimHei" w:cs="SimHei"/>
          <w:spacing w:val="-3"/>
          <w:sz w:val="21"/>
          <w:szCs w:val="21"/>
        </w:rPr>
        <w:t>组利用小时数或逆势</w:t>
      </w:r>
      <w:r>
        <w:rPr>
          <w:rFonts w:ascii="SimHei" w:eastAsia="SimHei" w:hAnsi="SimHei" w:cs="SimHei"/>
          <w:sz w:val="21"/>
          <w:szCs w:val="21"/>
        </w:rPr>
        <w:t xml:space="preserve"> </w:t>
      </w:r>
      <w:r>
        <w:rPr>
          <w:rFonts w:ascii="SimHei" w:eastAsia="SimHei" w:hAnsi="SimHei" w:cs="SimHei"/>
          <w:spacing w:val="-4"/>
          <w:sz w:val="21"/>
          <w:szCs w:val="21"/>
        </w:rPr>
        <w:t>增加。</w:t>
      </w:r>
      <w:r>
        <w:rPr>
          <w:rFonts w:ascii="SimHei" w:eastAsia="SimHei" w:hAnsi="SimHei" w:cs="SimHei"/>
          <w:spacing w:val="-4"/>
          <w:sz w:val="21"/>
          <w:szCs w:val="21"/>
        </w:rPr>
        <w:t xml:space="preserve"> </w:t>
      </w:r>
      <w:r>
        <w:rPr>
          <w:rFonts w:ascii="SimHei" w:eastAsia="SimHei" w:hAnsi="SimHei" w:cs="SimHei"/>
          <w:spacing w:val="-4"/>
          <w:sz w:val="21"/>
          <w:szCs w:val="21"/>
        </w:rPr>
        <w:t>总体来看，火电机组利用小时数呈下降趋势但波动性将加大。</w:t>
      </w:r>
    </w:p>
    <w:p>
      <w:pPr>
        <w:spacing w:before="220" w:line="288" w:lineRule="auto"/>
        <w:ind w:left="154" w:right="127" w:firstLine="3"/>
        <w:jc w:val="both"/>
        <w:rPr>
          <w:rFonts w:ascii="SimSun" w:eastAsia="SimSun" w:hAnsi="SimSun" w:cs="SimSun"/>
          <w:sz w:val="21"/>
          <w:szCs w:val="21"/>
        </w:rPr>
      </w:pPr>
      <w:r>
        <w:rPr>
          <w:rFonts w:ascii="SimSun" w:eastAsia="SimSun" w:hAnsi="SimSun" w:cs="SimSun"/>
          <w:spacing w:val="-3"/>
          <w:sz w:val="21"/>
          <w:szCs w:val="21"/>
        </w:rPr>
        <w:t>从发电效率来看，受清洁能源上网电量挤占等因素影响， 火力发电设备利用小时数下降拉低行业整体发电</w:t>
      </w:r>
      <w:r>
        <w:rPr>
          <w:rFonts w:ascii="SimSun" w:eastAsia="SimSun" w:hAnsi="SimSun" w:cs="SimSun"/>
          <w:spacing w:val="9"/>
          <w:sz w:val="21"/>
          <w:szCs w:val="21"/>
        </w:rPr>
        <w:t xml:space="preserve"> </w:t>
      </w:r>
      <w:r>
        <w:rPr>
          <w:rFonts w:ascii="SimSun" w:eastAsia="SimSun" w:hAnsi="SimSun" w:cs="SimSun"/>
          <w:spacing w:val="-3"/>
          <w:sz w:val="21"/>
          <w:szCs w:val="21"/>
        </w:rPr>
        <w:t xml:space="preserve">设备利用率总体呈下滑趋势，自 </w:t>
      </w:r>
      <w:r>
        <w:rPr>
          <w:rFonts w:ascii="Times New Roman" w:eastAsia="Times New Roman" w:hAnsi="Times New Roman" w:cs="Times New Roman"/>
          <w:spacing w:val="-3"/>
          <w:sz w:val="21"/>
          <w:szCs w:val="21"/>
        </w:rPr>
        <w:t xml:space="preserve">2015 </w:t>
      </w:r>
      <w:r>
        <w:rPr>
          <w:rFonts w:ascii="SimSun" w:eastAsia="SimSun" w:hAnsi="SimSun" w:cs="SimSun"/>
          <w:spacing w:val="-3"/>
          <w:sz w:val="21"/>
          <w:szCs w:val="21"/>
        </w:rPr>
        <w:t>年起，</w:t>
      </w:r>
      <w:r>
        <w:rPr>
          <w:rFonts w:ascii="SimSun" w:eastAsia="SimSun" w:hAnsi="SimSun" w:cs="SimSun"/>
          <w:spacing w:val="-29"/>
          <w:sz w:val="21"/>
          <w:szCs w:val="21"/>
        </w:rPr>
        <w:t xml:space="preserve"> </w:t>
      </w:r>
      <w:r>
        <w:rPr>
          <w:rFonts w:ascii="SimSun" w:eastAsia="SimSun" w:hAnsi="SimSun" w:cs="SimSun"/>
          <w:spacing w:val="-3"/>
          <w:sz w:val="21"/>
          <w:szCs w:val="21"/>
        </w:rPr>
        <w:t>全国发电设备平均利</w:t>
      </w:r>
      <w:r>
        <w:rPr>
          <w:rFonts w:ascii="SimSun" w:eastAsia="SimSun" w:hAnsi="SimSun" w:cs="SimSun"/>
          <w:spacing w:val="-4"/>
          <w:sz w:val="21"/>
          <w:szCs w:val="21"/>
        </w:rPr>
        <w:t>用小时数降至</w:t>
      </w:r>
      <w:r>
        <w:rPr>
          <w:rFonts w:ascii="SimSun" w:eastAsia="SimSun" w:hAnsi="SimSun" w:cs="SimSun"/>
          <w:spacing w:val="-49"/>
          <w:sz w:val="21"/>
          <w:szCs w:val="21"/>
        </w:rPr>
        <w:t xml:space="preserve"> </w:t>
      </w:r>
      <w:r>
        <w:rPr>
          <w:rFonts w:ascii="Times New Roman" w:eastAsia="Times New Roman" w:hAnsi="Times New Roman" w:cs="Times New Roman"/>
          <w:spacing w:val="-4"/>
          <w:sz w:val="21"/>
          <w:szCs w:val="21"/>
        </w:rPr>
        <w:t>4000</w:t>
      </w:r>
      <w:r>
        <w:rPr>
          <w:rFonts w:ascii="Times New Roman" w:eastAsia="Times New Roman" w:hAnsi="Times New Roman" w:cs="Times New Roman"/>
          <w:spacing w:val="14"/>
          <w:sz w:val="21"/>
          <w:szCs w:val="21"/>
        </w:rPr>
        <w:t xml:space="preserve"> </w:t>
      </w:r>
      <w:r>
        <w:rPr>
          <w:rFonts w:ascii="SimSun" w:eastAsia="SimSun" w:hAnsi="SimSun" w:cs="SimSun"/>
          <w:spacing w:val="-4"/>
          <w:sz w:val="21"/>
          <w:szCs w:val="21"/>
        </w:rPr>
        <w:t>小时以内。火电设备</w:t>
      </w:r>
      <w:r>
        <w:rPr>
          <w:rFonts w:ascii="SimSun" w:eastAsia="SimSun" w:hAnsi="SimSun" w:cs="SimSun"/>
          <w:sz w:val="21"/>
          <w:szCs w:val="21"/>
        </w:rPr>
        <w:t xml:space="preserve"> </w:t>
      </w:r>
      <w:r>
        <w:rPr>
          <w:rFonts w:ascii="SimSun" w:eastAsia="SimSun" w:hAnsi="SimSun" w:cs="SimSun"/>
          <w:spacing w:val="-3"/>
          <w:sz w:val="21"/>
          <w:szCs w:val="21"/>
        </w:rPr>
        <w:t>利用小时数基本介于</w:t>
      </w:r>
      <w:r>
        <w:rPr>
          <w:rFonts w:ascii="SimSun" w:eastAsia="SimSun" w:hAnsi="SimSun" w:cs="SimSun"/>
          <w:spacing w:val="-25"/>
          <w:sz w:val="21"/>
          <w:szCs w:val="21"/>
        </w:rPr>
        <w:t xml:space="preserve"> </w:t>
      </w:r>
      <w:r>
        <w:rPr>
          <w:rFonts w:ascii="Times New Roman" w:eastAsia="Times New Roman" w:hAnsi="Times New Roman" w:cs="Times New Roman"/>
          <w:spacing w:val="-3"/>
          <w:sz w:val="21"/>
          <w:szCs w:val="21"/>
        </w:rPr>
        <w:t>4200-4300</w:t>
      </w:r>
      <w:r>
        <w:rPr>
          <w:rFonts w:ascii="Times New Roman" w:eastAsia="Times New Roman" w:hAnsi="Times New Roman" w:cs="Times New Roman"/>
          <w:spacing w:val="20"/>
          <w:sz w:val="21"/>
          <w:szCs w:val="21"/>
        </w:rPr>
        <w:t xml:space="preserve"> </w:t>
      </w:r>
      <w:r>
        <w:rPr>
          <w:rFonts w:ascii="SimSun" w:eastAsia="SimSun" w:hAnsi="SimSun" w:cs="SimSun"/>
          <w:spacing w:val="-3"/>
          <w:sz w:val="21"/>
          <w:szCs w:val="21"/>
        </w:rPr>
        <w:t>小时，处于历史偏低水平， 但仍略高于整体发电设备平均利用小时数，且</w:t>
      </w:r>
      <w:r>
        <w:rPr>
          <w:rFonts w:ascii="SimSun" w:eastAsia="SimSun" w:hAnsi="SimSun" w:cs="SimSun"/>
          <w:sz w:val="21"/>
          <w:szCs w:val="21"/>
        </w:rPr>
        <w:t xml:space="preserve"> </w:t>
      </w:r>
      <w:r>
        <w:rPr>
          <w:rFonts w:ascii="SimSun" w:eastAsia="SimSun" w:hAnsi="SimSun" w:cs="SimSun"/>
          <w:spacing w:val="-1"/>
          <w:sz w:val="21"/>
          <w:szCs w:val="21"/>
        </w:rPr>
        <w:t>在来水偏枯或者其他清洁电源出力不足等情况下有</w:t>
      </w:r>
      <w:r>
        <w:rPr>
          <w:rFonts w:ascii="SimSun" w:eastAsia="SimSun" w:hAnsi="SimSun" w:cs="SimSun"/>
          <w:spacing w:val="-2"/>
          <w:sz w:val="21"/>
          <w:szCs w:val="21"/>
        </w:rPr>
        <w:t>所上升。</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年前三季度，火电机组利用小时数在全国</w:t>
      </w:r>
      <w:r>
        <w:rPr>
          <w:rFonts w:ascii="SimSun" w:eastAsia="SimSun" w:hAnsi="SimSun" w:cs="SimSun"/>
          <w:sz w:val="21"/>
          <w:szCs w:val="21"/>
        </w:rPr>
        <w:t xml:space="preserve"> </w:t>
      </w:r>
      <w:r>
        <w:rPr>
          <w:rFonts w:ascii="SimSun" w:eastAsia="SimSun" w:hAnsi="SimSun" w:cs="SimSun"/>
          <w:spacing w:val="-3"/>
          <w:sz w:val="21"/>
          <w:szCs w:val="21"/>
        </w:rPr>
        <w:t>发电设备平均利用小时数同比减少</w:t>
      </w:r>
      <w:r>
        <w:rPr>
          <w:rFonts w:ascii="SimSun" w:eastAsia="SimSun" w:hAnsi="SimSun" w:cs="SimSun"/>
          <w:spacing w:val="-39"/>
          <w:sz w:val="21"/>
          <w:szCs w:val="21"/>
        </w:rPr>
        <w:t xml:space="preserve"> </w:t>
      </w:r>
      <w:r>
        <w:rPr>
          <w:rFonts w:ascii="Times New Roman" w:eastAsia="Times New Roman" w:hAnsi="Times New Roman" w:cs="Times New Roman"/>
          <w:spacing w:val="-3"/>
          <w:sz w:val="21"/>
          <w:szCs w:val="21"/>
        </w:rPr>
        <w:t>83</w:t>
      </w:r>
      <w:r>
        <w:rPr>
          <w:rFonts w:ascii="Times New Roman" w:eastAsia="Times New Roman" w:hAnsi="Times New Roman" w:cs="Times New Roman"/>
          <w:spacing w:val="14"/>
          <w:w w:val="101"/>
          <w:sz w:val="21"/>
          <w:szCs w:val="21"/>
        </w:rPr>
        <w:t xml:space="preserve"> </w:t>
      </w:r>
      <w:r>
        <w:rPr>
          <w:rFonts w:ascii="SimSun" w:eastAsia="SimSun" w:hAnsi="SimSun" w:cs="SimSun"/>
          <w:spacing w:val="-3"/>
          <w:sz w:val="21"/>
          <w:szCs w:val="21"/>
        </w:rPr>
        <w:t>小时的情况下逆势增加</w:t>
      </w:r>
      <w:r>
        <w:rPr>
          <w:rFonts w:ascii="SimSun" w:eastAsia="SimSun" w:hAnsi="SimSun" w:cs="SimSun"/>
          <w:spacing w:val="-49"/>
          <w:sz w:val="21"/>
          <w:szCs w:val="21"/>
        </w:rPr>
        <w:t xml:space="preserve"> </w:t>
      </w:r>
      <w:r>
        <w:rPr>
          <w:rFonts w:ascii="Times New Roman" w:eastAsia="Times New Roman" w:hAnsi="Times New Roman" w:cs="Times New Roman"/>
          <w:spacing w:val="-3"/>
          <w:sz w:val="21"/>
          <w:szCs w:val="21"/>
        </w:rPr>
        <w:t>49</w:t>
      </w:r>
      <w:r>
        <w:rPr>
          <w:rFonts w:ascii="Times New Roman" w:eastAsia="Times New Roman" w:hAnsi="Times New Roman" w:cs="Times New Roman"/>
          <w:spacing w:val="14"/>
          <w:sz w:val="21"/>
          <w:szCs w:val="21"/>
        </w:rPr>
        <w:t xml:space="preserve"> </w:t>
      </w:r>
      <w:r>
        <w:rPr>
          <w:rFonts w:ascii="SimSun" w:eastAsia="SimSun" w:hAnsi="SimSun" w:cs="SimSun"/>
          <w:spacing w:val="-3"/>
          <w:sz w:val="21"/>
          <w:szCs w:val="21"/>
        </w:rPr>
        <w:t>小时，</w:t>
      </w:r>
      <w:r>
        <w:rPr>
          <w:rFonts w:ascii="SimSun" w:eastAsia="SimSun" w:hAnsi="SimSun" w:cs="SimSun"/>
          <w:spacing w:val="-32"/>
          <w:sz w:val="21"/>
          <w:szCs w:val="21"/>
        </w:rPr>
        <w:t xml:space="preserve"> </w:t>
      </w:r>
      <w:r>
        <w:rPr>
          <w:rFonts w:ascii="SimSun" w:eastAsia="SimSun" w:hAnsi="SimSun" w:cs="SimSun"/>
          <w:spacing w:val="-3"/>
          <w:sz w:val="21"/>
          <w:szCs w:val="21"/>
        </w:rPr>
        <w:t>基础能源地位更加凸显。未</w:t>
      </w:r>
      <w:r>
        <w:rPr>
          <w:rFonts w:ascii="SimSun" w:eastAsia="SimSun" w:hAnsi="SimSun" w:cs="SimSun"/>
          <w:spacing w:val="-4"/>
          <w:sz w:val="21"/>
          <w:szCs w:val="21"/>
        </w:rPr>
        <w:t>来随着</w:t>
      </w:r>
      <w:r>
        <w:rPr>
          <w:rFonts w:ascii="SimSun" w:eastAsia="SimSun" w:hAnsi="SimSun" w:cs="SimSun"/>
          <w:sz w:val="21"/>
          <w:szCs w:val="21"/>
        </w:rPr>
        <w:t xml:space="preserve"> </w:t>
      </w:r>
      <w:r>
        <w:rPr>
          <w:rFonts w:ascii="SimSun" w:eastAsia="SimSun" w:hAnsi="SimSun" w:cs="SimSun"/>
          <w:spacing w:val="-2"/>
          <w:sz w:val="21"/>
          <w:szCs w:val="21"/>
        </w:rPr>
        <w:t>电网的完善及清洁电源的不断发展，</w:t>
      </w:r>
      <w:r>
        <w:rPr>
          <w:rFonts w:ascii="SimSun" w:eastAsia="SimSun" w:hAnsi="SimSun" w:cs="SimSun"/>
          <w:spacing w:val="-34"/>
          <w:sz w:val="21"/>
          <w:szCs w:val="21"/>
        </w:rPr>
        <w:t xml:space="preserve"> </w:t>
      </w:r>
      <w:r>
        <w:rPr>
          <w:rFonts w:ascii="SimSun" w:eastAsia="SimSun" w:hAnsi="SimSun" w:cs="SimSun"/>
          <w:spacing w:val="-2"/>
          <w:sz w:val="21"/>
          <w:szCs w:val="21"/>
        </w:rPr>
        <w:t>火电定位将逐步由主体电源向基础性电源转变，更多地参与调</w:t>
      </w:r>
      <w:r>
        <w:rPr>
          <w:rFonts w:ascii="SimSun" w:eastAsia="SimSun" w:hAnsi="SimSun" w:cs="SimSun"/>
          <w:spacing w:val="-3"/>
          <w:sz w:val="21"/>
          <w:szCs w:val="21"/>
        </w:rPr>
        <w:t>峰调频</w:t>
      </w:r>
      <w:r>
        <w:rPr>
          <w:rFonts w:ascii="SimSun" w:eastAsia="SimSun" w:hAnsi="SimSun" w:cs="SimSun"/>
          <w:sz w:val="21"/>
          <w:szCs w:val="21"/>
        </w:rPr>
        <w:t xml:space="preserve"> </w:t>
      </w:r>
      <w:r>
        <w:rPr>
          <w:rFonts w:ascii="SimSun" w:eastAsia="SimSun" w:hAnsi="SimSun" w:cs="SimSun"/>
          <w:spacing w:val="-3"/>
          <w:sz w:val="21"/>
          <w:szCs w:val="21"/>
        </w:rPr>
        <w:t>服务， 发挥兜底保供作用，火电机组平均利用小时数将进一步降低但波动加大。</w:t>
      </w:r>
    </w:p>
    <w:p>
      <w:pPr>
        <w:spacing w:before="142" w:line="218" w:lineRule="auto"/>
        <w:ind w:left="316"/>
        <w:rPr>
          <w:rFonts w:ascii="SimHei" w:eastAsia="SimHei" w:hAnsi="SimHei" w:cs="SimHei"/>
          <w:sz w:val="18"/>
          <w:szCs w:val="18"/>
        </w:rPr>
        <w:sectPr>
          <w:headerReference w:type="default" r:id="rId39"/>
          <w:footerReference w:type="default" r:id="rId40"/>
          <w:type w:val="continuous"/>
          <w:pgSz w:w="11907" w:h="16839"/>
          <w:pgMar w:top="1336" w:right="1000" w:bottom="1271" w:left="985" w:header="1148" w:footer="1077" w:gutter="0"/>
          <w:pgNumType w:start="12"/>
          <w:cols w:num="1" w:space="708" w:equalWidth="0">
            <w:col w:w="9921" w:space="0"/>
          </w:cols>
        </w:sectPr>
      </w:pPr>
      <w:r>
        <w:rPr>
          <w:rFonts w:ascii="SimHei" w:eastAsia="SimHei" w:hAnsi="SimHei" w:cs="SimHei"/>
          <w:spacing w:val="-6"/>
          <w:sz w:val="18"/>
          <w:szCs w:val="18"/>
        </w:rPr>
        <w:t>图表</w:t>
      </w:r>
      <w:r>
        <w:rPr>
          <w:rFonts w:ascii="SimHei" w:eastAsia="SimHei" w:hAnsi="SimHei" w:cs="SimHei"/>
          <w:spacing w:val="-33"/>
          <w:sz w:val="18"/>
          <w:szCs w:val="18"/>
        </w:rPr>
        <w:t xml:space="preserve"> </w:t>
      </w:r>
      <w:r>
        <w:rPr>
          <w:rFonts w:ascii="Times New Roman" w:eastAsia="Times New Roman" w:hAnsi="Times New Roman" w:cs="Times New Roman"/>
          <w:spacing w:val="-6"/>
          <w:sz w:val="18"/>
          <w:szCs w:val="18"/>
        </w:rPr>
        <w:t>4.</w:t>
      </w:r>
      <w:r>
        <w:rPr>
          <w:rFonts w:ascii="Times New Roman" w:eastAsia="Times New Roman" w:hAnsi="Times New Roman" w:cs="Times New Roman"/>
          <w:spacing w:val="12"/>
          <w:sz w:val="18"/>
          <w:szCs w:val="18"/>
        </w:rPr>
        <w:t xml:space="preserve">   </w:t>
      </w:r>
      <w:r>
        <w:rPr>
          <w:rFonts w:ascii="SimHei" w:eastAsia="SimHei" w:hAnsi="SimHei" w:cs="SimHei"/>
          <w:spacing w:val="-6"/>
          <w:sz w:val="18"/>
          <w:szCs w:val="18"/>
        </w:rPr>
        <w:t>我国火电及全部发电设备平均利用小时数</w:t>
      </w:r>
      <w:r>
        <w:rPr>
          <w:rFonts w:ascii="SimHei" w:eastAsia="SimHei" w:hAnsi="SimHei" w:cs="SimHei"/>
          <w:spacing w:val="-38"/>
          <w:sz w:val="18"/>
          <w:szCs w:val="18"/>
        </w:rPr>
        <w:t xml:space="preserve"> </w:t>
      </w:r>
      <w:r>
        <w:rPr>
          <w:rFonts w:ascii="SimHei" w:eastAsia="SimHei" w:hAnsi="SimHei" w:cs="SimHei"/>
          <w:spacing w:val="-6"/>
          <w:sz w:val="18"/>
          <w:szCs w:val="18"/>
        </w:rPr>
        <w:t>（单位：</w:t>
      </w:r>
      <w:r>
        <w:rPr>
          <w:rFonts w:ascii="SimHei" w:eastAsia="SimHei" w:hAnsi="SimHei" w:cs="SimHei"/>
          <w:spacing w:val="-6"/>
          <w:sz w:val="18"/>
          <w:szCs w:val="18"/>
        </w:rPr>
        <w:t xml:space="preserve"> </w:t>
      </w:r>
      <w:r>
        <w:rPr>
          <w:rFonts w:ascii="SimHei" w:eastAsia="SimHei" w:hAnsi="SimHei" w:cs="SimHei"/>
          <w:spacing w:val="-6"/>
          <w:sz w:val="18"/>
          <w:szCs w:val="18"/>
        </w:rPr>
        <w:t>小时）</w:t>
      </w:r>
    </w:p>
    <w:p>
      <w:pPr>
        <w:spacing w:line="203" w:lineRule="exact"/>
      </w:pPr>
    </w:p>
    <w:p>
      <w:pPr>
        <w:spacing w:line="203" w:lineRule="exact"/>
        <w:sectPr>
          <w:headerReference w:type="default" r:id="rId41"/>
          <w:footerReference w:type="default" r:id="rId42"/>
          <w:type w:val="nextPage"/>
          <w:pgSz w:w="11907" w:h="16839"/>
          <w:pgMar w:top="1336" w:right="1000" w:bottom="1271" w:left="985" w:header="1148" w:footer="1077" w:gutter="0"/>
          <w:pgNumType w:start="13"/>
          <w:cols w:num="1" w:space="708" w:equalWidth="0">
            <w:col w:w="9921" w:space="0"/>
          </w:cols>
          <w:titlePg w:val="0"/>
        </w:sectPr>
      </w:pPr>
    </w:p>
    <w:p>
      <w:pPr>
        <w:spacing w:line="502" w:lineRule="auto"/>
        <w:ind w:left="302" w:right="17" w:firstLine="3"/>
        <w:jc w:val="both"/>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5,500.00</w:t>
      </w:r>
      <w:r>
        <w:rPr>
          <w:rFonts w:ascii="Times New Roman" w:eastAsia="Times New Roman" w:hAnsi="Times New Roman" w:cs="Times New Roman"/>
          <w:color w:val="595959"/>
          <w:spacing w:val="1"/>
          <w:sz w:val="12"/>
          <w:szCs w:val="12"/>
        </w:rPr>
        <w:t xml:space="preserve"> </w:t>
      </w:r>
      <w:r>
        <w:rPr>
          <w:rFonts w:ascii="Times New Roman" w:eastAsia="Times New Roman" w:hAnsi="Times New Roman" w:cs="Times New Roman"/>
          <w:color w:val="595959"/>
          <w:spacing w:val="-1"/>
          <w:sz w:val="12"/>
          <w:szCs w:val="12"/>
        </w:rPr>
        <w:t>5,000.00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4,500.00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4,000.00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3,500.00</w:t>
      </w:r>
      <w:r>
        <w:rPr>
          <w:rFonts w:ascii="Times New Roman" w:eastAsia="Times New Roman" w:hAnsi="Times New Roman" w:cs="Times New Roman"/>
          <w:color w:val="595959"/>
          <w:spacing w:val="5"/>
          <w:sz w:val="12"/>
          <w:szCs w:val="12"/>
        </w:rPr>
        <w:t xml:space="preserve"> </w:t>
      </w:r>
      <w:r>
        <w:rPr>
          <w:rFonts w:ascii="Times New Roman" w:eastAsia="Times New Roman" w:hAnsi="Times New Roman" w:cs="Times New Roman"/>
          <w:color w:val="595959"/>
          <w:spacing w:val="-1"/>
          <w:sz w:val="12"/>
          <w:szCs w:val="12"/>
        </w:rPr>
        <w:t>3,000.00</w:t>
      </w:r>
    </w:p>
    <w:p>
      <w:pPr>
        <w:spacing w:line="200" w:lineRule="auto"/>
        <w:ind w:right="16"/>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2,500.00</w:t>
      </w:r>
    </w:p>
    <w:p>
      <w:pPr>
        <w:spacing w:line="14" w:lineRule="auto"/>
        <w:rPr>
          <w:rFonts w:ascii="Arial"/>
          <w:sz w:val="2"/>
        </w:rPr>
      </w:pPr>
      <w:r>
        <w:rPr>
          <w:rFonts w:ascii="Arial" w:eastAsia="Arial" w:hAnsi="Arial" w:cs="Arial"/>
          <w:sz w:val="2"/>
          <w:szCs w:val="2"/>
        </w:rPr>
        <w:br w:type="column"/>
      </w:r>
    </w:p>
    <w:p>
      <w:pPr>
        <w:spacing w:before="146" w:line="1512" w:lineRule="exact"/>
        <w:ind w:firstLine="15"/>
      </w:pPr>
      <w:r>
        <w:rPr>
          <w:position w:val="-30"/>
        </w:rPr>
        <w:pict>
          <v:group id="_x0000_i1053" style="width:433.95pt;height:75.6pt;mso-position-horizontal-relative:char;mso-position-vertical-relative:line" coordorigin="0,0" coordsize="8679,1511" filled="f" stroked="f">
            <v:shape id="_x0000_s1054" style="width:8679;height:1169;position:absolute;top:177" coordorigin="0,0" coordsize="8679,1169" path="m,1161l8678,1161m,873l8678,873m,583l8678,583m,295l8678,295m,7l8678,7e" filled="f" strokecolor="#d9d9d9" strokeweight="0.72pt"/>
            <v:shape id="_x0000_s1055" style="width:8187;height:1180;left:244;position:absolute;top:331" coordorigin="0,0" coordsize="8187,1180" path="m9,57l520,115l1029,55l1540,9l2051,96l2563,136l3072,247l3583,436l4094,554l4603,554l5114,511l5625,530l6134,571l6645,535l7156,612l7667,1171l8176,1123e" filled="f" strokecolor="black" strokeweight="0.96pt">
              <v:stroke endcap="round"/>
            </v:shape>
            <v:shape id="_x0000_s1056" style="width:8187;height:1179;left:244;position:absolute" coordorigin="0,0" coordsize="8187,1179" path="m9,252l520,261l1029,168l1540,9l2051,194l2563,177l3072,336l3583,552l4094,667l4603,640l5114,554l5625,585l6134,638l6645,504l7156,542l7667,1140l8176,1168e" filled="f" strokecolor="#ed7d31" strokeweight="0.96pt">
              <v:stroke endcap="round"/>
            </v:shape>
            <w10:wrap type="none"/>
          </v:group>
        </w:pict>
      </w:r>
    </w:p>
    <w:p>
      <w:pPr>
        <w:spacing w:before="224" w:line="300" w:lineRule="exact"/>
        <w:ind w:firstLine="1531"/>
      </w:pPr>
      <w:r>
        <w:rPr>
          <w:position w:val="-6"/>
        </w:rPr>
        <w:drawing>
          <wp:inline distT="0" distB="0" distL="0" distR="0">
            <wp:extent cx="1149730" cy="1905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3"/>
                    <a:stretch>
                      <a:fillRect/>
                    </a:stretch>
                  </pic:blipFill>
                  <pic:spPr>
                    <a:xfrm>
                      <a:off x="0" y="0"/>
                      <a:ext cx="1149730" cy="190500"/>
                    </a:xfrm>
                    <a:prstGeom prst="rect">
                      <a:avLst/>
                    </a:prstGeom>
                  </pic:spPr>
                </pic:pic>
              </a:graphicData>
            </a:graphic>
          </wp:inline>
        </w:drawing>
      </w:r>
    </w:p>
    <w:p>
      <w:pPr>
        <w:tabs>
          <w:tab w:val="left" w:pos="1563"/>
        </w:tabs>
        <w:spacing w:before="221" w:line="198" w:lineRule="auto"/>
        <w:ind w:left="1159"/>
        <w:rPr>
          <w:rFonts w:ascii="SimSun" w:eastAsia="SimSun" w:hAnsi="SimSun" w:cs="SimSun"/>
          <w:sz w:val="12"/>
          <w:szCs w:val="12"/>
        </w:rPr>
      </w:pPr>
      <w:r>
        <w:pict>
          <v:shape id="_x0000_s1057" type="#_x0000_t202" style="width:73.75pt;height:9.15pt;margin-top:10.04pt;margin-left:247.1pt;position:absolute;z-index:251688960" filled="f" stroked="f">
            <o:lock v:ext="edit" aspectratio="f"/>
            <v:textbox inset="0,0,0,0">
              <w:txbxContent>
                <w:p>
                  <w:pPr>
                    <w:spacing w:before="19" w:line="220" w:lineRule="auto"/>
                    <w:ind w:left="20"/>
                    <w:rPr>
                      <w:rFonts w:ascii="SimSun" w:eastAsia="SimSun" w:hAnsi="SimSun" w:cs="SimSun"/>
                      <w:sz w:val="12"/>
                      <w:szCs w:val="12"/>
                    </w:rPr>
                  </w:pPr>
                  <w:r>
                    <w:rPr>
                      <w:rFonts w:ascii="SimSun" w:eastAsia="SimSun" w:hAnsi="SimSun" w:cs="SimSun"/>
                      <w:color w:val="595959"/>
                      <w:spacing w:val="-1"/>
                      <w:sz w:val="12"/>
                      <w:szCs w:val="12"/>
                    </w:rPr>
                    <w:t>火电发电设备平均利用小时</w:t>
                  </w:r>
                </w:p>
              </w:txbxContent>
            </v:textbox>
          </v:shape>
        </w:pict>
      </w:r>
      <w:r>
        <w:rPr>
          <w:rFonts w:ascii="SimSun" w:eastAsia="SimSun" w:hAnsi="SimSun" w:cs="SimSun"/>
          <w:strike/>
          <w:color w:val="595959"/>
          <w:sz w:val="12"/>
          <w:szCs w:val="12"/>
        </w:rPr>
        <w:tab/>
      </w:r>
      <w:r>
        <w:rPr>
          <w:rFonts w:ascii="SimSun" w:eastAsia="SimSun" w:hAnsi="SimSun" w:cs="SimSun"/>
          <w:color w:val="595959"/>
          <w:spacing w:val="-16"/>
          <w:sz w:val="12"/>
          <w:szCs w:val="12"/>
        </w:rPr>
        <w:t xml:space="preserve"> </w:t>
      </w:r>
      <w:r>
        <w:rPr>
          <w:rFonts w:ascii="SimSun" w:eastAsia="SimSun" w:hAnsi="SimSun" w:cs="SimSun"/>
          <w:color w:val="595959"/>
          <w:spacing w:val="-1"/>
          <w:sz w:val="12"/>
          <w:szCs w:val="12"/>
        </w:rPr>
        <w:t>发电设备平均利用小时</w:t>
      </w:r>
      <w:r>
        <w:rPr>
          <w:rFonts w:ascii="Times New Roman" w:eastAsia="Times New Roman" w:hAnsi="Times New Roman" w:cs="Times New Roman"/>
          <w:color w:val="595959"/>
          <w:spacing w:val="-1"/>
          <w:sz w:val="12"/>
          <w:szCs w:val="12"/>
        </w:rPr>
        <w:t>:</w:t>
      </w:r>
      <w:r>
        <w:rPr>
          <w:rFonts w:ascii="SimSun" w:eastAsia="SimSun" w:hAnsi="SimSun" w:cs="SimSun"/>
          <w:color w:val="595959"/>
          <w:spacing w:val="-1"/>
          <w:sz w:val="12"/>
          <w:szCs w:val="12"/>
        </w:rPr>
        <w:t>累计值</w:t>
      </w:r>
    </w:p>
    <w:p>
      <w:pPr>
        <w:spacing w:line="198" w:lineRule="auto"/>
        <w:rPr>
          <w:rFonts w:ascii="SimSun" w:eastAsia="SimSun" w:hAnsi="SimSun" w:cs="SimSun"/>
          <w:sz w:val="12"/>
          <w:szCs w:val="12"/>
        </w:rPr>
        <w:sectPr>
          <w:headerReference w:type="default" r:id="rId44"/>
          <w:footerReference w:type="default" r:id="rId45"/>
          <w:type w:val="continuous"/>
          <w:pgSz w:w="11907" w:h="16839"/>
          <w:pgMar w:top="1336" w:right="1000" w:bottom="1271" w:left="985" w:header="1148" w:footer="1077" w:gutter="0"/>
          <w:pgNumType w:start="14"/>
          <w:cols w:num="2" w:space="708" w:equalWidth="0">
            <w:col w:w="738" w:space="100"/>
            <w:col w:w="9083" w:space="0"/>
          </w:cols>
        </w:sectPr>
      </w:pPr>
    </w:p>
    <w:p>
      <w:pPr>
        <w:spacing w:before="242" w:line="186" w:lineRule="auto"/>
        <w:ind w:left="268"/>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line="186" w:lineRule="auto"/>
        <w:rPr>
          <w:rFonts w:ascii="SimSun" w:eastAsia="SimSun" w:hAnsi="SimSun" w:cs="SimSun"/>
          <w:sz w:val="15"/>
          <w:szCs w:val="15"/>
        </w:rPr>
        <w:sectPr>
          <w:headerReference w:type="default" r:id="rId46"/>
          <w:footerReference w:type="default" r:id="rId47"/>
          <w:type w:val="continuous"/>
          <w:pgSz w:w="11907" w:h="16839"/>
          <w:pgMar w:top="1336" w:right="1000" w:bottom="1271" w:left="985" w:header="1148" w:footer="1077" w:gutter="0"/>
          <w:pgNumType w:start="15"/>
          <w:cols w:num="1" w:space="708" w:equalWidth="0">
            <w:col w:w="9921" w:space="0"/>
          </w:cols>
        </w:sectPr>
      </w:pPr>
    </w:p>
    <w:p>
      <w:pPr>
        <w:spacing w:line="324" w:lineRule="auto"/>
        <w:rPr>
          <w:rFonts w:ascii="Arial"/>
          <w:sz w:val="21"/>
        </w:rPr>
      </w:pPr>
      <w:r>
        <w:pict>
          <v:rect id="_x0000_s1058" style="width:414.6pt;height:0.75pt;margin-top:555.84pt;margin-left:104.64pt;mso-position-horizontal-relative:page;mso-position-vertical-relative:page;position:absolute;z-index:251693056" o:allowincell="f" filled="t" fillcolor="#d9d9d9" stroked="f"/>
        </w:pict>
      </w:r>
      <w:r>
        <w:pict>
          <v:rect id="_x0000_s1059" style="width:481.8pt;height:0.5pt;margin-top:693.58pt;margin-left:56.88pt;mso-position-horizontal-relative:page;mso-position-vertical-relative:page;position:absolute;z-index:251695104" o:allowincell="f" filled="t" fillcolor="black" stroked="f"/>
        </w:pict>
      </w:r>
      <w:r>
        <w:pict>
          <v:shape id="_x0000_s1060" style="width:481.8pt;height:0.5pt;margin-top:193.46pt;margin-left:56.88pt;mso-position-horizontal-relative:page;mso-position-vertical-relative:page;position:absolute;z-index:251696128" coordorigin="0,0" coordsize="9635,10" o:allowincell="f" path="m,9l9635,9l9635,l,l,9xe" filled="t" fillcolor="black" stroked="f"/>
        </w:pict>
      </w:r>
      <w:r>
        <w:pict>
          <v:shape id="_x0000_s1061" type="#_x0000_t202" style="width:25.95pt;height:126.45pt;margin-top:212.02pt;margin-left:76.71pt;mso-position-horizontal-relative:page;mso-position-vertical-relative:page;position:absolute;z-index:251692032" o:allowincell="f" filled="f" stroked="f">
            <o:lock v:ext="edit" aspectratio="f"/>
            <v:textbox inset="0,0,0,0">
              <w:txbxContent>
                <w:p>
                  <w:pPr>
                    <w:spacing w:before="19" w:line="518" w:lineRule="auto"/>
                    <w:ind w:left="20" w:right="20" w:firstLine="5"/>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80,000.00</w:t>
                  </w:r>
                  <w:r>
                    <w:rPr>
                      <w:rFonts w:ascii="Times New Roman" w:eastAsia="Times New Roman" w:hAnsi="Times New Roman" w:cs="Times New Roman"/>
                      <w:color w:val="595959"/>
                      <w:sz w:val="12"/>
                      <w:szCs w:val="12"/>
                    </w:rPr>
                    <w:t xml:space="preserve"> </w:t>
                  </w:r>
                  <w:r>
                    <w:rPr>
                      <w:rFonts w:ascii="Times New Roman" w:eastAsia="Times New Roman" w:hAnsi="Times New Roman" w:cs="Times New Roman"/>
                      <w:color w:val="595959"/>
                      <w:spacing w:val="-1"/>
                      <w:sz w:val="12"/>
                      <w:szCs w:val="12"/>
                    </w:rPr>
                    <w:t>70,000.00</w:t>
                  </w:r>
                  <w:r>
                    <w:rPr>
                      <w:rFonts w:ascii="Times New Roman" w:eastAsia="Times New Roman" w:hAnsi="Times New Roman" w:cs="Times New Roman"/>
                      <w:color w:val="595959"/>
                      <w:spacing w:val="5"/>
                      <w:sz w:val="12"/>
                      <w:szCs w:val="12"/>
                    </w:rPr>
                    <w:t xml:space="preserve"> </w:t>
                  </w:r>
                  <w:r>
                    <w:rPr>
                      <w:rFonts w:ascii="Times New Roman" w:eastAsia="Times New Roman" w:hAnsi="Times New Roman" w:cs="Times New Roman"/>
                      <w:color w:val="595959"/>
                      <w:spacing w:val="-1"/>
                      <w:sz w:val="12"/>
                      <w:szCs w:val="12"/>
                    </w:rPr>
                    <w:t>60,000.00</w:t>
                  </w:r>
                  <w:r>
                    <w:rPr>
                      <w:rFonts w:ascii="Times New Roman" w:eastAsia="Times New Roman" w:hAnsi="Times New Roman" w:cs="Times New Roman"/>
                      <w:color w:val="595959"/>
                      <w:spacing w:val="5"/>
                      <w:sz w:val="12"/>
                      <w:szCs w:val="12"/>
                    </w:rPr>
                    <w:t xml:space="preserve"> </w:t>
                  </w:r>
                  <w:r>
                    <w:rPr>
                      <w:rFonts w:ascii="Times New Roman" w:eastAsia="Times New Roman" w:hAnsi="Times New Roman" w:cs="Times New Roman"/>
                      <w:color w:val="595959"/>
                      <w:spacing w:val="-1"/>
                      <w:sz w:val="12"/>
                      <w:szCs w:val="12"/>
                    </w:rPr>
                    <w:t>50,000.00</w:t>
                  </w:r>
                  <w:r>
                    <w:rPr>
                      <w:rFonts w:ascii="Times New Roman" w:eastAsia="Times New Roman" w:hAnsi="Times New Roman" w:cs="Times New Roman"/>
                      <w:color w:val="595959"/>
                      <w:spacing w:val="5"/>
                      <w:sz w:val="12"/>
                      <w:szCs w:val="12"/>
                    </w:rPr>
                    <w:t xml:space="preserve"> </w:t>
                  </w:r>
                  <w:r>
                    <w:rPr>
                      <w:rFonts w:ascii="Times New Roman" w:eastAsia="Times New Roman" w:hAnsi="Times New Roman" w:cs="Times New Roman"/>
                      <w:color w:val="595959"/>
                      <w:spacing w:val="-1"/>
                      <w:sz w:val="12"/>
                      <w:szCs w:val="12"/>
                    </w:rPr>
                    <w:t>40,000.00</w:t>
                  </w:r>
                  <w:r>
                    <w:rPr>
                      <w:rFonts w:ascii="Times New Roman" w:eastAsia="Times New Roman" w:hAnsi="Times New Roman" w:cs="Times New Roman"/>
                      <w:color w:val="595959"/>
                      <w:spacing w:val="5"/>
                      <w:sz w:val="12"/>
                      <w:szCs w:val="12"/>
                    </w:rPr>
                    <w:t xml:space="preserve"> </w:t>
                  </w:r>
                  <w:r>
                    <w:rPr>
                      <w:rFonts w:ascii="Times New Roman" w:eastAsia="Times New Roman" w:hAnsi="Times New Roman" w:cs="Times New Roman"/>
                      <w:color w:val="595959"/>
                      <w:spacing w:val="-1"/>
                      <w:sz w:val="12"/>
                      <w:szCs w:val="12"/>
                    </w:rPr>
                    <w:t>30,000.00</w:t>
                  </w:r>
                  <w:r>
                    <w:rPr>
                      <w:rFonts w:ascii="Times New Roman" w:eastAsia="Times New Roman" w:hAnsi="Times New Roman" w:cs="Times New Roman"/>
                      <w:color w:val="595959"/>
                      <w:spacing w:val="5"/>
                      <w:sz w:val="12"/>
                      <w:szCs w:val="12"/>
                    </w:rPr>
                    <w:t xml:space="preserve"> </w:t>
                  </w:r>
                  <w:r>
                    <w:rPr>
                      <w:rFonts w:ascii="Times New Roman" w:eastAsia="Times New Roman" w:hAnsi="Times New Roman" w:cs="Times New Roman"/>
                      <w:color w:val="595959"/>
                      <w:spacing w:val="-1"/>
                      <w:sz w:val="12"/>
                      <w:szCs w:val="12"/>
                    </w:rPr>
                    <w:t>20,000.00</w:t>
                  </w:r>
                  <w:r>
                    <w:rPr>
                      <w:rFonts w:ascii="Times New Roman" w:eastAsia="Times New Roman" w:hAnsi="Times New Roman" w:cs="Times New Roman"/>
                      <w:color w:val="595959"/>
                      <w:spacing w:val="5"/>
                      <w:sz w:val="12"/>
                      <w:szCs w:val="12"/>
                    </w:rPr>
                    <w:t xml:space="preserve"> </w:t>
                  </w:r>
                  <w:r>
                    <w:rPr>
                      <w:rFonts w:ascii="Times New Roman" w:eastAsia="Times New Roman" w:hAnsi="Times New Roman" w:cs="Times New Roman"/>
                      <w:color w:val="595959"/>
                      <w:spacing w:val="-2"/>
                      <w:sz w:val="12"/>
                      <w:szCs w:val="12"/>
                    </w:rPr>
                    <w:t>10,000.00</w:t>
                  </w:r>
                </w:p>
                <w:p>
                  <w:pPr>
                    <w:spacing w:line="186" w:lineRule="auto"/>
                    <w:ind w:left="292"/>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txbxContent>
            </v:textbox>
          </v:shape>
        </w:pict>
      </w:r>
      <w:r>
        <w:pict>
          <v:group id="_x0000_s1062" style="width:391.45pt;height:102.4pt;margin-top:232.2pt;margin-left:108.24pt;mso-position-horizontal-relative:page;mso-position-vertical-relative:page;position:absolute;z-index:251699200" coordorigin="0,0" coordsize="7829,2048" o:allowincell="f" filled="f" stroked="f">
            <v:rect id="_x0000_s1063" style="width:7829;height:15;position:absolute;top:2032" filled="t" fillcolor="#d9d9d9" stroked="f"/>
            <v:rect id="_x0000_s1064" style="width:999;height:70;left:2436;position:absolute" filled="t" fillcolor="#00b050" stroked="f"/>
          </v:group>
        </w:pict>
      </w:r>
      <w:r>
        <w:drawing>
          <wp:anchor distT="0" distB="0" distL="0" distR="0" simplePos="0" relativeHeight="251697152" behindDoc="0" locked="0" layoutInCell="0" allowOverlap="1">
            <wp:simplePos x="0" y="0"/>
            <wp:positionH relativeFrom="page">
              <wp:posOffset>1560576</wp:posOffset>
            </wp:positionH>
            <wp:positionV relativeFrom="page">
              <wp:posOffset>2659381</wp:posOffset>
            </wp:positionV>
            <wp:extent cx="4599432" cy="158496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8"/>
                    <a:stretch>
                      <a:fillRect/>
                    </a:stretch>
                  </pic:blipFill>
                  <pic:spPr>
                    <a:xfrm>
                      <a:off x="0" y="0"/>
                      <a:ext cx="4599432" cy="1584960"/>
                    </a:xfrm>
                    <a:prstGeom prst="rect">
                      <a:avLst/>
                    </a:prstGeom>
                  </pic:spPr>
                </pic:pic>
              </a:graphicData>
            </a:graphic>
          </wp:anchor>
        </w:drawing>
      </w:r>
      <w:r>
        <w:pict>
          <v:group id="_x0000_s1065" style="width:343.45pt;height:100.6pt;margin-top:224.04pt;margin-left:132.24pt;mso-position-horizontal-relative:page;mso-position-vertical-relative:page;position:absolute;z-index:251698176" coordorigin="0,0" coordsize="6869,2011" o:allowincell="f" filled="f" stroked="f">
            <v:shape id="_x0000_s1066" style="width:6869;height:1693;position:absolute;top:319" coordorigin="0,0" coordsize="6869,1693" path="m9,1303l986,856l1965,544l2944,1459l3923,1615l4900,9l5880,1682l6859,590e" filled="f" strokecolor="red" strokeweight="0.96pt">
              <v:stroke endcap="round"/>
            </v:shape>
            <v:shape id="_x0000_s1067" style="width:6869;height:1460;position:absolute" coordorigin="0,0" coordsize="6869,1460" path="m9,506l986,9l1965,223m2944,172l3923,393l4900,64l5880,360l6859,1449e" filled="f" strokecolor="#00b050" strokeweight="0.96pt">
              <v:stroke endcap="round"/>
            </v:shape>
          </v:group>
        </w:pict>
      </w:r>
      <w:r>
        <w:pict>
          <v:shape id="_x0000_s1068" style="width:19.2pt;height:3pt;margin-top:351.24pt;margin-left:180.96pt;mso-position-horizontal-relative:page;mso-position-vertical-relative:page;position:absolute;z-index:-251626496" coordorigin="0,0" coordsize="384,60" o:allowincell="f" path="m,60l383,60l383,l,l,60xe" filled="t" fillcolor="#92d050" stroked="f"/>
        </w:pict>
      </w:r>
      <w:r>
        <w:pict>
          <v:shape id="_x0000_s1069" style="width:481.8pt;height:0.5pt;margin-top:362.69pt;margin-left:56.88pt;mso-position-horizontal-relative:page;mso-position-vertical-relative:page;position:absolute;z-index:251694080" coordorigin="0,0" coordsize="9635,10" o:allowincell="f" path="m,9l9635,9l9635,l,l,9xe" filled="t" fillcolor="black" stroked="f"/>
        </w:pict>
      </w:r>
      <w:r>
        <w:drawing>
          <wp:anchor distT="0" distB="0" distL="0" distR="0" simplePos="0" relativeHeight="251691008" behindDoc="0" locked="0" layoutInCell="0" allowOverlap="1">
            <wp:simplePos x="0" y="0"/>
            <wp:positionH relativeFrom="page">
              <wp:posOffset>1328927</wp:posOffset>
            </wp:positionH>
            <wp:positionV relativeFrom="page">
              <wp:posOffset>7124700</wp:posOffset>
            </wp:positionV>
            <wp:extent cx="5269991" cy="88239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9"/>
                    <a:stretch>
                      <a:fillRect/>
                    </a:stretch>
                  </pic:blipFill>
                  <pic:spPr>
                    <a:xfrm>
                      <a:off x="0" y="0"/>
                      <a:ext cx="5269991" cy="882395"/>
                    </a:xfrm>
                    <a:prstGeom prst="rect">
                      <a:avLst/>
                    </a:prstGeom>
                  </pic:spPr>
                </pic:pic>
              </a:graphicData>
            </a:graphic>
          </wp:anchor>
        </w:drawing>
      </w:r>
    </w:p>
    <w:p>
      <w:pPr>
        <w:spacing w:before="68" w:line="260" w:lineRule="auto"/>
        <w:ind w:left="36" w:right="70" w:firstLine="1"/>
        <w:rPr>
          <w:rFonts w:ascii="SimHei" w:eastAsia="SimHei" w:hAnsi="SimHei" w:cs="SimHei"/>
          <w:sz w:val="21"/>
          <w:szCs w:val="21"/>
        </w:rPr>
      </w:pPr>
      <w:r>
        <w:rPr>
          <w:rFonts w:ascii="SimHei" w:eastAsia="SimHei" w:hAnsi="SimHei" w:cs="SimHei"/>
          <w:spacing w:val="-2"/>
          <w:sz w:val="21"/>
          <w:szCs w:val="21"/>
        </w:rPr>
        <w:t>火电装机规模占比持续下降但其机组设备利用率较高，</w:t>
      </w:r>
      <w:r>
        <w:rPr>
          <w:rFonts w:ascii="SimHei" w:eastAsia="SimHei" w:hAnsi="SimHei" w:cs="SimHei"/>
          <w:spacing w:val="-32"/>
          <w:sz w:val="21"/>
          <w:szCs w:val="21"/>
        </w:rPr>
        <w:t xml:space="preserve"> </w:t>
      </w:r>
      <w:r>
        <w:rPr>
          <w:rFonts w:ascii="SimHei" w:eastAsia="SimHei" w:hAnsi="SimHei" w:cs="SimHei"/>
          <w:spacing w:val="-2"/>
          <w:sz w:val="21"/>
          <w:szCs w:val="21"/>
        </w:rPr>
        <w:t>仍为目前我国最主要的发电来源，</w:t>
      </w:r>
      <w:r>
        <w:rPr>
          <w:rFonts w:ascii="SimHei" w:eastAsia="SimHei" w:hAnsi="SimHei" w:cs="SimHei"/>
          <w:spacing w:val="-3"/>
          <w:sz w:val="21"/>
          <w:szCs w:val="21"/>
        </w:rPr>
        <w:t>在缺电限电时保</w:t>
      </w:r>
      <w:r>
        <w:rPr>
          <w:rFonts w:ascii="SimHei" w:eastAsia="SimHei" w:hAnsi="SimHei" w:cs="SimHei"/>
          <w:sz w:val="21"/>
          <w:szCs w:val="21"/>
        </w:rPr>
        <w:t xml:space="preserve"> </w:t>
      </w:r>
      <w:r>
        <w:rPr>
          <w:rFonts w:ascii="SimHei" w:eastAsia="SimHei" w:hAnsi="SimHei" w:cs="SimHei"/>
          <w:spacing w:val="-1"/>
          <w:sz w:val="21"/>
          <w:szCs w:val="21"/>
        </w:rPr>
        <w:t>供兜底作用凸显。</w:t>
      </w:r>
    </w:p>
    <w:p>
      <w:pPr>
        <w:spacing w:before="207" w:line="278" w:lineRule="auto"/>
        <w:ind w:left="36" w:right="69" w:firstLine="12"/>
        <w:jc w:val="both"/>
        <w:rPr>
          <w:rFonts w:ascii="SimSun" w:eastAsia="SimSun" w:hAnsi="SimSun" w:cs="SimSun"/>
          <w:sz w:val="21"/>
          <w:szCs w:val="21"/>
        </w:rPr>
      </w:pPr>
      <w:r>
        <w:rPr>
          <w:rFonts w:ascii="SimSun" w:eastAsia="SimSun" w:hAnsi="SimSun" w:cs="SimSun"/>
          <w:spacing w:val="-2"/>
          <w:sz w:val="21"/>
          <w:szCs w:val="21"/>
        </w:rPr>
        <w:t>随着用电需求上升，</w:t>
      </w:r>
      <w:r>
        <w:rPr>
          <w:rFonts w:ascii="SimSun" w:eastAsia="SimSun" w:hAnsi="SimSun" w:cs="SimSun"/>
          <w:spacing w:val="-31"/>
          <w:sz w:val="21"/>
          <w:szCs w:val="21"/>
        </w:rPr>
        <w:t xml:space="preserve"> </w:t>
      </w:r>
      <w:r>
        <w:rPr>
          <w:rFonts w:ascii="SimSun" w:eastAsia="SimSun" w:hAnsi="SimSun" w:cs="SimSun"/>
          <w:spacing w:val="-2"/>
          <w:sz w:val="21"/>
          <w:szCs w:val="21"/>
        </w:rPr>
        <w:t>近年来我国发电量保持增长。从电源结构来</w:t>
      </w:r>
      <w:r>
        <w:rPr>
          <w:rFonts w:ascii="SimSun" w:eastAsia="SimSun" w:hAnsi="SimSun" w:cs="SimSun"/>
          <w:spacing w:val="-3"/>
          <w:sz w:val="21"/>
          <w:szCs w:val="21"/>
        </w:rPr>
        <w:t>看，尽管近年来风电及太阳能发电装机规</w:t>
      </w:r>
      <w:r>
        <w:rPr>
          <w:rFonts w:ascii="SimSun" w:eastAsia="SimSun" w:hAnsi="SimSun" w:cs="SimSun"/>
          <w:sz w:val="21"/>
          <w:szCs w:val="21"/>
        </w:rPr>
        <w:t xml:space="preserve"> </w:t>
      </w:r>
      <w:r>
        <w:rPr>
          <w:rFonts w:ascii="SimSun" w:eastAsia="SimSun" w:hAnsi="SimSun" w:cs="SimSun"/>
          <w:spacing w:val="-4"/>
          <w:sz w:val="21"/>
          <w:szCs w:val="21"/>
        </w:rPr>
        <w:t>模快速上升，但此类发电装机机组利用小时较低，</w:t>
      </w:r>
      <w:r>
        <w:rPr>
          <w:rFonts w:ascii="SimSun" w:eastAsia="SimSun" w:hAnsi="SimSun" w:cs="SimSun"/>
          <w:spacing w:val="-21"/>
          <w:sz w:val="21"/>
          <w:szCs w:val="21"/>
        </w:rPr>
        <w:t xml:space="preserve"> </w:t>
      </w:r>
      <w:r>
        <w:rPr>
          <w:rFonts w:ascii="SimSun" w:eastAsia="SimSun" w:hAnsi="SimSun" w:cs="SimSun"/>
          <w:spacing w:val="-4"/>
          <w:sz w:val="21"/>
          <w:szCs w:val="21"/>
        </w:rPr>
        <w:t>发电量贡献仍较小，</w:t>
      </w:r>
      <w:r>
        <w:rPr>
          <w:rFonts w:ascii="SimSun" w:eastAsia="SimSun" w:hAnsi="SimSun" w:cs="SimSun"/>
          <w:spacing w:val="-29"/>
          <w:sz w:val="21"/>
          <w:szCs w:val="21"/>
        </w:rPr>
        <w:t xml:space="preserve"> </w:t>
      </w:r>
      <w:r>
        <w:rPr>
          <w:rFonts w:ascii="SimSun" w:eastAsia="SimSun" w:hAnsi="SimSun" w:cs="SimSun"/>
          <w:spacing w:val="-4"/>
          <w:sz w:val="21"/>
          <w:szCs w:val="21"/>
        </w:rPr>
        <w:t>火力发电量占比虽有下降却仍保持</w:t>
      </w:r>
      <w:r>
        <w:rPr>
          <w:rFonts w:ascii="SimSun" w:eastAsia="SimSun" w:hAnsi="SimSun" w:cs="SimSun"/>
          <w:sz w:val="21"/>
          <w:szCs w:val="21"/>
        </w:rPr>
        <w:t xml:space="preserve"> </w:t>
      </w:r>
      <w:r>
        <w:rPr>
          <w:rFonts w:ascii="SimSun" w:eastAsia="SimSun" w:hAnsi="SimSun" w:cs="SimSun"/>
          <w:spacing w:val="-3"/>
          <w:sz w:val="21"/>
          <w:szCs w:val="21"/>
        </w:rPr>
        <w:t>重要地位，</w:t>
      </w:r>
      <w:r>
        <w:rPr>
          <w:rFonts w:ascii="SimSun" w:eastAsia="SimSun" w:hAnsi="SimSun" w:cs="SimSun"/>
          <w:spacing w:val="-22"/>
          <w:sz w:val="21"/>
          <w:szCs w:val="21"/>
        </w:rPr>
        <w:t xml:space="preserve"> </w:t>
      </w:r>
      <w:r>
        <w:rPr>
          <w:rFonts w:ascii="Times New Roman" w:eastAsia="Times New Roman" w:hAnsi="Times New Roman" w:cs="Times New Roman"/>
          <w:spacing w:val="-3"/>
          <w:sz w:val="21"/>
          <w:szCs w:val="21"/>
        </w:rPr>
        <w:t xml:space="preserve">2023 </w:t>
      </w:r>
      <w:r>
        <w:rPr>
          <w:rFonts w:ascii="SimSun" w:eastAsia="SimSun" w:hAnsi="SimSun" w:cs="SimSun"/>
          <w:spacing w:val="-3"/>
          <w:sz w:val="21"/>
          <w:szCs w:val="21"/>
        </w:rPr>
        <w:t>年前三季度占比达到</w:t>
      </w:r>
      <w:r>
        <w:rPr>
          <w:rFonts w:ascii="SimSun" w:eastAsia="SimSun" w:hAnsi="SimSun" w:cs="SimSun"/>
          <w:spacing w:val="-44"/>
          <w:sz w:val="21"/>
          <w:szCs w:val="21"/>
        </w:rPr>
        <w:t xml:space="preserve"> </w:t>
      </w:r>
      <w:r>
        <w:rPr>
          <w:rFonts w:ascii="Times New Roman" w:eastAsia="Times New Roman" w:hAnsi="Times New Roman" w:cs="Times New Roman"/>
          <w:spacing w:val="-3"/>
          <w:sz w:val="21"/>
          <w:szCs w:val="21"/>
        </w:rPr>
        <w:t>70.07%</w:t>
      </w:r>
      <w:r>
        <w:rPr>
          <w:rFonts w:ascii="Times New Roman" w:eastAsia="Times New Roman" w:hAnsi="Times New Roman" w:cs="Times New Roman"/>
          <w:spacing w:val="-28"/>
          <w:sz w:val="21"/>
          <w:szCs w:val="21"/>
        </w:rPr>
        <w:t xml:space="preserve"> </w:t>
      </w:r>
      <w:r>
        <w:rPr>
          <w:rFonts w:ascii="SimSun" w:eastAsia="SimSun" w:hAnsi="SimSun" w:cs="SimSun"/>
          <w:spacing w:val="-3"/>
          <w:sz w:val="21"/>
          <w:szCs w:val="21"/>
        </w:rPr>
        <w:t>，缺电限电时保供兜底作用凸显。</w:t>
      </w:r>
    </w:p>
    <w:p>
      <w:pPr>
        <w:spacing w:before="125" w:line="224" w:lineRule="auto"/>
        <w:ind w:left="198"/>
        <w:rPr>
          <w:rFonts w:ascii="SimHei" w:eastAsia="SimHei" w:hAnsi="SimHei" w:cs="SimHei"/>
          <w:sz w:val="18"/>
          <w:szCs w:val="18"/>
        </w:rPr>
      </w:pPr>
      <w:r>
        <w:rPr>
          <w:rFonts w:ascii="SimHei" w:eastAsia="SimHei" w:hAnsi="SimHei" w:cs="SimHei"/>
          <w:spacing w:val="-9"/>
          <w:sz w:val="18"/>
          <w:szCs w:val="18"/>
        </w:rPr>
        <w:t>图表</w:t>
      </w:r>
      <w:r>
        <w:rPr>
          <w:rFonts w:ascii="SimHei" w:eastAsia="SimHei" w:hAnsi="SimHei" w:cs="SimHei"/>
          <w:spacing w:val="-25"/>
          <w:sz w:val="18"/>
          <w:szCs w:val="18"/>
        </w:rPr>
        <w:t xml:space="preserve"> </w:t>
      </w:r>
      <w:r>
        <w:rPr>
          <w:rFonts w:ascii="Times New Roman" w:eastAsia="Times New Roman" w:hAnsi="Times New Roman" w:cs="Times New Roman"/>
          <w:spacing w:val="-9"/>
          <w:sz w:val="18"/>
          <w:szCs w:val="18"/>
        </w:rPr>
        <w:t xml:space="preserve">5.    </w:t>
      </w:r>
      <w:r>
        <w:rPr>
          <w:rFonts w:ascii="SimHei" w:eastAsia="SimHei" w:hAnsi="SimHei" w:cs="SimHei"/>
          <w:spacing w:val="-9"/>
          <w:sz w:val="18"/>
          <w:szCs w:val="18"/>
        </w:rPr>
        <w:t>我国传统火电及清洁电源发电量</w:t>
      </w:r>
      <w:r>
        <w:rPr>
          <w:rFonts w:ascii="SimHei" w:eastAsia="SimHei" w:hAnsi="SimHei" w:cs="SimHei"/>
          <w:spacing w:val="-38"/>
          <w:sz w:val="18"/>
          <w:szCs w:val="18"/>
        </w:rPr>
        <w:t xml:space="preserve"> </w:t>
      </w:r>
      <w:r>
        <w:rPr>
          <w:rFonts w:ascii="SimHei" w:eastAsia="SimHei" w:hAnsi="SimHei" w:cs="SimHei"/>
          <w:spacing w:val="-9"/>
          <w:sz w:val="18"/>
          <w:szCs w:val="18"/>
        </w:rPr>
        <w:t>（单位：</w:t>
      </w:r>
      <w:r>
        <w:rPr>
          <w:rFonts w:ascii="SimHei" w:eastAsia="SimHei" w:hAnsi="SimHei" w:cs="SimHei"/>
          <w:spacing w:val="-9"/>
          <w:sz w:val="18"/>
          <w:szCs w:val="18"/>
        </w:rPr>
        <w:t xml:space="preserve"> </w:t>
      </w:r>
      <w:r>
        <w:rPr>
          <w:rFonts w:ascii="SimHei" w:eastAsia="SimHei" w:hAnsi="SimHei" w:cs="SimHei"/>
          <w:spacing w:val="-9"/>
          <w:sz w:val="18"/>
          <w:szCs w:val="18"/>
        </w:rPr>
        <w:t>亿千瓦时，</w:t>
      </w:r>
      <w:r>
        <w:rPr>
          <w:rFonts w:ascii="SimHei" w:eastAsia="SimHei" w:hAnsi="SimHei" w:cs="SimHei"/>
          <w:spacing w:val="21"/>
          <w:sz w:val="18"/>
          <w:szCs w:val="18"/>
        </w:rPr>
        <w:t xml:space="preserve"> </w:t>
      </w:r>
      <w:r>
        <w:rPr>
          <w:rFonts w:ascii="Times New Roman" w:eastAsia="Times New Roman" w:hAnsi="Times New Roman" w:cs="Times New Roman"/>
          <w:spacing w:val="-9"/>
          <w:sz w:val="18"/>
          <w:szCs w:val="18"/>
        </w:rPr>
        <w:t>%</w:t>
      </w:r>
      <w:r>
        <w:rPr>
          <w:rFonts w:ascii="SimHei" w:eastAsia="SimHei" w:hAnsi="SimHei" w:cs="SimHei"/>
          <w:spacing w:val="-9"/>
          <w:sz w:val="18"/>
          <w:szCs w:val="18"/>
        </w:rPr>
        <w:t>）</w:t>
      </w:r>
    </w:p>
    <w:p>
      <w:pPr>
        <w:spacing w:line="118" w:lineRule="exact"/>
      </w:pPr>
    </w:p>
    <w:p>
      <w:pPr>
        <w:spacing w:line="118" w:lineRule="exact"/>
        <w:sectPr>
          <w:headerReference w:type="default" r:id="rId50"/>
          <w:footerReference w:type="default" r:id="rId51"/>
          <w:pgSz w:w="11907" w:h="16839"/>
          <w:pgMar w:top="1336" w:right="1058" w:bottom="1269" w:left="1104" w:header="1148" w:footer="1077" w:gutter="0"/>
          <w:pgNumType w:start="16"/>
          <w:cols w:num="1" w:space="708" w:equalWidth="0">
            <w:col w:w="9744" w:space="0"/>
          </w:cols>
        </w:sectPr>
      </w:pPr>
    </w:p>
    <w:p>
      <w:pPr>
        <w:spacing w:before="21" w:line="200" w:lineRule="auto"/>
        <w:ind w:left="453"/>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90,000.00</w:t>
      </w:r>
      <w:r>
        <w:rPr>
          <w:rFonts w:ascii="Times New Roman" w:eastAsia="Times New Roman" w:hAnsi="Times New Roman" w:cs="Times New Roman"/>
          <w:color w:val="595959"/>
          <w:spacing w:val="3"/>
          <w:sz w:val="12"/>
          <w:szCs w:val="12"/>
        </w:rPr>
        <w:t xml:space="preserve">    </w:t>
      </w:r>
      <w:r>
        <w:rPr>
          <w:rFonts w:ascii="Times New Roman" w:eastAsia="Times New Roman" w:hAnsi="Times New Roman" w:cs="Times New Roman"/>
          <w:strike/>
          <w:color w:val="595959"/>
          <w:sz w:val="12"/>
          <w:szCs w:val="12"/>
        </w:rPr>
        <w:t xml:space="preserve">                                                                                                                                                                                                                                                                     </w:t>
      </w:r>
    </w:p>
    <w:p>
      <w:pPr>
        <w:spacing w:line="218" w:lineRule="exact"/>
      </w:pPr>
    </w:p>
    <w:tbl>
      <w:tblPr>
        <w:tblStyle w:val="TableNormal3"/>
        <w:tblW w:w="7828" w:type="dxa"/>
        <w:tblInd w:w="1060" w:type="dxa"/>
        <w:tblBorders>
          <w:top w:val="nil"/>
          <w:left w:val="nil"/>
          <w:bottom w:val="nil"/>
          <w:right w:val="nil"/>
          <w:insideH w:val="nil"/>
          <w:insideV w:val="nil"/>
        </w:tblBorders>
        <w:tblLayout w:type="fixed"/>
      </w:tblPr>
      <w:tblGrid>
        <w:gridCol w:w="7828"/>
      </w:tblGrid>
      <w:tr>
        <w:tblPrEx>
          <w:tblW w:w="7828" w:type="dxa"/>
          <w:tblInd w:w="1060" w:type="dxa"/>
          <w:tblBorders>
            <w:top w:val="nil"/>
            <w:left w:val="nil"/>
            <w:bottom w:val="nil"/>
            <w:right w:val="nil"/>
            <w:insideH w:val="nil"/>
            <w:insideV w:val="nil"/>
          </w:tblBorders>
          <w:tblLayout w:type="fixed"/>
        </w:tblPrEx>
        <w:trPr>
          <w:trHeight w:val="293"/>
        </w:trPr>
        <w:tc>
          <w:tcPr>
            <w:tcW w:w="7828" w:type="dxa"/>
            <w:tcBorders>
              <w:top w:val="single" w:sz="4" w:space="0" w:color="D9D9D9"/>
              <w:bottom w:val="single" w:sz="4" w:space="0" w:color="D9D9D9"/>
            </w:tcBorders>
            <w:vAlign w:val="top"/>
          </w:tcPr>
          <w:p>
            <w:pPr>
              <w:rPr>
                <w:rFonts w:ascii="Arial"/>
                <w:sz w:val="21"/>
              </w:rPr>
            </w:pPr>
          </w:p>
        </w:tc>
      </w:tr>
      <w:tr>
        <w:tblPrEx>
          <w:tblW w:w="7828" w:type="dxa"/>
          <w:tblInd w:w="1060" w:type="dxa"/>
          <w:tblLayout w:type="fixed"/>
        </w:tblPrEx>
        <w:trPr>
          <w:trHeight w:val="286"/>
        </w:trPr>
        <w:tc>
          <w:tcPr>
            <w:tcW w:w="7828" w:type="dxa"/>
            <w:tcBorders>
              <w:top w:val="single" w:sz="4" w:space="0" w:color="D9D9D9"/>
              <w:bottom w:val="single" w:sz="4" w:space="0" w:color="D9D9D9"/>
            </w:tcBorders>
            <w:vAlign w:val="top"/>
          </w:tcPr>
          <w:p>
            <w:pPr>
              <w:rPr>
                <w:rFonts w:ascii="Arial"/>
                <w:sz w:val="21"/>
              </w:rPr>
            </w:pPr>
          </w:p>
        </w:tc>
      </w:tr>
      <w:tr>
        <w:tblPrEx>
          <w:tblW w:w="7828" w:type="dxa"/>
          <w:tblInd w:w="1060" w:type="dxa"/>
          <w:tblLayout w:type="fixed"/>
        </w:tblPrEx>
        <w:trPr>
          <w:trHeight w:val="286"/>
        </w:trPr>
        <w:tc>
          <w:tcPr>
            <w:tcW w:w="7828" w:type="dxa"/>
            <w:tcBorders>
              <w:top w:val="single" w:sz="4" w:space="0" w:color="D9D9D9"/>
              <w:bottom w:val="single" w:sz="4" w:space="0" w:color="D9D9D9"/>
            </w:tcBorders>
            <w:vAlign w:val="top"/>
          </w:tcPr>
          <w:p>
            <w:pPr>
              <w:rPr>
                <w:rFonts w:ascii="Arial"/>
                <w:sz w:val="21"/>
              </w:rPr>
            </w:pPr>
          </w:p>
        </w:tc>
      </w:tr>
      <w:tr>
        <w:tblPrEx>
          <w:tblW w:w="7828" w:type="dxa"/>
          <w:tblInd w:w="1060" w:type="dxa"/>
          <w:tblLayout w:type="fixed"/>
        </w:tblPrEx>
        <w:trPr>
          <w:trHeight w:val="286"/>
        </w:trPr>
        <w:tc>
          <w:tcPr>
            <w:tcW w:w="7828" w:type="dxa"/>
            <w:tcBorders>
              <w:top w:val="single" w:sz="4" w:space="0" w:color="D9D9D9"/>
              <w:bottom w:val="single" w:sz="4" w:space="0" w:color="D9D9D9"/>
            </w:tcBorders>
            <w:vAlign w:val="top"/>
          </w:tcPr>
          <w:p>
            <w:pPr>
              <w:rPr>
                <w:rFonts w:ascii="Arial"/>
                <w:sz w:val="21"/>
              </w:rPr>
            </w:pPr>
          </w:p>
        </w:tc>
      </w:tr>
      <w:tr>
        <w:tblPrEx>
          <w:tblW w:w="7828" w:type="dxa"/>
          <w:tblInd w:w="1060" w:type="dxa"/>
          <w:tblLayout w:type="fixed"/>
        </w:tblPrEx>
        <w:trPr>
          <w:trHeight w:val="286"/>
        </w:trPr>
        <w:tc>
          <w:tcPr>
            <w:tcW w:w="7828" w:type="dxa"/>
            <w:tcBorders>
              <w:top w:val="single" w:sz="4" w:space="0" w:color="D9D9D9"/>
              <w:bottom w:val="single" w:sz="4" w:space="0" w:color="D9D9D9"/>
            </w:tcBorders>
            <w:vAlign w:val="top"/>
          </w:tcPr>
          <w:p>
            <w:pPr>
              <w:rPr>
                <w:rFonts w:ascii="Arial"/>
                <w:sz w:val="21"/>
              </w:rPr>
            </w:pPr>
          </w:p>
        </w:tc>
      </w:tr>
      <w:tr>
        <w:tblPrEx>
          <w:tblW w:w="7828" w:type="dxa"/>
          <w:tblInd w:w="1060" w:type="dxa"/>
          <w:tblLayout w:type="fixed"/>
        </w:tblPrEx>
        <w:trPr>
          <w:trHeight w:val="286"/>
        </w:trPr>
        <w:tc>
          <w:tcPr>
            <w:tcW w:w="7828" w:type="dxa"/>
            <w:tcBorders>
              <w:top w:val="single" w:sz="4" w:space="0" w:color="D9D9D9"/>
              <w:bottom w:val="single" w:sz="4" w:space="0" w:color="D9D9D9"/>
            </w:tcBorders>
            <w:vAlign w:val="top"/>
          </w:tcPr>
          <w:p>
            <w:pPr>
              <w:rPr>
                <w:rFonts w:ascii="Arial"/>
                <w:sz w:val="21"/>
              </w:rPr>
            </w:pPr>
          </w:p>
        </w:tc>
      </w:tr>
      <w:tr>
        <w:tblPrEx>
          <w:tblW w:w="7828" w:type="dxa"/>
          <w:tblInd w:w="1060" w:type="dxa"/>
          <w:tblLayout w:type="fixed"/>
        </w:tblPrEx>
        <w:trPr>
          <w:trHeight w:val="294"/>
        </w:trPr>
        <w:tc>
          <w:tcPr>
            <w:tcW w:w="7828" w:type="dxa"/>
            <w:tcBorders>
              <w:top w:val="single" w:sz="4" w:space="0" w:color="D9D9D9"/>
              <w:bottom w:val="single" w:sz="4" w:space="0" w:color="D9D9D9"/>
            </w:tcBorders>
            <w:vAlign w:val="top"/>
          </w:tcPr>
          <w:p>
            <w:pPr>
              <w:rPr>
                <w:rFonts w:ascii="Arial"/>
                <w:sz w:val="21"/>
              </w:rPr>
            </w:pPr>
          </w:p>
        </w:tc>
      </w:tr>
    </w:tbl>
    <w:p>
      <w:pPr>
        <w:spacing w:line="338" w:lineRule="auto"/>
        <w:rPr>
          <w:rFonts w:ascii="Arial"/>
          <w:sz w:val="21"/>
        </w:rPr>
      </w:pPr>
    </w:p>
    <w:p>
      <w:pPr>
        <w:spacing w:before="39" w:line="220" w:lineRule="auto"/>
        <w:ind w:left="1372"/>
        <w:rPr>
          <w:rFonts w:ascii="SimSun" w:eastAsia="SimSun" w:hAnsi="SimSun" w:cs="SimSun"/>
          <w:sz w:val="12"/>
          <w:szCs w:val="12"/>
        </w:rPr>
      </w:pPr>
      <w:r>
        <w:rPr>
          <w:rFonts w:ascii="Times New Roman" w:eastAsia="Times New Roman" w:hAnsi="Times New Roman" w:cs="Times New Roman"/>
          <w:color w:val="595959"/>
          <w:sz w:val="12"/>
          <w:szCs w:val="12"/>
        </w:rPr>
        <w:t>2016</w:t>
      </w:r>
      <w:r>
        <w:rPr>
          <w:rFonts w:ascii="SimSun" w:eastAsia="SimSun" w:hAnsi="SimSun" w:cs="SimSun"/>
          <w:color w:val="595959"/>
          <w:sz w:val="12"/>
          <w:szCs w:val="12"/>
        </w:rPr>
        <w:t xml:space="preserve">年          </w:t>
      </w:r>
      <w:r>
        <w:rPr>
          <w:rFonts w:ascii="Times New Roman" w:eastAsia="Times New Roman" w:hAnsi="Times New Roman" w:cs="Times New Roman"/>
          <w:color w:val="595959"/>
          <w:sz w:val="12"/>
          <w:szCs w:val="12"/>
        </w:rPr>
        <w:t>2017</w:t>
      </w:r>
      <w:r>
        <w:rPr>
          <w:rFonts w:ascii="SimSun" w:eastAsia="SimSun" w:hAnsi="SimSun" w:cs="SimSun"/>
          <w:color w:val="595959"/>
          <w:sz w:val="12"/>
          <w:szCs w:val="12"/>
        </w:rPr>
        <w:t>年</w:t>
      </w:r>
      <w:r>
        <w:rPr>
          <w:rFonts w:ascii="SimSun" w:eastAsia="SimSun" w:hAnsi="SimSun" w:cs="SimSun"/>
          <w:color w:val="595959"/>
          <w:spacing w:val="2"/>
          <w:sz w:val="12"/>
          <w:szCs w:val="12"/>
        </w:rPr>
        <w:t xml:space="preserve">          </w:t>
      </w:r>
      <w:r>
        <w:rPr>
          <w:rFonts w:ascii="Times New Roman" w:eastAsia="Times New Roman" w:hAnsi="Times New Roman" w:cs="Times New Roman"/>
          <w:color w:val="595959"/>
          <w:sz w:val="12"/>
          <w:szCs w:val="12"/>
        </w:rPr>
        <w:t>2018</w:t>
      </w:r>
      <w:r>
        <w:rPr>
          <w:rFonts w:ascii="SimSun" w:eastAsia="SimSun" w:hAnsi="SimSun" w:cs="SimSun"/>
          <w:color w:val="595959"/>
          <w:sz w:val="12"/>
          <w:szCs w:val="12"/>
        </w:rPr>
        <w:t>年</w:t>
      </w:r>
      <w:r>
        <w:rPr>
          <w:rFonts w:ascii="SimSun" w:eastAsia="SimSun" w:hAnsi="SimSun" w:cs="SimSun"/>
          <w:color w:val="595959"/>
          <w:spacing w:val="2"/>
          <w:sz w:val="12"/>
          <w:szCs w:val="12"/>
        </w:rPr>
        <w:t xml:space="preserve">          </w:t>
      </w:r>
      <w:r>
        <w:rPr>
          <w:rFonts w:ascii="Times New Roman" w:eastAsia="Times New Roman" w:hAnsi="Times New Roman" w:cs="Times New Roman"/>
          <w:color w:val="595959"/>
          <w:sz w:val="12"/>
          <w:szCs w:val="12"/>
        </w:rPr>
        <w:t>2019</w:t>
      </w:r>
      <w:r>
        <w:rPr>
          <w:rFonts w:ascii="SimSun" w:eastAsia="SimSun" w:hAnsi="SimSun" w:cs="SimSun"/>
          <w:color w:val="595959"/>
          <w:sz w:val="12"/>
          <w:szCs w:val="12"/>
        </w:rPr>
        <w:t>年</w:t>
      </w:r>
      <w:r>
        <w:rPr>
          <w:rFonts w:ascii="SimSun" w:eastAsia="SimSun" w:hAnsi="SimSun" w:cs="SimSun"/>
          <w:color w:val="595959"/>
          <w:spacing w:val="2"/>
          <w:sz w:val="12"/>
          <w:szCs w:val="12"/>
        </w:rPr>
        <w:t xml:space="preserve">          </w:t>
      </w:r>
      <w:r>
        <w:rPr>
          <w:rFonts w:ascii="Times New Roman" w:eastAsia="Times New Roman" w:hAnsi="Times New Roman" w:cs="Times New Roman"/>
          <w:color w:val="595959"/>
          <w:sz w:val="12"/>
          <w:szCs w:val="12"/>
        </w:rPr>
        <w:t>2020</w:t>
      </w:r>
      <w:r>
        <w:rPr>
          <w:rFonts w:ascii="SimSun" w:eastAsia="SimSun" w:hAnsi="SimSun" w:cs="SimSun"/>
          <w:color w:val="595959"/>
          <w:sz w:val="12"/>
          <w:szCs w:val="12"/>
        </w:rPr>
        <w:t>年</w:t>
      </w:r>
      <w:r>
        <w:rPr>
          <w:rFonts w:ascii="SimSun" w:eastAsia="SimSun" w:hAnsi="SimSun" w:cs="SimSun"/>
          <w:color w:val="595959"/>
          <w:spacing w:val="2"/>
          <w:sz w:val="12"/>
          <w:szCs w:val="12"/>
        </w:rPr>
        <w:t xml:space="preserve">          </w:t>
      </w:r>
      <w:r>
        <w:rPr>
          <w:rFonts w:ascii="Times New Roman" w:eastAsia="Times New Roman" w:hAnsi="Times New Roman" w:cs="Times New Roman"/>
          <w:color w:val="595959"/>
          <w:sz w:val="12"/>
          <w:szCs w:val="12"/>
        </w:rPr>
        <w:t>2021</w:t>
      </w:r>
      <w:r>
        <w:rPr>
          <w:rFonts w:ascii="SimSun" w:eastAsia="SimSun" w:hAnsi="SimSun" w:cs="SimSun"/>
          <w:color w:val="595959"/>
          <w:sz w:val="12"/>
          <w:szCs w:val="12"/>
        </w:rPr>
        <w:t>年</w:t>
      </w:r>
      <w:r>
        <w:rPr>
          <w:rFonts w:ascii="SimSun" w:eastAsia="SimSun" w:hAnsi="SimSun" w:cs="SimSun"/>
          <w:color w:val="595959"/>
          <w:spacing w:val="2"/>
          <w:sz w:val="12"/>
          <w:szCs w:val="12"/>
        </w:rPr>
        <w:t xml:space="preserve">          </w:t>
      </w:r>
      <w:r>
        <w:rPr>
          <w:rFonts w:ascii="Times New Roman" w:eastAsia="Times New Roman" w:hAnsi="Times New Roman" w:cs="Times New Roman"/>
          <w:color w:val="595959"/>
          <w:sz w:val="12"/>
          <w:szCs w:val="12"/>
        </w:rPr>
        <w:t>2022</w:t>
      </w:r>
      <w:r>
        <w:rPr>
          <w:rFonts w:ascii="SimSun" w:eastAsia="SimSun" w:hAnsi="SimSun" w:cs="SimSun"/>
          <w:color w:val="595959"/>
          <w:sz w:val="12"/>
          <w:szCs w:val="12"/>
        </w:rPr>
        <w:t>年</w:t>
      </w:r>
      <w:r>
        <w:rPr>
          <w:rFonts w:ascii="SimSun" w:eastAsia="SimSun" w:hAnsi="SimSun" w:cs="SimSun"/>
          <w:color w:val="595959"/>
          <w:spacing w:val="4"/>
          <w:sz w:val="12"/>
          <w:szCs w:val="12"/>
        </w:rPr>
        <w:t xml:space="preserve">      </w:t>
      </w:r>
      <w:r>
        <w:rPr>
          <w:rFonts w:ascii="Times New Roman" w:eastAsia="Times New Roman" w:hAnsi="Times New Roman" w:cs="Times New Roman"/>
          <w:color w:val="595959"/>
          <w:sz w:val="12"/>
          <w:szCs w:val="12"/>
        </w:rPr>
        <w:t>2023</w:t>
      </w:r>
      <w:r>
        <w:rPr>
          <w:rFonts w:ascii="SimSun" w:eastAsia="SimSun" w:hAnsi="SimSun" w:cs="SimSun"/>
          <w:color w:val="595959"/>
          <w:sz w:val="12"/>
          <w:szCs w:val="12"/>
        </w:rPr>
        <w:t>年前三季度</w:t>
      </w:r>
    </w:p>
    <w:p>
      <w:pPr>
        <w:spacing w:before="76" w:line="185" w:lineRule="auto"/>
        <w:ind w:left="947"/>
        <w:rPr>
          <w:rFonts w:ascii="SimSun" w:eastAsia="SimSun" w:hAnsi="SimSun" w:cs="SimSun"/>
          <w:sz w:val="12"/>
          <w:szCs w:val="12"/>
        </w:rPr>
      </w:pPr>
      <w:r>
        <w:rPr>
          <w:rFonts w:ascii="SimSun" w:eastAsia="SimSun" w:hAnsi="SimSun" w:cs="SimSun"/>
          <w:color w:val="595959"/>
          <w:sz w:val="12"/>
          <w:szCs w:val="12"/>
        </w:rPr>
        <w:drawing>
          <wp:inline distT="0" distB="0" distL="0" distR="0">
            <wp:extent cx="243840" cy="381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2"/>
                    <a:stretch>
                      <a:fillRect/>
                    </a:stretch>
                  </pic:blipFill>
                  <pic:spPr>
                    <a:xfrm>
                      <a:off x="0" y="0"/>
                      <a:ext cx="243840" cy="38100"/>
                    </a:xfrm>
                    <a:prstGeom prst="rect">
                      <a:avLst/>
                    </a:prstGeom>
                  </pic:spPr>
                </pic:pic>
              </a:graphicData>
            </a:graphic>
          </wp:inline>
        </w:drawing>
      </w:r>
      <w:r>
        <w:rPr>
          <w:rFonts w:ascii="SimSun" w:eastAsia="SimSun" w:hAnsi="SimSun" w:cs="SimSun"/>
          <w:color w:val="595959"/>
          <w:spacing w:val="-13"/>
          <w:sz w:val="12"/>
          <w:szCs w:val="12"/>
        </w:rPr>
        <w:t xml:space="preserve"> </w:t>
      </w:r>
      <w:r>
        <w:rPr>
          <w:rFonts w:ascii="SimSun" w:eastAsia="SimSun" w:hAnsi="SimSun" w:cs="SimSun"/>
          <w:color w:val="595959"/>
          <w:spacing w:val="-2"/>
          <w:sz w:val="12"/>
          <w:szCs w:val="12"/>
        </w:rPr>
        <w:t>火电量</w:t>
      </w:r>
      <w:r>
        <w:rPr>
          <w:rFonts w:ascii="SimSun" w:eastAsia="SimSun" w:hAnsi="SimSun" w:cs="SimSun"/>
          <w:color w:val="595959"/>
          <w:sz w:val="12"/>
          <w:szCs w:val="12"/>
        </w:rPr>
        <w:t xml:space="preserve">                    </w:t>
      </w:r>
      <w:r>
        <w:rPr>
          <w:rFonts w:ascii="SimSun" w:eastAsia="SimSun" w:hAnsi="SimSun" w:cs="SimSun"/>
          <w:color w:val="595959"/>
          <w:spacing w:val="-2"/>
          <w:sz w:val="12"/>
          <w:szCs w:val="12"/>
        </w:rPr>
        <w:t xml:space="preserve">清洁电量             </w:t>
      </w:r>
      <w:r>
        <w:rPr>
          <w:position w:val="3"/>
          <w:sz w:val="12"/>
          <w:szCs w:val="12"/>
        </w:rPr>
        <w:drawing>
          <wp:inline distT="0" distB="0" distL="0" distR="0">
            <wp:extent cx="256032" cy="12192"/>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53"/>
                    <a:stretch>
                      <a:fillRect/>
                    </a:stretch>
                  </pic:blipFill>
                  <pic:spPr>
                    <a:xfrm>
                      <a:off x="0" y="0"/>
                      <a:ext cx="256032" cy="12192"/>
                    </a:xfrm>
                    <a:prstGeom prst="rect">
                      <a:avLst/>
                    </a:prstGeom>
                  </pic:spPr>
                </pic:pic>
              </a:graphicData>
            </a:graphic>
          </wp:inline>
        </w:drawing>
      </w:r>
      <w:r>
        <w:rPr>
          <w:rFonts w:ascii="SimSun" w:eastAsia="SimSun" w:hAnsi="SimSun" w:cs="SimSun"/>
          <w:color w:val="595959"/>
          <w:spacing w:val="-11"/>
          <w:sz w:val="12"/>
          <w:szCs w:val="12"/>
        </w:rPr>
        <w:t xml:space="preserve"> </w:t>
      </w:r>
      <w:r>
        <w:rPr>
          <w:rFonts w:ascii="SimSun" w:eastAsia="SimSun" w:hAnsi="SimSun" w:cs="SimSun"/>
          <w:color w:val="595959"/>
          <w:spacing w:val="-2"/>
          <w:sz w:val="12"/>
          <w:szCs w:val="12"/>
        </w:rPr>
        <w:t xml:space="preserve">火电量同比（右轴）              </w:t>
      </w:r>
      <w:r>
        <w:rPr>
          <w:position w:val="3"/>
          <w:sz w:val="12"/>
          <w:szCs w:val="12"/>
        </w:rPr>
        <w:drawing>
          <wp:inline distT="0" distB="0" distL="0" distR="0">
            <wp:extent cx="256032" cy="12192"/>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4"/>
                    <a:stretch>
                      <a:fillRect/>
                    </a:stretch>
                  </pic:blipFill>
                  <pic:spPr>
                    <a:xfrm>
                      <a:off x="0" y="0"/>
                      <a:ext cx="256032" cy="12192"/>
                    </a:xfrm>
                    <a:prstGeom prst="rect">
                      <a:avLst/>
                    </a:prstGeom>
                  </pic:spPr>
                </pic:pic>
              </a:graphicData>
            </a:graphic>
          </wp:inline>
        </w:drawing>
      </w:r>
      <w:r>
        <w:rPr>
          <w:rFonts w:ascii="SimSun" w:eastAsia="SimSun" w:hAnsi="SimSun" w:cs="SimSun"/>
          <w:color w:val="595959"/>
          <w:spacing w:val="-22"/>
          <w:sz w:val="12"/>
          <w:szCs w:val="12"/>
        </w:rPr>
        <w:t xml:space="preserve"> </w:t>
      </w:r>
      <w:r>
        <w:rPr>
          <w:rFonts w:ascii="SimSun" w:eastAsia="SimSun" w:hAnsi="SimSun" w:cs="SimSun"/>
          <w:color w:val="595959"/>
          <w:spacing w:val="-2"/>
          <w:sz w:val="12"/>
          <w:szCs w:val="12"/>
        </w:rPr>
        <w:t>清洁电量同比（右轴）</w:t>
      </w:r>
    </w:p>
    <w:p>
      <w:pPr>
        <w:spacing w:line="14" w:lineRule="auto"/>
        <w:rPr>
          <w:rFonts w:ascii="Arial"/>
          <w:sz w:val="2"/>
        </w:rPr>
      </w:pPr>
      <w:r>
        <w:rPr>
          <w:rFonts w:ascii="Arial" w:eastAsia="Arial" w:hAnsi="Arial" w:cs="Arial"/>
          <w:sz w:val="2"/>
          <w:szCs w:val="2"/>
        </w:rPr>
        <w:br w:type="column"/>
      </w:r>
    </w:p>
    <w:p>
      <w:pPr>
        <w:spacing w:before="22" w:line="186" w:lineRule="auto"/>
        <w:ind w:left="12"/>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12.00</w:t>
      </w:r>
    </w:p>
    <w:p>
      <w:pPr>
        <w:spacing w:line="301" w:lineRule="auto"/>
        <w:rPr>
          <w:rFonts w:ascii="Arial"/>
          <w:sz w:val="21"/>
        </w:rPr>
      </w:pPr>
    </w:p>
    <w:p>
      <w:pPr>
        <w:spacing w:before="35" w:line="187" w:lineRule="auto"/>
        <w:ind w:left="12"/>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w:t>
      </w:r>
    </w:p>
    <w:p>
      <w:pPr>
        <w:spacing w:line="303" w:lineRule="auto"/>
        <w:rPr>
          <w:rFonts w:ascii="Arial"/>
          <w:sz w:val="21"/>
        </w:rPr>
      </w:pPr>
    </w:p>
    <w:p>
      <w:pPr>
        <w:spacing w:before="35" w:line="186" w:lineRule="auto"/>
        <w:ind w:left="5"/>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8.00</w:t>
      </w:r>
    </w:p>
    <w:p>
      <w:pPr>
        <w:spacing w:line="303" w:lineRule="auto"/>
        <w:rPr>
          <w:rFonts w:ascii="Arial"/>
          <w:sz w:val="21"/>
        </w:rPr>
      </w:pPr>
    </w:p>
    <w:p>
      <w:pPr>
        <w:spacing w:before="34" w:line="186" w:lineRule="auto"/>
        <w:ind w:left="3"/>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6.00</w:t>
      </w:r>
    </w:p>
    <w:p>
      <w:pPr>
        <w:spacing w:line="303" w:lineRule="auto"/>
        <w:rPr>
          <w:rFonts w:ascii="Arial"/>
          <w:sz w:val="21"/>
        </w:rPr>
      </w:pPr>
    </w:p>
    <w:p>
      <w:pPr>
        <w:spacing w:before="35" w:line="186" w:lineRule="auto"/>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4.00</w:t>
      </w:r>
    </w:p>
    <w:p>
      <w:pPr>
        <w:spacing w:line="302" w:lineRule="auto"/>
        <w:rPr>
          <w:rFonts w:ascii="Arial"/>
          <w:sz w:val="21"/>
        </w:rPr>
      </w:pPr>
    </w:p>
    <w:p>
      <w:pPr>
        <w:spacing w:before="35" w:line="186" w:lineRule="auto"/>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w:t>
      </w:r>
    </w:p>
    <w:p>
      <w:pPr>
        <w:spacing w:line="303" w:lineRule="auto"/>
        <w:rPr>
          <w:rFonts w:ascii="Arial"/>
          <w:sz w:val="21"/>
        </w:rPr>
      </w:pPr>
    </w:p>
    <w:p>
      <w:pPr>
        <w:spacing w:before="35" w:line="186" w:lineRule="auto"/>
        <w:ind w:left="2"/>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line="186" w:lineRule="auto"/>
        <w:rPr>
          <w:rFonts w:ascii="Times New Roman" w:eastAsia="Times New Roman" w:hAnsi="Times New Roman" w:cs="Times New Roman"/>
          <w:sz w:val="12"/>
          <w:szCs w:val="12"/>
        </w:rPr>
        <w:sectPr>
          <w:headerReference w:type="default" r:id="rId55"/>
          <w:footerReference w:type="default" r:id="rId56"/>
          <w:type w:val="continuous"/>
          <w:pgSz w:w="11907" w:h="16839"/>
          <w:pgMar w:top="1336" w:right="1058" w:bottom="1269" w:left="1104" w:header="1148" w:footer="1077" w:gutter="0"/>
          <w:pgNumType w:start="17"/>
          <w:cols w:num="2" w:space="708" w:equalWidth="0">
            <w:col w:w="8896" w:space="100"/>
            <w:col w:w="749" w:space="0"/>
          </w:cols>
        </w:sectPr>
      </w:pPr>
    </w:p>
    <w:p>
      <w:pPr>
        <w:spacing w:before="235" w:line="221" w:lineRule="auto"/>
        <w:ind w:left="150"/>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line="252" w:lineRule="auto"/>
        <w:rPr>
          <w:rFonts w:ascii="Arial"/>
          <w:sz w:val="21"/>
        </w:rPr>
      </w:pPr>
    </w:p>
    <w:p>
      <w:pPr>
        <w:spacing w:before="69" w:line="255" w:lineRule="auto"/>
        <w:ind w:left="35" w:hanging="2"/>
        <w:rPr>
          <w:rFonts w:ascii="SimHei" w:eastAsia="SimHei" w:hAnsi="SimHei" w:cs="SimHei"/>
          <w:sz w:val="21"/>
          <w:szCs w:val="21"/>
        </w:rPr>
      </w:pPr>
      <w:r>
        <w:rPr>
          <w:rFonts w:ascii="Times New Roman" w:eastAsia="Times New Roman" w:hAnsi="Times New Roman" w:cs="Times New Roman"/>
          <w:spacing w:val="-5"/>
          <w:sz w:val="21"/>
          <w:szCs w:val="21"/>
        </w:rPr>
        <w:t xml:space="preserve">2023 </w:t>
      </w:r>
      <w:r>
        <w:rPr>
          <w:rFonts w:ascii="SimHei" w:eastAsia="SimHei" w:hAnsi="SimHei" w:cs="SimHei"/>
          <w:spacing w:val="-5"/>
          <w:sz w:val="21"/>
          <w:szCs w:val="21"/>
        </w:rPr>
        <w:t>年以来，</w:t>
      </w:r>
      <w:r>
        <w:rPr>
          <w:rFonts w:ascii="SimHei" w:eastAsia="SimHei" w:hAnsi="SimHei" w:cs="SimHei"/>
          <w:spacing w:val="-20"/>
          <w:sz w:val="21"/>
          <w:szCs w:val="21"/>
        </w:rPr>
        <w:t xml:space="preserve"> </w:t>
      </w:r>
      <w:r>
        <w:rPr>
          <w:rFonts w:ascii="SimHei" w:eastAsia="SimHei" w:hAnsi="SimHei" w:cs="SimHei"/>
          <w:spacing w:val="-5"/>
          <w:sz w:val="21"/>
          <w:szCs w:val="21"/>
        </w:rPr>
        <w:t>受益于煤炭保供政策的推进，国内原产煤产量同比提高，</w:t>
      </w:r>
      <w:r>
        <w:rPr>
          <w:rFonts w:ascii="SimHei" w:eastAsia="SimHei" w:hAnsi="SimHei" w:cs="SimHei"/>
          <w:spacing w:val="-29"/>
          <w:sz w:val="21"/>
          <w:szCs w:val="21"/>
        </w:rPr>
        <w:t xml:space="preserve"> </w:t>
      </w:r>
      <w:r>
        <w:rPr>
          <w:rFonts w:ascii="SimHei" w:eastAsia="SimHei" w:hAnsi="SimHei" w:cs="SimHei"/>
          <w:spacing w:val="-5"/>
          <w:sz w:val="21"/>
          <w:szCs w:val="21"/>
        </w:rPr>
        <w:t>电煤市场价格虽持续高位震荡，但</w:t>
      </w:r>
      <w:r>
        <w:rPr>
          <w:rFonts w:ascii="SimHei" w:eastAsia="SimHei" w:hAnsi="SimHei" w:cs="SimHei"/>
          <w:spacing w:val="-5"/>
          <w:sz w:val="21"/>
          <w:szCs w:val="21"/>
        </w:rPr>
        <w:t xml:space="preserve"> </w:t>
      </w:r>
      <w:r>
        <w:rPr>
          <w:rFonts w:ascii="SimHei" w:eastAsia="SimHei" w:hAnsi="SimHei" w:cs="SimHei"/>
          <w:spacing w:val="1"/>
          <w:sz w:val="21"/>
          <w:szCs w:val="21"/>
        </w:rPr>
        <w:t>较前期高点已有回落，有力缓解了煤电企业亏损局面。持续关注煤炭价格走势对煤电企业盈利影响情况。</w:t>
      </w:r>
    </w:p>
    <w:p>
      <w:pPr>
        <w:spacing w:before="219" w:line="284" w:lineRule="auto"/>
        <w:ind w:left="37" w:right="69" w:firstLine="39"/>
        <w:jc w:val="both"/>
        <w:rPr>
          <w:rFonts w:ascii="SimSun" w:eastAsia="SimSun" w:hAnsi="SimSun" w:cs="SimSun"/>
          <w:sz w:val="21"/>
          <w:szCs w:val="21"/>
        </w:rPr>
      </w:pPr>
      <w:r>
        <w:rPr>
          <w:rFonts w:ascii="SimSun" w:eastAsia="SimSun" w:hAnsi="SimSun" w:cs="SimSun"/>
          <w:spacing w:val="-3"/>
          <w:sz w:val="21"/>
          <w:szCs w:val="21"/>
        </w:rPr>
        <w:t>目前，火电仍保持第一大电力来源地位，而煤炭作为火电行业的主要原料，</w:t>
      </w:r>
      <w:r>
        <w:rPr>
          <w:rFonts w:ascii="SimSun" w:eastAsia="SimSun" w:hAnsi="SimSun" w:cs="SimSun"/>
          <w:spacing w:val="-29"/>
          <w:sz w:val="21"/>
          <w:szCs w:val="21"/>
        </w:rPr>
        <w:t xml:space="preserve"> </w:t>
      </w:r>
      <w:r>
        <w:rPr>
          <w:rFonts w:ascii="SimSun" w:eastAsia="SimSun" w:hAnsi="SimSun" w:cs="SimSun"/>
          <w:spacing w:val="-3"/>
          <w:sz w:val="21"/>
          <w:szCs w:val="21"/>
        </w:rPr>
        <w:t>其采购及运输成本是火</w:t>
      </w:r>
      <w:r>
        <w:rPr>
          <w:rFonts w:ascii="SimSun" w:eastAsia="SimSun" w:hAnsi="SimSun" w:cs="SimSun"/>
          <w:spacing w:val="-4"/>
          <w:sz w:val="21"/>
          <w:szCs w:val="21"/>
        </w:rPr>
        <w:t>电企业</w:t>
      </w:r>
      <w:r>
        <w:rPr>
          <w:rFonts w:ascii="SimSun" w:eastAsia="SimSun" w:hAnsi="SimSun" w:cs="SimSun"/>
          <w:sz w:val="21"/>
          <w:szCs w:val="21"/>
        </w:rPr>
        <w:t xml:space="preserve"> </w:t>
      </w:r>
      <w:r>
        <w:rPr>
          <w:rFonts w:ascii="SimSun" w:eastAsia="SimSun" w:hAnsi="SimSun" w:cs="SimSun"/>
          <w:spacing w:val="-4"/>
          <w:sz w:val="21"/>
          <w:szCs w:val="21"/>
        </w:rPr>
        <w:t>生产经营支出的主要构成部分， 因此煤炭市场的景气程度对整体电力行业的盈利能力影响显著。</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年以</w:t>
      </w:r>
      <w:r>
        <w:rPr>
          <w:rFonts w:ascii="SimSun" w:eastAsia="SimSun" w:hAnsi="SimSun" w:cs="SimSun"/>
          <w:spacing w:val="17"/>
          <w:sz w:val="21"/>
          <w:szCs w:val="21"/>
        </w:rPr>
        <w:t xml:space="preserve"> </w:t>
      </w:r>
      <w:r>
        <w:rPr>
          <w:rFonts w:ascii="SimSun" w:eastAsia="SimSun" w:hAnsi="SimSun" w:cs="SimSun"/>
          <w:spacing w:val="-2"/>
          <w:sz w:val="21"/>
          <w:szCs w:val="21"/>
        </w:rPr>
        <w:t>来，</w:t>
      </w:r>
      <w:r>
        <w:rPr>
          <w:rFonts w:ascii="SimSun" w:eastAsia="SimSun" w:hAnsi="SimSun" w:cs="SimSun"/>
          <w:spacing w:val="-27"/>
          <w:sz w:val="21"/>
          <w:szCs w:val="21"/>
        </w:rPr>
        <w:t xml:space="preserve"> </w:t>
      </w:r>
      <w:r>
        <w:rPr>
          <w:rFonts w:ascii="SimSun" w:eastAsia="SimSun" w:hAnsi="SimSun" w:cs="SimSun"/>
          <w:spacing w:val="-2"/>
          <w:sz w:val="21"/>
          <w:szCs w:val="21"/>
        </w:rPr>
        <w:t>受益于煤炭保供政策的推进，国内原产煤产量同比提高，电煤</w:t>
      </w:r>
      <w:r>
        <w:rPr>
          <w:rFonts w:ascii="SimSun" w:eastAsia="SimSun" w:hAnsi="SimSun" w:cs="SimSun"/>
          <w:spacing w:val="-3"/>
          <w:sz w:val="21"/>
          <w:szCs w:val="21"/>
        </w:rPr>
        <w:t>市场价格虽持续高位震荡，但较前期高</w:t>
      </w:r>
      <w:r>
        <w:rPr>
          <w:rFonts w:ascii="SimSun" w:eastAsia="SimSun" w:hAnsi="SimSun" w:cs="SimSun"/>
          <w:sz w:val="21"/>
          <w:szCs w:val="21"/>
        </w:rPr>
        <w:t xml:space="preserve"> </w:t>
      </w:r>
      <w:r>
        <w:rPr>
          <w:rFonts w:ascii="SimSun" w:eastAsia="SimSun" w:hAnsi="SimSun" w:cs="SimSun"/>
          <w:spacing w:val="-2"/>
          <w:sz w:val="21"/>
          <w:szCs w:val="21"/>
        </w:rPr>
        <w:t>点已有回落，有力缓解了煤电企业亏损局面。考虑到迎峰度冬季节来临等因素，</w:t>
      </w:r>
      <w:r>
        <w:rPr>
          <w:rFonts w:ascii="SimSun" w:eastAsia="SimSun" w:hAnsi="SimSun" w:cs="SimSun"/>
          <w:spacing w:val="-28"/>
          <w:sz w:val="21"/>
          <w:szCs w:val="21"/>
        </w:rPr>
        <w:t xml:space="preserve"> </w:t>
      </w:r>
      <w:r>
        <w:rPr>
          <w:rFonts w:ascii="SimSun" w:eastAsia="SimSun" w:hAnsi="SimSun" w:cs="SimSun"/>
          <w:spacing w:val="-3"/>
          <w:sz w:val="21"/>
          <w:szCs w:val="21"/>
        </w:rPr>
        <w:t>仍需持续观察煤炭价格走</w:t>
      </w:r>
      <w:r>
        <w:rPr>
          <w:rFonts w:ascii="SimSun" w:eastAsia="SimSun" w:hAnsi="SimSun" w:cs="SimSun"/>
          <w:sz w:val="21"/>
          <w:szCs w:val="21"/>
        </w:rPr>
        <w:t xml:space="preserve"> </w:t>
      </w:r>
      <w:r>
        <w:rPr>
          <w:rFonts w:ascii="SimSun" w:eastAsia="SimSun" w:hAnsi="SimSun" w:cs="SimSun"/>
          <w:spacing w:val="-2"/>
          <w:sz w:val="21"/>
          <w:szCs w:val="21"/>
        </w:rPr>
        <w:t>势对煤电企业后续盈利影响。</w:t>
      </w:r>
    </w:p>
    <w:p>
      <w:pPr>
        <w:spacing w:before="141" w:line="232" w:lineRule="auto"/>
        <w:ind w:left="198"/>
        <w:rPr>
          <w:rFonts w:ascii="SimHei" w:eastAsia="SimHei" w:hAnsi="SimHei" w:cs="SimHei"/>
          <w:sz w:val="18"/>
          <w:szCs w:val="18"/>
        </w:rPr>
      </w:pPr>
      <w:r>
        <w:rPr>
          <w:rFonts w:ascii="SimHei" w:eastAsia="SimHei" w:hAnsi="SimHei" w:cs="SimHei"/>
          <w:spacing w:val="-5"/>
          <w:sz w:val="18"/>
          <w:szCs w:val="18"/>
        </w:rPr>
        <w:t>图表</w:t>
      </w:r>
      <w:r>
        <w:rPr>
          <w:rFonts w:ascii="SimHei" w:eastAsia="SimHei" w:hAnsi="SimHei" w:cs="SimHei"/>
          <w:spacing w:val="-26"/>
          <w:sz w:val="18"/>
          <w:szCs w:val="18"/>
        </w:rPr>
        <w:t xml:space="preserve"> </w:t>
      </w:r>
      <w:r>
        <w:rPr>
          <w:rFonts w:ascii="Times New Roman" w:eastAsia="Times New Roman" w:hAnsi="Times New Roman" w:cs="Times New Roman"/>
          <w:spacing w:val="-5"/>
          <w:sz w:val="18"/>
          <w:szCs w:val="18"/>
        </w:rPr>
        <w:t>6.</w:t>
      </w:r>
      <w:r>
        <w:rPr>
          <w:rFonts w:ascii="Times New Roman" w:eastAsia="Times New Roman" w:hAnsi="Times New Roman" w:cs="Times New Roman"/>
          <w:spacing w:val="12"/>
          <w:sz w:val="18"/>
          <w:szCs w:val="18"/>
        </w:rPr>
        <w:t xml:space="preserve">   </w:t>
      </w:r>
      <w:r>
        <w:rPr>
          <w:rFonts w:ascii="SimHei" w:eastAsia="SimHei" w:hAnsi="SimHei" w:cs="SimHei"/>
          <w:spacing w:val="-5"/>
          <w:sz w:val="18"/>
          <w:szCs w:val="18"/>
        </w:rPr>
        <w:t>我国煤炭主要品种价格走势情况（单位：</w:t>
      </w:r>
      <w:r>
        <w:rPr>
          <w:rFonts w:ascii="SimHei" w:eastAsia="SimHei" w:hAnsi="SimHei" w:cs="SimHei"/>
          <w:spacing w:val="-5"/>
          <w:sz w:val="18"/>
          <w:szCs w:val="18"/>
        </w:rPr>
        <w:t xml:space="preserve"> </w:t>
      </w:r>
      <w:r>
        <w:rPr>
          <w:rFonts w:ascii="SimHei" w:eastAsia="SimHei" w:hAnsi="SimHei" w:cs="SimHei"/>
          <w:spacing w:val="-5"/>
          <w:sz w:val="18"/>
          <w:szCs w:val="18"/>
        </w:rPr>
        <w:t>元</w:t>
      </w:r>
      <w:r>
        <w:rPr>
          <w:rFonts w:ascii="Times New Roman" w:eastAsia="Times New Roman" w:hAnsi="Times New Roman" w:cs="Times New Roman"/>
          <w:spacing w:val="-5"/>
          <w:sz w:val="18"/>
          <w:szCs w:val="18"/>
        </w:rPr>
        <w:t>/</w:t>
      </w:r>
      <w:r>
        <w:rPr>
          <w:rFonts w:ascii="SimHei" w:eastAsia="SimHei" w:hAnsi="SimHei" w:cs="SimHei"/>
          <w:spacing w:val="-5"/>
          <w:sz w:val="18"/>
          <w:szCs w:val="18"/>
        </w:rPr>
        <w:t>吨）</w:t>
      </w:r>
    </w:p>
    <w:p>
      <w:pPr>
        <w:spacing w:before="222" w:line="214" w:lineRule="auto"/>
        <w:ind w:left="3408"/>
        <w:rPr>
          <w:rFonts w:ascii="Times New Roman" w:eastAsia="Times New Roman" w:hAnsi="Times New Roman" w:cs="Times New Roman"/>
          <w:sz w:val="16"/>
          <w:szCs w:val="16"/>
        </w:rPr>
      </w:pPr>
      <w:r>
        <w:rPr>
          <w:rFonts w:ascii="SimSun" w:eastAsia="SimSun" w:hAnsi="SimSun" w:cs="SimSun"/>
          <w:color w:val="595959"/>
          <w:sz w:val="16"/>
          <w:szCs w:val="16"/>
        </w:rPr>
        <w:t>秦皇岛港</w:t>
      </w:r>
      <w:r>
        <w:rPr>
          <w:rFonts w:ascii="Times New Roman" w:eastAsia="Times New Roman" w:hAnsi="Times New Roman" w:cs="Times New Roman"/>
          <w:color w:val="595959"/>
          <w:sz w:val="16"/>
          <w:szCs w:val="16"/>
        </w:rPr>
        <w:t>:</w:t>
      </w:r>
      <w:r>
        <w:rPr>
          <w:rFonts w:ascii="SimSun" w:eastAsia="SimSun" w:hAnsi="SimSun" w:cs="SimSun"/>
          <w:color w:val="595959"/>
          <w:sz w:val="16"/>
          <w:szCs w:val="16"/>
        </w:rPr>
        <w:t>平仓价</w:t>
      </w:r>
      <w:r>
        <w:rPr>
          <w:rFonts w:ascii="Times New Roman" w:eastAsia="Times New Roman" w:hAnsi="Times New Roman" w:cs="Times New Roman"/>
          <w:color w:val="595959"/>
          <w:sz w:val="16"/>
          <w:szCs w:val="16"/>
        </w:rPr>
        <w:t>:</w:t>
      </w:r>
      <w:r>
        <w:rPr>
          <w:rFonts w:ascii="SimSun" w:eastAsia="SimSun" w:hAnsi="SimSun" w:cs="SimSun"/>
          <w:color w:val="595959"/>
          <w:sz w:val="16"/>
          <w:szCs w:val="16"/>
        </w:rPr>
        <w:t>动力末煤</w:t>
      </w:r>
      <w:r>
        <w:rPr>
          <w:rFonts w:ascii="Times New Roman" w:eastAsia="Times New Roman" w:hAnsi="Times New Roman" w:cs="Times New Roman"/>
          <w:color w:val="595959"/>
          <w:sz w:val="16"/>
          <w:szCs w:val="16"/>
        </w:rPr>
        <w:t>(Q5500,</w:t>
      </w:r>
      <w:r>
        <w:rPr>
          <w:rFonts w:ascii="SimSun" w:eastAsia="SimSun" w:hAnsi="SimSun" w:cs="SimSun"/>
          <w:color w:val="595959"/>
          <w:sz w:val="16"/>
          <w:szCs w:val="16"/>
        </w:rPr>
        <w:t>山西产</w:t>
      </w:r>
      <w:r>
        <w:rPr>
          <w:rFonts w:ascii="Times New Roman" w:eastAsia="Times New Roman" w:hAnsi="Times New Roman" w:cs="Times New Roman"/>
          <w:color w:val="595959"/>
          <w:sz w:val="16"/>
          <w:szCs w:val="16"/>
        </w:rPr>
        <w:t>)</w:t>
      </w:r>
    </w:p>
    <w:p>
      <w:pPr>
        <w:spacing w:before="43" w:line="221" w:lineRule="exact"/>
        <w:ind w:left="452"/>
        <w:rPr>
          <w:rFonts w:ascii="Times New Roman" w:eastAsia="Times New Roman" w:hAnsi="Times New Roman" w:cs="Times New Roman"/>
          <w:sz w:val="12"/>
          <w:szCs w:val="12"/>
        </w:rPr>
      </w:pPr>
      <w:r>
        <w:pict>
          <v:shape id="_x0000_s1070" type="#_x0000_t202" style="width:417pt;height:26.25pt;margin-top:80.24pt;margin-left:48.08pt;position:absolute;z-index:251700224" filled="f" stroked="f">
            <o:lock v:ext="edit" aspectratio="f"/>
            <v:textbox inset="0,0,0,0">
              <w:txbxContent>
                <w:p>
                  <w:pPr>
                    <w:spacing w:line="20" w:lineRule="exact"/>
                  </w:pPr>
                </w:p>
                <w:tbl>
                  <w:tblPr>
                    <w:tblStyle w:val="TableNormal3"/>
                    <w:tblW w:w="8299" w:type="dxa"/>
                    <w:tblInd w:w="20" w:type="dxa"/>
                    <w:tblBorders>
                      <w:top w:val="nil"/>
                      <w:left w:val="nil"/>
                      <w:bottom w:val="nil"/>
                      <w:right w:val="nil"/>
                      <w:insideH w:val="nil"/>
                      <w:insideV w:val="nil"/>
                    </w:tblBorders>
                    <w:tblLayout w:type="fixed"/>
                  </w:tblPr>
                  <w:tblGrid>
                    <w:gridCol w:w="8299"/>
                  </w:tblGrid>
                  <w:tr>
                    <w:tblPrEx>
                      <w:tblW w:w="8299" w:type="dxa"/>
                      <w:tblInd w:w="20" w:type="dxa"/>
                      <w:tblBorders>
                        <w:top w:val="nil"/>
                        <w:left w:val="nil"/>
                        <w:bottom w:val="nil"/>
                        <w:right w:val="nil"/>
                        <w:insideH w:val="nil"/>
                        <w:insideV w:val="nil"/>
                      </w:tblBorders>
                      <w:tblLayout w:type="fixed"/>
                    </w:tblPrEx>
                    <w:trPr>
                      <w:trHeight w:val="213"/>
                    </w:trPr>
                    <w:tc>
                      <w:tcPr>
                        <w:tcW w:w="8299" w:type="dxa"/>
                        <w:tcBorders>
                          <w:top w:val="single" w:sz="4" w:space="0" w:color="D9D9D9"/>
                          <w:bottom w:val="single" w:sz="4" w:space="0" w:color="D9D9D9"/>
                        </w:tcBorders>
                        <w:vAlign w:val="top"/>
                      </w:tcPr>
                      <w:p>
                        <w:pPr>
                          <w:spacing w:line="202" w:lineRule="exact"/>
                          <w:rPr>
                            <w:rFonts w:ascii="Arial"/>
                            <w:sz w:val="17"/>
                          </w:rPr>
                        </w:pPr>
                      </w:p>
                    </w:tc>
                  </w:tr>
                  <w:tr>
                    <w:tblPrEx>
                      <w:tblW w:w="8299" w:type="dxa"/>
                      <w:tblInd w:w="20" w:type="dxa"/>
                      <w:tblLayout w:type="fixed"/>
                    </w:tblPrEx>
                    <w:trPr>
                      <w:trHeight w:val="241"/>
                    </w:trPr>
                    <w:tc>
                      <w:tcPr>
                        <w:tcW w:w="8299" w:type="dxa"/>
                        <w:tcBorders>
                          <w:top w:val="single" w:sz="4" w:space="0" w:color="D9D9D9"/>
                          <w:bottom w:val="single" w:sz="4" w:space="0" w:color="D9D9D9"/>
                        </w:tcBorders>
                        <w:vAlign w:val="top"/>
                      </w:tcPr>
                      <w:p>
                        <w:pPr>
                          <w:spacing w:line="231" w:lineRule="exact"/>
                          <w:rPr>
                            <w:rFonts w:ascii="Arial"/>
                            <w:sz w:val="20"/>
                          </w:rPr>
                        </w:pPr>
                      </w:p>
                    </w:tc>
                  </w:tr>
                </w:tbl>
                <w:p>
                  <w:pPr>
                    <w:rPr>
                      <w:rFonts w:ascii="Arial"/>
                      <w:sz w:val="21"/>
                    </w:rPr>
                  </w:pPr>
                </w:p>
              </w:txbxContent>
            </v:textbox>
          </v:shape>
        </w:pict>
      </w:r>
      <w:r>
        <w:rPr>
          <w:rFonts w:ascii="Times New Roman" w:eastAsia="Times New Roman" w:hAnsi="Times New Roman" w:cs="Times New Roman"/>
          <w:color w:val="595959"/>
          <w:spacing w:val="-2"/>
          <w:position w:val="9"/>
          <w:sz w:val="12"/>
          <w:szCs w:val="12"/>
        </w:rPr>
        <w:t>1,800.00</w:t>
      </w:r>
    </w:p>
    <w:p>
      <w:pPr>
        <w:spacing w:line="200" w:lineRule="auto"/>
        <w:ind w:left="452"/>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1,600.00</w:t>
      </w:r>
    </w:p>
    <w:p>
      <w:pPr>
        <w:spacing w:before="106" w:line="200" w:lineRule="auto"/>
        <w:ind w:left="452"/>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1,400.00</w:t>
      </w:r>
    </w:p>
    <w:p>
      <w:pPr>
        <w:spacing w:before="106" w:line="200" w:lineRule="auto"/>
        <w:ind w:left="452"/>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1,200.00</w:t>
      </w:r>
    </w:p>
    <w:p>
      <w:pPr>
        <w:spacing w:before="106" w:line="200" w:lineRule="auto"/>
        <w:ind w:left="452"/>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1,000.00</w:t>
      </w:r>
    </w:p>
    <w:p>
      <w:pPr>
        <w:spacing w:before="108" w:line="186" w:lineRule="auto"/>
        <w:ind w:left="535"/>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800.00</w:t>
      </w:r>
    </w:p>
    <w:p>
      <w:pPr>
        <w:spacing w:before="114" w:line="186" w:lineRule="auto"/>
        <w:ind w:left="533"/>
        <w:rPr>
          <w:rFonts w:ascii="Times New Roman" w:eastAsia="Times New Roman" w:hAnsi="Times New Roman" w:cs="Times New Roman"/>
          <w:sz w:val="12"/>
          <w:szCs w:val="12"/>
        </w:rPr>
        <w:sectPr>
          <w:headerReference w:type="default" r:id="rId57"/>
          <w:footerReference w:type="default" r:id="rId58"/>
          <w:type w:val="continuous"/>
          <w:pgSz w:w="11907" w:h="16839"/>
          <w:pgMar w:top="1336" w:right="1058" w:bottom="1269" w:left="1104" w:header="1148" w:footer="1077" w:gutter="0"/>
          <w:pgNumType w:start="18"/>
          <w:cols w:num="1" w:space="708" w:equalWidth="0">
            <w:col w:w="9744" w:space="0"/>
          </w:cols>
        </w:sectPr>
      </w:pPr>
      <w:r>
        <w:rPr>
          <w:rFonts w:ascii="Times New Roman" w:eastAsia="Times New Roman" w:hAnsi="Times New Roman" w:cs="Times New Roman"/>
          <w:color w:val="595959"/>
          <w:spacing w:val="-1"/>
          <w:sz w:val="12"/>
          <w:szCs w:val="12"/>
        </w:rPr>
        <w:t>600.00</w:t>
      </w:r>
    </w:p>
    <w:p>
      <w:pPr>
        <w:spacing w:before="114" w:line="186" w:lineRule="auto"/>
        <w:ind w:left="529"/>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400.00</w:t>
      </w:r>
    </w:p>
    <w:p>
      <w:pPr>
        <w:spacing w:before="114" w:line="186" w:lineRule="auto"/>
        <w:ind w:left="530"/>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200.00</w:t>
      </w:r>
    </w:p>
    <w:p>
      <w:pPr>
        <w:spacing w:before="114" w:line="186" w:lineRule="auto"/>
        <w:ind w:left="652"/>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before="42" w:line="434" w:lineRule="exact"/>
        <w:ind w:firstLine="580"/>
      </w:pPr>
      <w:r>
        <w:rPr>
          <w:position w:val="-8"/>
        </w:rPr>
        <w:drawing>
          <wp:inline distT="0" distB="0" distL="0" distR="0">
            <wp:extent cx="5441936" cy="27533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9"/>
                    <a:stretch>
                      <a:fillRect/>
                    </a:stretch>
                  </pic:blipFill>
                  <pic:spPr>
                    <a:xfrm>
                      <a:off x="0" y="0"/>
                      <a:ext cx="5441936" cy="275335"/>
                    </a:xfrm>
                    <a:prstGeom prst="rect">
                      <a:avLst/>
                    </a:prstGeom>
                  </pic:spPr>
                </pic:pic>
              </a:graphicData>
            </a:graphic>
          </wp:inline>
        </w:drawing>
      </w:r>
    </w:p>
    <w:p>
      <w:pPr>
        <w:spacing w:line="258" w:lineRule="auto"/>
        <w:rPr>
          <w:rFonts w:ascii="Arial"/>
          <w:sz w:val="21"/>
        </w:rPr>
      </w:pPr>
    </w:p>
    <w:p>
      <w:pPr>
        <w:spacing w:before="48" w:line="186" w:lineRule="auto"/>
        <w:ind w:left="150"/>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line="186" w:lineRule="auto"/>
        <w:rPr>
          <w:rFonts w:ascii="SimSun" w:eastAsia="SimSun" w:hAnsi="SimSun" w:cs="SimSun"/>
          <w:sz w:val="15"/>
          <w:szCs w:val="15"/>
        </w:rPr>
        <w:sectPr>
          <w:headerReference w:type="default" r:id="rId60"/>
          <w:footerReference w:type="default" r:id="rId61"/>
          <w:type w:val="nextPage"/>
          <w:pgSz w:w="11907" w:h="16839"/>
          <w:pgMar w:top="1336" w:right="1058" w:bottom="1269" w:left="1104" w:header="1148" w:footer="1077" w:gutter="0"/>
          <w:pgNumType w:start="19"/>
          <w:cols w:num="1" w:space="708" w:equalWidth="0">
            <w:col w:w="9744" w:space="0"/>
          </w:cols>
          <w:titlePg w:val="0"/>
        </w:sectPr>
      </w:pPr>
    </w:p>
    <w:p>
      <w:pPr>
        <w:spacing w:line="319" w:lineRule="auto"/>
        <w:rPr>
          <w:rFonts w:ascii="Arial"/>
          <w:sz w:val="21"/>
        </w:rPr>
      </w:pPr>
    </w:p>
    <w:p>
      <w:pPr>
        <w:spacing w:before="78" w:line="218" w:lineRule="auto"/>
        <w:ind w:left="50"/>
        <w:rPr>
          <w:rFonts w:ascii="SimHei" w:eastAsia="SimHei" w:hAnsi="SimHei" w:cs="SimHei"/>
          <w:sz w:val="24"/>
          <w:szCs w:val="24"/>
        </w:rPr>
      </w:pPr>
      <w:r>
        <w:rPr>
          <w:rFonts w:ascii="SimHei" w:eastAsia="SimHei" w:hAnsi="SimHei" w:cs="SimHei"/>
          <w:spacing w:val="-5"/>
          <w:sz w:val="24"/>
          <w:szCs w:val="24"/>
        </w:rPr>
        <w:t>1.2</w:t>
      </w:r>
      <w:r>
        <w:rPr>
          <w:rFonts w:ascii="SimHei" w:eastAsia="SimHei" w:hAnsi="SimHei" w:cs="SimHei"/>
          <w:spacing w:val="-48"/>
          <w:sz w:val="24"/>
          <w:szCs w:val="24"/>
        </w:rPr>
        <w:t xml:space="preserve"> </w:t>
      </w:r>
      <w:r>
        <w:rPr>
          <w:rFonts w:ascii="SimHei" w:eastAsia="SimHei" w:hAnsi="SimHei" w:cs="SimHei"/>
          <w:spacing w:val="-5"/>
          <w:sz w:val="24"/>
          <w:szCs w:val="24"/>
        </w:rPr>
        <w:t>清洁电源</w:t>
      </w:r>
    </w:p>
    <w:p>
      <w:pPr>
        <w:spacing w:line="440" w:lineRule="auto"/>
        <w:rPr>
          <w:rFonts w:ascii="Arial"/>
          <w:sz w:val="21"/>
        </w:rPr>
      </w:pPr>
    </w:p>
    <w:p>
      <w:pPr>
        <w:spacing w:before="68" w:line="277" w:lineRule="auto"/>
        <w:ind w:left="35" w:right="76" w:firstLine="1"/>
        <w:jc w:val="both"/>
        <w:rPr>
          <w:rFonts w:ascii="SimHei" w:eastAsia="SimHei" w:hAnsi="SimHei" w:cs="SimHei"/>
          <w:sz w:val="21"/>
          <w:szCs w:val="21"/>
        </w:rPr>
      </w:pPr>
      <w:r>
        <w:rPr>
          <w:rFonts w:ascii="SimHei" w:eastAsia="SimHei" w:hAnsi="SimHei" w:cs="SimHei"/>
          <w:sz w:val="21"/>
          <w:szCs w:val="21"/>
        </w:rPr>
        <w:t>近年来风电、太阳能发电装机规模快速扩张</w:t>
      </w:r>
      <w:r>
        <w:rPr>
          <w:rFonts w:ascii="SimHei" w:eastAsia="SimHei" w:hAnsi="SimHei" w:cs="SimHei"/>
          <w:spacing w:val="-1"/>
          <w:sz w:val="21"/>
          <w:szCs w:val="21"/>
        </w:rPr>
        <w:t>带动整体电源装机规模扩大。综合考虑未来水电装机发展空间</w:t>
      </w:r>
      <w:r>
        <w:rPr>
          <w:rFonts w:ascii="SimHei" w:eastAsia="SimHei" w:hAnsi="SimHei" w:cs="SimHei"/>
          <w:sz w:val="21"/>
          <w:szCs w:val="21"/>
        </w:rPr>
        <w:t xml:space="preserve"> </w:t>
      </w:r>
      <w:r>
        <w:rPr>
          <w:rFonts w:ascii="SimHei" w:eastAsia="SimHei" w:hAnsi="SimHei" w:cs="SimHei"/>
          <w:sz w:val="21"/>
          <w:szCs w:val="21"/>
        </w:rPr>
        <w:t>相对有限，核电装机建设周期较长，以及传统</w:t>
      </w:r>
      <w:r>
        <w:rPr>
          <w:rFonts w:ascii="SimHei" w:eastAsia="SimHei" w:hAnsi="SimHei" w:cs="SimHei"/>
          <w:spacing w:val="-1"/>
          <w:sz w:val="21"/>
          <w:szCs w:val="21"/>
        </w:rPr>
        <w:t>火电逐步由主体电源向基础、调峰性电源转型的背景下，预</w:t>
      </w:r>
      <w:r>
        <w:rPr>
          <w:rFonts w:ascii="SimHei" w:eastAsia="SimHei" w:hAnsi="SimHei" w:cs="SimHei"/>
          <w:sz w:val="21"/>
          <w:szCs w:val="21"/>
        </w:rPr>
        <w:t xml:space="preserve"> </w:t>
      </w:r>
      <w:r>
        <w:rPr>
          <w:rFonts w:ascii="SimHei" w:eastAsia="SimHei" w:hAnsi="SimHei" w:cs="SimHei"/>
          <w:sz w:val="21"/>
          <w:szCs w:val="21"/>
        </w:rPr>
        <w:t>计中短期内，新增电力需求仍由风光满足，风电</w:t>
      </w:r>
      <w:r>
        <w:rPr>
          <w:rFonts w:ascii="SimHei" w:eastAsia="SimHei" w:hAnsi="SimHei" w:cs="SimHei"/>
          <w:spacing w:val="-1"/>
          <w:sz w:val="21"/>
          <w:szCs w:val="21"/>
        </w:rPr>
        <w:t>、太阳能发电装机继续保持较快增速；长远来看核电将凭</w:t>
      </w:r>
      <w:r>
        <w:rPr>
          <w:rFonts w:ascii="SimHei" w:eastAsia="SimHei" w:hAnsi="SimHei" w:cs="SimHei"/>
          <w:sz w:val="21"/>
          <w:szCs w:val="21"/>
        </w:rPr>
        <w:t xml:space="preserve"> </w:t>
      </w:r>
      <w:r>
        <w:rPr>
          <w:rFonts w:ascii="SimHei" w:eastAsia="SimHei" w:hAnsi="SimHei" w:cs="SimHei"/>
          <w:spacing w:val="-2"/>
          <w:sz w:val="21"/>
          <w:szCs w:val="21"/>
        </w:rPr>
        <w:t>借其能量高及稳定强的优势，</w:t>
      </w:r>
      <w:r>
        <w:rPr>
          <w:rFonts w:ascii="SimHei" w:eastAsia="SimHei" w:hAnsi="SimHei" w:cs="SimHei"/>
          <w:spacing w:val="-23"/>
          <w:sz w:val="21"/>
          <w:szCs w:val="21"/>
        </w:rPr>
        <w:t xml:space="preserve"> </w:t>
      </w:r>
      <w:r>
        <w:rPr>
          <w:rFonts w:ascii="SimHei" w:eastAsia="SimHei" w:hAnsi="SimHei" w:cs="SimHei"/>
          <w:spacing w:val="-2"/>
          <w:sz w:val="21"/>
          <w:szCs w:val="21"/>
        </w:rPr>
        <w:t>成为新增清洁电源</w:t>
      </w:r>
      <w:r>
        <w:rPr>
          <w:rFonts w:ascii="SimHei" w:eastAsia="SimHei" w:hAnsi="SimHei" w:cs="SimHei"/>
          <w:spacing w:val="-3"/>
          <w:sz w:val="21"/>
          <w:szCs w:val="21"/>
        </w:rPr>
        <w:t>中最具竞争力的重要组成部分。</w:t>
      </w:r>
    </w:p>
    <w:p>
      <w:pPr>
        <w:spacing w:before="220" w:line="278" w:lineRule="auto"/>
        <w:ind w:left="36" w:right="74"/>
        <w:jc w:val="both"/>
        <w:rPr>
          <w:rFonts w:ascii="SimSun" w:eastAsia="SimSun" w:hAnsi="SimSun" w:cs="SimSun"/>
          <w:sz w:val="21"/>
          <w:szCs w:val="21"/>
        </w:rPr>
      </w:pPr>
      <w:r>
        <w:rPr>
          <w:rFonts w:ascii="SimSun" w:eastAsia="SimSun" w:hAnsi="SimSun" w:cs="SimSun"/>
          <w:spacing w:val="-2"/>
          <w:sz w:val="21"/>
          <w:szCs w:val="21"/>
        </w:rPr>
        <w:t>近年来清洁电源装机规模持续增长，但各类型清洁电源增速差异较大。</w:t>
      </w:r>
      <w:r>
        <w:rPr>
          <w:rFonts w:ascii="SimSun" w:eastAsia="SimSun" w:hAnsi="SimSun" w:cs="SimSun"/>
          <w:spacing w:val="-37"/>
          <w:sz w:val="21"/>
          <w:szCs w:val="21"/>
        </w:rPr>
        <w:t xml:space="preserve"> </w:t>
      </w:r>
      <w:r>
        <w:rPr>
          <w:rFonts w:ascii="SimSun" w:eastAsia="SimSun" w:hAnsi="SimSun" w:cs="SimSun"/>
          <w:spacing w:val="-2"/>
          <w:sz w:val="21"/>
          <w:szCs w:val="21"/>
        </w:rPr>
        <w:t>相对而言，水电及核电装机增速偏</w:t>
      </w:r>
      <w:r>
        <w:rPr>
          <w:rFonts w:ascii="SimSun" w:eastAsia="SimSun" w:hAnsi="SimSun" w:cs="SimSun"/>
          <w:sz w:val="21"/>
          <w:szCs w:val="21"/>
        </w:rPr>
        <w:t xml:space="preserve"> </w:t>
      </w:r>
      <w:r>
        <w:rPr>
          <w:rFonts w:ascii="SimSun" w:eastAsia="SimSun" w:hAnsi="SimSun" w:cs="SimSun"/>
          <w:spacing w:val="-2"/>
          <w:sz w:val="21"/>
          <w:szCs w:val="21"/>
        </w:rPr>
        <w:t>低，</w:t>
      </w:r>
      <w:r>
        <w:rPr>
          <w:rFonts w:ascii="Times New Roman" w:eastAsia="Times New Roman" w:hAnsi="Times New Roman" w:cs="Times New Roman"/>
          <w:spacing w:val="-2"/>
          <w:sz w:val="21"/>
          <w:szCs w:val="21"/>
        </w:rPr>
        <w:t xml:space="preserve">2020-2022 </w:t>
      </w:r>
      <w:r>
        <w:rPr>
          <w:rFonts w:ascii="SimSun" w:eastAsia="SimSun" w:hAnsi="SimSun" w:cs="SimSun"/>
          <w:spacing w:val="-2"/>
          <w:sz w:val="21"/>
          <w:szCs w:val="21"/>
        </w:rPr>
        <w:t>年水电及核电装机平</w:t>
      </w:r>
      <w:r>
        <w:rPr>
          <w:rFonts w:ascii="SimSun" w:eastAsia="SimSun" w:hAnsi="SimSun" w:cs="SimSun"/>
          <w:spacing w:val="-3"/>
          <w:sz w:val="21"/>
          <w:szCs w:val="21"/>
        </w:rPr>
        <w:t>均增速不足</w:t>
      </w:r>
      <w:r>
        <w:rPr>
          <w:rFonts w:ascii="SimSun" w:eastAsia="SimSun" w:hAnsi="SimSun" w:cs="SimSun"/>
          <w:spacing w:val="-42"/>
          <w:sz w:val="21"/>
          <w:szCs w:val="21"/>
        </w:rPr>
        <w:t xml:space="preserve"> </w:t>
      </w:r>
      <w:r>
        <w:rPr>
          <w:rFonts w:ascii="Times New Roman" w:eastAsia="Times New Roman" w:hAnsi="Times New Roman" w:cs="Times New Roman"/>
          <w:spacing w:val="-3"/>
          <w:sz w:val="21"/>
          <w:szCs w:val="21"/>
        </w:rPr>
        <w:t>5%</w:t>
      </w:r>
      <w:r>
        <w:rPr>
          <w:rFonts w:ascii="SimSun" w:eastAsia="SimSun" w:hAnsi="SimSun" w:cs="SimSun"/>
          <w:spacing w:val="-3"/>
          <w:sz w:val="21"/>
          <w:szCs w:val="21"/>
        </w:rPr>
        <w:t>，而风电及太阳能发电装机增速则均高于</w:t>
      </w:r>
      <w:r>
        <w:rPr>
          <w:rFonts w:ascii="SimSun" w:eastAsia="SimSun" w:hAnsi="SimSun" w:cs="SimSun"/>
          <w:spacing w:val="-47"/>
          <w:sz w:val="21"/>
          <w:szCs w:val="21"/>
        </w:rPr>
        <w:t xml:space="preserve"> </w:t>
      </w:r>
      <w:r>
        <w:rPr>
          <w:rFonts w:ascii="Times New Roman" w:eastAsia="Times New Roman" w:hAnsi="Times New Roman" w:cs="Times New Roman"/>
          <w:spacing w:val="-3"/>
          <w:sz w:val="21"/>
          <w:szCs w:val="21"/>
        </w:rPr>
        <w:t>20%</w:t>
      </w:r>
      <w:r>
        <w:rPr>
          <w:rFonts w:ascii="SimSun" w:eastAsia="SimSun" w:hAnsi="SimSun" w:cs="SimSun"/>
          <w:spacing w:val="-3"/>
          <w:sz w:val="21"/>
          <w:szCs w:val="21"/>
        </w:rPr>
        <w:t>。</w:t>
      </w:r>
      <w:r>
        <w:rPr>
          <w:rFonts w:ascii="Times New Roman" w:eastAsia="Times New Roman" w:hAnsi="Times New Roman" w:cs="Times New Roman"/>
          <w:spacing w:val="-3"/>
          <w:sz w:val="21"/>
          <w:szCs w:val="21"/>
        </w:rPr>
        <w:t xml:space="preserve">2023 </w:t>
      </w:r>
      <w:r>
        <w:rPr>
          <w:rFonts w:ascii="SimSun" w:eastAsia="SimSun" w:hAnsi="SimSun" w:cs="SimSun"/>
          <w:spacing w:val="-3"/>
          <w:sz w:val="21"/>
          <w:szCs w:val="21"/>
        </w:rPr>
        <w:t>年</w:t>
      </w:r>
      <w:r>
        <w:rPr>
          <w:rFonts w:ascii="SimSun" w:eastAsia="SimSun" w:hAnsi="SimSun" w:cs="SimSun"/>
          <w:sz w:val="21"/>
          <w:szCs w:val="21"/>
        </w:rPr>
        <w:t xml:space="preserve"> </w:t>
      </w:r>
      <w:r>
        <w:rPr>
          <w:rFonts w:ascii="SimSun" w:eastAsia="SimSun" w:hAnsi="SimSun" w:cs="SimSun"/>
          <w:spacing w:val="-2"/>
          <w:sz w:val="21"/>
          <w:szCs w:val="21"/>
        </w:rPr>
        <w:t>前三季度，</w:t>
      </w:r>
      <w:r>
        <w:rPr>
          <w:rFonts w:ascii="SimSun" w:eastAsia="SimSun" w:hAnsi="SimSun" w:cs="SimSun"/>
          <w:spacing w:val="-23"/>
          <w:sz w:val="21"/>
          <w:szCs w:val="21"/>
        </w:rPr>
        <w:t xml:space="preserve"> </w:t>
      </w:r>
      <w:r>
        <w:rPr>
          <w:rFonts w:ascii="SimSun" w:eastAsia="SimSun" w:hAnsi="SimSun" w:cs="SimSun"/>
          <w:spacing w:val="-2"/>
          <w:sz w:val="21"/>
          <w:szCs w:val="21"/>
        </w:rPr>
        <w:t>太阳能发电、风电、水电及核电装机分别</w:t>
      </w:r>
      <w:r>
        <w:rPr>
          <w:rFonts w:ascii="SimSun" w:eastAsia="SimSun" w:hAnsi="SimSun" w:cs="SimSun"/>
          <w:spacing w:val="-3"/>
          <w:sz w:val="21"/>
          <w:szCs w:val="21"/>
        </w:rPr>
        <w:t>同比增长</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45.30%</w:t>
      </w:r>
      <w:r>
        <w:rPr>
          <w:rFonts w:ascii="Times New Roman" w:eastAsia="Times New Roman" w:hAnsi="Times New Roman" w:cs="Times New Roman"/>
          <w:spacing w:val="-30"/>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spacing w:val="-3"/>
          <w:sz w:val="21"/>
          <w:szCs w:val="21"/>
        </w:rPr>
        <w:t>15.10%</w:t>
      </w:r>
      <w:r>
        <w:rPr>
          <w:rFonts w:ascii="Times New Roman" w:eastAsia="Times New Roman" w:hAnsi="Times New Roman" w:cs="Times New Roman"/>
          <w:spacing w:val="-31"/>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spacing w:val="-3"/>
          <w:sz w:val="21"/>
          <w:szCs w:val="21"/>
        </w:rPr>
        <w:t>3.40%</w:t>
      </w:r>
      <w:r>
        <w:rPr>
          <w:rFonts w:ascii="SimSun" w:eastAsia="SimSun" w:hAnsi="SimSun" w:cs="SimSun"/>
          <w:spacing w:val="-3"/>
          <w:sz w:val="21"/>
          <w:szCs w:val="21"/>
        </w:rPr>
        <w:t>和</w:t>
      </w:r>
      <w:r>
        <w:rPr>
          <w:rFonts w:ascii="SimSun" w:eastAsia="SimSun" w:hAnsi="SimSun" w:cs="SimSun"/>
          <w:spacing w:val="-47"/>
          <w:sz w:val="21"/>
          <w:szCs w:val="21"/>
        </w:rPr>
        <w:t xml:space="preserve"> </w:t>
      </w:r>
      <w:r>
        <w:rPr>
          <w:rFonts w:ascii="Times New Roman" w:eastAsia="Times New Roman" w:hAnsi="Times New Roman" w:cs="Times New Roman"/>
          <w:spacing w:val="-3"/>
          <w:sz w:val="21"/>
          <w:szCs w:val="21"/>
        </w:rPr>
        <w:t>2.20%</w:t>
      </w:r>
      <w:r>
        <w:rPr>
          <w:rFonts w:ascii="SimSun" w:eastAsia="SimSun" w:hAnsi="SimSun" w:cs="SimSun"/>
          <w:spacing w:val="-3"/>
          <w:sz w:val="21"/>
          <w:szCs w:val="21"/>
        </w:rPr>
        <w:t>。</w:t>
      </w:r>
    </w:p>
    <w:p>
      <w:pPr>
        <w:spacing w:before="197" w:line="283" w:lineRule="auto"/>
        <w:ind w:left="37" w:right="74" w:firstLine="2"/>
        <w:jc w:val="both"/>
        <w:rPr>
          <w:rFonts w:ascii="SimSun" w:eastAsia="SimSun" w:hAnsi="SimSun" w:cs="SimSun"/>
          <w:sz w:val="21"/>
          <w:szCs w:val="21"/>
        </w:rPr>
      </w:pPr>
      <w:r>
        <w:rPr>
          <w:rFonts w:ascii="SimSun" w:eastAsia="SimSun" w:hAnsi="SimSun" w:cs="SimSun"/>
          <w:sz w:val="21"/>
          <w:szCs w:val="21"/>
        </w:rPr>
        <w:t>从各类型清洁电源发展情况来看，我国水电</w:t>
      </w:r>
      <w:r>
        <w:rPr>
          <w:rFonts w:ascii="SimSun" w:eastAsia="SimSun" w:hAnsi="SimSun" w:cs="SimSun"/>
          <w:spacing w:val="-1"/>
          <w:sz w:val="21"/>
          <w:szCs w:val="21"/>
        </w:rPr>
        <w:t>开发时间较早且开发强度较高，目前大型水电基地布局基本完</w:t>
      </w:r>
      <w:r>
        <w:rPr>
          <w:rFonts w:ascii="SimSun" w:eastAsia="SimSun" w:hAnsi="SimSun" w:cs="SimSun"/>
          <w:sz w:val="21"/>
          <w:szCs w:val="21"/>
        </w:rPr>
        <w:t xml:space="preserve"> </w:t>
      </w:r>
      <w:r>
        <w:rPr>
          <w:rFonts w:ascii="SimSun" w:eastAsia="SimSun" w:hAnsi="SimSun" w:cs="SimSun"/>
          <w:spacing w:val="-2"/>
          <w:sz w:val="21"/>
          <w:szCs w:val="21"/>
        </w:rPr>
        <w:t>成，形成了包括金沙江、长江上游和澜沧江干流等在内</w:t>
      </w:r>
      <w:r>
        <w:rPr>
          <w:rFonts w:ascii="SimSun" w:eastAsia="SimSun" w:hAnsi="SimSun" w:cs="SimSun"/>
          <w:spacing w:val="-3"/>
          <w:sz w:val="21"/>
          <w:szCs w:val="21"/>
        </w:rPr>
        <w:t>的十三大水电基地，</w:t>
      </w:r>
      <w:r>
        <w:rPr>
          <w:rFonts w:ascii="SimSun" w:eastAsia="SimSun" w:hAnsi="SimSun" w:cs="SimSun"/>
          <w:spacing w:val="-24"/>
          <w:sz w:val="21"/>
          <w:szCs w:val="21"/>
        </w:rPr>
        <w:t xml:space="preserve"> </w:t>
      </w:r>
      <w:r>
        <w:rPr>
          <w:rFonts w:ascii="SimSun" w:eastAsia="SimSun" w:hAnsi="SimSun" w:cs="SimSun"/>
          <w:spacing w:val="-3"/>
          <w:sz w:val="21"/>
          <w:szCs w:val="21"/>
        </w:rPr>
        <w:t>截至</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2023</w:t>
      </w:r>
      <w:r>
        <w:rPr>
          <w:rFonts w:ascii="Times New Roman" w:eastAsia="Times New Roman" w:hAnsi="Times New Roman" w:cs="Times New Roman"/>
          <w:spacing w:val="28"/>
          <w:w w:val="101"/>
          <w:sz w:val="21"/>
          <w:szCs w:val="21"/>
        </w:rPr>
        <w:t xml:space="preserve"> </w:t>
      </w:r>
      <w:r>
        <w:rPr>
          <w:rFonts w:ascii="SimSun" w:eastAsia="SimSun" w:hAnsi="SimSun" w:cs="SimSun"/>
          <w:spacing w:val="-3"/>
          <w:sz w:val="21"/>
          <w:szCs w:val="21"/>
        </w:rPr>
        <w:t>年</w:t>
      </w:r>
      <w:r>
        <w:rPr>
          <w:rFonts w:ascii="SimSun" w:eastAsia="SimSun" w:hAnsi="SimSun" w:cs="SimSun"/>
          <w:spacing w:val="-24"/>
          <w:sz w:val="21"/>
          <w:szCs w:val="21"/>
        </w:rPr>
        <w:t xml:space="preserve"> </w:t>
      </w:r>
      <w:r>
        <w:rPr>
          <w:rFonts w:ascii="Times New Roman" w:eastAsia="Times New Roman" w:hAnsi="Times New Roman" w:cs="Times New Roman"/>
          <w:spacing w:val="-3"/>
          <w:sz w:val="21"/>
          <w:szCs w:val="21"/>
        </w:rPr>
        <w:t>9</w:t>
      </w:r>
      <w:r>
        <w:rPr>
          <w:rFonts w:ascii="Times New Roman" w:eastAsia="Times New Roman" w:hAnsi="Times New Roman" w:cs="Times New Roman"/>
          <w:spacing w:val="35"/>
          <w:w w:val="101"/>
          <w:sz w:val="21"/>
          <w:szCs w:val="21"/>
        </w:rPr>
        <w:t xml:space="preserve"> </w:t>
      </w:r>
      <w:r>
        <w:rPr>
          <w:rFonts w:ascii="SimSun" w:eastAsia="SimSun" w:hAnsi="SimSun" w:cs="SimSun"/>
          <w:spacing w:val="-3"/>
          <w:sz w:val="21"/>
          <w:szCs w:val="21"/>
        </w:rPr>
        <w:t>月末水电装机</w:t>
      </w:r>
      <w:r>
        <w:rPr>
          <w:rFonts w:ascii="SimSun" w:eastAsia="SimSun" w:hAnsi="SimSun" w:cs="SimSun"/>
          <w:sz w:val="21"/>
          <w:szCs w:val="21"/>
        </w:rPr>
        <w:t xml:space="preserve"> </w:t>
      </w:r>
      <w:r>
        <w:rPr>
          <w:rFonts w:ascii="SimSun" w:eastAsia="SimSun" w:hAnsi="SimSun" w:cs="SimSun"/>
          <w:spacing w:val="-3"/>
          <w:sz w:val="21"/>
          <w:szCs w:val="21"/>
        </w:rPr>
        <w:t>规模达到</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41949.00</w:t>
      </w:r>
      <w:r>
        <w:rPr>
          <w:rFonts w:ascii="Times New Roman" w:eastAsia="Times New Roman" w:hAnsi="Times New Roman" w:cs="Times New Roman"/>
          <w:spacing w:val="35"/>
          <w:sz w:val="21"/>
          <w:szCs w:val="21"/>
        </w:rPr>
        <w:t xml:space="preserve"> </w:t>
      </w:r>
      <w:r>
        <w:rPr>
          <w:rFonts w:ascii="SimSun" w:eastAsia="SimSun" w:hAnsi="SimSun" w:cs="SimSun"/>
          <w:spacing w:val="-3"/>
          <w:sz w:val="21"/>
          <w:szCs w:val="21"/>
        </w:rPr>
        <w:t xml:space="preserve">万千瓦，占电力总装机容量的 </w:t>
      </w:r>
      <w:r>
        <w:rPr>
          <w:rFonts w:ascii="Times New Roman" w:eastAsia="Times New Roman" w:hAnsi="Times New Roman" w:cs="Times New Roman"/>
          <w:spacing w:val="-3"/>
          <w:sz w:val="21"/>
          <w:szCs w:val="21"/>
        </w:rPr>
        <w:t>15.03%</w:t>
      </w:r>
      <w:r>
        <w:rPr>
          <w:rFonts w:ascii="Times New Roman" w:eastAsia="Times New Roman" w:hAnsi="Times New Roman" w:cs="Times New Roman"/>
          <w:spacing w:val="-24"/>
          <w:sz w:val="21"/>
          <w:szCs w:val="21"/>
        </w:rPr>
        <w:t xml:space="preserve"> </w:t>
      </w:r>
      <w:r>
        <w:rPr>
          <w:rFonts w:ascii="SimSun" w:eastAsia="SimSun" w:hAnsi="SimSun" w:cs="SimSun"/>
          <w:spacing w:val="-3"/>
          <w:sz w:val="21"/>
          <w:szCs w:val="21"/>
        </w:rPr>
        <w:t>。根据十四五规划，</w:t>
      </w:r>
      <w:r>
        <w:rPr>
          <w:rFonts w:ascii="SimSun" w:eastAsia="SimSun" w:hAnsi="SimSun" w:cs="SimSun"/>
          <w:spacing w:val="-20"/>
          <w:sz w:val="21"/>
          <w:szCs w:val="21"/>
        </w:rPr>
        <w:t xml:space="preserve"> </w:t>
      </w:r>
      <w:r>
        <w:rPr>
          <w:rFonts w:ascii="SimSun" w:eastAsia="SimSun" w:hAnsi="SimSun" w:cs="SimSun"/>
          <w:spacing w:val="-3"/>
          <w:sz w:val="21"/>
          <w:szCs w:val="21"/>
        </w:rPr>
        <w:t>未来计划建</w:t>
      </w:r>
      <w:r>
        <w:rPr>
          <w:rFonts w:ascii="SimSun" w:eastAsia="SimSun" w:hAnsi="SimSun" w:cs="SimSun"/>
          <w:spacing w:val="-4"/>
          <w:sz w:val="21"/>
          <w:szCs w:val="21"/>
        </w:rPr>
        <w:t>设雅鲁藏布江下</w:t>
      </w:r>
      <w:r>
        <w:rPr>
          <w:rFonts w:ascii="SimSun" w:eastAsia="SimSun" w:hAnsi="SimSun" w:cs="SimSun"/>
          <w:sz w:val="21"/>
          <w:szCs w:val="21"/>
        </w:rPr>
        <w:t xml:space="preserve"> </w:t>
      </w:r>
      <w:r>
        <w:rPr>
          <w:rFonts w:ascii="SimSun" w:eastAsia="SimSun" w:hAnsi="SimSun" w:cs="SimSun"/>
          <w:spacing w:val="-3"/>
          <w:sz w:val="21"/>
          <w:szCs w:val="21"/>
        </w:rPr>
        <w:t>游水电基地（暂称“墨脱水电站”</w:t>
      </w:r>
      <w:r>
        <w:rPr>
          <w:rFonts w:ascii="SimSun" w:eastAsia="SimSun" w:hAnsi="SimSun" w:cs="SimSun"/>
          <w:spacing w:val="-34"/>
          <w:w w:val="62"/>
          <w:sz w:val="21"/>
          <w:szCs w:val="21"/>
        </w:rPr>
        <w:t>），</w:t>
      </w:r>
      <w:r>
        <w:rPr>
          <w:rFonts w:ascii="SimSun" w:eastAsia="SimSun" w:hAnsi="SimSun" w:cs="SimSun"/>
          <w:spacing w:val="-3"/>
          <w:sz w:val="21"/>
          <w:szCs w:val="21"/>
        </w:rPr>
        <w:t>布局</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 xml:space="preserve">6 </w:t>
      </w:r>
      <w:r>
        <w:rPr>
          <w:rFonts w:ascii="SimSun" w:eastAsia="SimSun" w:hAnsi="SimSun" w:cs="SimSun"/>
          <w:spacing w:val="-3"/>
          <w:sz w:val="21"/>
          <w:szCs w:val="21"/>
        </w:rPr>
        <w:t>个</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 xml:space="preserve">1000 </w:t>
      </w:r>
      <w:r>
        <w:rPr>
          <w:rFonts w:ascii="SimSun" w:eastAsia="SimSun" w:hAnsi="SimSun" w:cs="SimSun"/>
          <w:spacing w:val="-3"/>
          <w:sz w:val="21"/>
          <w:szCs w:val="21"/>
        </w:rPr>
        <w:t>万千瓦的大型水电站，但目前尚处于勘测阶段，且由于</w:t>
      </w:r>
      <w:r>
        <w:rPr>
          <w:rFonts w:ascii="SimSun" w:eastAsia="SimSun" w:hAnsi="SimSun" w:cs="SimSun"/>
          <w:sz w:val="21"/>
          <w:szCs w:val="21"/>
        </w:rPr>
        <w:t xml:space="preserve"> </w:t>
      </w:r>
      <w:r>
        <w:rPr>
          <w:rFonts w:ascii="SimSun" w:eastAsia="SimSun" w:hAnsi="SimSun" w:cs="SimSun"/>
          <w:spacing w:val="-2"/>
          <w:sz w:val="21"/>
          <w:szCs w:val="21"/>
        </w:rPr>
        <w:t>该项目具有较高特殊性、复杂性，进度尚未明确。总体来看，</w:t>
      </w:r>
      <w:r>
        <w:rPr>
          <w:rFonts w:ascii="SimSun" w:eastAsia="SimSun" w:hAnsi="SimSun" w:cs="SimSun"/>
          <w:spacing w:val="-20"/>
          <w:sz w:val="21"/>
          <w:szCs w:val="21"/>
        </w:rPr>
        <w:t xml:space="preserve"> </w:t>
      </w:r>
      <w:r>
        <w:rPr>
          <w:rFonts w:ascii="SimSun" w:eastAsia="SimSun" w:hAnsi="SimSun" w:cs="SimSun"/>
          <w:spacing w:val="-2"/>
          <w:sz w:val="21"/>
          <w:szCs w:val="21"/>
        </w:rPr>
        <w:t>未来水电发展空间已相对较为受限。</w:t>
      </w:r>
    </w:p>
    <w:p>
      <w:pPr>
        <w:spacing w:before="205" w:line="290" w:lineRule="auto"/>
        <w:ind w:left="36" w:right="19" w:firstLine="3"/>
        <w:jc w:val="both"/>
        <w:rPr>
          <w:rFonts w:ascii="SimSun" w:eastAsia="SimSun" w:hAnsi="SimSun" w:cs="SimSun"/>
          <w:sz w:val="21"/>
          <w:szCs w:val="21"/>
        </w:rPr>
      </w:pPr>
      <w:r>
        <w:rPr>
          <w:rFonts w:ascii="SimSun" w:eastAsia="SimSun" w:hAnsi="SimSun" w:cs="SimSun"/>
          <w:spacing w:val="-6"/>
          <w:sz w:val="21"/>
          <w:szCs w:val="21"/>
        </w:rPr>
        <w:t>核电方面，</w:t>
      </w:r>
      <w:r>
        <w:rPr>
          <w:rFonts w:ascii="SimSun" w:eastAsia="SimSun" w:hAnsi="SimSun" w:cs="SimSun"/>
          <w:spacing w:val="-31"/>
          <w:sz w:val="21"/>
          <w:szCs w:val="21"/>
        </w:rPr>
        <w:t xml:space="preserve"> </w:t>
      </w:r>
      <w:r>
        <w:rPr>
          <w:rFonts w:ascii="SimSun" w:eastAsia="SimSun" w:hAnsi="SimSun" w:cs="SimSun"/>
          <w:spacing w:val="-6"/>
          <w:sz w:val="21"/>
          <w:szCs w:val="21"/>
        </w:rPr>
        <w:t>随着</w:t>
      </w:r>
      <w:r>
        <w:rPr>
          <w:rFonts w:ascii="SimSun" w:eastAsia="SimSun" w:hAnsi="SimSun" w:cs="SimSun"/>
          <w:spacing w:val="-48"/>
          <w:sz w:val="21"/>
          <w:szCs w:val="21"/>
        </w:rPr>
        <w:t xml:space="preserve"> </w:t>
      </w:r>
      <w:r>
        <w:rPr>
          <w:rFonts w:ascii="Times New Roman" w:eastAsia="Times New Roman" w:hAnsi="Times New Roman" w:cs="Times New Roman"/>
          <w:spacing w:val="-6"/>
          <w:sz w:val="21"/>
          <w:szCs w:val="21"/>
        </w:rPr>
        <w:t xml:space="preserve">2019 </w:t>
      </w:r>
      <w:r>
        <w:rPr>
          <w:rFonts w:ascii="SimSun" w:eastAsia="SimSun" w:hAnsi="SimSun" w:cs="SimSun"/>
          <w:spacing w:val="-6"/>
          <w:sz w:val="21"/>
          <w:szCs w:val="21"/>
        </w:rPr>
        <w:t>年三代核电项目落地，加上“双碳”目标提出，</w:t>
      </w:r>
      <w:r>
        <w:rPr>
          <w:rFonts w:ascii="SimSun" w:eastAsia="SimSun" w:hAnsi="SimSun" w:cs="SimSun"/>
          <w:spacing w:val="-24"/>
          <w:sz w:val="21"/>
          <w:szCs w:val="21"/>
        </w:rPr>
        <w:t xml:space="preserve"> </w:t>
      </w:r>
      <w:r>
        <w:rPr>
          <w:rFonts w:ascii="SimSun" w:eastAsia="SimSun" w:hAnsi="SimSun" w:cs="SimSun"/>
          <w:spacing w:val="-6"/>
          <w:sz w:val="21"/>
          <w:szCs w:val="21"/>
        </w:rPr>
        <w:t>在全球气候恶化以及能源危机爆发的</w:t>
      </w:r>
      <w:r>
        <w:rPr>
          <w:rFonts w:ascii="SimSun" w:eastAsia="SimSun" w:hAnsi="SimSun" w:cs="SimSun"/>
          <w:sz w:val="21"/>
          <w:szCs w:val="21"/>
        </w:rPr>
        <w:t xml:space="preserve"> </w:t>
      </w:r>
      <w:r>
        <w:rPr>
          <w:rFonts w:ascii="SimSun" w:eastAsia="SimSun" w:hAnsi="SimSun" w:cs="SimSun"/>
          <w:spacing w:val="1"/>
          <w:sz w:val="21"/>
          <w:szCs w:val="21"/>
        </w:rPr>
        <w:t>背景下，核电审批和开工节奏明显加快，进入“确保安全前提下积极发</w:t>
      </w:r>
      <w:r>
        <w:rPr>
          <w:rFonts w:ascii="SimSun" w:eastAsia="SimSun" w:hAnsi="SimSun" w:cs="SimSun"/>
          <w:sz w:val="21"/>
          <w:szCs w:val="21"/>
        </w:rPr>
        <w:t xml:space="preserve">展核电”的时期。根据公开数据， </w:t>
      </w:r>
      <w:r>
        <w:rPr>
          <w:rFonts w:ascii="SimSun" w:eastAsia="SimSun" w:hAnsi="SimSun" w:cs="SimSun"/>
          <w:spacing w:val="-4"/>
          <w:sz w:val="21"/>
          <w:szCs w:val="21"/>
        </w:rPr>
        <w:t>截至</w:t>
      </w:r>
      <w:r>
        <w:rPr>
          <w:rFonts w:ascii="SimSun" w:eastAsia="SimSun" w:hAnsi="SimSun" w:cs="SimSun"/>
          <w:spacing w:val="-45"/>
          <w:sz w:val="21"/>
          <w:szCs w:val="21"/>
        </w:rPr>
        <w:t xml:space="preserve"> </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w:t>
      </w:r>
      <w:r>
        <w:rPr>
          <w:rFonts w:ascii="SimSun" w:eastAsia="SimSun" w:hAnsi="SimSun" w:cs="SimSun"/>
          <w:spacing w:val="-43"/>
          <w:sz w:val="21"/>
          <w:szCs w:val="21"/>
        </w:rPr>
        <w:t xml:space="preserve"> </w:t>
      </w:r>
      <w:r>
        <w:rPr>
          <w:rFonts w:ascii="Times New Roman" w:eastAsia="Times New Roman" w:hAnsi="Times New Roman" w:cs="Times New Roman"/>
          <w:spacing w:val="-4"/>
          <w:sz w:val="21"/>
          <w:szCs w:val="21"/>
        </w:rPr>
        <w:t xml:space="preserve">9 </w:t>
      </w:r>
      <w:r>
        <w:rPr>
          <w:rFonts w:ascii="SimSun" w:eastAsia="SimSun" w:hAnsi="SimSun" w:cs="SimSun"/>
          <w:spacing w:val="-4"/>
          <w:sz w:val="21"/>
          <w:szCs w:val="21"/>
        </w:rPr>
        <w:t>月末， 我国运行核电机组共</w:t>
      </w:r>
      <w:r>
        <w:rPr>
          <w:rFonts w:ascii="SimSun" w:eastAsia="SimSun" w:hAnsi="SimSun" w:cs="SimSun"/>
          <w:spacing w:val="-42"/>
          <w:sz w:val="21"/>
          <w:szCs w:val="21"/>
        </w:rPr>
        <w:t xml:space="preserve"> </w:t>
      </w:r>
      <w:r>
        <w:rPr>
          <w:rFonts w:ascii="Times New Roman" w:eastAsia="Times New Roman" w:hAnsi="Times New Roman" w:cs="Times New Roman"/>
          <w:spacing w:val="-4"/>
          <w:sz w:val="21"/>
          <w:szCs w:val="21"/>
        </w:rPr>
        <w:t>55</w:t>
      </w:r>
      <w:r>
        <w:rPr>
          <w:rFonts w:ascii="Times New Roman" w:eastAsia="Times New Roman" w:hAnsi="Times New Roman" w:cs="Times New Roman"/>
          <w:spacing w:val="22"/>
          <w:w w:val="101"/>
          <w:sz w:val="21"/>
          <w:szCs w:val="21"/>
        </w:rPr>
        <w:t xml:space="preserve"> </w:t>
      </w:r>
      <w:r>
        <w:rPr>
          <w:rFonts w:ascii="SimSun" w:eastAsia="SimSun" w:hAnsi="SimSun" w:cs="SimSun"/>
          <w:spacing w:val="-4"/>
          <w:sz w:val="21"/>
          <w:szCs w:val="21"/>
        </w:rPr>
        <w:t>台</w:t>
      </w:r>
      <w:r>
        <w:rPr>
          <w:rFonts w:ascii="SimSun" w:eastAsia="SimSun" w:hAnsi="SimSun" w:cs="SimSun"/>
          <w:spacing w:val="-5"/>
          <w:sz w:val="21"/>
          <w:szCs w:val="21"/>
        </w:rPr>
        <w:t>（不含台湾地区</w:t>
      </w:r>
      <w:r>
        <w:rPr>
          <w:rFonts w:ascii="SimSun" w:eastAsia="SimSun" w:hAnsi="SimSun" w:cs="SimSun"/>
          <w:spacing w:val="-53"/>
          <w:w w:val="97"/>
          <w:sz w:val="21"/>
          <w:szCs w:val="21"/>
        </w:rPr>
        <w:t>），</w:t>
      </w:r>
      <w:r>
        <w:rPr>
          <w:rFonts w:ascii="SimSun" w:eastAsia="SimSun" w:hAnsi="SimSun" w:cs="SimSun"/>
          <w:spacing w:val="-5"/>
          <w:sz w:val="21"/>
          <w:szCs w:val="21"/>
        </w:rPr>
        <w:t>装机容量为</w:t>
      </w:r>
      <w:r>
        <w:rPr>
          <w:rFonts w:ascii="SimSun" w:eastAsia="SimSun" w:hAnsi="SimSun" w:cs="SimSun"/>
          <w:spacing w:val="-45"/>
          <w:sz w:val="21"/>
          <w:szCs w:val="21"/>
        </w:rPr>
        <w:t xml:space="preserve"> </w:t>
      </w:r>
      <w:r>
        <w:rPr>
          <w:rFonts w:ascii="Times New Roman" w:eastAsia="Times New Roman" w:hAnsi="Times New Roman" w:cs="Times New Roman"/>
          <w:spacing w:val="-5"/>
          <w:sz w:val="21"/>
          <w:szCs w:val="21"/>
        </w:rPr>
        <w:t>5699.33</w:t>
      </w:r>
      <w:r>
        <w:rPr>
          <w:rFonts w:ascii="Times New Roman" w:eastAsia="Times New Roman" w:hAnsi="Times New Roman" w:cs="Times New Roman"/>
          <w:spacing w:val="14"/>
          <w:w w:val="101"/>
          <w:sz w:val="21"/>
          <w:szCs w:val="21"/>
        </w:rPr>
        <w:t xml:space="preserve"> </w:t>
      </w:r>
      <w:r>
        <w:rPr>
          <w:rFonts w:ascii="SimSun" w:eastAsia="SimSun" w:hAnsi="SimSun" w:cs="SimSun"/>
          <w:spacing w:val="-5"/>
          <w:sz w:val="21"/>
          <w:szCs w:val="21"/>
        </w:rPr>
        <w:t>万千瓦（额定装机</w:t>
      </w:r>
      <w:r>
        <w:rPr>
          <w:rFonts w:ascii="SimSun" w:eastAsia="SimSun" w:hAnsi="SimSun" w:cs="SimSun"/>
          <w:sz w:val="21"/>
          <w:szCs w:val="21"/>
        </w:rPr>
        <w:t xml:space="preserve"> </w:t>
      </w:r>
      <w:r>
        <w:rPr>
          <w:rFonts w:ascii="SimSun" w:eastAsia="SimSun" w:hAnsi="SimSun" w:cs="SimSun"/>
          <w:spacing w:val="-4"/>
          <w:sz w:val="21"/>
          <w:szCs w:val="21"/>
        </w:rPr>
        <w:t>容量</w:t>
      </w:r>
      <w:r>
        <w:rPr>
          <w:rFonts w:ascii="SimSun" w:eastAsia="SimSun" w:hAnsi="SimSun" w:cs="SimSun"/>
          <w:spacing w:val="-26"/>
          <w:sz w:val="21"/>
          <w:szCs w:val="21"/>
        </w:rPr>
        <w:t>）；</w:t>
      </w:r>
      <w:r>
        <w:rPr>
          <w:rFonts w:ascii="SimSun" w:eastAsia="SimSun" w:hAnsi="SimSun" w:cs="SimSun"/>
          <w:spacing w:val="-4"/>
          <w:sz w:val="21"/>
          <w:szCs w:val="21"/>
        </w:rPr>
        <w:t>在建核电机组共</w:t>
      </w:r>
      <w:r>
        <w:rPr>
          <w:rFonts w:ascii="SimSun" w:eastAsia="SimSun" w:hAnsi="SimSun" w:cs="SimSun"/>
          <w:spacing w:val="-48"/>
          <w:sz w:val="21"/>
          <w:szCs w:val="21"/>
        </w:rPr>
        <w:t xml:space="preserve"> </w:t>
      </w:r>
      <w:r>
        <w:rPr>
          <w:rFonts w:ascii="Times New Roman" w:eastAsia="Times New Roman" w:hAnsi="Times New Roman" w:cs="Times New Roman"/>
          <w:spacing w:val="-4"/>
          <w:sz w:val="21"/>
          <w:szCs w:val="21"/>
        </w:rPr>
        <w:t>24</w:t>
      </w:r>
      <w:r>
        <w:rPr>
          <w:rFonts w:ascii="Times New Roman" w:eastAsia="Times New Roman" w:hAnsi="Times New Roman" w:cs="Times New Roman"/>
          <w:spacing w:val="26"/>
          <w:sz w:val="21"/>
          <w:szCs w:val="21"/>
        </w:rPr>
        <w:t xml:space="preserve"> </w:t>
      </w:r>
      <w:r>
        <w:rPr>
          <w:rFonts w:ascii="SimSun" w:eastAsia="SimSun" w:hAnsi="SimSun" w:cs="SimSun"/>
          <w:spacing w:val="-4"/>
          <w:sz w:val="21"/>
          <w:szCs w:val="21"/>
        </w:rPr>
        <w:t>台，装机容量约</w:t>
      </w:r>
      <w:r>
        <w:rPr>
          <w:rFonts w:ascii="SimSun" w:eastAsia="SimSun" w:hAnsi="SimSun" w:cs="SimSun"/>
          <w:spacing w:val="-48"/>
          <w:sz w:val="21"/>
          <w:szCs w:val="21"/>
        </w:rPr>
        <w:t xml:space="preserve"> </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5"/>
          <w:sz w:val="21"/>
          <w:szCs w:val="21"/>
        </w:rPr>
        <w:t xml:space="preserve">780 </w:t>
      </w:r>
      <w:r>
        <w:rPr>
          <w:rFonts w:ascii="SimSun" w:eastAsia="SimSun" w:hAnsi="SimSun" w:cs="SimSun"/>
          <w:spacing w:val="-5"/>
          <w:sz w:val="21"/>
          <w:szCs w:val="21"/>
        </w:rPr>
        <w:t>万千瓦；在运及在建机组合计位居全球第二。目前我国已</w:t>
      </w:r>
      <w:r>
        <w:rPr>
          <w:rFonts w:ascii="SimSun" w:eastAsia="SimSun" w:hAnsi="SimSun" w:cs="SimSun"/>
          <w:sz w:val="21"/>
          <w:szCs w:val="21"/>
        </w:rPr>
        <w:t xml:space="preserve"> </w:t>
      </w:r>
      <w:r>
        <w:rPr>
          <w:rFonts w:ascii="SimSun" w:eastAsia="SimSun" w:hAnsi="SimSun" w:cs="SimSun"/>
          <w:spacing w:val="-3"/>
          <w:sz w:val="21"/>
          <w:szCs w:val="21"/>
        </w:rPr>
        <w:t>核准建设山东石岛湾、福建宁德、辽宁徐大堡三个核电项目共计</w:t>
      </w:r>
      <w:r>
        <w:rPr>
          <w:rFonts w:ascii="SimSun" w:eastAsia="SimSun" w:hAnsi="SimSun" w:cs="SimSun"/>
          <w:spacing w:val="-41"/>
          <w:sz w:val="21"/>
          <w:szCs w:val="21"/>
        </w:rPr>
        <w:t xml:space="preserve"> </w:t>
      </w:r>
      <w:r>
        <w:rPr>
          <w:rFonts w:ascii="Times New Roman" w:eastAsia="Times New Roman" w:hAnsi="Times New Roman" w:cs="Times New Roman"/>
          <w:spacing w:val="-3"/>
          <w:sz w:val="21"/>
          <w:szCs w:val="21"/>
        </w:rPr>
        <w:t>6</w:t>
      </w:r>
      <w:r>
        <w:rPr>
          <w:rFonts w:ascii="Times New Roman" w:eastAsia="Times New Roman" w:hAnsi="Times New Roman" w:cs="Times New Roman"/>
          <w:spacing w:val="23"/>
          <w:sz w:val="21"/>
          <w:szCs w:val="21"/>
        </w:rPr>
        <w:t xml:space="preserve"> </w:t>
      </w:r>
      <w:r>
        <w:rPr>
          <w:rFonts w:ascii="SimSun" w:eastAsia="SimSun" w:hAnsi="SimSun" w:cs="SimSun"/>
          <w:spacing w:val="-3"/>
          <w:sz w:val="21"/>
          <w:szCs w:val="21"/>
        </w:rPr>
        <w:t>台机组，</w:t>
      </w:r>
      <w:r>
        <w:rPr>
          <w:rFonts w:ascii="SimSun" w:eastAsia="SimSun" w:hAnsi="SimSun" w:cs="SimSun"/>
          <w:spacing w:val="-25"/>
          <w:sz w:val="21"/>
          <w:szCs w:val="21"/>
        </w:rPr>
        <w:t xml:space="preserve"> </w:t>
      </w:r>
      <w:r>
        <w:rPr>
          <w:rFonts w:ascii="SimSun" w:eastAsia="SimSun" w:hAnsi="SimSun" w:cs="SimSun"/>
          <w:spacing w:val="-3"/>
          <w:sz w:val="21"/>
          <w:szCs w:val="21"/>
        </w:rPr>
        <w:t>并有望在未来一段时间保持每</w:t>
      </w:r>
      <w:r>
        <w:rPr>
          <w:rFonts w:ascii="SimSun" w:eastAsia="SimSun" w:hAnsi="SimSun" w:cs="SimSun"/>
          <w:sz w:val="21"/>
          <w:szCs w:val="21"/>
        </w:rPr>
        <w:t xml:space="preserve"> </w:t>
      </w:r>
      <w:r>
        <w:rPr>
          <w:rFonts w:ascii="SimSun" w:eastAsia="SimSun" w:hAnsi="SimSun" w:cs="SimSun"/>
          <w:spacing w:val="-5"/>
          <w:sz w:val="21"/>
          <w:szCs w:val="21"/>
        </w:rPr>
        <w:t>年</w:t>
      </w:r>
      <w:r>
        <w:rPr>
          <w:rFonts w:ascii="SimSun" w:eastAsia="SimSun" w:hAnsi="SimSun" w:cs="SimSun"/>
          <w:spacing w:val="-30"/>
          <w:sz w:val="21"/>
          <w:szCs w:val="21"/>
        </w:rPr>
        <w:t xml:space="preserve"> </w:t>
      </w:r>
      <w:r>
        <w:rPr>
          <w:rFonts w:ascii="Times New Roman" w:eastAsia="Times New Roman" w:hAnsi="Times New Roman" w:cs="Times New Roman"/>
          <w:spacing w:val="-5"/>
          <w:sz w:val="21"/>
          <w:szCs w:val="21"/>
        </w:rPr>
        <w:t>6-8</w:t>
      </w:r>
      <w:r>
        <w:rPr>
          <w:rFonts w:ascii="Times New Roman" w:eastAsia="Times New Roman" w:hAnsi="Times New Roman" w:cs="Times New Roman"/>
          <w:spacing w:val="37"/>
          <w:sz w:val="21"/>
          <w:szCs w:val="21"/>
        </w:rPr>
        <w:t xml:space="preserve"> </w:t>
      </w:r>
      <w:r>
        <w:rPr>
          <w:rFonts w:ascii="SimSun" w:eastAsia="SimSun" w:hAnsi="SimSun" w:cs="SimSun"/>
          <w:spacing w:val="-5"/>
          <w:sz w:val="21"/>
          <w:szCs w:val="21"/>
        </w:rPr>
        <w:t>台的建设节奏。由于核电站建设周期较长， 一般在</w:t>
      </w:r>
      <w:r>
        <w:rPr>
          <w:rFonts w:ascii="SimSun" w:eastAsia="SimSun" w:hAnsi="SimSun" w:cs="SimSun"/>
          <w:spacing w:val="-31"/>
          <w:sz w:val="21"/>
          <w:szCs w:val="21"/>
        </w:rPr>
        <w:t xml:space="preserve"> </w:t>
      </w:r>
      <w:r>
        <w:rPr>
          <w:rFonts w:ascii="Times New Roman" w:eastAsia="Times New Roman" w:hAnsi="Times New Roman" w:cs="Times New Roman"/>
          <w:spacing w:val="-5"/>
          <w:sz w:val="21"/>
          <w:szCs w:val="21"/>
        </w:rPr>
        <w:t>5-7</w:t>
      </w:r>
      <w:r>
        <w:rPr>
          <w:rFonts w:ascii="Times New Roman" w:eastAsia="Times New Roman" w:hAnsi="Times New Roman" w:cs="Times New Roman"/>
          <w:spacing w:val="22"/>
          <w:sz w:val="21"/>
          <w:szCs w:val="21"/>
        </w:rPr>
        <w:t xml:space="preserve"> </w:t>
      </w:r>
      <w:r>
        <w:rPr>
          <w:rFonts w:ascii="SimSun" w:eastAsia="SimSun" w:hAnsi="SimSun" w:cs="SimSun"/>
          <w:spacing w:val="-5"/>
          <w:sz w:val="21"/>
          <w:szCs w:val="21"/>
        </w:rPr>
        <w:t>年左右，</w:t>
      </w:r>
      <w:r>
        <w:rPr>
          <w:rFonts w:ascii="SimSun" w:eastAsia="SimSun" w:hAnsi="SimSun" w:cs="SimSun"/>
          <w:spacing w:val="-21"/>
          <w:sz w:val="21"/>
          <w:szCs w:val="21"/>
        </w:rPr>
        <w:t xml:space="preserve"> </w:t>
      </w:r>
      <w:r>
        <w:rPr>
          <w:rFonts w:ascii="SimSun" w:eastAsia="SimSun" w:hAnsi="SimSun" w:cs="SimSun"/>
          <w:spacing w:val="-5"/>
          <w:sz w:val="21"/>
          <w:szCs w:val="21"/>
        </w:rPr>
        <w:t>预计“十五五”期间我国核电机组</w:t>
      </w:r>
      <w:r>
        <w:rPr>
          <w:rFonts w:ascii="SimSun" w:eastAsia="SimSun" w:hAnsi="SimSun" w:cs="SimSun"/>
          <w:sz w:val="21"/>
          <w:szCs w:val="21"/>
        </w:rPr>
        <w:t xml:space="preserve"> </w:t>
      </w:r>
      <w:r>
        <w:rPr>
          <w:rFonts w:ascii="SimSun" w:eastAsia="SimSun" w:hAnsi="SimSun" w:cs="SimSun"/>
          <w:spacing w:val="-3"/>
          <w:sz w:val="21"/>
          <w:szCs w:val="21"/>
        </w:rPr>
        <w:t>规模会有比较明显增幅。</w:t>
      </w:r>
      <w:r>
        <w:rPr>
          <w:rFonts w:ascii="SimSun" w:eastAsia="SimSun" w:hAnsi="SimSun" w:cs="SimSun"/>
          <w:spacing w:val="-42"/>
          <w:sz w:val="21"/>
          <w:szCs w:val="21"/>
        </w:rPr>
        <w:t xml:space="preserve"> </w:t>
      </w:r>
      <w:r>
        <w:rPr>
          <w:rFonts w:ascii="SimSun" w:eastAsia="SimSun" w:hAnsi="SimSun" w:cs="SimSun"/>
          <w:spacing w:val="-3"/>
          <w:sz w:val="21"/>
          <w:szCs w:val="21"/>
        </w:rPr>
        <w:t>长远来看核电由于其能量高及稳定强的</w:t>
      </w:r>
      <w:r>
        <w:rPr>
          <w:rFonts w:ascii="SimSun" w:eastAsia="SimSun" w:hAnsi="SimSun" w:cs="SimSun"/>
          <w:spacing w:val="-4"/>
          <w:sz w:val="21"/>
          <w:szCs w:val="21"/>
        </w:rPr>
        <w:t>优势，</w:t>
      </w:r>
      <w:r>
        <w:rPr>
          <w:rFonts w:ascii="SimSun" w:eastAsia="SimSun" w:hAnsi="SimSun" w:cs="SimSun"/>
          <w:spacing w:val="-36"/>
          <w:sz w:val="21"/>
          <w:szCs w:val="21"/>
        </w:rPr>
        <w:t xml:space="preserve"> </w:t>
      </w:r>
      <w:r>
        <w:rPr>
          <w:rFonts w:ascii="SimSun" w:eastAsia="SimSun" w:hAnsi="SimSun" w:cs="SimSun"/>
          <w:spacing w:val="-4"/>
          <w:sz w:val="21"/>
          <w:szCs w:val="21"/>
        </w:rPr>
        <w:t>将是新增清洁电源中最具竞争力的</w:t>
      </w:r>
      <w:r>
        <w:rPr>
          <w:rFonts w:ascii="SimSun" w:eastAsia="SimSun" w:hAnsi="SimSun" w:cs="SimSun"/>
          <w:sz w:val="21"/>
          <w:szCs w:val="21"/>
        </w:rPr>
        <w:t xml:space="preserve"> </w:t>
      </w:r>
      <w:r>
        <w:rPr>
          <w:rFonts w:ascii="SimSun" w:eastAsia="SimSun" w:hAnsi="SimSun" w:cs="SimSun"/>
          <w:spacing w:val="-1"/>
          <w:sz w:val="21"/>
          <w:szCs w:val="21"/>
        </w:rPr>
        <w:t>重要组成部分。</w:t>
      </w:r>
    </w:p>
    <w:p>
      <w:pPr>
        <w:spacing w:before="212" w:line="291" w:lineRule="auto"/>
        <w:ind w:left="33" w:firstLine="15"/>
        <w:rPr>
          <w:rFonts w:ascii="SimSun" w:eastAsia="SimSun" w:hAnsi="SimSun" w:cs="SimSun"/>
          <w:sz w:val="21"/>
          <w:szCs w:val="21"/>
        </w:rPr>
      </w:pPr>
      <w:r>
        <w:rPr>
          <w:rFonts w:ascii="SimSun" w:eastAsia="SimSun" w:hAnsi="SimSun" w:cs="SimSun"/>
          <w:spacing w:val="-1"/>
          <w:sz w:val="21"/>
          <w:szCs w:val="21"/>
        </w:rPr>
        <w:t xml:space="preserve">随着我国能源结构转型的不断深入推进，叠加“双碳”目标政策加持，近年来我国对风光发电支持层级逐 </w:t>
      </w:r>
      <w:r>
        <w:rPr>
          <w:rFonts w:ascii="SimSun" w:eastAsia="SimSun" w:hAnsi="SimSun" w:cs="SimSun"/>
          <w:spacing w:val="-3"/>
          <w:sz w:val="21"/>
          <w:szCs w:val="21"/>
        </w:rPr>
        <w:t>级提升，由“积极发展”到“重点发展”再到“大力发展”。截至</w:t>
      </w:r>
      <w:r>
        <w:rPr>
          <w:rFonts w:ascii="SimSun" w:eastAsia="SimSun" w:hAnsi="SimSun" w:cs="SimSun"/>
          <w:spacing w:val="-42"/>
          <w:sz w:val="21"/>
          <w:szCs w:val="21"/>
        </w:rPr>
        <w:t xml:space="preserve"> </w:t>
      </w:r>
      <w:r>
        <w:rPr>
          <w:rFonts w:ascii="Times New Roman" w:eastAsia="Times New Roman" w:hAnsi="Times New Roman" w:cs="Times New Roman"/>
          <w:spacing w:val="-3"/>
          <w:sz w:val="21"/>
          <w:szCs w:val="21"/>
        </w:rPr>
        <w:t xml:space="preserve">2023 </w:t>
      </w:r>
      <w:r>
        <w:rPr>
          <w:rFonts w:ascii="SimSun" w:eastAsia="SimSun" w:hAnsi="SimSun" w:cs="SimSun"/>
          <w:spacing w:val="-3"/>
          <w:sz w:val="21"/>
          <w:szCs w:val="21"/>
        </w:rPr>
        <w:t>年</w:t>
      </w:r>
      <w:r>
        <w:rPr>
          <w:rFonts w:ascii="SimSun" w:eastAsia="SimSun" w:hAnsi="SimSun" w:cs="SimSun"/>
          <w:spacing w:val="-46"/>
          <w:sz w:val="21"/>
          <w:szCs w:val="21"/>
        </w:rPr>
        <w:t xml:space="preserve"> </w:t>
      </w:r>
      <w:r>
        <w:rPr>
          <w:rFonts w:ascii="Times New Roman" w:eastAsia="Times New Roman" w:hAnsi="Times New Roman" w:cs="Times New Roman"/>
          <w:spacing w:val="-3"/>
          <w:sz w:val="21"/>
          <w:szCs w:val="21"/>
        </w:rPr>
        <w:t xml:space="preserve">9 </w:t>
      </w:r>
      <w:r>
        <w:rPr>
          <w:rFonts w:ascii="SimSun" w:eastAsia="SimSun" w:hAnsi="SimSun" w:cs="SimSun"/>
          <w:spacing w:val="-3"/>
          <w:sz w:val="21"/>
          <w:szCs w:val="21"/>
        </w:rPr>
        <w:t xml:space="preserve">月末，风电和太阳能发电装机 </w:t>
      </w:r>
      <w:r>
        <w:rPr>
          <w:rFonts w:ascii="SimSun" w:eastAsia="SimSun" w:hAnsi="SimSun" w:cs="SimSun"/>
          <w:spacing w:val="-3"/>
          <w:sz w:val="21"/>
          <w:szCs w:val="21"/>
        </w:rPr>
        <w:t>规模分别达到</w:t>
      </w:r>
      <w:r>
        <w:rPr>
          <w:rFonts w:ascii="SimSun" w:eastAsia="SimSun" w:hAnsi="SimSun" w:cs="SimSun"/>
          <w:spacing w:val="-25"/>
          <w:sz w:val="21"/>
          <w:szCs w:val="21"/>
        </w:rPr>
        <w:t xml:space="preserve"> </w:t>
      </w:r>
      <w:r>
        <w:rPr>
          <w:rFonts w:ascii="Times New Roman" w:eastAsia="Times New Roman" w:hAnsi="Times New Roman" w:cs="Times New Roman"/>
          <w:spacing w:val="-3"/>
          <w:sz w:val="21"/>
          <w:szCs w:val="21"/>
        </w:rPr>
        <w:t>40021.00</w:t>
      </w:r>
      <w:r>
        <w:rPr>
          <w:rFonts w:ascii="Times New Roman" w:eastAsia="Times New Roman" w:hAnsi="Times New Roman" w:cs="Times New Roman"/>
          <w:spacing w:val="40"/>
          <w:sz w:val="21"/>
          <w:szCs w:val="21"/>
        </w:rPr>
        <w:t xml:space="preserve"> </w:t>
      </w:r>
      <w:r>
        <w:rPr>
          <w:rFonts w:ascii="SimSun" w:eastAsia="SimSun" w:hAnsi="SimSun" w:cs="SimSun"/>
          <w:spacing w:val="-3"/>
          <w:sz w:val="21"/>
          <w:szCs w:val="21"/>
        </w:rPr>
        <w:t xml:space="preserve">万千瓦和 </w:t>
      </w:r>
      <w:r>
        <w:rPr>
          <w:rFonts w:ascii="Times New Roman" w:eastAsia="Times New Roman" w:hAnsi="Times New Roman" w:cs="Times New Roman"/>
          <w:spacing w:val="-3"/>
          <w:sz w:val="21"/>
          <w:szCs w:val="21"/>
        </w:rPr>
        <w:t>52108.00</w:t>
      </w:r>
      <w:r>
        <w:rPr>
          <w:rFonts w:ascii="Times New Roman" w:eastAsia="Times New Roman" w:hAnsi="Times New Roman" w:cs="Times New Roman"/>
          <w:spacing w:val="37"/>
          <w:w w:val="101"/>
          <w:sz w:val="21"/>
          <w:szCs w:val="21"/>
        </w:rPr>
        <w:t xml:space="preserve"> </w:t>
      </w:r>
      <w:r>
        <w:rPr>
          <w:rFonts w:ascii="SimSun" w:eastAsia="SimSun" w:hAnsi="SimSun" w:cs="SimSun"/>
          <w:spacing w:val="-3"/>
          <w:sz w:val="21"/>
          <w:szCs w:val="21"/>
        </w:rPr>
        <w:t>万千瓦， 占电力总装</w:t>
      </w:r>
      <w:r>
        <w:rPr>
          <w:rFonts w:ascii="SimSun" w:eastAsia="SimSun" w:hAnsi="SimSun" w:cs="SimSun"/>
          <w:spacing w:val="-4"/>
          <w:sz w:val="21"/>
          <w:szCs w:val="21"/>
        </w:rPr>
        <w:t xml:space="preserve">机容量的比重分别为 </w:t>
      </w:r>
      <w:r>
        <w:rPr>
          <w:rFonts w:ascii="Times New Roman" w:eastAsia="Times New Roman" w:hAnsi="Times New Roman" w:cs="Times New Roman"/>
          <w:spacing w:val="-4"/>
          <w:sz w:val="21"/>
          <w:szCs w:val="21"/>
        </w:rPr>
        <w:t>14.34%</w:t>
      </w:r>
      <w:r>
        <w:rPr>
          <w:rFonts w:ascii="SimSun" w:eastAsia="SimSun" w:hAnsi="SimSun" w:cs="SimSun"/>
          <w:spacing w:val="-4"/>
          <w:sz w:val="21"/>
          <w:szCs w:val="21"/>
        </w:rPr>
        <w:t xml:space="preserve">和 </w:t>
      </w:r>
      <w:r>
        <w:rPr>
          <w:rFonts w:ascii="Times New Roman" w:eastAsia="Times New Roman" w:hAnsi="Times New Roman" w:cs="Times New Roman"/>
          <w:spacing w:val="-4"/>
          <w:sz w:val="21"/>
          <w:szCs w:val="21"/>
        </w:rPr>
        <w:t>18.67%</w:t>
      </w:r>
      <w:r>
        <w:rPr>
          <w:rFonts w:ascii="Times New Roman" w:eastAsia="Times New Roman" w:hAnsi="Times New Roman" w:cs="Times New Roman"/>
          <w:spacing w:val="-29"/>
          <w:sz w:val="21"/>
          <w:szCs w:val="21"/>
        </w:rPr>
        <w:t xml:space="preserve"> </w:t>
      </w:r>
      <w:r>
        <w:rPr>
          <w:rFonts w:ascii="SimSun" w:eastAsia="SimSun" w:hAnsi="SimSun" w:cs="SimSun"/>
          <w:spacing w:val="-4"/>
          <w:sz w:val="21"/>
          <w:szCs w:val="21"/>
        </w:rPr>
        <w:t>。</w:t>
      </w:r>
      <w:r>
        <w:rPr>
          <w:rFonts w:ascii="SimSun" w:eastAsia="SimSun" w:hAnsi="SimSun" w:cs="SimSun"/>
          <w:sz w:val="21"/>
          <w:szCs w:val="21"/>
        </w:rPr>
        <w:t xml:space="preserve"> </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 xml:space="preserve">年以来随着硅料和硅片产能逐步释放并向下游组件环节传导带动价格下降，太阳能发电项目投资效益 </w:t>
      </w:r>
      <w:r>
        <w:rPr>
          <w:rFonts w:ascii="SimSun" w:eastAsia="SimSun" w:hAnsi="SimSun" w:cs="SimSun"/>
          <w:spacing w:val="-3"/>
          <w:sz w:val="21"/>
          <w:szCs w:val="21"/>
        </w:rPr>
        <w:t xml:space="preserve">提升， 新增装机规模达到历史高点，当年 </w:t>
      </w:r>
      <w:r>
        <w:rPr>
          <w:rFonts w:ascii="Times New Roman" w:eastAsia="Times New Roman" w:hAnsi="Times New Roman" w:cs="Times New Roman"/>
          <w:spacing w:val="-3"/>
          <w:sz w:val="21"/>
          <w:szCs w:val="21"/>
        </w:rPr>
        <w:t xml:space="preserve">3  </w:t>
      </w:r>
      <w:r>
        <w:rPr>
          <w:rFonts w:ascii="SimSun" w:eastAsia="SimSun" w:hAnsi="SimSun" w:cs="SimSun"/>
          <w:spacing w:val="-3"/>
          <w:sz w:val="21"/>
          <w:szCs w:val="21"/>
        </w:rPr>
        <w:t>月末首次超过水电装机规模，成为我国第二大类</w:t>
      </w:r>
      <w:r>
        <w:rPr>
          <w:rFonts w:ascii="SimSun" w:eastAsia="SimSun" w:hAnsi="SimSun" w:cs="SimSun"/>
          <w:spacing w:val="-4"/>
          <w:sz w:val="21"/>
          <w:szCs w:val="21"/>
        </w:rPr>
        <w:t>型电源装机。</w:t>
      </w:r>
      <w:r>
        <w:rPr>
          <w:rFonts w:ascii="SimSun" w:eastAsia="SimSun" w:hAnsi="SimSun" w:cs="SimSun"/>
          <w:sz w:val="21"/>
          <w:szCs w:val="21"/>
        </w:rPr>
        <w:t xml:space="preserve"> </w:t>
      </w:r>
      <w:r>
        <w:rPr>
          <w:rFonts w:ascii="SimSun" w:eastAsia="SimSun" w:hAnsi="SimSun" w:cs="SimSun"/>
          <w:spacing w:val="-1"/>
          <w:sz w:val="21"/>
          <w:szCs w:val="21"/>
        </w:rPr>
        <w:t>按照</w:t>
      </w:r>
      <w:r>
        <w:rPr>
          <w:rFonts w:ascii="Times New Roman" w:eastAsia="Times New Roman" w:hAnsi="Times New Roman" w:cs="Times New Roman"/>
          <w:spacing w:val="-1"/>
          <w:sz w:val="21"/>
          <w:szCs w:val="21"/>
        </w:rPr>
        <w:t>[</w:t>
      </w:r>
      <w:r>
        <w:rPr>
          <w:rFonts w:ascii="SimSun" w:eastAsia="SimSun" w:hAnsi="SimSun" w:cs="SimSun"/>
          <w:spacing w:val="-1"/>
          <w:sz w:val="21"/>
          <w:szCs w:val="21"/>
        </w:rPr>
        <w:t>国办函〔</w:t>
      </w:r>
      <w:r>
        <w:rPr>
          <w:rFonts w:ascii="Times New Roman" w:eastAsia="Times New Roman" w:hAnsi="Times New Roman" w:cs="Times New Roman"/>
          <w:spacing w:val="-1"/>
          <w:sz w:val="21"/>
          <w:szCs w:val="21"/>
        </w:rPr>
        <w:t>2022</w:t>
      </w:r>
      <w:r>
        <w:rPr>
          <w:rFonts w:ascii="SimSun" w:eastAsia="SimSun" w:hAnsi="SimSun" w:cs="SimSun"/>
          <w:spacing w:val="-1"/>
          <w:sz w:val="21"/>
          <w:szCs w:val="21"/>
        </w:rPr>
        <w:t>〕</w:t>
      </w:r>
      <w:r>
        <w:rPr>
          <w:rFonts w:ascii="Times New Roman" w:eastAsia="Times New Roman" w:hAnsi="Times New Roman" w:cs="Times New Roman"/>
          <w:spacing w:val="-1"/>
          <w:sz w:val="21"/>
          <w:szCs w:val="21"/>
        </w:rPr>
        <w:t>39</w:t>
      </w:r>
      <w:r>
        <w:rPr>
          <w:rFonts w:ascii="Times New Roman" w:eastAsia="Times New Roman" w:hAnsi="Times New Roman" w:cs="Times New Roman"/>
          <w:spacing w:val="14"/>
          <w:sz w:val="21"/>
          <w:szCs w:val="21"/>
        </w:rPr>
        <w:t xml:space="preserve"> </w:t>
      </w:r>
      <w:r>
        <w:rPr>
          <w:rFonts w:ascii="SimSun" w:eastAsia="SimSun" w:hAnsi="SimSun" w:cs="SimSun"/>
          <w:spacing w:val="-1"/>
          <w:sz w:val="21"/>
          <w:szCs w:val="21"/>
        </w:rPr>
        <w:t>号</w:t>
      </w:r>
      <w:r>
        <w:rPr>
          <w:rFonts w:ascii="Times New Roman" w:eastAsia="Times New Roman" w:hAnsi="Times New Roman" w:cs="Times New Roman"/>
          <w:spacing w:val="-1"/>
          <w:sz w:val="21"/>
          <w:szCs w:val="21"/>
        </w:rPr>
        <w:t>]</w:t>
      </w:r>
      <w:r>
        <w:rPr>
          <w:rFonts w:ascii="SimSun" w:eastAsia="SimSun" w:hAnsi="SimSun" w:cs="SimSun"/>
          <w:spacing w:val="-1"/>
          <w:sz w:val="21"/>
          <w:szCs w:val="21"/>
        </w:rPr>
        <w:t>文件，我国风电、太阳能发电总装机容量到</w:t>
      </w:r>
      <w:r>
        <w:rPr>
          <w:rFonts w:ascii="SimSun" w:eastAsia="SimSun" w:hAnsi="SimSun" w:cs="SimSun"/>
          <w:spacing w:val="-48"/>
          <w:sz w:val="21"/>
          <w:szCs w:val="21"/>
        </w:rPr>
        <w:t xml:space="preserve"> </w:t>
      </w:r>
      <w:r>
        <w:rPr>
          <w:rFonts w:ascii="Times New Roman" w:eastAsia="Times New Roman" w:hAnsi="Times New Roman" w:cs="Times New Roman"/>
          <w:spacing w:val="-1"/>
          <w:sz w:val="21"/>
          <w:szCs w:val="21"/>
        </w:rPr>
        <w:t xml:space="preserve">2030 </w:t>
      </w:r>
      <w:r>
        <w:rPr>
          <w:rFonts w:ascii="SimSun" w:eastAsia="SimSun" w:hAnsi="SimSun" w:cs="SimSun"/>
          <w:spacing w:val="-1"/>
          <w:sz w:val="21"/>
          <w:szCs w:val="21"/>
        </w:rPr>
        <w:t>年需达到</w:t>
      </w:r>
      <w:r>
        <w:rPr>
          <w:rFonts w:ascii="SimSun" w:eastAsia="SimSun" w:hAnsi="SimSun" w:cs="SimSun"/>
          <w:spacing w:val="-28"/>
          <w:sz w:val="21"/>
          <w:szCs w:val="21"/>
        </w:rPr>
        <w:t xml:space="preserve"> </w:t>
      </w:r>
      <w:r>
        <w:rPr>
          <w:rFonts w:ascii="Times New Roman" w:eastAsia="Times New Roman" w:hAnsi="Times New Roman" w:cs="Times New Roman"/>
          <w:spacing w:val="-1"/>
          <w:sz w:val="21"/>
          <w:szCs w:val="21"/>
        </w:rPr>
        <w:t xml:space="preserve">12 </w:t>
      </w:r>
      <w:r>
        <w:rPr>
          <w:rFonts w:ascii="SimSun" w:eastAsia="SimSun" w:hAnsi="SimSun" w:cs="SimSun"/>
          <w:spacing w:val="-1"/>
          <w:sz w:val="21"/>
          <w:szCs w:val="21"/>
        </w:rPr>
        <w:t>亿千瓦以上的</w:t>
      </w:r>
      <w:r>
        <w:rPr>
          <w:rFonts w:ascii="SimSun" w:eastAsia="SimSun" w:hAnsi="SimSun" w:cs="SimSun"/>
          <w:spacing w:val="-2"/>
          <w:sz w:val="21"/>
          <w:szCs w:val="21"/>
        </w:rPr>
        <w:t xml:space="preserve">目 </w:t>
      </w:r>
      <w:r>
        <w:rPr>
          <w:rFonts w:ascii="SimSun" w:eastAsia="SimSun" w:hAnsi="SimSun" w:cs="SimSun"/>
          <w:spacing w:val="-5"/>
          <w:sz w:val="21"/>
          <w:szCs w:val="21"/>
        </w:rPr>
        <w:t>标来计算， 未来年均仅需要新增不到</w:t>
      </w:r>
      <w:r>
        <w:rPr>
          <w:rFonts w:ascii="SimSun" w:eastAsia="SimSun" w:hAnsi="SimSun" w:cs="SimSun"/>
          <w:spacing w:val="-26"/>
          <w:sz w:val="21"/>
          <w:szCs w:val="21"/>
        </w:rPr>
        <w:t xml:space="preserve"> </w:t>
      </w:r>
      <w:r>
        <w:rPr>
          <w:rFonts w:ascii="Times New Roman" w:eastAsia="Times New Roman" w:hAnsi="Times New Roman" w:cs="Times New Roman"/>
          <w:spacing w:val="-5"/>
          <w:sz w:val="21"/>
          <w:szCs w:val="21"/>
        </w:rPr>
        <w:t>0.40</w:t>
      </w:r>
      <w:r>
        <w:rPr>
          <w:rFonts w:ascii="Times New Roman" w:eastAsia="Times New Roman" w:hAnsi="Times New Roman" w:cs="Times New Roman"/>
          <w:spacing w:val="26"/>
          <w:w w:val="101"/>
          <w:sz w:val="21"/>
          <w:szCs w:val="21"/>
        </w:rPr>
        <w:t xml:space="preserve"> </w:t>
      </w:r>
      <w:r>
        <w:rPr>
          <w:rFonts w:ascii="SimSun" w:eastAsia="SimSun" w:hAnsi="SimSun" w:cs="SimSun"/>
          <w:spacing w:val="-5"/>
          <w:sz w:val="21"/>
          <w:szCs w:val="21"/>
        </w:rPr>
        <w:t>亿千瓦就能实现该目标，</w:t>
      </w:r>
      <w:r>
        <w:rPr>
          <w:rFonts w:ascii="SimSun" w:eastAsia="SimSun" w:hAnsi="SimSun" w:cs="SimSun"/>
          <w:spacing w:val="-22"/>
          <w:sz w:val="21"/>
          <w:szCs w:val="21"/>
        </w:rPr>
        <w:t xml:space="preserve"> </w:t>
      </w:r>
      <w:r>
        <w:rPr>
          <w:rFonts w:ascii="SimSun" w:eastAsia="SimSun" w:hAnsi="SimSun" w:cs="SimSun"/>
          <w:spacing w:val="-5"/>
          <w:sz w:val="21"/>
          <w:szCs w:val="21"/>
        </w:rPr>
        <w:t>而</w:t>
      </w:r>
      <w:r>
        <w:rPr>
          <w:rFonts w:ascii="SimSun" w:eastAsia="SimSun" w:hAnsi="SimSun" w:cs="SimSun"/>
          <w:spacing w:val="-31"/>
          <w:sz w:val="21"/>
          <w:szCs w:val="21"/>
        </w:rPr>
        <w:t xml:space="preserve"> </w:t>
      </w:r>
      <w:r>
        <w:rPr>
          <w:rFonts w:ascii="Times New Roman" w:eastAsia="Times New Roman" w:hAnsi="Times New Roman" w:cs="Times New Roman"/>
          <w:spacing w:val="-5"/>
          <w:sz w:val="21"/>
          <w:szCs w:val="21"/>
        </w:rPr>
        <w:t>2020</w:t>
      </w:r>
      <w:r>
        <w:rPr>
          <w:rFonts w:ascii="Times New Roman" w:eastAsia="Times New Roman" w:hAnsi="Times New Roman" w:cs="Times New Roman"/>
          <w:spacing w:val="24"/>
          <w:sz w:val="21"/>
          <w:szCs w:val="21"/>
        </w:rPr>
        <w:t xml:space="preserve"> </w:t>
      </w:r>
      <w:r>
        <w:rPr>
          <w:rFonts w:ascii="SimSun" w:eastAsia="SimSun" w:hAnsi="SimSun" w:cs="SimSun"/>
          <w:spacing w:val="-5"/>
          <w:sz w:val="21"/>
          <w:szCs w:val="21"/>
        </w:rPr>
        <w:t xml:space="preserve">年以来年均新增装机容量达 </w:t>
      </w:r>
      <w:r>
        <w:rPr>
          <w:rFonts w:ascii="Times New Roman" w:eastAsia="Times New Roman" w:hAnsi="Times New Roman" w:cs="Times New Roman"/>
          <w:spacing w:val="-5"/>
          <w:sz w:val="21"/>
          <w:szCs w:val="21"/>
        </w:rPr>
        <w:t xml:space="preserve">1  </w:t>
      </w:r>
      <w:r>
        <w:rPr>
          <w:rFonts w:ascii="SimSun" w:eastAsia="SimSun" w:hAnsi="SimSun" w:cs="SimSun"/>
          <w:spacing w:val="-2"/>
          <w:sz w:val="21"/>
          <w:szCs w:val="21"/>
        </w:rPr>
        <w:t xml:space="preserve">亿千瓦以上，按此速度将提前至 </w:t>
      </w:r>
      <w:r>
        <w:rPr>
          <w:rFonts w:ascii="Times New Roman" w:eastAsia="Times New Roman" w:hAnsi="Times New Roman" w:cs="Times New Roman"/>
          <w:spacing w:val="-2"/>
          <w:sz w:val="21"/>
          <w:szCs w:val="21"/>
        </w:rPr>
        <w:t>2025</w:t>
      </w:r>
      <w:r>
        <w:rPr>
          <w:rFonts w:ascii="Times New Roman" w:eastAsia="Times New Roman" w:hAnsi="Times New Roman" w:cs="Times New Roman"/>
          <w:spacing w:val="47"/>
          <w:w w:val="101"/>
          <w:sz w:val="21"/>
          <w:szCs w:val="21"/>
        </w:rPr>
        <w:t xml:space="preserve"> </w:t>
      </w:r>
      <w:r>
        <w:rPr>
          <w:rFonts w:ascii="SimSun" w:eastAsia="SimSun" w:hAnsi="SimSun" w:cs="SimSun"/>
          <w:spacing w:val="-3"/>
          <w:sz w:val="21"/>
          <w:szCs w:val="21"/>
        </w:rPr>
        <w:t xml:space="preserve">年左右完成目标。 考虑到双碳目标下火电由主体电源向基础性电源 </w:t>
      </w:r>
      <w:r>
        <w:rPr>
          <w:rFonts w:ascii="SimSun" w:eastAsia="SimSun" w:hAnsi="SimSun" w:cs="SimSun"/>
          <w:spacing w:val="-1"/>
          <w:sz w:val="21"/>
          <w:szCs w:val="21"/>
        </w:rPr>
        <w:t xml:space="preserve">转变，参与更多的调峰调频服务，水电与核电增量有限，新增用电需求主要由风光电满足，预计短期内风 </w:t>
      </w:r>
      <w:r>
        <w:rPr>
          <w:rFonts w:ascii="SimSun" w:eastAsia="SimSun" w:hAnsi="SimSun" w:cs="SimSun"/>
          <w:spacing w:val="-1"/>
          <w:sz w:val="21"/>
          <w:szCs w:val="21"/>
        </w:rPr>
        <w:t>光装机仍将较快增长。</w:t>
      </w:r>
    </w:p>
    <w:p>
      <w:pPr>
        <w:spacing w:line="291" w:lineRule="auto"/>
        <w:rPr>
          <w:rFonts w:ascii="SimSun" w:eastAsia="SimSun" w:hAnsi="SimSun" w:cs="SimSun"/>
          <w:sz w:val="21"/>
          <w:szCs w:val="21"/>
        </w:rPr>
        <w:sectPr>
          <w:headerReference w:type="default" r:id="rId62"/>
          <w:footerReference w:type="default" r:id="rId63"/>
          <w:pgSz w:w="11907" w:h="16839"/>
          <w:pgMar w:top="1336" w:right="1053" w:bottom="1271" w:left="1104" w:header="1148" w:footer="1077" w:gutter="0"/>
          <w:pgNumType w:start="20"/>
          <w:cols w:space="708"/>
        </w:sectPr>
      </w:pPr>
    </w:p>
    <w:p>
      <w:pPr>
        <w:spacing w:line="384" w:lineRule="auto"/>
        <w:rPr>
          <w:rFonts w:ascii="Arial"/>
          <w:sz w:val="21"/>
        </w:rPr>
      </w:pPr>
      <w:r>
        <w:pict>
          <v:rect id="_x0000_s1071" style="width:20.2pt;height:1pt;margin-top:261.12pt;margin-left:76.8pt;mso-position-horizontal-relative:page;mso-position-vertical-relative:page;position:absolute;z-index:251706368" o:allowincell="f" filled="t" fillcolor="#4472c4" stroked="f"/>
        </w:pict>
      </w:r>
      <w:r>
        <w:pict>
          <v:rect id="_x0000_s1072" style="width:433.95pt;height:0.75pt;margin-top:482.88pt;margin-left:91.92pt;mso-position-horizontal-relative:page;mso-position-vertical-relative:page;position:absolute;z-index:251704320" o:allowincell="f" filled="t" fillcolor="#d9d9d9" stroked="f"/>
        </w:pict>
      </w:r>
      <w:r>
        <w:pict>
          <v:rect id="_x0000_s1073" style="width:433.95pt;height:0.75pt;margin-top:528.72pt;margin-left:91.92pt;mso-position-horizontal-relative:page;mso-position-vertical-relative:page;position:absolute;z-index:251705344" o:allowincell="f" filled="t" fillcolor="#d9d9d9" stroked="f"/>
        </w:pict>
      </w:r>
      <w:r>
        <w:pict>
          <v:shape id="_x0000_s1074" style="width:481.8pt;height:0.5pt;margin-top:102.38pt;margin-left:56.88pt;mso-position-horizontal-relative:page;mso-position-vertical-relative:page;position:absolute;z-index:251702272" coordorigin="0,0" coordsize="9635,10" o:allowincell="f" path="m,9l9635,9l9635,l,l,9xe" filled="t" fillcolor="black" stroked="f"/>
        </w:pict>
      </w:r>
      <w:r>
        <w:pict>
          <v:shape id="_x0000_s1075" style="width:481.8pt;height:0.5pt;margin-top:270.53pt;margin-left:56.88pt;mso-position-horizontal-relative:page;mso-position-vertical-relative:page;position:absolute;z-index:251703296" coordorigin="0,0" coordsize="9635,10" o:allowincell="f" path="m,9l9635,9l9635,l,l,9xe" filled="t" fillcolor="black" stroked="f"/>
        </w:pict>
      </w:r>
      <w:r>
        <w:pict>
          <v:shape id="_x0000_s1076" style="width:481.8pt;height:0.5pt;margin-top:649.3pt;margin-left:56.88pt;mso-position-horizontal-relative:page;mso-position-vertical-relative:page;position:absolute;z-index:251701248" coordorigin="0,0" coordsize="9635,10" o:allowincell="f" path="m,9l9635,9l9635,l,l,9xe" filled="t" fillcolor="black" stroked="f"/>
        </w:pict>
      </w:r>
    </w:p>
    <w:p>
      <w:pPr>
        <w:spacing w:before="59" w:line="224" w:lineRule="auto"/>
        <w:ind w:left="315"/>
        <w:rPr>
          <w:rFonts w:ascii="SimHei" w:eastAsia="SimHei" w:hAnsi="SimHei" w:cs="SimHei"/>
          <w:sz w:val="18"/>
          <w:szCs w:val="18"/>
        </w:rPr>
      </w:pPr>
      <w:r>
        <w:rPr>
          <w:rFonts w:ascii="SimHei" w:eastAsia="SimHei" w:hAnsi="SimHei" w:cs="SimHei"/>
          <w:spacing w:val="-6"/>
          <w:sz w:val="18"/>
          <w:szCs w:val="18"/>
        </w:rPr>
        <w:t>图表</w:t>
      </w:r>
      <w:r>
        <w:rPr>
          <w:rFonts w:ascii="SimHei" w:eastAsia="SimHei" w:hAnsi="SimHei" w:cs="SimHei"/>
          <w:spacing w:val="-31"/>
          <w:sz w:val="18"/>
          <w:szCs w:val="18"/>
        </w:rPr>
        <w:t xml:space="preserve"> </w:t>
      </w:r>
      <w:r>
        <w:rPr>
          <w:rFonts w:ascii="Times New Roman" w:eastAsia="Times New Roman" w:hAnsi="Times New Roman" w:cs="Times New Roman"/>
          <w:spacing w:val="-6"/>
          <w:sz w:val="18"/>
          <w:szCs w:val="18"/>
        </w:rPr>
        <w:t>7.</w:t>
      </w:r>
      <w:r>
        <w:rPr>
          <w:rFonts w:ascii="Times New Roman" w:eastAsia="Times New Roman" w:hAnsi="Times New Roman" w:cs="Times New Roman"/>
          <w:spacing w:val="12"/>
          <w:sz w:val="18"/>
          <w:szCs w:val="18"/>
        </w:rPr>
        <w:t xml:space="preserve">   </w:t>
      </w:r>
      <w:r>
        <w:rPr>
          <w:rFonts w:ascii="SimHei" w:eastAsia="SimHei" w:hAnsi="SimHei" w:cs="SimHei"/>
          <w:spacing w:val="-6"/>
          <w:sz w:val="18"/>
          <w:szCs w:val="18"/>
        </w:rPr>
        <w:t>我国清洁电源装机规模及增长情况</w:t>
      </w:r>
      <w:r>
        <w:rPr>
          <w:rFonts w:ascii="SimHei" w:eastAsia="SimHei" w:hAnsi="SimHei" w:cs="SimHei"/>
          <w:spacing w:val="-38"/>
          <w:sz w:val="18"/>
          <w:szCs w:val="18"/>
        </w:rPr>
        <w:t xml:space="preserve"> </w:t>
      </w:r>
      <w:r>
        <w:rPr>
          <w:rFonts w:ascii="SimHei" w:eastAsia="SimHei" w:hAnsi="SimHei" w:cs="SimHei"/>
          <w:spacing w:val="-6"/>
          <w:sz w:val="18"/>
          <w:szCs w:val="18"/>
        </w:rPr>
        <w:t>（单位：</w:t>
      </w:r>
      <w:r>
        <w:rPr>
          <w:rFonts w:ascii="SimHei" w:eastAsia="SimHei" w:hAnsi="SimHei" w:cs="SimHei"/>
          <w:spacing w:val="-6"/>
          <w:sz w:val="18"/>
          <w:szCs w:val="18"/>
        </w:rPr>
        <w:t xml:space="preserve"> </w:t>
      </w:r>
      <w:r>
        <w:rPr>
          <w:rFonts w:ascii="SimHei" w:eastAsia="SimHei" w:hAnsi="SimHei" w:cs="SimHei"/>
          <w:spacing w:val="-6"/>
          <w:sz w:val="18"/>
          <w:szCs w:val="18"/>
        </w:rPr>
        <w:t>亿千瓦，</w:t>
      </w:r>
      <w:r>
        <w:rPr>
          <w:rFonts w:ascii="Times New Roman" w:eastAsia="Times New Roman" w:hAnsi="Times New Roman" w:cs="Times New Roman"/>
          <w:spacing w:val="-6"/>
          <w:sz w:val="18"/>
          <w:szCs w:val="18"/>
        </w:rPr>
        <w:t>%</w:t>
      </w:r>
      <w:r>
        <w:rPr>
          <w:rFonts w:ascii="SimHei" w:eastAsia="SimHei" w:hAnsi="SimHei" w:cs="SimHei"/>
          <w:spacing w:val="-6"/>
          <w:sz w:val="18"/>
          <w:szCs w:val="18"/>
        </w:rPr>
        <w:t>）</w:t>
      </w:r>
    </w:p>
    <w:p>
      <w:pPr>
        <w:spacing w:line="131" w:lineRule="exact"/>
      </w:pPr>
    </w:p>
    <w:p>
      <w:pPr>
        <w:spacing w:line="131" w:lineRule="exact"/>
        <w:sectPr>
          <w:headerReference w:type="default" r:id="rId64"/>
          <w:footerReference w:type="default" r:id="rId65"/>
          <w:pgSz w:w="11907" w:h="16839"/>
          <w:pgMar w:top="1336" w:right="1064" w:bottom="1269" w:left="987" w:header="1148" w:footer="1077" w:gutter="0"/>
          <w:pgNumType w:start="21"/>
          <w:cols w:num="1" w:space="708" w:equalWidth="0">
            <w:col w:w="9855" w:space="0"/>
          </w:cols>
        </w:sectPr>
      </w:pPr>
    </w:p>
    <w:p>
      <w:pPr>
        <w:spacing w:line="496" w:lineRule="auto"/>
        <w:ind w:left="431"/>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160,000.00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2"/>
          <w:sz w:val="12"/>
          <w:szCs w:val="12"/>
        </w:rPr>
        <w:t>140,000.00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2"/>
          <w:sz w:val="12"/>
          <w:szCs w:val="12"/>
        </w:rPr>
        <w:t>120,000.00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2"/>
          <w:sz w:val="12"/>
          <w:szCs w:val="12"/>
        </w:rPr>
        <w:t>100,000.00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5"/>
          <w:sz w:val="12"/>
          <w:szCs w:val="12"/>
        </w:rPr>
        <w:t>80,000.00</w:t>
      </w:r>
      <w:r>
        <w:rPr>
          <w:rFonts w:ascii="Times New Roman" w:eastAsia="Times New Roman" w:hAnsi="Times New Roman" w:cs="Times New Roman"/>
          <w:color w:val="595959"/>
          <w:sz w:val="12"/>
          <w:szCs w:val="12"/>
        </w:rPr>
        <w:t xml:space="preserve"> </w:t>
      </w:r>
      <w:r>
        <w:rPr>
          <w:rFonts w:ascii="Times New Roman" w:eastAsia="Times New Roman" w:hAnsi="Times New Roman" w:cs="Times New Roman"/>
          <w:color w:val="595959"/>
          <w:spacing w:val="5"/>
          <w:sz w:val="12"/>
          <w:szCs w:val="12"/>
        </w:rPr>
        <w:t>60,000.00</w:t>
      </w:r>
      <w:r>
        <w:rPr>
          <w:rFonts w:ascii="Times New Roman" w:eastAsia="Times New Roman" w:hAnsi="Times New Roman" w:cs="Times New Roman"/>
          <w:color w:val="595959"/>
          <w:sz w:val="12"/>
          <w:szCs w:val="12"/>
        </w:rPr>
        <w:t xml:space="preserve"> </w:t>
      </w:r>
      <w:r>
        <w:rPr>
          <w:rFonts w:ascii="Times New Roman" w:eastAsia="Times New Roman" w:hAnsi="Times New Roman" w:cs="Times New Roman"/>
          <w:color w:val="595959"/>
          <w:spacing w:val="5"/>
          <w:sz w:val="12"/>
          <w:szCs w:val="12"/>
        </w:rPr>
        <w:t>40,000.00</w:t>
      </w:r>
      <w:r>
        <w:rPr>
          <w:rFonts w:ascii="Times New Roman" w:eastAsia="Times New Roman" w:hAnsi="Times New Roman" w:cs="Times New Roman"/>
          <w:color w:val="595959"/>
          <w:sz w:val="12"/>
          <w:szCs w:val="12"/>
        </w:rPr>
        <w:t xml:space="preserve"> </w:t>
      </w:r>
      <w:r>
        <w:rPr>
          <w:rFonts w:ascii="Times New Roman" w:eastAsia="Times New Roman" w:hAnsi="Times New Roman" w:cs="Times New Roman"/>
          <w:color w:val="595959"/>
          <w:spacing w:val="5"/>
          <w:sz w:val="12"/>
          <w:szCs w:val="12"/>
        </w:rPr>
        <w:t>20,000.00</w:t>
      </w:r>
      <w:r>
        <w:rPr>
          <w:rFonts w:ascii="Times New Roman" w:eastAsia="Times New Roman" w:hAnsi="Times New Roman" w:cs="Times New Roman"/>
          <w:color w:val="595959"/>
          <w:sz w:val="12"/>
          <w:szCs w:val="12"/>
        </w:rPr>
        <w:t xml:space="preserve"> </w:t>
      </w:r>
      <w:r>
        <w:rPr>
          <w:rFonts w:ascii="Times New Roman" w:eastAsia="Times New Roman" w:hAnsi="Times New Roman" w:cs="Times New Roman"/>
          <w:color w:val="595959"/>
          <w:spacing w:val="-1"/>
          <w:sz w:val="12"/>
          <w:szCs w:val="12"/>
        </w:rPr>
        <w:t>0.00</w:t>
      </w:r>
    </w:p>
    <w:p>
      <w:pPr>
        <w:spacing w:line="281" w:lineRule="auto"/>
        <w:rPr>
          <w:rFonts w:ascii="Arial"/>
          <w:sz w:val="21"/>
        </w:rPr>
      </w:pPr>
    </w:p>
    <w:p>
      <w:pPr>
        <w:spacing w:line="60" w:lineRule="exact"/>
        <w:ind w:firstLine="558"/>
      </w:pPr>
      <w:r>
        <w:rPr>
          <w:position w:val="-1"/>
        </w:rPr>
        <w:pict>
          <v:shape id="_x0000_i1077" style="width:19.2pt;height:3pt;mso-position-horizontal-relative:char;mso-position-vertical-relative:line" coordorigin="0,0" coordsize="384,60" path="m,60l383,60l383,l,l,60xe" filled="t" fillcolor="#5b9bd5" stroked="f">
            <w10:wrap type="none"/>
          </v:shape>
        </w:pict>
      </w:r>
    </w:p>
    <w:p>
      <w:pPr>
        <w:spacing w:line="14" w:lineRule="auto"/>
        <w:rPr>
          <w:rFonts w:ascii="Arial"/>
          <w:sz w:val="2"/>
        </w:rPr>
      </w:pPr>
      <w:r>
        <w:rPr>
          <w:rFonts w:ascii="Arial" w:eastAsia="Arial" w:hAnsi="Arial" w:cs="Arial"/>
          <w:sz w:val="2"/>
          <w:szCs w:val="2"/>
        </w:rPr>
        <w:br w:type="column"/>
      </w:r>
    </w:p>
    <w:tbl>
      <w:tblPr>
        <w:tblStyle w:val="TableNormal4"/>
        <w:tblW w:w="8383" w:type="dxa"/>
        <w:tblInd w:w="99" w:type="dxa"/>
        <w:tblBorders>
          <w:top w:val="nil"/>
          <w:left w:val="nil"/>
          <w:bottom w:val="nil"/>
          <w:right w:val="nil"/>
          <w:insideH w:val="nil"/>
          <w:insideV w:val="nil"/>
        </w:tblBorders>
        <w:tblLayout w:type="fixed"/>
      </w:tblPr>
      <w:tblGrid>
        <w:gridCol w:w="8061"/>
        <w:gridCol w:w="322"/>
      </w:tblGrid>
      <w:tr>
        <w:tblPrEx>
          <w:tblW w:w="8383" w:type="dxa"/>
          <w:tblInd w:w="99" w:type="dxa"/>
          <w:tblBorders>
            <w:top w:val="nil"/>
            <w:left w:val="nil"/>
            <w:bottom w:val="nil"/>
            <w:right w:val="nil"/>
            <w:insideH w:val="nil"/>
            <w:insideV w:val="nil"/>
          </w:tblBorders>
          <w:tblLayout w:type="fixed"/>
        </w:tblPrEx>
        <w:trPr>
          <w:trHeight w:val="2707"/>
        </w:trPr>
        <w:tc>
          <w:tcPr>
            <w:tcW w:w="8061" w:type="dxa"/>
            <w:vAlign w:val="top"/>
          </w:tcPr>
          <w:p>
            <w:pPr>
              <w:spacing w:before="101"/>
            </w:pPr>
            <w:r>
              <w:pict>
                <v:rect id="_x0000_s1078" style="width:67.7pt;height:3.15pt;margin-top:91.3pt;margin-left:-370.17pt;mso-position-horizontal-relative:right-margin-area;mso-position-vertical-relative:top-margin-area;position:absolute;z-index:251719680" filled="t" fillcolor="#255e91" stroked="f"/>
              </w:pict>
            </w:r>
            <w:r>
              <w:pict>
                <v:rect id="_x0000_s1079" style="width:400.45pt;height:0.75pt;margin-top:124.54pt;margin-left:-403.05pt;mso-position-horizontal-relative:right-margin-area;mso-position-vertical-relative:top-margin-area;position:absolute;z-index:251711488" filled="t" fillcolor="#d9d9d9" stroked="f"/>
              </w:pict>
            </w:r>
            <w:r>
              <w:pict>
                <v:rect id="_x0000_s1080" style="width:400.45pt;height:0.75pt;margin-top:1.78pt;margin-left:-403.05pt;mso-position-horizontal-relative:right-margin-area;mso-position-vertical-relative:top-margin-area;position:absolute;z-index:251707392" filled="t" fillcolor="#d9d9d9" stroked="f"/>
              </w:pict>
            </w:r>
            <w:r>
              <w:drawing>
                <wp:anchor distT="0" distB="0" distL="0" distR="0" simplePos="0" relativeHeight="251710464" behindDoc="0" locked="0" layoutInCell="1" allowOverlap="1">
                  <wp:simplePos x="0" y="0"/>
                  <wp:positionH relativeFrom="rightMargin">
                    <wp:posOffset>-4864226</wp:posOffset>
                  </wp:positionH>
                  <wp:positionV relativeFrom="topMargin">
                    <wp:posOffset>223722</wp:posOffset>
                  </wp:positionV>
                  <wp:extent cx="4576571" cy="1362456"/>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66"/>
                          <a:stretch>
                            <a:fillRect/>
                          </a:stretch>
                        </pic:blipFill>
                        <pic:spPr>
                          <a:xfrm>
                            <a:off x="0" y="0"/>
                            <a:ext cx="4576571" cy="1362456"/>
                          </a:xfrm>
                          <a:prstGeom prst="rect">
                            <a:avLst/>
                          </a:prstGeom>
                        </pic:spPr>
                      </pic:pic>
                    </a:graphicData>
                  </a:graphic>
                </wp:anchor>
              </w:drawing>
            </w:r>
            <w:r>
              <w:pict>
                <v:group id="_x0000_s1081" style="width:334.7pt;height:89.9pt;margin-top:13.18pt;margin-left:-370.17pt;mso-position-horizontal-relative:right-margin-area;mso-position-vertical-relative:top-margin-area;position:absolute;z-index:251717632" coordorigin="0,0" coordsize="6694,1798" filled="f" stroked="f">
                  <v:shape id="_x0000_s1082" style="width:1353;height:785;position:absolute;top:1012" coordorigin="0,0" coordsize="1353,785" path="m9,9l1343,775e" filled="f" strokecolor="#70ad47" strokeweight="0.96pt">
                    <v:stroke endcap="round"/>
                  </v:shape>
                  <v:shape id="_x0000_s1083" style="width:4025;height:1169;left:1334;position:absolute;top:525" coordorigin="0,0" coordsize="4025,1169" path="m9,1046l1343,9l2680,895l4015,1159e" filled="f" strokecolor="#255e91" strokeweight="0.96pt">
                    <v:stroke endcap="round"/>
                  </v:shape>
                  <v:shape id="_x0000_s1084" style="width:5360;height:1400;left:1334;position:absolute" coordorigin="0,0" coordsize="5360,1400" path="m9,1389l1343,1065l2680,1207l4015,854l5349,9e" filled="f" strokecolor="#9e480e" strokeweight="0.96pt">
                    <v:stroke endcap="round"/>
                  </v:shape>
                </v:group>
              </w:pict>
            </w:r>
            <w:r>
              <w:pict>
                <v:shape id="_x0000_s1085" style="width:67.7pt;height:10.6pt;margin-top:87.34pt;margin-left:-103.17pt;mso-position-horizontal-relative:right-margin-area;mso-position-vertical-relative:top-margin-area;position:absolute;z-index:251713536" coordorigin="0,0" coordsize="1353,212" path="m9,201l1344,9e" filled="f" strokecolor="#255e91" strokeweight="0.96pt">
                  <v:stroke endcap="round"/>
                </v:shape>
              </w:pict>
            </w:r>
            <w:r>
              <w:pict>
                <v:shape id="_x0000_s1086" style="width:67.7pt;height:43.25pt;margin-top:82.18pt;margin-left:-370.17pt;mso-position-horizontal-relative:right-margin-area;mso-position-vertical-relative:top-margin-area;position:absolute;z-index:251720704" coordorigin="0,0" coordsize="1353,865" path="m9,854l1343,9e" filled="f" strokecolor="#9e480e" strokeweight="0.96pt">
                  <v:stroke endcap="round"/>
                </v:shape>
              </w:pict>
            </w:r>
            <w:r>
              <w:pict>
                <v:shape id="_x0000_s1087" style="width:67.7pt;height:17.45pt;margin-top:102.1pt;margin-left:-303.45pt;mso-position-horizontal-relative:right-margin-area;mso-position-vertical-relative:top-margin-area;position:absolute;z-index:251718656" coordorigin="0,0" coordsize="1353,349" path="m9,9l1343,338e" filled="f" strokecolor="#70ad47" strokeweight="0.96pt">
                  <v:stroke endcap="round"/>
                </v:shape>
              </w:pict>
            </w:r>
            <w:r>
              <w:pict>
                <v:group id="_x0000_s1088" style="width:67.7pt;height:7.1pt;margin-top:107.74pt;margin-left:-169.89pt;mso-position-horizontal-relative:right-margin-area;mso-position-vertical-relative:top-margin-area;position:absolute;z-index:251715584" coordorigin="0,0" coordsize="1353,141" filled="f" stroked="f">
                  <v:shape id="_x0000_s1089" style="width:1353;height:29;position:absolute;top:50" coordorigin="0,0" coordsize="1353,29" path="m9,19l1343,9e" filled="f" strokecolor="#4472c4" strokeweight="0.96pt">
                    <v:stroke endcap="round"/>
                  </v:shape>
                  <v:shape id="_x0000_s1090" style="width:1353;height:141;position:absolute" coordorigin="0,0" coordsize="1353,141" path="m9,9l1343,131e" filled="f" strokecolor="#70ad47" strokeweight="0.96pt">
                    <v:stroke endcap="round"/>
                  </v:shape>
                </v:group>
              </w:pict>
            </w:r>
            <w:r>
              <w:pict>
                <v:group id="_x0000_s1091" style="width:201.25pt;height:14.05pt;margin-top:107.74pt;margin-left:-370.17pt;mso-position-horizontal-relative:right-margin-area;mso-position-vertical-relative:top-margin-area;position:absolute;z-index:251716608" coordorigin="0,0" coordsize="4025,281" filled="f" stroked="f">
                  <v:shape id="_x0000_s1092" style="width:4025;height:221;position:absolute;top:60" coordorigin="0,0" coordsize="4025,221" path="m9,122l1343,211l2678,117l4015,9e" filled="f" strokecolor="#4472c4" strokeweight="0.96pt">
                    <v:stroke endcap="round"/>
                  </v:shape>
                  <v:shape id="_x0000_s1093" style="width:1356;height:236;left:2668;position:absolute" coordorigin="0,0" coordsize="1356,236" path="m9,225l1346,9e" filled="f" strokecolor="#70ad47" strokeweight="0.96pt">
                    <v:stroke endcap="round"/>
                  </v:shape>
                </v:group>
              </w:pict>
            </w:r>
            <w:r>
              <w:pict>
                <v:group id="_x0000_s1094" style="width:67.7pt;height:9.75pt;margin-top:110.26pt;margin-left:-103.17pt;mso-position-horizontal-relative:right-margin-area;mso-position-vertical-relative:top-margin-area;position:absolute;z-index:251712512" coordorigin="0,0" coordsize="1353,195" filled="f" stroked="f">
                  <v:shape id="_x0000_s1095" style="width:1353;height:136;position:absolute" coordorigin="0,0" coordsize="1353,136" path="m9,9l1344,127e" filled="f" strokecolor="#4472c4" strokeweight="0.96pt">
                    <v:stroke endcap="round"/>
                  </v:shape>
                  <v:shape id="_x0000_s1096" style="width:1353;height:123;position:absolute;top:71" coordorigin="0,0" coordsize="1353,123" path="m9,9l1344,112e" filled="f" strokecolor="#70ad47" strokeweight="0.96pt">
                    <v:stroke endcap="round"/>
                  </v:shape>
                </v:group>
              </w:pict>
            </w:r>
          </w:p>
          <w:tbl>
            <w:tblPr>
              <w:tblStyle w:val="TableNormal4"/>
              <w:tblW w:w="8008" w:type="dxa"/>
              <w:tblInd w:w="0" w:type="dxa"/>
              <w:tblBorders>
                <w:top w:val="nil"/>
                <w:left w:val="nil"/>
                <w:bottom w:val="nil"/>
                <w:right w:val="nil"/>
                <w:insideH w:val="nil"/>
                <w:insideV w:val="nil"/>
              </w:tblBorders>
              <w:tblLayout w:type="fixed"/>
            </w:tblPr>
            <w:tblGrid>
              <w:gridCol w:w="8008"/>
            </w:tblGrid>
            <w:tr>
              <w:tblPrEx>
                <w:tblW w:w="8008" w:type="dxa"/>
                <w:tblInd w:w="0" w:type="dxa"/>
                <w:tblBorders>
                  <w:top w:val="nil"/>
                  <w:left w:val="nil"/>
                  <w:bottom w:val="nil"/>
                  <w:right w:val="nil"/>
                  <w:insideH w:val="nil"/>
                  <w:insideV w:val="nil"/>
                </w:tblBorders>
                <w:tblLayout w:type="fixed"/>
              </w:tblPrEx>
              <w:trPr>
                <w:trHeight w:val="303"/>
              </w:trPr>
              <w:tc>
                <w:tcPr>
                  <w:tcW w:w="8008" w:type="dxa"/>
                  <w:tcBorders>
                    <w:top w:val="single" w:sz="4" w:space="0" w:color="D9D9D9"/>
                    <w:bottom w:val="single" w:sz="4" w:space="0" w:color="D9D9D9"/>
                  </w:tcBorders>
                  <w:vAlign w:val="top"/>
                </w:tcPr>
                <w:p>
                  <w:pPr>
                    <w:rPr>
                      <w:rFonts w:ascii="Arial"/>
                      <w:sz w:val="21"/>
                    </w:rPr>
                  </w:pPr>
                </w:p>
              </w:tc>
            </w:tr>
            <w:tr>
              <w:tblPrEx>
                <w:tblW w:w="8008" w:type="dxa"/>
                <w:tblInd w:w="0" w:type="dxa"/>
                <w:tblLayout w:type="fixed"/>
              </w:tblPrEx>
              <w:trPr>
                <w:trHeight w:val="295"/>
              </w:trPr>
              <w:tc>
                <w:tcPr>
                  <w:tcW w:w="8008" w:type="dxa"/>
                  <w:tcBorders>
                    <w:top w:val="single" w:sz="4" w:space="0" w:color="D9D9D9"/>
                    <w:bottom w:val="single" w:sz="4" w:space="0" w:color="D9D9D9"/>
                  </w:tcBorders>
                  <w:vAlign w:val="top"/>
                </w:tcPr>
                <w:p>
                  <w:pPr>
                    <w:rPr>
                      <w:rFonts w:ascii="Arial"/>
                      <w:sz w:val="21"/>
                    </w:rPr>
                  </w:pPr>
                </w:p>
              </w:tc>
            </w:tr>
            <w:tr>
              <w:tblPrEx>
                <w:tblW w:w="8008" w:type="dxa"/>
                <w:tblInd w:w="0" w:type="dxa"/>
                <w:tblLayout w:type="fixed"/>
              </w:tblPrEx>
              <w:trPr>
                <w:trHeight w:val="296"/>
              </w:trPr>
              <w:tc>
                <w:tcPr>
                  <w:tcW w:w="8008" w:type="dxa"/>
                  <w:tcBorders>
                    <w:top w:val="single" w:sz="4" w:space="0" w:color="D9D9D9"/>
                    <w:bottom w:val="single" w:sz="4" w:space="0" w:color="D9D9D9"/>
                  </w:tcBorders>
                  <w:vAlign w:val="top"/>
                </w:tcPr>
                <w:p>
                  <w:pPr>
                    <w:rPr>
                      <w:rFonts w:ascii="Arial"/>
                      <w:sz w:val="21"/>
                    </w:rPr>
                  </w:pPr>
                </w:p>
              </w:tc>
            </w:tr>
            <w:tr>
              <w:tblPrEx>
                <w:tblW w:w="8008" w:type="dxa"/>
                <w:tblInd w:w="0" w:type="dxa"/>
                <w:tblLayout w:type="fixed"/>
              </w:tblPrEx>
              <w:trPr>
                <w:trHeight w:val="293"/>
              </w:trPr>
              <w:tc>
                <w:tcPr>
                  <w:tcW w:w="8008" w:type="dxa"/>
                  <w:tcBorders>
                    <w:top w:val="single" w:sz="4" w:space="0" w:color="D9D9D9"/>
                    <w:bottom w:val="single" w:sz="4" w:space="0" w:color="D9D9D9"/>
                  </w:tcBorders>
                  <w:vAlign w:val="top"/>
                </w:tcPr>
                <w:p>
                  <w:pPr>
                    <w:rPr>
                      <w:rFonts w:ascii="Arial"/>
                      <w:sz w:val="21"/>
                    </w:rPr>
                  </w:pPr>
                </w:p>
              </w:tc>
            </w:tr>
            <w:tr>
              <w:tblPrEx>
                <w:tblW w:w="8008" w:type="dxa"/>
                <w:tblInd w:w="0" w:type="dxa"/>
                <w:tblLayout w:type="fixed"/>
              </w:tblPrEx>
              <w:trPr>
                <w:trHeight w:val="295"/>
              </w:trPr>
              <w:tc>
                <w:tcPr>
                  <w:tcW w:w="8008" w:type="dxa"/>
                  <w:tcBorders>
                    <w:top w:val="single" w:sz="4" w:space="0" w:color="D9D9D9"/>
                    <w:bottom w:val="single" w:sz="4" w:space="0" w:color="D9D9D9"/>
                  </w:tcBorders>
                  <w:vAlign w:val="top"/>
                </w:tcPr>
                <w:p>
                  <w:pPr>
                    <w:rPr>
                      <w:rFonts w:ascii="Arial"/>
                      <w:sz w:val="21"/>
                    </w:rPr>
                  </w:pPr>
                </w:p>
              </w:tc>
            </w:tr>
            <w:tr>
              <w:tblPrEx>
                <w:tblW w:w="8008" w:type="dxa"/>
                <w:tblInd w:w="0" w:type="dxa"/>
                <w:tblLayout w:type="fixed"/>
              </w:tblPrEx>
              <w:trPr>
                <w:trHeight w:val="303"/>
              </w:trPr>
              <w:tc>
                <w:tcPr>
                  <w:tcW w:w="8008" w:type="dxa"/>
                  <w:tcBorders>
                    <w:top w:val="single" w:sz="4" w:space="0" w:color="D9D9D9"/>
                    <w:bottom w:val="single" w:sz="4" w:space="0" w:color="D9D9D9"/>
                  </w:tcBorders>
                  <w:vAlign w:val="top"/>
                </w:tcPr>
                <w:p>
                  <w:pPr>
                    <w:rPr>
                      <w:rFonts w:ascii="Arial"/>
                      <w:sz w:val="21"/>
                    </w:rPr>
                  </w:pPr>
                </w:p>
              </w:tc>
            </w:tr>
          </w:tbl>
          <w:p>
            <w:pPr>
              <w:spacing w:line="348" w:lineRule="auto"/>
              <w:rPr>
                <w:rFonts w:ascii="Arial"/>
                <w:sz w:val="21"/>
              </w:rPr>
            </w:pPr>
          </w:p>
          <w:p>
            <w:pPr>
              <w:pStyle w:val="TableText"/>
              <w:spacing w:before="39" w:line="169" w:lineRule="auto"/>
              <w:ind w:left="430"/>
            </w:pPr>
            <w:r>
              <w:rPr>
                <w:rFonts w:ascii="Times New Roman" w:eastAsia="Times New Roman" w:hAnsi="Times New Roman" w:cs="Times New Roman"/>
                <w:color w:val="595959"/>
              </w:rPr>
              <w:t>2018</w:t>
            </w:r>
            <w:r>
              <w:rPr>
                <w:color w:val="595959"/>
              </w:rPr>
              <w:t xml:space="preserve">年末              </w:t>
            </w:r>
            <w:r>
              <w:rPr>
                <w:rFonts w:ascii="Times New Roman" w:eastAsia="Times New Roman" w:hAnsi="Times New Roman" w:cs="Times New Roman"/>
                <w:color w:val="595959"/>
              </w:rPr>
              <w:t>2019</w:t>
            </w:r>
            <w:r>
              <w:rPr>
                <w:color w:val="595959"/>
              </w:rPr>
              <w:t>年末</w:t>
            </w:r>
            <w:r>
              <w:rPr>
                <w:color w:val="595959"/>
                <w:spacing w:val="1"/>
              </w:rPr>
              <w:t xml:space="preserve">              </w:t>
            </w:r>
            <w:r>
              <w:rPr>
                <w:rFonts w:ascii="Times New Roman" w:eastAsia="Times New Roman" w:hAnsi="Times New Roman" w:cs="Times New Roman"/>
                <w:color w:val="595959"/>
              </w:rPr>
              <w:t>2020</w:t>
            </w:r>
            <w:r>
              <w:rPr>
                <w:color w:val="595959"/>
              </w:rPr>
              <w:t>年末</w:t>
            </w:r>
            <w:r>
              <w:rPr>
                <w:color w:val="595959"/>
                <w:spacing w:val="1"/>
              </w:rPr>
              <w:t xml:space="preserve">              </w:t>
            </w:r>
            <w:r>
              <w:rPr>
                <w:rFonts w:ascii="Times New Roman" w:eastAsia="Times New Roman" w:hAnsi="Times New Roman" w:cs="Times New Roman"/>
                <w:color w:val="595959"/>
              </w:rPr>
              <w:t>2021</w:t>
            </w:r>
            <w:r>
              <w:rPr>
                <w:color w:val="595959"/>
              </w:rPr>
              <w:t>年末</w:t>
            </w:r>
            <w:r>
              <w:rPr>
                <w:color w:val="595959"/>
                <w:spacing w:val="1"/>
              </w:rPr>
              <w:t xml:space="preserve">              </w:t>
            </w:r>
            <w:r>
              <w:rPr>
                <w:rFonts w:ascii="Times New Roman" w:eastAsia="Times New Roman" w:hAnsi="Times New Roman" w:cs="Times New Roman"/>
                <w:color w:val="595959"/>
              </w:rPr>
              <w:t>2022</w:t>
            </w:r>
            <w:r>
              <w:rPr>
                <w:color w:val="595959"/>
              </w:rPr>
              <w:t xml:space="preserve">年末         </w:t>
            </w:r>
            <w:r>
              <w:rPr>
                <w:color w:val="595959"/>
                <w:spacing w:val="-1"/>
              </w:rPr>
              <w:t xml:space="preserve">    </w:t>
            </w:r>
            <w:r>
              <w:rPr>
                <w:rFonts w:ascii="Times New Roman" w:eastAsia="Times New Roman" w:hAnsi="Times New Roman" w:cs="Times New Roman"/>
                <w:color w:val="595959"/>
                <w:spacing w:val="-1"/>
              </w:rPr>
              <w:t>2023</w:t>
            </w:r>
            <w:r>
              <w:rPr>
                <w:color w:val="595959"/>
                <w:spacing w:val="-1"/>
              </w:rPr>
              <w:t>年</w:t>
            </w:r>
            <w:r>
              <w:rPr>
                <w:rFonts w:ascii="Times New Roman" w:eastAsia="Times New Roman" w:hAnsi="Times New Roman" w:cs="Times New Roman"/>
                <w:color w:val="595959"/>
                <w:spacing w:val="-1"/>
              </w:rPr>
              <w:t>9</w:t>
            </w:r>
            <w:r>
              <w:rPr>
                <w:color w:val="595959"/>
                <w:spacing w:val="-1"/>
              </w:rPr>
              <w:t>月末</w:t>
            </w:r>
          </w:p>
        </w:tc>
        <w:tc>
          <w:tcPr>
            <w:tcW w:w="322" w:type="dxa"/>
            <w:vAlign w:val="top"/>
          </w:tcPr>
          <w:p>
            <w:pPr>
              <w:spacing w:before="2" w:line="407" w:lineRule="auto"/>
              <w:ind w:left="53" w:firstLine="3"/>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50.00</w:t>
            </w:r>
            <w:r>
              <w:rPr>
                <w:rFonts w:ascii="Times New Roman" w:eastAsia="Times New Roman" w:hAnsi="Times New Roman" w:cs="Times New Roman"/>
                <w:color w:val="595959"/>
                <w:spacing w:val="3"/>
                <w:sz w:val="12"/>
                <w:szCs w:val="12"/>
              </w:rPr>
              <w:t xml:space="preserve"> </w:t>
            </w:r>
            <w:r>
              <w:rPr>
                <w:rFonts w:ascii="Times New Roman" w:eastAsia="Times New Roman" w:hAnsi="Times New Roman" w:cs="Times New Roman"/>
                <w:color w:val="595959"/>
                <w:spacing w:val="-1"/>
                <w:sz w:val="12"/>
                <w:szCs w:val="12"/>
              </w:rPr>
              <w:t>45.00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40.00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35.00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30.00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25.00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20.00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15.00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10.00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5.00</w:t>
            </w:r>
            <w:r>
              <w:rPr>
                <w:rFonts w:ascii="Times New Roman" w:eastAsia="Times New Roman" w:hAnsi="Times New Roman" w:cs="Times New Roman"/>
                <w:color w:val="595959"/>
                <w:sz w:val="12"/>
                <w:szCs w:val="12"/>
              </w:rPr>
              <w:t xml:space="preserve">   </w:t>
            </w:r>
            <w:r>
              <w:rPr>
                <w:rFonts w:ascii="Times New Roman" w:eastAsia="Times New Roman" w:hAnsi="Times New Roman" w:cs="Times New Roman"/>
                <w:color w:val="595959"/>
                <w:spacing w:val="-1"/>
                <w:sz w:val="12"/>
                <w:szCs w:val="12"/>
              </w:rPr>
              <w:t>0.00</w:t>
            </w:r>
          </w:p>
        </w:tc>
      </w:tr>
    </w:tbl>
    <w:p>
      <w:pPr>
        <w:spacing w:line="107" w:lineRule="exact"/>
      </w:pPr>
    </w:p>
    <w:tbl>
      <w:tblPr>
        <w:tblStyle w:val="TableNormal4"/>
        <w:tblW w:w="8710" w:type="dxa"/>
        <w:tblInd w:w="0" w:type="dxa"/>
        <w:tblBorders>
          <w:top w:val="nil"/>
          <w:left w:val="nil"/>
          <w:bottom w:val="nil"/>
          <w:right w:val="nil"/>
          <w:insideH w:val="nil"/>
          <w:insideV w:val="nil"/>
        </w:tblBorders>
        <w:tblLayout w:type="fixed"/>
      </w:tblPr>
      <w:tblGrid>
        <w:gridCol w:w="1746"/>
        <w:gridCol w:w="563"/>
        <w:gridCol w:w="1765"/>
        <w:gridCol w:w="562"/>
        <w:gridCol w:w="1769"/>
        <w:gridCol w:w="559"/>
        <w:gridCol w:w="1746"/>
      </w:tblGrid>
      <w:tr>
        <w:tblPrEx>
          <w:tblW w:w="8710" w:type="dxa"/>
          <w:tblInd w:w="0" w:type="dxa"/>
          <w:tblBorders>
            <w:top w:val="nil"/>
            <w:left w:val="nil"/>
            <w:bottom w:val="nil"/>
            <w:right w:val="nil"/>
            <w:insideH w:val="nil"/>
            <w:insideV w:val="nil"/>
          </w:tblBorders>
          <w:tblLayout w:type="fixed"/>
        </w:tblPrEx>
        <w:trPr>
          <w:trHeight w:val="338"/>
        </w:trPr>
        <w:tc>
          <w:tcPr>
            <w:tcW w:w="1746" w:type="dxa"/>
            <w:vAlign w:val="top"/>
          </w:tcPr>
          <w:p>
            <w:pPr>
              <w:pStyle w:val="TableText"/>
              <w:spacing w:line="218" w:lineRule="auto"/>
            </w:pPr>
            <w:r>
              <w:rPr>
                <w:color w:val="595959"/>
                <w:spacing w:val="-1"/>
              </w:rPr>
              <w:t>水电装机容量</w:t>
            </w:r>
          </w:p>
          <w:p>
            <w:pPr>
              <w:pStyle w:val="TableText"/>
              <w:spacing w:before="77" w:line="166" w:lineRule="auto"/>
            </w:pPr>
            <w:r>
              <w:rPr>
                <w:color w:val="595959"/>
                <w:spacing w:val="-1"/>
              </w:rPr>
              <w:t>水电装机容量累计同比（右轴）</w:t>
            </w:r>
          </w:p>
        </w:tc>
        <w:tc>
          <w:tcPr>
            <w:tcW w:w="563" w:type="dxa"/>
            <w:vAlign w:val="top"/>
          </w:tcPr>
          <w:p>
            <w:pPr>
              <w:spacing w:before="33" w:line="60" w:lineRule="exact"/>
              <w:ind w:firstLine="150"/>
            </w:pPr>
            <w:r>
              <w:pict>
                <v:rect id="_x0000_s1097" style="width:20.2pt;height:1pt;margin-top:13.67pt;margin-left:-21.1pt;mso-position-horizontal-relative:right-margin-area;mso-position-vertical-relative:top-margin-area;position:absolute;z-index:251714560" filled="t" fillcolor="#70ad47" stroked="f"/>
              </w:pict>
            </w:r>
            <w:r>
              <w:rPr>
                <w:position w:val="-1"/>
              </w:rPr>
              <w:pict>
                <v:shape id="_x0000_i1098" style="width:19.2pt;height:3pt;mso-position-horizontal-relative:char;mso-position-vertical-relative:line" coordorigin="0,0" coordsize="384,60" path="m,60l383,60l383,l,l,60xe" filled="t" fillcolor="#ed7d31" stroked="f">
                  <w10:wrap type="none"/>
                </v:shape>
              </w:pict>
            </w:r>
          </w:p>
        </w:tc>
        <w:tc>
          <w:tcPr>
            <w:tcW w:w="1765" w:type="dxa"/>
            <w:vAlign w:val="top"/>
          </w:tcPr>
          <w:p>
            <w:pPr>
              <w:pStyle w:val="TableText"/>
              <w:spacing w:line="218" w:lineRule="auto"/>
              <w:ind w:left="19"/>
            </w:pPr>
            <w:r>
              <w:rPr>
                <w:color w:val="595959"/>
                <w:spacing w:val="-1"/>
              </w:rPr>
              <w:t>核电装机容量</w:t>
            </w:r>
          </w:p>
          <w:p>
            <w:pPr>
              <w:pStyle w:val="TableText"/>
              <w:spacing w:before="77" w:line="166" w:lineRule="auto"/>
              <w:ind w:left="19"/>
            </w:pPr>
            <w:r>
              <w:rPr>
                <w:color w:val="595959"/>
                <w:spacing w:val="-1"/>
              </w:rPr>
              <w:t>核电装机容量累计同比（右轴）</w:t>
            </w:r>
          </w:p>
        </w:tc>
        <w:tc>
          <w:tcPr>
            <w:tcW w:w="562" w:type="dxa"/>
            <w:vAlign w:val="top"/>
          </w:tcPr>
          <w:p>
            <w:pPr>
              <w:spacing w:before="33" w:line="60" w:lineRule="exact"/>
              <w:ind w:firstLine="150"/>
            </w:pPr>
            <w:r>
              <w:pict>
                <v:rect id="_x0000_s1099" style="width:20.2pt;height:1pt;margin-top:13.67pt;margin-left:-21.05pt;mso-position-horizontal-relative:right-margin-area;mso-position-vertical-relative:top-margin-area;position:absolute;z-index:251709440" filled="t" fillcolor="#255e91" stroked="f"/>
              </w:pict>
            </w:r>
            <w:r>
              <w:rPr>
                <w:position w:val="-1"/>
              </w:rPr>
              <w:pict>
                <v:shape id="_x0000_i1100" style="width:19.25pt;height:3pt;mso-position-horizontal-relative:char;mso-position-vertical-relative:line" coordorigin="0,0" coordsize="385,60" path="m,60l384,60l384,l,l,60xe" filled="t" fillcolor="#92d050" stroked="f">
                  <w10:wrap type="none"/>
                </v:shape>
              </w:pict>
            </w:r>
          </w:p>
        </w:tc>
        <w:tc>
          <w:tcPr>
            <w:tcW w:w="1769" w:type="dxa"/>
            <w:vAlign w:val="top"/>
          </w:tcPr>
          <w:p>
            <w:pPr>
              <w:pStyle w:val="TableText"/>
              <w:spacing w:line="218" w:lineRule="auto"/>
              <w:ind w:left="19"/>
            </w:pPr>
            <w:r>
              <w:rPr>
                <w:color w:val="595959"/>
                <w:spacing w:val="-1"/>
              </w:rPr>
              <w:t>风电装机容量</w:t>
            </w:r>
          </w:p>
          <w:p>
            <w:pPr>
              <w:pStyle w:val="TableText"/>
              <w:spacing w:before="77" w:line="166" w:lineRule="auto"/>
              <w:ind w:left="19"/>
            </w:pPr>
            <w:r>
              <w:rPr>
                <w:color w:val="595959"/>
                <w:spacing w:val="-1"/>
              </w:rPr>
              <w:t>风电装机容量累计同比（右轴）</w:t>
            </w:r>
          </w:p>
        </w:tc>
        <w:tc>
          <w:tcPr>
            <w:tcW w:w="559" w:type="dxa"/>
            <w:vAlign w:val="top"/>
          </w:tcPr>
          <w:p>
            <w:pPr>
              <w:spacing w:before="33" w:line="60" w:lineRule="exact"/>
              <w:ind w:firstLine="147"/>
            </w:pPr>
            <w:r>
              <w:pict>
                <v:rect id="_x0000_s1101" style="width:20.2pt;height:1pt;margin-top:13.67pt;margin-left:-21.05pt;mso-position-horizontal-relative:right-margin-area;mso-position-vertical-relative:top-margin-area;position:absolute;z-index:251708416" filled="t" fillcolor="#9e480e" stroked="f"/>
              </w:pict>
            </w:r>
            <w:r>
              <w:rPr>
                <w:position w:val="-1"/>
              </w:rPr>
              <w:pict>
                <v:shape id="_x0000_i1102" style="width:19.25pt;height:3pt;mso-position-horizontal-relative:char;mso-position-vertical-relative:line" coordorigin="0,0" coordsize="385,60" path="m,60l384,60l384,l,l,60xe" filled="t" fillcolor="#ffc000" stroked="f">
                  <w10:wrap type="none"/>
                </v:shape>
              </w:pict>
            </w:r>
          </w:p>
        </w:tc>
        <w:tc>
          <w:tcPr>
            <w:tcW w:w="1746" w:type="dxa"/>
            <w:vAlign w:val="top"/>
          </w:tcPr>
          <w:p>
            <w:pPr>
              <w:pStyle w:val="TableText"/>
              <w:spacing w:line="218" w:lineRule="auto"/>
              <w:ind w:left="19"/>
            </w:pPr>
            <w:r>
              <w:rPr>
                <w:color w:val="595959"/>
                <w:spacing w:val="-1"/>
              </w:rPr>
              <w:t>太阳能发电装机容量</w:t>
            </w:r>
          </w:p>
          <w:p>
            <w:pPr>
              <w:pStyle w:val="TableText"/>
              <w:spacing w:before="77" w:line="166" w:lineRule="auto"/>
              <w:jc w:val="right"/>
            </w:pPr>
            <w:r>
              <w:rPr>
                <w:color w:val="595959"/>
                <w:spacing w:val="-5"/>
              </w:rPr>
              <w:t>太阳能装机容量累计同比（右轴）</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67"/>
          <w:footerReference w:type="default" r:id="rId68"/>
          <w:type w:val="continuous"/>
          <w:pgSz w:w="11907" w:h="16839"/>
          <w:pgMar w:top="1336" w:right="1064" w:bottom="1269" w:left="987" w:header="1148" w:footer="1077" w:gutter="0"/>
          <w:pgNumType w:start="22"/>
          <w:cols w:num="2" w:space="708" w:equalWidth="0">
            <w:col w:w="959" w:space="31"/>
            <w:col w:w="8865" w:space="0"/>
          </w:cols>
        </w:sectPr>
      </w:pPr>
    </w:p>
    <w:p>
      <w:pPr>
        <w:spacing w:before="212" w:line="221" w:lineRule="auto"/>
        <w:ind w:left="267"/>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line="253" w:lineRule="auto"/>
        <w:rPr>
          <w:rFonts w:ascii="Arial"/>
          <w:sz w:val="21"/>
        </w:rPr>
      </w:pPr>
    </w:p>
    <w:p>
      <w:pPr>
        <w:spacing w:before="69" w:line="270" w:lineRule="auto"/>
        <w:ind w:left="154" w:right="13" w:firstLine="1"/>
        <w:jc w:val="both"/>
        <w:rPr>
          <w:rFonts w:ascii="SimHei" w:eastAsia="SimHei" w:hAnsi="SimHei" w:cs="SimHei"/>
          <w:sz w:val="21"/>
          <w:szCs w:val="21"/>
        </w:rPr>
      </w:pPr>
      <w:r>
        <w:rPr>
          <w:rFonts w:ascii="SimHei" w:eastAsia="SimHei" w:hAnsi="SimHei" w:cs="SimHei"/>
          <w:spacing w:val="1"/>
          <w:sz w:val="21"/>
          <w:szCs w:val="21"/>
        </w:rPr>
        <w:t>清洁电源各类型机组利用效率分化较大，其中核电因其</w:t>
      </w:r>
      <w:r>
        <w:rPr>
          <w:rFonts w:ascii="SimHei" w:eastAsia="SimHei" w:hAnsi="SimHei" w:cs="SimHei"/>
          <w:sz w:val="21"/>
          <w:szCs w:val="21"/>
        </w:rPr>
        <w:t>燃料特殊性及安全性等因素影响，很少参与调峰，</w:t>
      </w:r>
      <w:r>
        <w:rPr>
          <w:rFonts w:ascii="SimHei" w:eastAsia="SimHei" w:hAnsi="SimHei" w:cs="SimHei"/>
          <w:sz w:val="21"/>
          <w:szCs w:val="21"/>
        </w:rPr>
        <w:t xml:space="preserve"> </w:t>
      </w:r>
      <w:r>
        <w:rPr>
          <w:rFonts w:ascii="SimHei" w:eastAsia="SimHei" w:hAnsi="SimHei" w:cs="SimHei"/>
          <w:sz w:val="21"/>
          <w:szCs w:val="21"/>
        </w:rPr>
        <w:t>基本满负荷工作，机组利用小时数很高且相对</w:t>
      </w:r>
      <w:r>
        <w:rPr>
          <w:rFonts w:ascii="SimHei" w:eastAsia="SimHei" w:hAnsi="SimHei" w:cs="SimHei"/>
          <w:spacing w:val="-1"/>
          <w:sz w:val="21"/>
          <w:szCs w:val="21"/>
        </w:rPr>
        <w:t>稳定；水电近年来受来水偏枯影响而出力不足，机组利用小</w:t>
      </w:r>
      <w:r>
        <w:rPr>
          <w:rFonts w:ascii="SimHei" w:eastAsia="SimHei" w:hAnsi="SimHei" w:cs="SimHei"/>
          <w:sz w:val="21"/>
          <w:szCs w:val="21"/>
        </w:rPr>
        <w:t xml:space="preserve"> </w:t>
      </w:r>
      <w:r>
        <w:rPr>
          <w:rFonts w:ascii="SimHei" w:eastAsia="SimHei" w:hAnsi="SimHei" w:cs="SimHei"/>
          <w:spacing w:val="-4"/>
          <w:sz w:val="21"/>
          <w:szCs w:val="21"/>
        </w:rPr>
        <w:t>时数下降；</w:t>
      </w:r>
      <w:r>
        <w:rPr>
          <w:rFonts w:ascii="SimHei" w:eastAsia="SimHei" w:hAnsi="SimHei" w:cs="SimHei"/>
          <w:spacing w:val="-26"/>
          <w:sz w:val="21"/>
          <w:szCs w:val="21"/>
        </w:rPr>
        <w:t xml:space="preserve"> </w:t>
      </w:r>
      <w:r>
        <w:rPr>
          <w:rFonts w:ascii="SimHei" w:eastAsia="SimHei" w:hAnsi="SimHei" w:cs="SimHei"/>
          <w:spacing w:val="-4"/>
          <w:sz w:val="21"/>
          <w:szCs w:val="21"/>
        </w:rPr>
        <w:t>风电及太阳能发电机组设备利用率通常较</w:t>
      </w:r>
      <w:r>
        <w:rPr>
          <w:rFonts w:ascii="SimHei" w:eastAsia="SimHei" w:hAnsi="SimHei" w:cs="SimHei"/>
          <w:spacing w:val="-5"/>
          <w:sz w:val="21"/>
          <w:szCs w:val="21"/>
        </w:rPr>
        <w:t>低。</w:t>
      </w:r>
    </w:p>
    <w:p>
      <w:pPr>
        <w:spacing w:before="222" w:line="286" w:lineRule="auto"/>
        <w:ind w:left="153" w:right="66" w:firstLine="3"/>
        <w:jc w:val="both"/>
        <w:rPr>
          <w:rFonts w:ascii="SimSun" w:eastAsia="SimSun" w:hAnsi="SimSun" w:cs="SimSun"/>
          <w:sz w:val="21"/>
          <w:szCs w:val="21"/>
        </w:rPr>
      </w:pPr>
      <w:r>
        <w:rPr>
          <w:rFonts w:ascii="SimSun" w:eastAsia="SimSun" w:hAnsi="SimSun" w:cs="SimSun"/>
          <w:spacing w:val="-1"/>
          <w:sz w:val="21"/>
          <w:szCs w:val="21"/>
        </w:rPr>
        <w:t>从机组利用效率来看，核电因其燃料特殊性及安全性等因素影响，很少参与调峰，除去必要的换料、检修</w:t>
      </w:r>
      <w:r>
        <w:rPr>
          <w:rFonts w:ascii="SimSun" w:eastAsia="SimSun" w:hAnsi="SimSun" w:cs="SimSun"/>
          <w:spacing w:val="16"/>
          <w:sz w:val="21"/>
          <w:szCs w:val="21"/>
        </w:rPr>
        <w:t xml:space="preserve"> </w:t>
      </w:r>
      <w:r>
        <w:rPr>
          <w:rFonts w:ascii="SimSun" w:eastAsia="SimSun" w:hAnsi="SimSun" w:cs="SimSun"/>
          <w:spacing w:val="-2"/>
          <w:sz w:val="21"/>
          <w:szCs w:val="21"/>
        </w:rPr>
        <w:t>等时间，均处于满负荷运行，近年来平均利用小时数呈上升态势，</w:t>
      </w:r>
      <w:r>
        <w:rPr>
          <w:rFonts w:ascii="SimSun" w:eastAsia="SimSun" w:hAnsi="SimSun" w:cs="SimSun"/>
          <w:spacing w:val="-23"/>
          <w:sz w:val="21"/>
          <w:szCs w:val="21"/>
        </w:rPr>
        <w:t xml:space="preserve"> </w:t>
      </w:r>
      <w:r>
        <w:rPr>
          <w:rFonts w:ascii="SimSun" w:eastAsia="SimSun" w:hAnsi="SimSun" w:cs="SimSun"/>
          <w:spacing w:val="-2"/>
          <w:sz w:val="21"/>
          <w:szCs w:val="21"/>
        </w:rPr>
        <w:t>介</w:t>
      </w:r>
      <w:r>
        <w:rPr>
          <w:rFonts w:ascii="SimSun" w:eastAsia="SimSun" w:hAnsi="SimSun" w:cs="SimSun"/>
          <w:spacing w:val="-3"/>
          <w:sz w:val="21"/>
          <w:szCs w:val="21"/>
        </w:rPr>
        <w:t>于</w:t>
      </w:r>
      <w:r>
        <w:rPr>
          <w:rFonts w:ascii="SimSun" w:eastAsia="SimSun" w:hAnsi="SimSun" w:cs="SimSun"/>
          <w:spacing w:val="-37"/>
          <w:sz w:val="21"/>
          <w:szCs w:val="21"/>
        </w:rPr>
        <w:t xml:space="preserve"> </w:t>
      </w:r>
      <w:r>
        <w:rPr>
          <w:rFonts w:ascii="Times New Roman" w:eastAsia="Times New Roman" w:hAnsi="Times New Roman" w:cs="Times New Roman"/>
          <w:spacing w:val="-3"/>
          <w:sz w:val="21"/>
          <w:szCs w:val="21"/>
        </w:rPr>
        <w:t>7000-8000</w:t>
      </w:r>
      <w:r>
        <w:rPr>
          <w:rFonts w:ascii="Times New Roman" w:eastAsia="Times New Roman" w:hAnsi="Times New Roman" w:cs="Times New Roman"/>
          <w:spacing w:val="19"/>
          <w:sz w:val="21"/>
          <w:szCs w:val="21"/>
        </w:rPr>
        <w:t xml:space="preserve"> </w:t>
      </w:r>
      <w:r>
        <w:rPr>
          <w:rFonts w:ascii="SimSun" w:eastAsia="SimSun" w:hAnsi="SimSun" w:cs="SimSun"/>
          <w:spacing w:val="-3"/>
          <w:sz w:val="21"/>
          <w:szCs w:val="21"/>
        </w:rPr>
        <w:t>小时，相对稳定。水电</w:t>
      </w:r>
      <w:r>
        <w:rPr>
          <w:rFonts w:ascii="SimSun" w:eastAsia="SimSun" w:hAnsi="SimSun" w:cs="SimSun"/>
          <w:sz w:val="21"/>
          <w:szCs w:val="21"/>
        </w:rPr>
        <w:t xml:space="preserve"> </w:t>
      </w:r>
      <w:r>
        <w:rPr>
          <w:rFonts w:ascii="SimSun" w:eastAsia="SimSun" w:hAnsi="SimSun" w:cs="SimSun"/>
          <w:spacing w:val="-1"/>
          <w:sz w:val="21"/>
          <w:szCs w:val="21"/>
        </w:rPr>
        <w:t>机组利用小时受到来水影响较大，近几年来</w:t>
      </w:r>
      <w:r>
        <w:rPr>
          <w:rFonts w:ascii="SimSun" w:eastAsia="SimSun" w:hAnsi="SimSun" w:cs="SimSun"/>
          <w:spacing w:val="-2"/>
          <w:sz w:val="21"/>
          <w:szCs w:val="21"/>
        </w:rPr>
        <w:t>水偏枯，使得其设备利用率明显下降，</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年前三季度同比下</w:t>
      </w:r>
      <w:r>
        <w:rPr>
          <w:rFonts w:ascii="SimSun" w:eastAsia="SimSun" w:hAnsi="SimSun" w:cs="SimSun"/>
          <w:sz w:val="21"/>
          <w:szCs w:val="21"/>
        </w:rPr>
        <w:t xml:space="preserve"> </w:t>
      </w:r>
      <w:r>
        <w:rPr>
          <w:rFonts w:ascii="SimSun" w:eastAsia="SimSun" w:hAnsi="SimSun" w:cs="SimSun"/>
          <w:spacing w:val="-2"/>
          <w:sz w:val="21"/>
          <w:szCs w:val="21"/>
        </w:rPr>
        <w:t>降</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 xml:space="preserve">362 </w:t>
      </w:r>
      <w:r>
        <w:rPr>
          <w:rFonts w:ascii="SimSun" w:eastAsia="SimSun" w:hAnsi="SimSun" w:cs="SimSun"/>
          <w:spacing w:val="-2"/>
          <w:sz w:val="21"/>
          <w:szCs w:val="21"/>
        </w:rPr>
        <w:t>小时至</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 xml:space="preserve">2367 </w:t>
      </w:r>
      <w:r>
        <w:rPr>
          <w:rFonts w:ascii="SimSun" w:eastAsia="SimSun" w:hAnsi="SimSun" w:cs="SimSun"/>
          <w:spacing w:val="-2"/>
          <w:sz w:val="21"/>
          <w:szCs w:val="21"/>
        </w:rPr>
        <w:t>小时。风电机组利用小时数在</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2000-22</w:t>
      </w:r>
      <w:r>
        <w:rPr>
          <w:rFonts w:ascii="Times New Roman" w:eastAsia="Times New Roman" w:hAnsi="Times New Roman" w:cs="Times New Roman"/>
          <w:spacing w:val="-3"/>
          <w:sz w:val="21"/>
          <w:szCs w:val="21"/>
        </w:rPr>
        <w:t>00</w:t>
      </w:r>
      <w:r>
        <w:rPr>
          <w:rFonts w:ascii="Times New Roman" w:eastAsia="Times New Roman" w:hAnsi="Times New Roman" w:cs="Times New Roman"/>
          <w:spacing w:val="15"/>
          <w:sz w:val="21"/>
          <w:szCs w:val="21"/>
        </w:rPr>
        <w:t xml:space="preserve"> </w:t>
      </w:r>
      <w:r>
        <w:rPr>
          <w:rFonts w:ascii="SimSun" w:eastAsia="SimSun" w:hAnsi="SimSun" w:cs="SimSun"/>
          <w:spacing w:val="-3"/>
          <w:sz w:val="21"/>
          <w:szCs w:val="21"/>
        </w:rPr>
        <w:t>小时上下徘徊；太阳能发电机组利用小时数则</w:t>
      </w:r>
      <w:r>
        <w:rPr>
          <w:rFonts w:ascii="SimSun" w:eastAsia="SimSun" w:hAnsi="SimSun" w:cs="SimSun"/>
          <w:sz w:val="21"/>
          <w:szCs w:val="21"/>
        </w:rPr>
        <w:t xml:space="preserve"> </w:t>
      </w:r>
      <w:r>
        <w:rPr>
          <w:rFonts w:ascii="SimSun" w:eastAsia="SimSun" w:hAnsi="SimSun" w:cs="SimSun"/>
          <w:spacing w:val="-3"/>
          <w:sz w:val="21"/>
          <w:szCs w:val="21"/>
        </w:rPr>
        <w:t>基本在</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1200-</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1300</w:t>
      </w:r>
      <w:r>
        <w:rPr>
          <w:rFonts w:ascii="Times New Roman" w:eastAsia="Times New Roman" w:hAnsi="Times New Roman" w:cs="Times New Roman"/>
          <w:spacing w:val="14"/>
          <w:w w:val="101"/>
          <w:sz w:val="21"/>
          <w:szCs w:val="21"/>
        </w:rPr>
        <w:t xml:space="preserve"> </w:t>
      </w:r>
      <w:r>
        <w:rPr>
          <w:rFonts w:ascii="SimSun" w:eastAsia="SimSun" w:hAnsi="SimSun" w:cs="SimSun"/>
          <w:spacing w:val="-3"/>
          <w:sz w:val="21"/>
          <w:szCs w:val="21"/>
        </w:rPr>
        <w:t>小时上下，</w:t>
      </w:r>
      <w:r>
        <w:rPr>
          <w:rFonts w:ascii="SimSun" w:eastAsia="SimSun" w:hAnsi="SimSun" w:cs="SimSun"/>
          <w:spacing w:val="-32"/>
          <w:sz w:val="21"/>
          <w:szCs w:val="21"/>
        </w:rPr>
        <w:t xml:space="preserve"> </w:t>
      </w:r>
      <w:r>
        <w:rPr>
          <w:rFonts w:ascii="SimSun" w:eastAsia="SimSun" w:hAnsi="SimSun" w:cs="SimSun"/>
          <w:spacing w:val="-3"/>
          <w:sz w:val="21"/>
          <w:szCs w:val="21"/>
        </w:rPr>
        <w:t>均低于行业整体平均利用小时数</w:t>
      </w:r>
      <w:r>
        <w:rPr>
          <w:rFonts w:ascii="SimSun" w:eastAsia="SimSun" w:hAnsi="SimSun" w:cs="SimSun"/>
          <w:spacing w:val="-4"/>
          <w:sz w:val="21"/>
          <w:szCs w:val="21"/>
        </w:rPr>
        <w:t>。</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年前三季度，风电、核电发电设备利</w:t>
      </w:r>
      <w:r>
        <w:rPr>
          <w:rFonts w:ascii="SimSun" w:eastAsia="SimSun" w:hAnsi="SimSun" w:cs="SimSun"/>
          <w:sz w:val="21"/>
          <w:szCs w:val="21"/>
        </w:rPr>
        <w:t xml:space="preserve"> </w:t>
      </w:r>
      <w:r>
        <w:rPr>
          <w:rFonts w:ascii="SimSun" w:eastAsia="SimSun" w:hAnsi="SimSun" w:cs="SimSun"/>
          <w:spacing w:val="-2"/>
          <w:sz w:val="21"/>
          <w:szCs w:val="21"/>
        </w:rPr>
        <w:t>用小时分别同比提高</w:t>
      </w:r>
      <w:r>
        <w:rPr>
          <w:rFonts w:ascii="SimSun" w:eastAsia="SimSun" w:hAnsi="SimSun" w:cs="SimSun"/>
          <w:spacing w:val="-46"/>
          <w:sz w:val="21"/>
          <w:szCs w:val="21"/>
        </w:rPr>
        <w:t xml:space="preserve"> </w:t>
      </w:r>
      <w:r>
        <w:rPr>
          <w:rFonts w:ascii="Times New Roman" w:eastAsia="Times New Roman" w:hAnsi="Times New Roman" w:cs="Times New Roman"/>
          <w:spacing w:val="-2"/>
          <w:sz w:val="21"/>
          <w:szCs w:val="21"/>
        </w:rPr>
        <w:t xml:space="preserve">49 </w:t>
      </w:r>
      <w:r>
        <w:rPr>
          <w:rFonts w:ascii="SimSun" w:eastAsia="SimSun" w:hAnsi="SimSun" w:cs="SimSun"/>
          <w:spacing w:val="-2"/>
          <w:sz w:val="21"/>
          <w:szCs w:val="21"/>
        </w:rPr>
        <w:t>小时和</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148</w:t>
      </w:r>
      <w:r>
        <w:rPr>
          <w:rFonts w:ascii="Times New Roman" w:eastAsia="Times New Roman" w:hAnsi="Times New Roman" w:cs="Times New Roman"/>
          <w:spacing w:val="15"/>
          <w:sz w:val="21"/>
          <w:szCs w:val="21"/>
        </w:rPr>
        <w:t xml:space="preserve"> </w:t>
      </w:r>
      <w:r>
        <w:rPr>
          <w:rFonts w:ascii="SimSun" w:eastAsia="SimSun" w:hAnsi="SimSun" w:cs="SimSun"/>
          <w:spacing w:val="-2"/>
          <w:sz w:val="21"/>
          <w:szCs w:val="21"/>
        </w:rPr>
        <w:t>小时至</w:t>
      </w:r>
      <w:r>
        <w:rPr>
          <w:rFonts w:ascii="SimSun" w:eastAsia="SimSun" w:hAnsi="SimSun" w:cs="SimSun"/>
          <w:spacing w:val="-28"/>
          <w:sz w:val="21"/>
          <w:szCs w:val="21"/>
        </w:rPr>
        <w:t xml:space="preserve"> </w:t>
      </w:r>
      <w:r>
        <w:rPr>
          <w:rFonts w:ascii="Times New Roman" w:eastAsia="Times New Roman" w:hAnsi="Times New Roman" w:cs="Times New Roman"/>
          <w:spacing w:val="-2"/>
          <w:sz w:val="21"/>
          <w:szCs w:val="21"/>
        </w:rPr>
        <w:t xml:space="preserve">1665.00 </w:t>
      </w:r>
      <w:r>
        <w:rPr>
          <w:rFonts w:ascii="SimSun" w:eastAsia="SimSun" w:hAnsi="SimSun" w:cs="SimSun"/>
          <w:spacing w:val="-2"/>
          <w:sz w:val="21"/>
          <w:szCs w:val="21"/>
        </w:rPr>
        <w:t>小时和</w:t>
      </w:r>
      <w:r>
        <w:rPr>
          <w:rFonts w:ascii="SimSun" w:eastAsia="SimSun" w:hAnsi="SimSun" w:cs="SimSun"/>
          <w:spacing w:val="-42"/>
          <w:sz w:val="21"/>
          <w:szCs w:val="21"/>
        </w:rPr>
        <w:t xml:space="preserve"> </w:t>
      </w:r>
      <w:r>
        <w:rPr>
          <w:rFonts w:ascii="Times New Roman" w:eastAsia="Times New Roman" w:hAnsi="Times New Roman" w:cs="Times New Roman"/>
          <w:spacing w:val="-2"/>
          <w:sz w:val="21"/>
          <w:szCs w:val="21"/>
        </w:rPr>
        <w:t xml:space="preserve">5724.00 </w:t>
      </w:r>
      <w:r>
        <w:rPr>
          <w:rFonts w:ascii="SimSun" w:eastAsia="SimSun" w:hAnsi="SimSun" w:cs="SimSun"/>
          <w:spacing w:val="-2"/>
          <w:sz w:val="21"/>
          <w:szCs w:val="21"/>
        </w:rPr>
        <w:t>小时。</w:t>
      </w:r>
    </w:p>
    <w:p>
      <w:pPr>
        <w:spacing w:before="140" w:line="218" w:lineRule="auto"/>
        <w:ind w:left="315"/>
        <w:rPr>
          <w:rFonts w:ascii="SimHei" w:eastAsia="SimHei" w:hAnsi="SimHei" w:cs="SimHei"/>
          <w:sz w:val="18"/>
          <w:szCs w:val="18"/>
        </w:rPr>
      </w:pPr>
      <w:r>
        <w:rPr>
          <w:rFonts w:ascii="SimHei" w:eastAsia="SimHei" w:hAnsi="SimHei" w:cs="SimHei"/>
          <w:spacing w:val="-2"/>
          <w:sz w:val="18"/>
          <w:szCs w:val="18"/>
        </w:rPr>
        <w:t>图表</w:t>
      </w:r>
      <w:r>
        <w:rPr>
          <w:rFonts w:ascii="SimHei" w:eastAsia="SimHei" w:hAnsi="SimHei" w:cs="SimHei"/>
          <w:spacing w:val="-28"/>
          <w:sz w:val="18"/>
          <w:szCs w:val="18"/>
        </w:rPr>
        <w:t xml:space="preserve"> </w:t>
      </w:r>
      <w:r>
        <w:rPr>
          <w:rFonts w:ascii="Times New Roman" w:eastAsia="Times New Roman" w:hAnsi="Times New Roman" w:cs="Times New Roman"/>
          <w:spacing w:val="-2"/>
          <w:sz w:val="18"/>
          <w:szCs w:val="18"/>
        </w:rPr>
        <w:t>8.</w:t>
      </w:r>
      <w:r>
        <w:rPr>
          <w:rFonts w:ascii="Times New Roman" w:eastAsia="Times New Roman" w:hAnsi="Times New Roman" w:cs="Times New Roman"/>
          <w:spacing w:val="12"/>
          <w:sz w:val="18"/>
          <w:szCs w:val="18"/>
        </w:rPr>
        <w:t xml:space="preserve">   </w:t>
      </w:r>
      <w:r>
        <w:rPr>
          <w:rFonts w:ascii="SimHei" w:eastAsia="SimHei" w:hAnsi="SimHei" w:cs="SimHei"/>
          <w:spacing w:val="-2"/>
          <w:sz w:val="18"/>
          <w:szCs w:val="18"/>
        </w:rPr>
        <w:t>我国清洁电源及全部发电设备平均利用小时数（单位：小时）</w:t>
      </w:r>
    </w:p>
    <w:p>
      <w:pPr>
        <w:spacing w:line="168" w:lineRule="exact"/>
      </w:pPr>
    </w:p>
    <w:p>
      <w:pPr>
        <w:spacing w:line="168" w:lineRule="exact"/>
        <w:sectPr>
          <w:headerReference w:type="default" r:id="rId69"/>
          <w:footerReference w:type="default" r:id="rId70"/>
          <w:type w:val="continuous"/>
          <w:pgSz w:w="11907" w:h="16839"/>
          <w:pgMar w:top="1336" w:right="1064" w:bottom="1269" w:left="987" w:header="1148" w:footer="1077" w:gutter="0"/>
          <w:pgNumType w:start="23"/>
          <w:cols w:num="1" w:space="708" w:equalWidth="0">
            <w:col w:w="9855" w:space="0"/>
          </w:cols>
        </w:sectPr>
      </w:pPr>
    </w:p>
    <w:p>
      <w:pPr>
        <w:spacing w:before="3" w:line="399" w:lineRule="auto"/>
        <w:ind w:left="300" w:right="17" w:firstLine="2"/>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9,000.00</w:t>
      </w:r>
      <w:r>
        <w:rPr>
          <w:rFonts w:ascii="Times New Roman" w:eastAsia="Times New Roman" w:hAnsi="Times New Roman" w:cs="Times New Roman"/>
          <w:color w:val="595959"/>
          <w:spacing w:val="2"/>
          <w:sz w:val="12"/>
          <w:szCs w:val="12"/>
        </w:rPr>
        <w:t xml:space="preserve"> </w:t>
      </w:r>
      <w:r>
        <w:rPr>
          <w:rFonts w:ascii="Times New Roman" w:eastAsia="Times New Roman" w:hAnsi="Times New Roman" w:cs="Times New Roman"/>
          <w:color w:val="595959"/>
          <w:spacing w:val="-1"/>
          <w:sz w:val="12"/>
          <w:szCs w:val="12"/>
        </w:rPr>
        <w:t>8,000.00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7,000.00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6,000.00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5,000.00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4,000.00</w:t>
      </w:r>
      <w:r>
        <w:rPr>
          <w:rFonts w:ascii="Times New Roman" w:eastAsia="Times New Roman" w:hAnsi="Times New Roman" w:cs="Times New Roman"/>
          <w:color w:val="595959"/>
          <w:spacing w:val="5"/>
          <w:sz w:val="12"/>
          <w:szCs w:val="12"/>
        </w:rPr>
        <w:t xml:space="preserve"> </w:t>
      </w:r>
      <w:r>
        <w:rPr>
          <w:rFonts w:ascii="Times New Roman" w:eastAsia="Times New Roman" w:hAnsi="Times New Roman" w:cs="Times New Roman"/>
          <w:color w:val="595959"/>
          <w:spacing w:val="-1"/>
          <w:sz w:val="12"/>
          <w:szCs w:val="12"/>
        </w:rPr>
        <w:t>3,000.00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1"/>
          <w:sz w:val="12"/>
          <w:szCs w:val="12"/>
        </w:rPr>
        <w:t>2,000.00</w:t>
      </w:r>
      <w:r>
        <w:rPr>
          <w:rFonts w:ascii="Times New Roman" w:eastAsia="Times New Roman" w:hAnsi="Times New Roman" w:cs="Times New Roman"/>
          <w:color w:val="595959"/>
          <w:spacing w:val="4"/>
          <w:sz w:val="12"/>
          <w:szCs w:val="12"/>
        </w:rPr>
        <w:t xml:space="preserve"> </w:t>
      </w:r>
      <w:r>
        <w:rPr>
          <w:rFonts w:ascii="Times New Roman" w:eastAsia="Times New Roman" w:hAnsi="Times New Roman" w:cs="Times New Roman"/>
          <w:color w:val="595959"/>
          <w:spacing w:val="-2"/>
          <w:sz w:val="12"/>
          <w:szCs w:val="12"/>
        </w:rPr>
        <w:t>1,000.00</w:t>
      </w:r>
    </w:p>
    <w:p>
      <w:pPr>
        <w:spacing w:line="186" w:lineRule="auto"/>
        <w:ind w:right="15"/>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line="14" w:lineRule="auto"/>
        <w:rPr>
          <w:rFonts w:ascii="Arial"/>
          <w:sz w:val="2"/>
        </w:rPr>
      </w:pPr>
      <w:r>
        <w:rPr>
          <w:rFonts w:ascii="Arial" w:eastAsia="Arial" w:hAnsi="Arial" w:cs="Arial"/>
          <w:sz w:val="2"/>
          <w:szCs w:val="2"/>
        </w:rPr>
        <w:br w:type="column"/>
      </w:r>
    </w:p>
    <w:p>
      <w:pPr>
        <w:spacing w:line="262" w:lineRule="auto"/>
        <w:rPr>
          <w:rFonts w:ascii="Arial"/>
          <w:sz w:val="21"/>
        </w:rPr>
      </w:pPr>
    </w:p>
    <w:p>
      <w:pPr>
        <w:spacing w:line="574" w:lineRule="exact"/>
        <w:ind w:firstLine="15"/>
      </w:pPr>
      <w:r>
        <w:rPr>
          <w:position w:val="-11"/>
        </w:rPr>
        <w:pict>
          <v:group id="_x0000_i1103" style="width:433.95pt;height:28.7pt;mso-position-horizontal-relative:char;mso-position-vertical-relative:line" coordorigin="0,0" coordsize="8679,574" filled="f" stroked="f">
            <v:shape id="_x0000_s1104" style="width:8679;height:472;position:absolute" coordorigin="0,0" coordsize="8679,472" path="m,465l8678,465m,237l8678,237m,7l8678,7e" filled="f" strokecolor="#d9d9d9" strokeweight="0.72pt"/>
            <v:shape id="_x0000_s1105" style="width:8187;height:552;left:244;position:absolute;top:21" coordorigin="0,0" coordsize="8187,552" path="m9,60l520,50l1029,24l1540,40l2051,19l2563,9l3072,35l3583,122l4094,206l4603,192l5114,172l5625,124l6134,112l6645,31l7156,74l7667,508l8176,542e" filled="f" strokecolor="red" strokeweight="0.96pt">
              <v:stroke endcap="round"/>
            </v:shape>
            <w10:wrap type="none"/>
          </v:group>
        </w:pict>
      </w:r>
    </w:p>
    <w:p>
      <w:pPr>
        <w:spacing w:before="175" w:line="561" w:lineRule="exact"/>
        <w:ind w:firstLine="15"/>
      </w:pPr>
      <w:r>
        <w:rPr>
          <w:position w:val="-11"/>
        </w:rPr>
        <w:pict>
          <v:group id="_x0000_i1106" style="width:433.95pt;height:28.1pt;mso-position-horizontal-relative:char;mso-position-vertical-relative:line" coordorigin="0,0" coordsize="8679,562" filled="f" stroked="f">
            <v:shape id="_x0000_s1107" style="width:8679;height:242;position:absolute;top:170" coordorigin="0,0" coordsize="8679,242" path="m,235l8678,235m,7l8678,7e" filled="f" strokecolor="#d9d9d9" strokeweight="0.72pt"/>
            <v:shape id="_x0000_s1108" style="width:8187;height:480;left:244;position:absolute" coordorigin="0,0" coordsize="8187,480" path="m9,28l520,50l1029,28l1540,9l2051,43l2563,60l3072,103l3583,180l4094,225l4603,225l5114,208l5625,215l6134,232l6645,218l7156,249l7667,470l8176,451e" filled="f" strokecolor="black" strokeweight="0.96pt">
              <v:stroke endcap="round"/>
            </v:shape>
            <v:shape id="_x0000_s1109" style="width:8187;height:355;left:244;position:absolute;top:206" coordorigin="0,0" coordsize="8187,355" path="m9,64l520,124l1029,107l1540,194l2051,64l2563,127l3072,45l3583,64l4094,57l4603,67l5114,60l5625,40l6134,9l6645,57l7156,105l7667,345l8176,261e" filled="f" strokecolor="#00b0f0" strokeweight="0.96pt">
              <v:stroke endcap="round"/>
            </v:shape>
            <w10:wrap type="none"/>
          </v:group>
        </w:pict>
      </w:r>
    </w:p>
    <w:p>
      <w:pPr>
        <w:spacing w:before="12" w:line="161" w:lineRule="exact"/>
        <w:ind w:firstLine="15"/>
      </w:pPr>
      <w:r>
        <w:rPr>
          <w:position w:val="-3"/>
        </w:rPr>
        <w:pict>
          <v:group id="_x0000_i1110" style="width:433.95pt;height:8.05pt;mso-position-horizontal-relative:char;mso-position-vertical-relative:line" coordorigin="0,0" coordsize="8679,161" filled="f" stroked="f">
            <v:shape id="_x0000_s1111" style="width:8679;height:15;position:absolute;top:55" coordorigin="0,0" coordsize="8679,15" path="m,7l8678,7e" filled="f" strokecolor="#d9d9d9" strokeweight="0.72pt"/>
            <v:shape id="_x0000_s1112" style="width:8187;height:161;left:244;position:absolute" coordorigin="0,0" coordsize="8187,161" path="m9,50l520,45l1029,50l1540,91l2051,79l2563,43l3072,83l3583,124l4094,122l4603,74l5114,40l5625,43l6134,45l6645,9l7156,11l7667,139l8176,151e" filled="f" strokecolor="#00b050" strokeweight="0.96pt">
              <v:stroke endcap="round"/>
            </v:shape>
            <w10:wrap type="none"/>
          </v:group>
        </w:pict>
      </w:r>
    </w:p>
    <w:p>
      <w:pPr>
        <w:spacing w:before="43" w:line="327" w:lineRule="exact"/>
        <w:ind w:firstLine="15"/>
      </w:pPr>
      <w:r>
        <w:rPr>
          <w:position w:val="-6"/>
        </w:rPr>
        <w:pict>
          <v:group id="_x0000_i1113" style="width:433.95pt;height:16.35pt;mso-position-horizontal-relative:char;mso-position-vertical-relative:line" coordorigin="0,0" coordsize="8679,327" filled="f" stroked="f">
            <v:shape id="_x0000_s1114" style="width:8679;height:245;position:absolute;top:79" coordorigin="0,0" coordsize="8679,245" path="m,7l8678,7m,237l8678,237e" filled="f" strokecolor="#d9d9d9" strokeweight="0.72pt"/>
            <v:shape id="_x0000_s1115" style="width:8187;height:327;left:244;position:absolute" coordorigin="0,0" coordsize="8187,327" path="m9,316l520,316l1029,316l1540,316l2051,316l2563,316l3072,316l3583,316l4094,316l4603,316l5114,38l5625,21l6134,24l6645,24l7156,9l7667,84l8176,72e" filled="f" strokecolor="#ffc000" strokeweight="0.96pt">
              <v:stroke endcap="round"/>
            </v:shape>
            <w10:wrap type="none"/>
          </v:group>
        </w:pict>
      </w:r>
    </w:p>
    <w:p>
      <w:pPr>
        <w:spacing w:line="96"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1" w:history="1">
        <w:r>
          <w:rPr>
            <w:rFonts w:ascii="SimSun" w:eastAsia="SimSun" w:hAnsi="SimSun" w:cs="SimSun"/>
            <w:b/>
            <w:bCs/>
            <w:noProof w:val="0"/>
            <w:snapToGrid/>
            <w:color w:val="0000EE"/>
            <w:kern w:val="0"/>
            <w:sz w:val="30"/>
            <w:szCs w:val="30"/>
            <w:u w:val="single" w:color="0000EE"/>
          </w:rPr>
          <w:t>https://d.book118.com/268117016040006032</w:t>
        </w:r>
      </w:hyperlink>
    </w:p>
    <w:p>
      <w:pPr>
        <w:spacing w:line="96" w:lineRule="exact"/>
      </w:pPr>
    </w:p>
    <w:sectPr>
      <w:headerReference w:type="default" r:id="rId72"/>
      <w:footerReference w:type="default" r:id="rId73"/>
      <w:type w:val="continuous"/>
      <w:pgSz w:w="11907" w:h="16839"/>
      <w:pgMar w:top="1336" w:right="1064" w:bottom="1269" w:left="987" w:header="1148" w:footer="1077" w:gutter="0"/>
      <w:pgNumType w:start="24"/>
      <w:cols w:num="2" w:space="708" w:equalWidth="0">
        <w:col w:w="736" w:space="100"/>
        <w:col w:w="9019"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16"/>
      <w:rPr>
        <w:rFonts w:ascii="SimHei" w:eastAsia="SimHei" w:hAnsi="SimHei" w:cs="SimHei"/>
        <w:sz w:val="19"/>
        <w:szCs w:val="19"/>
      </w:rPr>
    </w:pPr>
    <w:r>
      <w:rPr>
        <w:rFonts w:ascii="SimHei" w:eastAsia="SimHei" w:hAnsi="SimHei" w:cs="SimHei"/>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4"/>
      <w:rPr>
        <w:rFonts w:ascii="SimHei" w:eastAsia="SimHei" w:hAnsi="SimHei" w:cs="SimHei"/>
        <w:sz w:val="19"/>
        <w:szCs w:val="19"/>
      </w:rPr>
    </w:pPr>
    <w:r>
      <w:rPr>
        <w:rFonts w:ascii="SimHei" w:eastAsia="SimHei" w:hAnsi="SimHei" w:cs="SimHei"/>
        <w:sz w:val="19"/>
        <w:szCs w:val="19"/>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4"/>
      <w:rPr>
        <w:rFonts w:ascii="SimHei" w:eastAsia="SimHei" w:hAnsi="SimHei" w:cs="SimHei"/>
        <w:sz w:val="19"/>
        <w:szCs w:val="19"/>
      </w:rPr>
    </w:pPr>
    <w:r>
      <w:rPr>
        <w:rFonts w:ascii="SimHei" w:eastAsia="SimHei" w:hAnsi="SimHei" w:cs="SimHei"/>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928"/>
      <w:rPr>
        <w:rFonts w:ascii="SimHei" w:eastAsia="SimHei" w:hAnsi="SimHei" w:cs="SimHei"/>
        <w:sz w:val="19"/>
        <w:szCs w:val="19"/>
      </w:rPr>
    </w:pPr>
    <w:r>
      <w:rPr>
        <w:rFonts w:ascii="SimHei" w:eastAsia="SimHei" w:hAnsi="SimHei" w:cs="SimHei"/>
        <w:sz w:val="19"/>
        <w:szCs w:val="19"/>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928"/>
      <w:rPr>
        <w:rFonts w:ascii="SimHei" w:eastAsia="SimHei" w:hAnsi="SimHei" w:cs="SimHei"/>
        <w:sz w:val="19"/>
        <w:szCs w:val="19"/>
      </w:rPr>
    </w:pPr>
    <w:r>
      <w:rPr>
        <w:rFonts w:ascii="SimHei" w:eastAsia="SimHei" w:hAnsi="SimHei" w:cs="SimHei"/>
        <w:sz w:val="19"/>
        <w:szCs w:val="19"/>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928"/>
      <w:rPr>
        <w:rFonts w:ascii="SimHei" w:eastAsia="SimHei" w:hAnsi="SimHei" w:cs="SimHei"/>
        <w:sz w:val="19"/>
        <w:szCs w:val="19"/>
      </w:rPr>
    </w:pPr>
    <w:r>
      <w:rPr>
        <w:rFonts w:ascii="SimHei" w:eastAsia="SimHei" w:hAnsi="SimHei" w:cs="SimHei"/>
        <w:sz w:val="19"/>
        <w:szCs w:val="1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928"/>
      <w:rPr>
        <w:rFonts w:ascii="SimHei" w:eastAsia="SimHei" w:hAnsi="SimHei" w:cs="SimHei"/>
        <w:sz w:val="19"/>
        <w:szCs w:val="19"/>
      </w:rPr>
    </w:pPr>
    <w:r>
      <w:rPr>
        <w:rFonts w:ascii="SimHei" w:eastAsia="SimHei" w:hAnsi="SimHei" w:cs="SimHei"/>
        <w:sz w:val="19"/>
        <w:szCs w:val="1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928"/>
      <w:rPr>
        <w:rFonts w:ascii="SimHei" w:eastAsia="SimHei" w:hAnsi="SimHei" w:cs="SimHei"/>
        <w:sz w:val="19"/>
        <w:szCs w:val="19"/>
      </w:rPr>
    </w:pPr>
    <w:r>
      <w:rPr>
        <w:rFonts w:ascii="SimHei" w:eastAsia="SimHei" w:hAnsi="SimHei" w:cs="SimHei"/>
        <w:sz w:val="19"/>
        <w:szCs w:val="19"/>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928"/>
      <w:rPr>
        <w:rFonts w:ascii="SimHei" w:eastAsia="SimHei" w:hAnsi="SimHei" w:cs="SimHei"/>
        <w:sz w:val="19"/>
        <w:szCs w:val="19"/>
      </w:rPr>
    </w:pPr>
    <w:r>
      <w:rPr>
        <w:rFonts w:ascii="SimHei" w:eastAsia="SimHei" w:hAnsi="SimHei" w:cs="SimHei"/>
        <w:sz w:val="19"/>
        <w:szCs w:val="19"/>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919"/>
      <w:rPr>
        <w:rFonts w:ascii="SimHei" w:eastAsia="SimHei" w:hAnsi="SimHei" w:cs="SimHei"/>
        <w:sz w:val="19"/>
        <w:szCs w:val="19"/>
      </w:rPr>
    </w:pPr>
    <w:r>
      <w:rPr>
        <w:rFonts w:ascii="SimHei" w:eastAsia="SimHei" w:hAnsi="SimHei" w:cs="SimHei"/>
        <w:spacing w:val="2"/>
        <w:sz w:val="19"/>
        <w:szCs w:val="19"/>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919"/>
      <w:rPr>
        <w:rFonts w:ascii="SimHei" w:eastAsia="SimHei" w:hAnsi="SimHei" w:cs="SimHei"/>
        <w:sz w:val="19"/>
        <w:szCs w:val="19"/>
      </w:rPr>
    </w:pPr>
    <w:r>
      <w:rPr>
        <w:rFonts w:ascii="SimHei" w:eastAsia="SimHei" w:hAnsi="SimHei" w:cs="SimHei"/>
        <w:spacing w:val="2"/>
        <w:sz w:val="19"/>
        <w:szCs w:val="19"/>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919"/>
      <w:rPr>
        <w:rFonts w:ascii="SimHei" w:eastAsia="SimHei" w:hAnsi="SimHei" w:cs="SimHei"/>
        <w:sz w:val="19"/>
        <w:szCs w:val="19"/>
      </w:rPr>
    </w:pPr>
    <w:r>
      <w:rPr>
        <w:rFonts w:ascii="SimHei" w:eastAsia="SimHei" w:hAnsi="SimHei" w:cs="SimHei"/>
        <w:spacing w:val="2"/>
        <w:sz w:val="19"/>
        <w:szCs w:val="19"/>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919"/>
      <w:rPr>
        <w:rFonts w:ascii="SimHei" w:eastAsia="SimHei" w:hAnsi="SimHei" w:cs="SimHei"/>
        <w:sz w:val="19"/>
        <w:szCs w:val="19"/>
      </w:rPr>
    </w:pPr>
    <w:r>
      <w:rPr>
        <w:rFonts w:ascii="SimHei" w:eastAsia="SimHei" w:hAnsi="SimHei" w:cs="SimHei"/>
        <w:spacing w:val="2"/>
        <w:sz w:val="19"/>
        <w:szCs w:val="19"/>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919"/>
      <w:rPr>
        <w:rFonts w:ascii="SimHei" w:eastAsia="SimHei" w:hAnsi="SimHei" w:cs="SimHei"/>
        <w:sz w:val="19"/>
        <w:szCs w:val="19"/>
      </w:rPr>
    </w:pPr>
    <w:r>
      <w:rPr>
        <w:rFonts w:ascii="SimHei" w:eastAsia="SimHei" w:hAnsi="SimHei" w:cs="SimHei"/>
        <w:spacing w:val="2"/>
        <w:sz w:val="19"/>
        <w:szCs w:val="19"/>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919"/>
      <w:rPr>
        <w:rFonts w:ascii="SimHei" w:eastAsia="SimHei" w:hAnsi="SimHei" w:cs="SimHei"/>
        <w:sz w:val="19"/>
        <w:szCs w:val="19"/>
      </w:rPr>
    </w:pPr>
    <w:r>
      <w:rPr>
        <w:rFonts w:ascii="SimHei" w:eastAsia="SimHei" w:hAnsi="SimHei" w:cs="SimHei"/>
        <w:spacing w:val="2"/>
        <w:sz w:val="19"/>
        <w:szCs w:val="19"/>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1"/>
      <w:rPr>
        <w:rFonts w:ascii="SimHei" w:eastAsia="SimHei" w:hAnsi="SimHei" w:cs="SimHei"/>
        <w:sz w:val="19"/>
        <w:szCs w:val="19"/>
      </w:rPr>
    </w:pPr>
    <w:r>
      <w:rPr>
        <w:rFonts w:ascii="SimHei" w:eastAsia="SimHei" w:hAnsi="SimHei" w:cs="SimHei"/>
        <w:spacing w:val="1"/>
        <w:sz w:val="19"/>
        <w:szCs w:val="19"/>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1"/>
      <w:rPr>
        <w:rFonts w:ascii="SimHei" w:eastAsia="SimHei" w:hAnsi="SimHei" w:cs="SimHei"/>
        <w:sz w:val="19"/>
        <w:szCs w:val="19"/>
      </w:rPr>
    </w:pPr>
    <w:r>
      <w:rPr>
        <w:rFonts w:ascii="SimHei" w:eastAsia="SimHei" w:hAnsi="SimHei" w:cs="SimHei"/>
        <w:spacing w:val="1"/>
        <w:sz w:val="19"/>
        <w:szCs w:val="19"/>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1"/>
      <w:rPr>
        <w:rFonts w:ascii="SimHei" w:eastAsia="SimHei" w:hAnsi="SimHei" w:cs="SimHei"/>
        <w:sz w:val="19"/>
        <w:szCs w:val="19"/>
      </w:rPr>
    </w:pPr>
    <w:r>
      <w:rPr>
        <w:rFonts w:ascii="SimHei" w:eastAsia="SimHei" w:hAnsi="SimHei" w:cs="SimHei"/>
        <w:spacing w:val="1"/>
        <w:sz w:val="19"/>
        <w:szCs w:val="19"/>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1"/>
      <w:rPr>
        <w:rFonts w:ascii="SimHei" w:eastAsia="SimHei" w:hAnsi="SimHei" w:cs="SimHei"/>
        <w:sz w:val="19"/>
        <w:szCs w:val="19"/>
      </w:rPr>
    </w:pPr>
    <w:r>
      <w:rPr>
        <w:rFonts w:ascii="SimHei" w:eastAsia="SimHei" w:hAnsi="SimHei" w:cs="SimHei"/>
        <w:spacing w:val="1"/>
        <w:sz w:val="19"/>
        <w:szCs w:val="19"/>
      </w:rPr>
      <w:t>5</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05"/>
      <w:rPr>
        <w:rFonts w:ascii="SimHei" w:eastAsia="SimHei" w:hAnsi="SimHei" w:cs="SimHei"/>
        <w:sz w:val="19"/>
        <w:szCs w:val="19"/>
      </w:rPr>
    </w:pPr>
    <w:r>
      <w:rPr>
        <w:rFonts w:ascii="SimHei" w:eastAsia="SimHei" w:hAnsi="SimHei" w:cs="SimHei"/>
        <w:sz w:val="19"/>
        <w:szCs w:val="19"/>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24"/>
      <w:rPr>
        <w:rFonts w:ascii="SimHei" w:eastAsia="SimHei" w:hAnsi="SimHei" w:cs="SimHei"/>
        <w:sz w:val="19"/>
        <w:szCs w:val="19"/>
      </w:rPr>
    </w:pPr>
    <w:r>
      <w:rPr>
        <w:rFonts w:ascii="SimHei" w:eastAsia="SimHei" w:hAnsi="SimHei" w:cs="SimHei"/>
        <w:sz w:val="19"/>
        <w:szCs w:val="19"/>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24"/>
      <w:rPr>
        <w:rFonts w:ascii="SimHei" w:eastAsia="SimHei" w:hAnsi="SimHei" w:cs="SimHei"/>
        <w:sz w:val="19"/>
        <w:szCs w:val="19"/>
      </w:rPr>
    </w:pPr>
    <w:r>
      <w:rPr>
        <w:rFonts w:ascii="SimHei" w:eastAsia="SimHei" w:hAnsi="SimHei" w:cs="SimHei"/>
        <w:sz w:val="19"/>
        <w:szCs w:val="19"/>
      </w:rPr>
      <w:t>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24"/>
      <w:rPr>
        <w:rFonts w:ascii="SimHei" w:eastAsia="SimHei" w:hAnsi="SimHei" w:cs="SimHei"/>
        <w:sz w:val="19"/>
        <w:szCs w:val="19"/>
      </w:rPr>
    </w:pPr>
    <w:r>
      <w:rPr>
        <w:rFonts w:ascii="SimHei" w:eastAsia="SimHei" w:hAnsi="SimHei" w:cs="SimHei"/>
        <w:sz w:val="19"/>
        <w:szCs w:val="19"/>
      </w:rPr>
      <w:t>7</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24"/>
      <w:rPr>
        <w:rFonts w:ascii="SimHei" w:eastAsia="SimHei" w:hAnsi="SimHei" w:cs="SimHei"/>
        <w:sz w:val="19"/>
        <w:szCs w:val="19"/>
      </w:rPr>
    </w:pPr>
    <w:r>
      <w:rPr>
        <w:rFonts w:ascii="SimHei" w:eastAsia="SimHei" w:hAnsi="SimHei" w:cs="SimHei"/>
        <w:sz w:val="19"/>
        <w:szCs w:val="19"/>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8"/>
      <w:rPr>
        <w:rFonts w:ascii="SimHei" w:eastAsia="SimHei" w:hAnsi="SimHei" w:cs="SimHei"/>
        <w:sz w:val="12"/>
        <w:szCs w:val="12"/>
      </w:rPr>
    </w:pPr>
    <w:r>
      <w:pict>
        <v:shape id="_x0000_s2049" style="width:484.9pt;height:0.75pt;margin-top:51.96pt;margin-left:55.2pt;mso-position-horizontal-relative:page;mso-position-vertical-relative:page;position:absolute;z-index:25165824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0" type="#_x0000_t202" style="width:34.2pt;height:9.6pt;margin-top:-0.98pt;margin-left:1.99pt;position:absolute;z-index:25165926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8"/>
      <w:rPr>
        <w:rFonts w:ascii="SimHei" w:eastAsia="SimHei" w:hAnsi="SimHei" w:cs="SimHei"/>
        <w:sz w:val="12"/>
        <w:szCs w:val="12"/>
      </w:rPr>
    </w:pPr>
    <w:r>
      <w:pict>
        <v:shape id="_x0000_s2051" style="width:484.9pt;height:0.75pt;margin-top:66.12pt;margin-left:55.2pt;mso-position-horizontal-relative:page;mso-position-vertical-relative:page;position:absolute;z-index:25166028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2" type="#_x0000_t202" style="width:34.2pt;height:9.6pt;margin-top:-0.98pt;margin-left:1.99pt;position:absolute;z-index:25166131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8"/>
      <w:rPr>
        <w:rFonts w:ascii="SimHei" w:eastAsia="SimHei" w:hAnsi="SimHei" w:cs="SimHei"/>
        <w:sz w:val="12"/>
        <w:szCs w:val="12"/>
      </w:rPr>
    </w:pPr>
    <w:r>
      <w:pict>
        <v:shape id="_x0000_s2053" style="width:484.9pt;height:0.75pt;margin-top:66.12pt;margin-left:55.2pt;mso-position-horizontal-relative:page;mso-position-vertical-relative:page;position:absolute;z-index:25166233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4" type="#_x0000_t202" style="width:34.2pt;height:9.6pt;margin-top:-0.98pt;margin-left:1.99pt;position:absolute;z-index:25166336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60"/>
      <w:rPr>
        <w:rFonts w:ascii="SimHei" w:eastAsia="SimHei" w:hAnsi="SimHei" w:cs="SimHei"/>
        <w:sz w:val="12"/>
        <w:szCs w:val="12"/>
      </w:rPr>
    </w:pPr>
    <w:r>
      <w:pict>
        <v:shape id="_x0000_s2055" style="width:484.9pt;height:0.75pt;margin-top:66.12pt;margin-left:55.2pt;mso-position-horizontal-relative:page;mso-position-vertical-relative:page;position:absolute;z-index:25166438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6" type="#_x0000_t202" style="width:34.2pt;height:9.6pt;margin-top:-0.98pt;margin-left:8.07pt;position:absolute;z-index:25166540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60"/>
      <w:rPr>
        <w:rFonts w:ascii="SimHei" w:eastAsia="SimHei" w:hAnsi="SimHei" w:cs="SimHei"/>
        <w:sz w:val="12"/>
        <w:szCs w:val="12"/>
      </w:rPr>
    </w:pPr>
    <w:r>
      <w:pict>
        <v:shape id="_x0000_s2057" style="width:484.9pt;height:0.75pt;margin-top:66.12pt;margin-left:55.2pt;mso-position-horizontal-relative:page;mso-position-vertical-relative:page;position:absolute;z-index:25166643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8" type="#_x0000_t202" style="width:34.2pt;height:9.6pt;margin-top:-0.98pt;margin-left:8.07pt;position:absolute;z-index:25166745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60"/>
      <w:rPr>
        <w:rFonts w:ascii="SimHei" w:eastAsia="SimHei" w:hAnsi="SimHei" w:cs="SimHei"/>
        <w:sz w:val="12"/>
        <w:szCs w:val="12"/>
      </w:rPr>
    </w:pPr>
    <w:r>
      <w:pict>
        <v:shape id="_x0000_s2059" style="width:484.9pt;height:0.75pt;margin-top:66.12pt;margin-left:55.2pt;mso-position-horizontal-relative:page;mso-position-vertical-relative:page;position:absolute;z-index:25166848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0" type="#_x0000_t202" style="width:34.2pt;height:9.6pt;margin-top:-0.98pt;margin-left:8.07pt;position:absolute;z-index:25166950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60"/>
      <w:rPr>
        <w:rFonts w:ascii="SimHei" w:eastAsia="SimHei" w:hAnsi="SimHei" w:cs="SimHei"/>
        <w:sz w:val="12"/>
        <w:szCs w:val="12"/>
      </w:rPr>
    </w:pPr>
    <w:r>
      <w:pict>
        <v:shape id="_x0000_s2061" style="width:484.9pt;height:0.75pt;margin-top:66.12pt;margin-left:55.2pt;mso-position-horizontal-relative:page;mso-position-vertical-relative:page;position:absolute;z-index:25167052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2" type="#_x0000_t202" style="width:34.2pt;height:9.6pt;margin-top:-0.98pt;margin-left:8.07pt;position:absolute;z-index:25167155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60"/>
      <w:rPr>
        <w:rFonts w:ascii="SimHei" w:eastAsia="SimHei" w:hAnsi="SimHei" w:cs="SimHei"/>
        <w:sz w:val="12"/>
        <w:szCs w:val="12"/>
      </w:rPr>
    </w:pPr>
    <w:r>
      <w:pict>
        <v:shape id="_x0000_s2063" style="width:484.9pt;height:0.75pt;margin-top:66.12pt;margin-left:55.2pt;mso-position-horizontal-relative:page;mso-position-vertical-relative:page;position:absolute;z-index:25167257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4" type="#_x0000_t202" style="width:34.2pt;height:9.6pt;margin-top:-0.98pt;margin-left:8.07pt;position:absolute;z-index:25167360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60"/>
      <w:rPr>
        <w:rFonts w:ascii="SimHei" w:eastAsia="SimHei" w:hAnsi="SimHei" w:cs="SimHei"/>
        <w:sz w:val="12"/>
        <w:szCs w:val="12"/>
      </w:rPr>
    </w:pPr>
    <w:r>
      <w:pict>
        <v:shape id="_x0000_s2065" style="width:484.9pt;height:0.75pt;margin-top:66.12pt;margin-left:55.2pt;mso-position-horizontal-relative:page;mso-position-vertical-relative:page;position:absolute;z-index:25167462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6" type="#_x0000_t202" style="width:34.2pt;height:9.6pt;margin-top:-0.98pt;margin-left:8.07pt;position:absolute;z-index:25167564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6"/>
      <w:rPr>
        <w:rFonts w:ascii="SimHei" w:eastAsia="SimHei" w:hAnsi="SimHei" w:cs="SimHei"/>
        <w:sz w:val="12"/>
        <w:szCs w:val="12"/>
      </w:rPr>
    </w:pPr>
    <w:r>
      <w:pict>
        <v:shape id="_x0000_s2067" style="width:484.9pt;height:0.75pt;margin-top:66.12pt;margin-left:55.2pt;mso-position-horizontal-relative:page;mso-position-vertical-relative:page;position:absolute;z-index:25167667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8" type="#_x0000_t202" style="width:34.2pt;height:9.6pt;margin-top:-0.98pt;margin-left:7.9pt;position:absolute;z-index:25167769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6"/>
      <w:rPr>
        <w:rFonts w:ascii="SimHei" w:eastAsia="SimHei" w:hAnsi="SimHei" w:cs="SimHei"/>
        <w:sz w:val="12"/>
        <w:szCs w:val="12"/>
      </w:rPr>
    </w:pPr>
    <w:r>
      <w:pict>
        <v:shape id="_x0000_s2069" style="width:484.9pt;height:0.75pt;margin-top:66.12pt;margin-left:55.2pt;mso-position-horizontal-relative:page;mso-position-vertical-relative:page;position:absolute;z-index:25167872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0" type="#_x0000_t202" style="width:34.2pt;height:9.6pt;margin-top:-0.98pt;margin-left:7.9pt;position:absolute;z-index:25167974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6"/>
      <w:rPr>
        <w:rFonts w:ascii="SimHei" w:eastAsia="SimHei" w:hAnsi="SimHei" w:cs="SimHei"/>
        <w:sz w:val="12"/>
        <w:szCs w:val="12"/>
      </w:rPr>
    </w:pPr>
    <w:r>
      <w:pict>
        <v:shape id="_x0000_s2071" style="width:484.9pt;height:0.75pt;margin-top:66.12pt;margin-left:55.2pt;mso-position-horizontal-relative:page;mso-position-vertical-relative:page;position:absolute;z-index:25168076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2" type="#_x0000_t202" style="width:34.2pt;height:9.6pt;margin-top:-0.98pt;margin-left:7.9pt;position:absolute;z-index:25168179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6"/>
      <w:rPr>
        <w:rFonts w:ascii="SimHei" w:eastAsia="SimHei" w:hAnsi="SimHei" w:cs="SimHei"/>
        <w:sz w:val="12"/>
        <w:szCs w:val="12"/>
      </w:rPr>
    </w:pPr>
    <w:r>
      <w:pict>
        <v:shape id="_x0000_s2073" style="width:484.9pt;height:0.75pt;margin-top:66.12pt;margin-left:55.2pt;mso-position-horizontal-relative:page;mso-position-vertical-relative:page;position:absolute;z-index:25168281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4" type="#_x0000_t202" style="width:34.2pt;height:9.6pt;margin-top:-0.98pt;margin-left:7.9pt;position:absolute;z-index:25168384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6"/>
      <w:rPr>
        <w:rFonts w:ascii="SimHei" w:eastAsia="SimHei" w:hAnsi="SimHei" w:cs="SimHei"/>
        <w:sz w:val="12"/>
        <w:szCs w:val="12"/>
      </w:rPr>
    </w:pPr>
    <w:r>
      <w:pict>
        <v:shape id="_x0000_s2075" style="width:484.9pt;height:0.75pt;margin-top:66.12pt;margin-left:55.2pt;mso-position-horizontal-relative:page;mso-position-vertical-relative:page;position:absolute;z-index:25168486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6" type="#_x0000_t202" style="width:34.2pt;height:9.6pt;margin-top:-0.98pt;margin-left:7.9pt;position:absolute;z-index:25168588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6"/>
      <w:rPr>
        <w:rFonts w:ascii="SimHei" w:eastAsia="SimHei" w:hAnsi="SimHei" w:cs="SimHei"/>
        <w:sz w:val="12"/>
        <w:szCs w:val="12"/>
      </w:rPr>
    </w:pPr>
    <w:r>
      <w:pict>
        <v:shape id="_x0000_s2077" style="width:484.9pt;height:0.75pt;margin-top:66.12pt;margin-left:55.2pt;mso-position-horizontal-relative:page;mso-position-vertical-relative:page;position:absolute;z-index:25168691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8" type="#_x0000_t202" style="width:34.2pt;height:9.6pt;margin-top:-0.98pt;margin-left:7.9pt;position:absolute;z-index:25168793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8"/>
      <w:rPr>
        <w:rFonts w:ascii="SimHei" w:eastAsia="SimHei" w:hAnsi="SimHei" w:cs="SimHei"/>
        <w:sz w:val="12"/>
        <w:szCs w:val="12"/>
      </w:rPr>
    </w:pPr>
    <w:r>
      <w:pict>
        <v:shape id="_x0000_s2079" style="width:484.9pt;height:0.75pt;margin-top:66.12pt;margin-left:55.2pt;mso-position-horizontal-relative:page;mso-position-vertical-relative:page;position:absolute;z-index:25168896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0" type="#_x0000_t202" style="width:34.2pt;height:9.6pt;margin-top:-0.98pt;margin-left:1.99pt;position:absolute;z-index:25168998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8"/>
      <w:rPr>
        <w:rFonts w:ascii="SimHei" w:eastAsia="SimHei" w:hAnsi="SimHei" w:cs="SimHei"/>
        <w:sz w:val="12"/>
        <w:szCs w:val="12"/>
      </w:rPr>
    </w:pPr>
    <w:r>
      <w:pict>
        <v:shape id="_x0000_s2081" style="width:484.9pt;height:0.75pt;margin-top:66.12pt;margin-left:55.2pt;mso-position-horizontal-relative:page;mso-position-vertical-relative:page;position:absolute;z-index:25169100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2" type="#_x0000_t202" style="width:34.2pt;height:9.6pt;margin-top:-0.98pt;margin-left:1.99pt;position:absolute;z-index:25169203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8"/>
      <w:rPr>
        <w:rFonts w:ascii="SimHei" w:eastAsia="SimHei" w:hAnsi="SimHei" w:cs="SimHei"/>
        <w:sz w:val="12"/>
        <w:szCs w:val="12"/>
      </w:rPr>
    </w:pPr>
    <w:r>
      <w:pict>
        <v:shape id="_x0000_s2083" style="width:484.9pt;height:0.75pt;margin-top:66.12pt;margin-left:55.2pt;mso-position-horizontal-relative:page;mso-position-vertical-relative:page;position:absolute;z-index:25169305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4" type="#_x0000_t202" style="width:34.2pt;height:9.6pt;margin-top:-0.98pt;margin-left:1.99pt;position:absolute;z-index:25169408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8"/>
      <w:rPr>
        <w:rFonts w:ascii="SimHei" w:eastAsia="SimHei" w:hAnsi="SimHei" w:cs="SimHei"/>
        <w:sz w:val="12"/>
        <w:szCs w:val="12"/>
      </w:rPr>
    </w:pPr>
    <w:r>
      <w:pict>
        <v:shape id="_x0000_s2085" style="width:484.9pt;height:0.75pt;margin-top:66.12pt;margin-left:55.2pt;mso-position-horizontal-relative:page;mso-position-vertical-relative:page;position:absolute;z-index:25169510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6" type="#_x0000_t202" style="width:34.2pt;height:9.6pt;margin-top:-0.98pt;margin-left:1.99pt;position:absolute;z-index:25169612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8"/>
      <w:rPr>
        <w:rFonts w:ascii="SimHei" w:eastAsia="SimHei" w:hAnsi="SimHei" w:cs="SimHei"/>
        <w:sz w:val="12"/>
        <w:szCs w:val="12"/>
      </w:rPr>
    </w:pPr>
    <w:r>
      <w:pict>
        <v:shape id="_x0000_s2087" style="width:484.9pt;height:0.75pt;margin-top:66.12pt;margin-left:55.2pt;mso-position-horizontal-relative:page;mso-position-vertical-relative:page;position:absolute;z-index:25169715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8" type="#_x0000_t202" style="width:34.2pt;height:9.6pt;margin-top:-0.98pt;margin-left:1.99pt;position:absolute;z-index:25169817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5"/>
      <w:rPr>
        <w:rFonts w:ascii="SimHei" w:eastAsia="SimHei" w:hAnsi="SimHei" w:cs="SimHei"/>
        <w:sz w:val="12"/>
        <w:szCs w:val="12"/>
      </w:rPr>
    </w:pPr>
    <w:r>
      <w:pict>
        <v:shape id="_x0000_s2089" style="width:484.9pt;height:0.75pt;margin-top:66.12pt;margin-left:55.2pt;mso-position-horizontal-relative:page;mso-position-vertical-relative:page;position:absolute;z-index:25169920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90" type="#_x0000_t202" style="width:34.2pt;height:9.6pt;margin-top:-0.98pt;margin-left:7.83pt;position:absolute;z-index:25170022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5"/>
      <w:rPr>
        <w:rFonts w:ascii="SimHei" w:eastAsia="SimHei" w:hAnsi="SimHei" w:cs="SimHei"/>
        <w:sz w:val="12"/>
        <w:szCs w:val="12"/>
      </w:rPr>
    </w:pPr>
    <w:r>
      <w:pict>
        <v:shape id="_x0000_s2091" style="width:484.9pt;height:0.75pt;margin-top:66.12pt;margin-left:55.2pt;mso-position-horizontal-relative:page;mso-position-vertical-relative:page;position:absolute;z-index:25170124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92" type="#_x0000_t202" style="width:34.2pt;height:9.6pt;margin-top:-0.98pt;margin-left:7.83pt;position:absolute;z-index:25170227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5"/>
      <w:rPr>
        <w:rFonts w:ascii="SimHei" w:eastAsia="SimHei" w:hAnsi="SimHei" w:cs="SimHei"/>
        <w:sz w:val="12"/>
        <w:szCs w:val="12"/>
      </w:rPr>
    </w:pPr>
    <w:r>
      <w:pict>
        <v:shape id="_x0000_s2093" style="width:484.9pt;height:0.75pt;margin-top:66.12pt;margin-left:55.2pt;mso-position-horizontal-relative:page;mso-position-vertical-relative:page;position:absolute;z-index:25170329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94" type="#_x0000_t202" style="width:34.2pt;height:9.6pt;margin-top:-0.98pt;margin-left:7.83pt;position:absolute;z-index:25170432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55"/>
      <w:rPr>
        <w:rFonts w:ascii="SimHei" w:eastAsia="SimHei" w:hAnsi="SimHei" w:cs="SimHei"/>
        <w:sz w:val="12"/>
        <w:szCs w:val="12"/>
      </w:rPr>
    </w:pPr>
    <w:r>
      <w:pict>
        <v:shape id="_x0000_s2095" style="width:484.9pt;height:0.75pt;margin-top:66.12pt;margin-left:55.2pt;mso-position-horizontal-relative:page;mso-position-vertical-relative:page;position:absolute;z-index:25170534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96" type="#_x0000_t202" style="width:34.2pt;height:9.6pt;margin-top:-0.98pt;margin-left:7.83pt;position:absolute;z-index:25170636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Times New Roman" w:eastAsia="Times New Roman" w:hAnsi="Times New Roman" w:cs="Times New Roman"/>
        <w:spacing w:val="7"/>
        <w:sz w:val="12"/>
        <w:szCs w:val="12"/>
      </w:rPr>
      <w:t xml:space="preserve">2023 </w:t>
    </w:r>
    <w:r>
      <w:rPr>
        <w:rFonts w:ascii="SimHei" w:eastAsia="SimHei" w:hAnsi="SimHei" w:cs="SimHei"/>
        <w:spacing w:val="7"/>
        <w:sz w:val="12"/>
        <w:szCs w:val="12"/>
      </w:rPr>
      <w:t>年电力行业信用回顾与</w:t>
    </w:r>
    <w:r>
      <w:rPr>
        <w:rFonts w:ascii="SimHei" w:eastAsia="SimHei" w:hAnsi="SimHei" w:cs="SimHei"/>
        <w:spacing w:val="-21"/>
        <w:sz w:val="12"/>
        <w:szCs w:val="12"/>
      </w:rPr>
      <w:t xml:space="preserve"> </w:t>
    </w:r>
    <w:r>
      <w:rPr>
        <w:rFonts w:ascii="Times New Roman" w:eastAsia="Times New Roman" w:hAnsi="Times New Roman" w:cs="Times New Roman"/>
        <w:spacing w:val="7"/>
        <w:sz w:val="12"/>
        <w:szCs w:val="12"/>
      </w:rPr>
      <w:t xml:space="preserve">2024 </w:t>
    </w:r>
    <w:r>
      <w:rPr>
        <w:rFonts w:ascii="SimHei" w:eastAsia="SimHei" w:hAnsi="SimHei" w:cs="SimHei"/>
        <w:spacing w:val="7"/>
        <w:sz w:val="12"/>
        <w:szCs w:val="12"/>
      </w:rPr>
      <w:t>年展望</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TKaiti" w:eastAsia="STKaiti" w:hAnsi="STKaiti" w:cs="STKaiti"/>
      <w:sz w:val="18"/>
      <w:szCs w:val="18"/>
      <w:lang w:val="en-US" w:eastAsia="en-US" w:bidi="ar-SA"/>
    </w:rPr>
  </w:style>
  <w:style w:type="paragraph" w:customStyle="1" w:styleId="TableText">
    <w:name w:val="Table Text"/>
    <w:basedOn w:val="Normal"/>
    <w:semiHidden/>
    <w:qFormat/>
    <w:rPr>
      <w:rFonts w:ascii="SimSun" w:eastAsia="SimSun" w:hAnsi="SimSun" w:cs="SimSun"/>
      <w:sz w:val="12"/>
      <w:szCs w:val="12"/>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2.png"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3.jpeg"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image" Target="media/image6.png" /><Relationship Id="rId28" Type="http://schemas.openxmlformats.org/officeDocument/2006/relationships/image" Target="media/image7.png"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image" Target="media/image10.png" /><Relationship Id="rId32" Type="http://schemas.openxmlformats.org/officeDocument/2006/relationships/image" Target="media/image11.png"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image" Target="media/image12.png" /><Relationship Id="rId36" Type="http://schemas.openxmlformats.org/officeDocument/2006/relationships/image" Target="media/image13.png"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image" Target="media/image14.png"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image" Target="media/image15.png" /><Relationship Id="rId49" Type="http://schemas.openxmlformats.org/officeDocument/2006/relationships/image" Target="media/image16.png" /><Relationship Id="rId5" Type="http://schemas.openxmlformats.org/officeDocument/2006/relationships/footer" Target="footer1.xml" /><Relationship Id="rId50" Type="http://schemas.openxmlformats.org/officeDocument/2006/relationships/header" Target="header16.xml" /><Relationship Id="rId51" Type="http://schemas.openxmlformats.org/officeDocument/2006/relationships/footer" Target="footer16.xml" /><Relationship Id="rId52" Type="http://schemas.openxmlformats.org/officeDocument/2006/relationships/image" Target="media/image17.png" /><Relationship Id="rId53" Type="http://schemas.openxmlformats.org/officeDocument/2006/relationships/image" Target="media/image18.png" /><Relationship Id="rId54" Type="http://schemas.openxmlformats.org/officeDocument/2006/relationships/image" Target="media/image19.png" /><Relationship Id="rId55" Type="http://schemas.openxmlformats.org/officeDocument/2006/relationships/header" Target="header17.xml" /><Relationship Id="rId56" Type="http://schemas.openxmlformats.org/officeDocument/2006/relationships/footer" Target="footer17.xml" /><Relationship Id="rId57" Type="http://schemas.openxmlformats.org/officeDocument/2006/relationships/header" Target="header18.xml" /><Relationship Id="rId58" Type="http://schemas.openxmlformats.org/officeDocument/2006/relationships/footer" Target="footer18.xml" /><Relationship Id="rId59" Type="http://schemas.openxmlformats.org/officeDocument/2006/relationships/image" Target="media/image20.png" /><Relationship Id="rId6" Type="http://schemas.openxmlformats.org/officeDocument/2006/relationships/header" Target="header2.xml" /><Relationship Id="rId60" Type="http://schemas.openxmlformats.org/officeDocument/2006/relationships/header" Target="header19.xml" /><Relationship Id="rId61" Type="http://schemas.openxmlformats.org/officeDocument/2006/relationships/footer" Target="footer19.xml" /><Relationship Id="rId62" Type="http://schemas.openxmlformats.org/officeDocument/2006/relationships/header" Target="header20.xml" /><Relationship Id="rId63" Type="http://schemas.openxmlformats.org/officeDocument/2006/relationships/footer" Target="footer20.xml" /><Relationship Id="rId64" Type="http://schemas.openxmlformats.org/officeDocument/2006/relationships/header" Target="header21.xml" /><Relationship Id="rId65" Type="http://schemas.openxmlformats.org/officeDocument/2006/relationships/footer" Target="footer21.xml" /><Relationship Id="rId66" Type="http://schemas.openxmlformats.org/officeDocument/2006/relationships/image" Target="media/image21.png" /><Relationship Id="rId67" Type="http://schemas.openxmlformats.org/officeDocument/2006/relationships/header" Target="header22.xml" /><Relationship Id="rId68" Type="http://schemas.openxmlformats.org/officeDocument/2006/relationships/footer" Target="footer22.xml" /><Relationship Id="rId69" Type="http://schemas.openxmlformats.org/officeDocument/2006/relationships/header" Target="header23.xml" /><Relationship Id="rId7" Type="http://schemas.openxmlformats.org/officeDocument/2006/relationships/footer" Target="footer2.xml" /><Relationship Id="rId70" Type="http://schemas.openxmlformats.org/officeDocument/2006/relationships/footer" Target="footer23.xml" /><Relationship Id="rId71" Type="http://schemas.openxmlformats.org/officeDocument/2006/relationships/hyperlink" Target="https://d.book118.com/268117016040006032" TargetMode="External" /><Relationship Id="rId72" Type="http://schemas.openxmlformats.org/officeDocument/2006/relationships/header" Target="header24.xml" /><Relationship Id="rId73" Type="http://schemas.openxmlformats.org/officeDocument/2006/relationships/footer" Target="footer24.xml" /><Relationship Id="rId74" Type="http://schemas.openxmlformats.org/officeDocument/2006/relationships/theme" Target="theme/theme1.xml" /><Relationship Id="rId75"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张明海</dc:creator>
  <cp:revision>0</cp:revision>
  <dcterms:created xsi:type="dcterms:W3CDTF">2024-01-29T19:49:16Z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2024-01-29T19:59:29Z</vt:filetime>
  </property>
  <property fmtid="{D5CDD505-2E9C-101B-9397-08002B2CF9AE}" pid="3" name="CRO">
    <vt:lpwstr>wqlLaW5nc29mdCBQREYgdG8gV1BTIDkw</vt:lpwstr>
  </property>
</Properties>
</file>