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高性能气敏传感器项目计划设计方案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353" w:history="1">
        <w:r>
          <w:rPr>
            <w:rFonts w:ascii="仿宋" w:eastAsia="仿宋" w:hAnsi="仿宋" w:cs="仿宋" w:hint="eastAsia"/>
            <w:lang w:eastAsia="zh-CN"/>
          </w:rPr>
          <w:t>概论</w:t>
        </w:r>
        <w:r>
          <w:tab/>
        </w:r>
        <w:r>
          <w:fldChar w:fldCharType="begin"/>
        </w:r>
        <w:r>
          <w:instrText xml:space="preserve"> PAGEREF _Toc13353 \h </w:instrText>
        </w:r>
        <w:r>
          <w:fldChar w:fldCharType="separate"/>
        </w:r>
        <w:r>
          <w:t>3</w:t>
        </w:r>
        <w:r>
          <w:fldChar w:fldCharType="end"/>
        </w:r>
      </w:hyperlink>
    </w:p>
    <w:p>
      <w:pPr>
        <w:pStyle w:val="TOC1"/>
        <w:tabs>
          <w:tab w:val="right" w:leader="dot" w:pos="8306"/>
        </w:tabs>
      </w:pPr>
      <w:hyperlink w:anchor="_Toc30433" w:history="1">
        <w:r>
          <w:rPr>
            <w:rFonts w:ascii="仿宋" w:eastAsia="仿宋" w:hAnsi="仿宋" w:cs="仿宋" w:hint="eastAsia"/>
            <w:lang w:eastAsia="zh-CN"/>
          </w:rPr>
          <w:t>一、高性能气敏传感器项目绩效评估</w:t>
        </w:r>
        <w:r>
          <w:tab/>
        </w:r>
        <w:r>
          <w:fldChar w:fldCharType="begin"/>
        </w:r>
        <w:r>
          <w:instrText xml:space="preserve"> PAGEREF _Toc30433 \h </w:instrText>
        </w:r>
        <w:r>
          <w:fldChar w:fldCharType="separate"/>
        </w:r>
        <w:r>
          <w:t>3</w:t>
        </w:r>
        <w:r>
          <w:fldChar w:fldCharType="end"/>
        </w:r>
      </w:hyperlink>
    </w:p>
    <w:p>
      <w:pPr>
        <w:pStyle w:val="TOC2"/>
        <w:tabs>
          <w:tab w:val="right" w:leader="dot" w:pos="8306"/>
        </w:tabs>
      </w:pPr>
      <w:hyperlink w:anchor="_Toc14610" w:history="1">
        <w:r>
          <w:rPr>
            <w:rFonts w:ascii="仿宋" w:eastAsia="仿宋" w:hAnsi="仿宋" w:cs="仿宋" w:hint="eastAsia"/>
            <w:lang w:eastAsia="zh-CN"/>
          </w:rPr>
          <w:t>(一)、绩效评估指标</w:t>
        </w:r>
        <w:r>
          <w:tab/>
        </w:r>
        <w:r>
          <w:fldChar w:fldCharType="begin"/>
        </w:r>
        <w:r>
          <w:instrText xml:space="preserve"> PAGEREF _Toc14610 \h </w:instrText>
        </w:r>
        <w:r>
          <w:fldChar w:fldCharType="separate"/>
        </w:r>
        <w:r>
          <w:t>3</w:t>
        </w:r>
        <w:r>
          <w:fldChar w:fldCharType="end"/>
        </w:r>
      </w:hyperlink>
    </w:p>
    <w:p>
      <w:pPr>
        <w:pStyle w:val="TOC2"/>
        <w:tabs>
          <w:tab w:val="right" w:leader="dot" w:pos="8306"/>
        </w:tabs>
      </w:pPr>
      <w:hyperlink w:anchor="_Toc23207" w:history="1">
        <w:r>
          <w:rPr>
            <w:rFonts w:ascii="仿宋" w:eastAsia="仿宋" w:hAnsi="仿宋" w:cs="仿宋" w:hint="eastAsia"/>
            <w:lang w:eastAsia="zh-CN"/>
          </w:rPr>
          <w:t>(二)、绩效评估方法</w:t>
        </w:r>
        <w:r>
          <w:tab/>
        </w:r>
        <w:r>
          <w:fldChar w:fldCharType="begin"/>
        </w:r>
        <w:r>
          <w:instrText xml:space="preserve"> PAGEREF _Toc23207 \h </w:instrText>
        </w:r>
        <w:r>
          <w:fldChar w:fldCharType="separate"/>
        </w:r>
        <w:r>
          <w:t>4</w:t>
        </w:r>
        <w:r>
          <w:fldChar w:fldCharType="end"/>
        </w:r>
      </w:hyperlink>
    </w:p>
    <w:p>
      <w:pPr>
        <w:pStyle w:val="TOC2"/>
        <w:tabs>
          <w:tab w:val="right" w:leader="dot" w:pos="8306"/>
        </w:tabs>
      </w:pPr>
      <w:hyperlink w:anchor="_Toc26591" w:history="1">
        <w:r>
          <w:rPr>
            <w:rFonts w:ascii="仿宋" w:eastAsia="仿宋" w:hAnsi="仿宋" w:cs="仿宋" w:hint="eastAsia"/>
            <w:lang w:eastAsia="zh-CN"/>
          </w:rPr>
          <w:t>(三)、绩效评估周期</w:t>
        </w:r>
        <w:r>
          <w:tab/>
        </w:r>
        <w:r>
          <w:fldChar w:fldCharType="begin"/>
        </w:r>
        <w:r>
          <w:instrText xml:space="preserve"> PAGEREF _Toc26591 \h </w:instrText>
        </w:r>
        <w:r>
          <w:fldChar w:fldCharType="separate"/>
        </w:r>
        <w:r>
          <w:t>5</w:t>
        </w:r>
        <w:r>
          <w:fldChar w:fldCharType="end"/>
        </w:r>
      </w:hyperlink>
    </w:p>
    <w:p>
      <w:pPr>
        <w:pStyle w:val="TOC1"/>
        <w:tabs>
          <w:tab w:val="right" w:leader="dot" w:pos="8306"/>
        </w:tabs>
      </w:pPr>
      <w:hyperlink w:anchor="_Toc11005" w:history="1">
        <w:r>
          <w:rPr>
            <w:rFonts w:ascii="仿宋" w:eastAsia="仿宋" w:hAnsi="仿宋" w:cs="仿宋" w:hint="eastAsia"/>
            <w:lang w:eastAsia="zh-CN"/>
          </w:rPr>
          <w:t>二、工艺说明</w:t>
        </w:r>
        <w:r>
          <w:tab/>
        </w:r>
        <w:r>
          <w:fldChar w:fldCharType="begin"/>
        </w:r>
        <w:r>
          <w:instrText xml:space="preserve"> PAGEREF _Toc11005 \h </w:instrText>
        </w:r>
        <w:r>
          <w:fldChar w:fldCharType="separate"/>
        </w:r>
        <w:r>
          <w:t>6</w:t>
        </w:r>
        <w:r>
          <w:fldChar w:fldCharType="end"/>
        </w:r>
      </w:hyperlink>
    </w:p>
    <w:p>
      <w:pPr>
        <w:pStyle w:val="TOC2"/>
        <w:tabs>
          <w:tab w:val="right" w:leader="dot" w:pos="8306"/>
        </w:tabs>
      </w:pPr>
      <w:hyperlink w:anchor="_Toc7998" w:history="1">
        <w:r>
          <w:rPr>
            <w:rFonts w:ascii="仿宋" w:eastAsia="仿宋" w:hAnsi="仿宋" w:cs="仿宋" w:hint="eastAsia"/>
            <w:lang w:eastAsia="zh-CN"/>
          </w:rPr>
          <w:t>(一)、技术管理特点</w:t>
        </w:r>
        <w:r>
          <w:tab/>
        </w:r>
        <w:r>
          <w:fldChar w:fldCharType="begin"/>
        </w:r>
        <w:r>
          <w:instrText xml:space="preserve"> PAGEREF _Toc7998 \h </w:instrText>
        </w:r>
        <w:r>
          <w:fldChar w:fldCharType="separate"/>
        </w:r>
        <w:r>
          <w:t>6</w:t>
        </w:r>
        <w:r>
          <w:fldChar w:fldCharType="end"/>
        </w:r>
      </w:hyperlink>
    </w:p>
    <w:p>
      <w:pPr>
        <w:pStyle w:val="TOC2"/>
        <w:tabs>
          <w:tab w:val="right" w:leader="dot" w:pos="8306"/>
        </w:tabs>
      </w:pPr>
      <w:hyperlink w:anchor="_Toc20440" w:history="1">
        <w:r>
          <w:rPr>
            <w:rFonts w:ascii="仿宋" w:eastAsia="仿宋" w:hAnsi="仿宋" w:cs="仿宋" w:hint="eastAsia"/>
            <w:lang w:eastAsia="zh-CN"/>
          </w:rPr>
          <w:t>(二)、高性能气敏传感器项目工艺技术设计方案</w:t>
        </w:r>
        <w:r>
          <w:tab/>
        </w:r>
        <w:r>
          <w:fldChar w:fldCharType="begin"/>
        </w:r>
        <w:r>
          <w:instrText xml:space="preserve"> PAGEREF _Toc20440 \h </w:instrText>
        </w:r>
        <w:r>
          <w:fldChar w:fldCharType="separate"/>
        </w:r>
        <w:r>
          <w:t>7</w:t>
        </w:r>
        <w:r>
          <w:fldChar w:fldCharType="end"/>
        </w:r>
      </w:hyperlink>
    </w:p>
    <w:p>
      <w:pPr>
        <w:pStyle w:val="TOC2"/>
        <w:tabs>
          <w:tab w:val="right" w:leader="dot" w:pos="8306"/>
        </w:tabs>
      </w:pPr>
      <w:hyperlink w:anchor="_Toc870" w:history="1">
        <w:r>
          <w:rPr>
            <w:rFonts w:ascii="仿宋" w:eastAsia="仿宋" w:hAnsi="仿宋" w:cs="仿宋" w:hint="eastAsia"/>
            <w:lang w:eastAsia="zh-CN"/>
          </w:rPr>
          <w:t>(三)、设备选型方案</w:t>
        </w:r>
        <w:r>
          <w:tab/>
        </w:r>
        <w:r>
          <w:fldChar w:fldCharType="begin"/>
        </w:r>
        <w:r>
          <w:instrText xml:space="preserve"> PAGEREF _Toc870 \h </w:instrText>
        </w:r>
        <w:r>
          <w:fldChar w:fldCharType="separate"/>
        </w:r>
        <w:r>
          <w:t>9</w:t>
        </w:r>
        <w:r>
          <w:fldChar w:fldCharType="end"/>
        </w:r>
      </w:hyperlink>
    </w:p>
    <w:p>
      <w:pPr>
        <w:pStyle w:val="TOC1"/>
        <w:tabs>
          <w:tab w:val="right" w:leader="dot" w:pos="8306"/>
        </w:tabs>
      </w:pPr>
      <w:hyperlink w:anchor="_Toc4189" w:history="1">
        <w:r>
          <w:rPr>
            <w:rFonts w:ascii="仿宋" w:eastAsia="仿宋" w:hAnsi="仿宋" w:cs="仿宋" w:hint="eastAsia"/>
            <w:lang w:eastAsia="zh-CN"/>
          </w:rPr>
          <w:t>三、高性能气敏传感器项目危机管理</w:t>
        </w:r>
        <w:r>
          <w:tab/>
        </w:r>
        <w:r>
          <w:fldChar w:fldCharType="begin"/>
        </w:r>
        <w:r>
          <w:instrText xml:space="preserve"> PAGEREF _Toc4189 \h </w:instrText>
        </w:r>
        <w:r>
          <w:fldChar w:fldCharType="separate"/>
        </w:r>
        <w:r>
          <w:t>10</w:t>
        </w:r>
        <w:r>
          <w:fldChar w:fldCharType="end"/>
        </w:r>
      </w:hyperlink>
    </w:p>
    <w:p>
      <w:pPr>
        <w:pStyle w:val="TOC2"/>
        <w:tabs>
          <w:tab w:val="right" w:leader="dot" w:pos="8306"/>
        </w:tabs>
      </w:pPr>
      <w:hyperlink w:anchor="_Toc19331" w:history="1">
        <w:r>
          <w:rPr>
            <w:rFonts w:ascii="仿宋" w:eastAsia="仿宋" w:hAnsi="仿宋" w:cs="仿宋" w:hint="eastAsia"/>
            <w:lang w:eastAsia="zh-CN"/>
          </w:rPr>
          <w:t>(一)、危机预警与识别</w:t>
        </w:r>
        <w:r>
          <w:tab/>
        </w:r>
        <w:r>
          <w:fldChar w:fldCharType="begin"/>
        </w:r>
        <w:r>
          <w:instrText xml:space="preserve"> PAGEREF _Toc19331 \h </w:instrText>
        </w:r>
        <w:r>
          <w:fldChar w:fldCharType="separate"/>
        </w:r>
        <w:r>
          <w:t>10</w:t>
        </w:r>
        <w:r>
          <w:fldChar w:fldCharType="end"/>
        </w:r>
      </w:hyperlink>
    </w:p>
    <w:p>
      <w:pPr>
        <w:pStyle w:val="TOC2"/>
        <w:tabs>
          <w:tab w:val="right" w:leader="dot" w:pos="8306"/>
        </w:tabs>
      </w:pPr>
      <w:hyperlink w:anchor="_Toc10526" w:history="1">
        <w:r>
          <w:rPr>
            <w:rFonts w:ascii="仿宋" w:eastAsia="仿宋" w:hAnsi="仿宋" w:cs="仿宋" w:hint="eastAsia"/>
            <w:lang w:eastAsia="zh-CN"/>
          </w:rPr>
          <w:t>(二)、危机应对与恢复</w:t>
        </w:r>
        <w:r>
          <w:tab/>
        </w:r>
        <w:r>
          <w:fldChar w:fldCharType="begin"/>
        </w:r>
        <w:r>
          <w:instrText xml:space="preserve"> PAGEREF _Toc10526 \h </w:instrText>
        </w:r>
        <w:r>
          <w:fldChar w:fldCharType="separate"/>
        </w:r>
        <w:r>
          <w:t>11</w:t>
        </w:r>
        <w:r>
          <w:fldChar w:fldCharType="end"/>
        </w:r>
      </w:hyperlink>
    </w:p>
    <w:p>
      <w:pPr>
        <w:pStyle w:val="TOC1"/>
        <w:tabs>
          <w:tab w:val="right" w:leader="dot" w:pos="8306"/>
        </w:tabs>
      </w:pPr>
      <w:hyperlink w:anchor="_Toc918" w:history="1">
        <w:r>
          <w:rPr>
            <w:rFonts w:ascii="仿宋" w:eastAsia="仿宋" w:hAnsi="仿宋" w:cs="仿宋" w:hint="eastAsia"/>
            <w:lang w:eastAsia="zh-CN"/>
          </w:rPr>
          <w:t>四、高性能气敏传感器项目可持续发展</w:t>
        </w:r>
        <w:r>
          <w:tab/>
        </w:r>
        <w:r>
          <w:fldChar w:fldCharType="begin"/>
        </w:r>
        <w:r>
          <w:instrText xml:space="preserve"> PAGEREF _Toc918 \h </w:instrText>
        </w:r>
        <w:r>
          <w:fldChar w:fldCharType="separate"/>
        </w:r>
        <w:r>
          <w:t>13</w:t>
        </w:r>
        <w:r>
          <w:fldChar w:fldCharType="end"/>
        </w:r>
      </w:hyperlink>
    </w:p>
    <w:p>
      <w:pPr>
        <w:pStyle w:val="TOC2"/>
        <w:tabs>
          <w:tab w:val="right" w:leader="dot" w:pos="8306"/>
        </w:tabs>
      </w:pPr>
      <w:hyperlink w:anchor="_Toc30981" w:history="1">
        <w:r>
          <w:rPr>
            <w:rFonts w:ascii="仿宋" w:eastAsia="仿宋" w:hAnsi="仿宋" w:cs="仿宋" w:hint="eastAsia"/>
            <w:lang w:eastAsia="zh-CN"/>
          </w:rPr>
          <w:t>(一)、可持续战略与实践</w:t>
        </w:r>
        <w:r>
          <w:tab/>
        </w:r>
        <w:r>
          <w:fldChar w:fldCharType="begin"/>
        </w:r>
        <w:r>
          <w:instrText xml:space="preserve"> PAGEREF _Toc30981 \h </w:instrText>
        </w:r>
        <w:r>
          <w:fldChar w:fldCharType="separate"/>
        </w:r>
        <w:r>
          <w:t>13</w:t>
        </w:r>
        <w:r>
          <w:fldChar w:fldCharType="end"/>
        </w:r>
      </w:hyperlink>
    </w:p>
    <w:p>
      <w:pPr>
        <w:pStyle w:val="TOC2"/>
        <w:tabs>
          <w:tab w:val="right" w:leader="dot" w:pos="8306"/>
        </w:tabs>
      </w:pPr>
      <w:hyperlink w:anchor="_Toc11808" w:history="1">
        <w:r>
          <w:rPr>
            <w:rFonts w:ascii="仿宋" w:eastAsia="仿宋" w:hAnsi="仿宋" w:cs="仿宋" w:hint="eastAsia"/>
            <w:lang w:eastAsia="zh-CN"/>
          </w:rPr>
          <w:t>(二)、环保与社会责任</w:t>
        </w:r>
        <w:r>
          <w:tab/>
        </w:r>
        <w:r>
          <w:fldChar w:fldCharType="begin"/>
        </w:r>
        <w:r>
          <w:instrText xml:space="preserve"> PAGEREF _Toc11808 \h </w:instrText>
        </w:r>
        <w:r>
          <w:fldChar w:fldCharType="separate"/>
        </w:r>
        <w:r>
          <w:t>14</w:t>
        </w:r>
        <w:r>
          <w:fldChar w:fldCharType="end"/>
        </w:r>
      </w:hyperlink>
    </w:p>
    <w:p>
      <w:pPr>
        <w:pStyle w:val="TOC1"/>
        <w:tabs>
          <w:tab w:val="right" w:leader="dot" w:pos="8306"/>
        </w:tabs>
      </w:pPr>
      <w:hyperlink w:anchor="_Toc8905" w:history="1">
        <w:r>
          <w:rPr>
            <w:rFonts w:ascii="仿宋" w:eastAsia="仿宋" w:hAnsi="仿宋" w:cs="仿宋" w:hint="eastAsia"/>
            <w:lang w:eastAsia="zh-CN"/>
          </w:rPr>
          <w:t>五、高性能气敏传感器项目土建工程</w:t>
        </w:r>
        <w:r>
          <w:tab/>
        </w:r>
        <w:r>
          <w:fldChar w:fldCharType="begin"/>
        </w:r>
        <w:r>
          <w:instrText xml:space="preserve"> PAGEREF _Toc8905 \h </w:instrText>
        </w:r>
        <w:r>
          <w:fldChar w:fldCharType="separate"/>
        </w:r>
        <w:r>
          <w:t>15</w:t>
        </w:r>
        <w:r>
          <w:fldChar w:fldCharType="end"/>
        </w:r>
      </w:hyperlink>
    </w:p>
    <w:p>
      <w:pPr>
        <w:pStyle w:val="TOC2"/>
        <w:tabs>
          <w:tab w:val="right" w:leader="dot" w:pos="8306"/>
        </w:tabs>
      </w:pPr>
      <w:hyperlink w:anchor="_Toc19536" w:history="1">
        <w:r>
          <w:rPr>
            <w:rFonts w:ascii="仿宋" w:eastAsia="仿宋" w:hAnsi="仿宋" w:cs="仿宋" w:hint="eastAsia"/>
            <w:lang w:eastAsia="zh-CN"/>
          </w:rPr>
          <w:t>(一)、建筑工程设计原则</w:t>
        </w:r>
        <w:r>
          <w:tab/>
        </w:r>
        <w:r>
          <w:fldChar w:fldCharType="begin"/>
        </w:r>
        <w:r>
          <w:instrText xml:space="preserve"> PAGEREF _Toc19536 \h </w:instrText>
        </w:r>
        <w:r>
          <w:fldChar w:fldCharType="separate"/>
        </w:r>
        <w:r>
          <w:t>15</w:t>
        </w:r>
        <w:r>
          <w:fldChar w:fldCharType="end"/>
        </w:r>
      </w:hyperlink>
    </w:p>
    <w:p>
      <w:pPr>
        <w:pStyle w:val="TOC2"/>
        <w:tabs>
          <w:tab w:val="right" w:leader="dot" w:pos="8306"/>
        </w:tabs>
      </w:pPr>
      <w:hyperlink w:anchor="_Toc12005" w:history="1">
        <w:r>
          <w:rPr>
            <w:rFonts w:ascii="仿宋" w:eastAsia="仿宋" w:hAnsi="仿宋" w:cs="仿宋" w:hint="eastAsia"/>
            <w:lang w:eastAsia="zh-CN"/>
          </w:rPr>
          <w:t>(二)、土建工程设计年限及安全等级</w:t>
        </w:r>
        <w:r>
          <w:tab/>
        </w:r>
        <w:r>
          <w:fldChar w:fldCharType="begin"/>
        </w:r>
        <w:r>
          <w:instrText xml:space="preserve"> PAGEREF _Toc12005 \h </w:instrText>
        </w:r>
        <w:r>
          <w:fldChar w:fldCharType="separate"/>
        </w:r>
        <w:r>
          <w:t>16</w:t>
        </w:r>
        <w:r>
          <w:fldChar w:fldCharType="end"/>
        </w:r>
      </w:hyperlink>
    </w:p>
    <w:p>
      <w:pPr>
        <w:pStyle w:val="TOC2"/>
        <w:tabs>
          <w:tab w:val="right" w:leader="dot" w:pos="8306"/>
        </w:tabs>
      </w:pPr>
      <w:hyperlink w:anchor="_Toc18582" w:history="1">
        <w:r>
          <w:rPr>
            <w:rFonts w:ascii="仿宋" w:eastAsia="仿宋" w:hAnsi="仿宋" w:cs="仿宋" w:hint="eastAsia"/>
            <w:lang w:eastAsia="zh-CN"/>
          </w:rPr>
          <w:t>(三)、建筑工程设计总体要求</w:t>
        </w:r>
        <w:r>
          <w:tab/>
        </w:r>
        <w:r>
          <w:fldChar w:fldCharType="begin"/>
        </w:r>
        <w:r>
          <w:instrText xml:space="preserve"> PAGEREF _Toc18582 \h </w:instrText>
        </w:r>
        <w:r>
          <w:fldChar w:fldCharType="separate"/>
        </w:r>
        <w:r>
          <w:t>17</w:t>
        </w:r>
        <w:r>
          <w:fldChar w:fldCharType="end"/>
        </w:r>
      </w:hyperlink>
    </w:p>
    <w:p>
      <w:pPr>
        <w:pStyle w:val="TOC2"/>
        <w:tabs>
          <w:tab w:val="right" w:leader="dot" w:pos="8306"/>
        </w:tabs>
      </w:pPr>
      <w:hyperlink w:anchor="_Toc23141" w:history="1">
        <w:r>
          <w:rPr>
            <w:rFonts w:ascii="仿宋" w:eastAsia="仿宋" w:hAnsi="仿宋" w:cs="仿宋" w:hint="eastAsia"/>
            <w:lang w:eastAsia="zh-CN"/>
          </w:rPr>
          <w:t>(四)、土建工程建设指标</w:t>
        </w:r>
        <w:r>
          <w:tab/>
        </w:r>
        <w:r>
          <w:fldChar w:fldCharType="begin"/>
        </w:r>
        <w:r>
          <w:instrText xml:space="preserve"> PAGEREF _Toc23141 \h </w:instrText>
        </w:r>
        <w:r>
          <w:fldChar w:fldCharType="separate"/>
        </w:r>
        <w:r>
          <w:t>18</w:t>
        </w:r>
        <w:r>
          <w:fldChar w:fldCharType="end"/>
        </w:r>
      </w:hyperlink>
    </w:p>
    <w:p>
      <w:pPr>
        <w:pStyle w:val="TOC1"/>
        <w:tabs>
          <w:tab w:val="right" w:leader="dot" w:pos="8306"/>
        </w:tabs>
      </w:pPr>
      <w:hyperlink w:anchor="_Toc24255" w:history="1">
        <w:r>
          <w:rPr>
            <w:rFonts w:ascii="仿宋" w:eastAsia="仿宋" w:hAnsi="仿宋" w:cs="仿宋" w:hint="eastAsia"/>
            <w:lang w:eastAsia="zh-CN"/>
          </w:rPr>
          <w:t>六、高性能气敏传感器项目文档管理</w:t>
        </w:r>
        <w:r>
          <w:tab/>
        </w:r>
        <w:r>
          <w:fldChar w:fldCharType="begin"/>
        </w:r>
        <w:r>
          <w:instrText xml:space="preserve"> PAGEREF _Toc24255 \h </w:instrText>
        </w:r>
        <w:r>
          <w:fldChar w:fldCharType="separate"/>
        </w:r>
        <w:r>
          <w:t>18</w:t>
        </w:r>
        <w:r>
          <w:fldChar w:fldCharType="end"/>
        </w:r>
      </w:hyperlink>
    </w:p>
    <w:p>
      <w:pPr>
        <w:pStyle w:val="TOC2"/>
        <w:tabs>
          <w:tab w:val="right" w:leader="dot" w:pos="8306"/>
        </w:tabs>
      </w:pPr>
      <w:hyperlink w:anchor="_Toc24843" w:history="1">
        <w:r>
          <w:rPr>
            <w:rFonts w:ascii="仿宋" w:eastAsia="仿宋" w:hAnsi="仿宋" w:cs="仿宋" w:hint="eastAsia"/>
            <w:lang w:eastAsia="zh-CN"/>
          </w:rPr>
          <w:t>(一)、文档编制与审查</w:t>
        </w:r>
        <w:r>
          <w:tab/>
        </w:r>
        <w:r>
          <w:fldChar w:fldCharType="begin"/>
        </w:r>
        <w:r>
          <w:instrText xml:space="preserve"> PAGEREF _Toc24843 \h </w:instrText>
        </w:r>
        <w:r>
          <w:fldChar w:fldCharType="separate"/>
        </w:r>
        <w:r>
          <w:t>18</w:t>
        </w:r>
        <w:r>
          <w:fldChar w:fldCharType="end"/>
        </w:r>
      </w:hyperlink>
    </w:p>
    <w:p>
      <w:pPr>
        <w:pStyle w:val="TOC2"/>
        <w:tabs>
          <w:tab w:val="right" w:leader="dot" w:pos="8306"/>
        </w:tabs>
      </w:pPr>
      <w:hyperlink w:anchor="_Toc13836" w:history="1">
        <w:r>
          <w:rPr>
            <w:rFonts w:ascii="仿宋" w:eastAsia="仿宋" w:hAnsi="仿宋" w:cs="仿宋" w:hint="eastAsia"/>
            <w:lang w:eastAsia="zh-CN"/>
          </w:rPr>
          <w:t>(二)、文档发布与分发</w:t>
        </w:r>
        <w:r>
          <w:tab/>
        </w:r>
        <w:r>
          <w:fldChar w:fldCharType="begin"/>
        </w:r>
        <w:r>
          <w:instrText xml:space="preserve"> PAGEREF _Toc13836 \h </w:instrText>
        </w:r>
        <w:r>
          <w:fldChar w:fldCharType="separate"/>
        </w:r>
        <w:r>
          <w:t>19</w:t>
        </w:r>
        <w:r>
          <w:fldChar w:fldCharType="end"/>
        </w:r>
      </w:hyperlink>
    </w:p>
    <w:p>
      <w:pPr>
        <w:pStyle w:val="TOC2"/>
        <w:tabs>
          <w:tab w:val="right" w:leader="dot" w:pos="8306"/>
        </w:tabs>
      </w:pPr>
      <w:hyperlink w:anchor="_Toc17807" w:history="1">
        <w:r>
          <w:rPr>
            <w:rFonts w:ascii="仿宋" w:eastAsia="仿宋" w:hAnsi="仿宋" w:cs="仿宋" w:hint="eastAsia"/>
            <w:lang w:eastAsia="zh-CN"/>
          </w:rPr>
          <w:t>(三)、文档存档与归档</w:t>
        </w:r>
        <w:r>
          <w:tab/>
        </w:r>
        <w:r>
          <w:fldChar w:fldCharType="begin"/>
        </w:r>
        <w:r>
          <w:instrText xml:space="preserve"> PAGEREF _Toc17807 \h </w:instrText>
        </w:r>
        <w:r>
          <w:fldChar w:fldCharType="separate"/>
        </w:r>
        <w:r>
          <w:t>20</w:t>
        </w:r>
        <w:r>
          <w:fldChar w:fldCharType="end"/>
        </w:r>
      </w:hyperlink>
    </w:p>
    <w:p>
      <w:pPr>
        <w:pStyle w:val="TOC1"/>
        <w:tabs>
          <w:tab w:val="right" w:leader="dot" w:pos="8306"/>
        </w:tabs>
      </w:pPr>
      <w:hyperlink w:anchor="_Toc17630" w:history="1">
        <w:r>
          <w:rPr>
            <w:rFonts w:ascii="仿宋" w:eastAsia="仿宋" w:hAnsi="仿宋" w:cs="仿宋" w:hint="eastAsia"/>
            <w:lang w:eastAsia="zh-CN"/>
          </w:rPr>
          <w:t>七、生产安全保护</w:t>
        </w:r>
        <w:r>
          <w:tab/>
        </w:r>
        <w:r>
          <w:fldChar w:fldCharType="begin"/>
        </w:r>
        <w:r>
          <w:instrText xml:space="preserve"> PAGEREF _Toc17630 \h </w:instrText>
        </w:r>
        <w:r>
          <w:fldChar w:fldCharType="separate"/>
        </w:r>
        <w:r>
          <w:t>21</w:t>
        </w:r>
        <w:r>
          <w:fldChar w:fldCharType="end"/>
        </w:r>
      </w:hyperlink>
    </w:p>
    <w:p>
      <w:pPr>
        <w:pStyle w:val="TOC2"/>
        <w:tabs>
          <w:tab w:val="right" w:leader="dot" w:pos="8306"/>
        </w:tabs>
      </w:pPr>
      <w:hyperlink w:anchor="_Toc28950" w:history="1">
        <w:r>
          <w:rPr>
            <w:rFonts w:ascii="仿宋" w:eastAsia="仿宋" w:hAnsi="仿宋" w:cs="仿宋" w:hint="eastAsia"/>
            <w:lang w:eastAsia="zh-CN"/>
          </w:rPr>
          <w:t>(一)、消防安全</w:t>
        </w:r>
        <w:r>
          <w:tab/>
        </w:r>
        <w:r>
          <w:fldChar w:fldCharType="begin"/>
        </w:r>
        <w:r>
          <w:instrText xml:space="preserve"> PAGEREF _Toc28950 \h </w:instrText>
        </w:r>
        <w:r>
          <w:fldChar w:fldCharType="separate"/>
        </w:r>
        <w:r>
          <w:t>21</w:t>
        </w:r>
        <w:r>
          <w:fldChar w:fldCharType="end"/>
        </w:r>
      </w:hyperlink>
    </w:p>
    <w:p>
      <w:pPr>
        <w:pStyle w:val="TOC2"/>
        <w:tabs>
          <w:tab w:val="right" w:leader="dot" w:pos="8306"/>
        </w:tabs>
      </w:pPr>
      <w:hyperlink w:anchor="_Toc4849" w:history="1">
        <w:r>
          <w:rPr>
            <w:rFonts w:ascii="仿宋" w:eastAsia="仿宋" w:hAnsi="仿宋" w:cs="仿宋" w:hint="eastAsia"/>
            <w:lang w:eastAsia="zh-CN"/>
          </w:rPr>
          <w:t>(二)、防火防爆总图布置措施</w:t>
        </w:r>
        <w:r>
          <w:tab/>
        </w:r>
        <w:r>
          <w:fldChar w:fldCharType="begin"/>
        </w:r>
        <w:r>
          <w:instrText xml:space="preserve"> PAGEREF _Toc4849 \h </w:instrText>
        </w:r>
        <w:r>
          <w:fldChar w:fldCharType="separate"/>
        </w:r>
        <w:r>
          <w:t>23</w:t>
        </w:r>
        <w:r>
          <w:fldChar w:fldCharType="end"/>
        </w:r>
      </w:hyperlink>
    </w:p>
    <w:p>
      <w:pPr>
        <w:pStyle w:val="TOC2"/>
        <w:tabs>
          <w:tab w:val="right" w:leader="dot" w:pos="8306"/>
        </w:tabs>
      </w:pPr>
      <w:hyperlink w:anchor="_Toc2824" w:history="1">
        <w:r>
          <w:rPr>
            <w:rFonts w:ascii="仿宋" w:eastAsia="仿宋" w:hAnsi="仿宋" w:cs="仿宋" w:hint="eastAsia"/>
            <w:lang w:eastAsia="zh-CN"/>
          </w:rPr>
          <w:t>(三)、自然灾害防范措施</w:t>
        </w:r>
        <w:r>
          <w:tab/>
        </w:r>
        <w:r>
          <w:fldChar w:fldCharType="begin"/>
        </w:r>
        <w:r>
          <w:instrText xml:space="preserve"> PAGEREF _Toc2824 \h </w:instrText>
        </w:r>
        <w:r>
          <w:fldChar w:fldCharType="separate"/>
        </w:r>
        <w:r>
          <w:t>24</w:t>
        </w:r>
        <w:r>
          <w:fldChar w:fldCharType="end"/>
        </w:r>
      </w:hyperlink>
    </w:p>
    <w:p>
      <w:pPr>
        <w:pStyle w:val="TOC2"/>
        <w:tabs>
          <w:tab w:val="right" w:leader="dot" w:pos="8306"/>
        </w:tabs>
      </w:pPr>
      <w:hyperlink w:anchor="_Toc22075" w:history="1">
        <w:r>
          <w:rPr>
            <w:rFonts w:ascii="仿宋" w:eastAsia="仿宋" w:hAnsi="仿宋" w:cs="仿宋" w:hint="eastAsia"/>
            <w:lang w:eastAsia="zh-CN"/>
          </w:rPr>
          <w:t>(四)、安全色及安全标志使用要求</w:t>
        </w:r>
        <w:r>
          <w:tab/>
        </w:r>
        <w:r>
          <w:fldChar w:fldCharType="begin"/>
        </w:r>
        <w:r>
          <w:instrText xml:space="preserve"> PAGEREF _Toc22075 \h </w:instrText>
        </w:r>
        <w:r>
          <w:fldChar w:fldCharType="separate"/>
        </w:r>
        <w:r>
          <w:t>25</w:t>
        </w:r>
        <w:r>
          <w:fldChar w:fldCharType="end"/>
        </w:r>
      </w:hyperlink>
    </w:p>
    <w:p>
      <w:pPr>
        <w:pStyle w:val="TOC2"/>
        <w:tabs>
          <w:tab w:val="right" w:leader="dot" w:pos="8306"/>
        </w:tabs>
      </w:pPr>
      <w:hyperlink w:anchor="_Toc13550" w:history="1">
        <w:r>
          <w:rPr>
            <w:rFonts w:ascii="仿宋" w:eastAsia="仿宋" w:hAnsi="仿宋" w:cs="仿宋" w:hint="eastAsia"/>
            <w:lang w:eastAsia="zh-CN"/>
          </w:rPr>
          <w:t>(五)、防尘防毒措施</w:t>
        </w:r>
        <w:r>
          <w:tab/>
        </w:r>
        <w:r>
          <w:fldChar w:fldCharType="begin"/>
        </w:r>
        <w:r>
          <w:instrText xml:space="preserve"> PAGEREF _Toc13550 \h </w:instrText>
        </w:r>
        <w:r>
          <w:fldChar w:fldCharType="separate"/>
        </w:r>
        <w:r>
          <w:t>26</w:t>
        </w:r>
        <w:r>
          <w:fldChar w:fldCharType="end"/>
        </w:r>
      </w:hyperlink>
    </w:p>
    <w:p>
      <w:pPr>
        <w:pStyle w:val="TOC2"/>
        <w:tabs>
          <w:tab w:val="right" w:leader="dot" w:pos="8306"/>
        </w:tabs>
      </w:pPr>
      <w:hyperlink w:anchor="_Toc2019" w:history="1">
        <w:r>
          <w:rPr>
            <w:rFonts w:ascii="仿宋" w:eastAsia="仿宋" w:hAnsi="仿宋" w:cs="仿宋" w:hint="eastAsia"/>
            <w:lang w:eastAsia="zh-CN"/>
          </w:rPr>
          <w:t>(六)、防静电、触电防护及防雷措施</w:t>
        </w:r>
        <w:r>
          <w:tab/>
        </w:r>
        <w:r>
          <w:fldChar w:fldCharType="begin"/>
        </w:r>
        <w:r>
          <w:instrText xml:space="preserve"> PAGEREF _Toc2019 \h </w:instrText>
        </w:r>
        <w:r>
          <w:fldChar w:fldCharType="separate"/>
        </w:r>
        <w:r>
          <w:t>27</w:t>
        </w:r>
        <w:r>
          <w:fldChar w:fldCharType="end"/>
        </w:r>
      </w:hyperlink>
    </w:p>
    <w:p>
      <w:pPr>
        <w:pStyle w:val="TOC2"/>
        <w:tabs>
          <w:tab w:val="right" w:leader="dot" w:pos="8306"/>
        </w:tabs>
      </w:pPr>
      <w:hyperlink w:anchor="_Toc29192" w:history="1">
        <w:r>
          <w:rPr>
            <w:rFonts w:ascii="仿宋" w:eastAsia="仿宋" w:hAnsi="仿宋" w:cs="仿宋" w:hint="eastAsia"/>
            <w:lang w:eastAsia="zh-CN"/>
          </w:rPr>
          <w:t>(七)、机械设备安全保障措施</w:t>
        </w:r>
        <w:r>
          <w:tab/>
        </w:r>
        <w:r>
          <w:fldChar w:fldCharType="begin"/>
        </w:r>
        <w:r>
          <w:instrText xml:space="preserve"> PAGEREF _Toc29192 \h </w:instrText>
        </w:r>
        <w:r>
          <w:fldChar w:fldCharType="separate"/>
        </w:r>
        <w:r>
          <w:t>28</w:t>
        </w:r>
        <w:r>
          <w:fldChar w:fldCharType="end"/>
        </w:r>
      </w:hyperlink>
    </w:p>
    <w:p>
      <w:pPr>
        <w:pStyle w:val="TOC1"/>
        <w:tabs>
          <w:tab w:val="right" w:leader="dot" w:pos="8306"/>
        </w:tabs>
      </w:pPr>
      <w:hyperlink w:anchor="_Toc14842" w:history="1">
        <w:r>
          <w:rPr>
            <w:rFonts w:ascii="仿宋" w:eastAsia="仿宋" w:hAnsi="仿宋" w:cs="仿宋" w:hint="eastAsia"/>
            <w:lang w:eastAsia="zh-CN"/>
          </w:rPr>
          <w:t>八、高性能气敏传感器项目人力资源培养与发展</w:t>
        </w:r>
        <w:r>
          <w:tab/>
        </w:r>
        <w:r>
          <w:fldChar w:fldCharType="begin"/>
        </w:r>
        <w:r>
          <w:instrText xml:space="preserve"> PAGEREF _Toc14842 \h </w:instrText>
        </w:r>
        <w:r>
          <w:fldChar w:fldCharType="separate"/>
        </w:r>
        <w:r>
          <w:t>30</w:t>
        </w:r>
        <w:r>
          <w:fldChar w:fldCharType="end"/>
        </w:r>
      </w:hyperlink>
    </w:p>
    <w:p>
      <w:pPr>
        <w:pStyle w:val="TOC2"/>
        <w:tabs>
          <w:tab w:val="right" w:leader="dot" w:pos="8306"/>
        </w:tabs>
      </w:pPr>
      <w:hyperlink w:anchor="_Toc178" w:history="1">
        <w:r>
          <w:rPr>
            <w:rFonts w:ascii="仿宋" w:eastAsia="仿宋" w:hAnsi="仿宋" w:cs="仿宋" w:hint="eastAsia"/>
            <w:lang w:eastAsia="zh-CN"/>
          </w:rPr>
          <w:t>(一)、人才需求与规划</w:t>
        </w:r>
        <w:r>
          <w:tab/>
        </w:r>
        <w:r>
          <w:fldChar w:fldCharType="begin"/>
        </w:r>
        <w:r>
          <w:instrText xml:space="preserve"> PAGEREF _Toc178 \h </w:instrText>
        </w:r>
        <w:r>
          <w:fldChar w:fldCharType="separate"/>
        </w:r>
        <w:r>
          <w:t>30</w:t>
        </w:r>
        <w:r>
          <w:fldChar w:fldCharType="end"/>
        </w:r>
      </w:hyperlink>
    </w:p>
    <w:p>
      <w:pPr>
        <w:pStyle w:val="TOC2"/>
        <w:tabs>
          <w:tab w:val="right" w:leader="dot" w:pos="8306"/>
        </w:tabs>
      </w:pPr>
      <w:hyperlink w:anchor="_Toc31696" w:history="1">
        <w:r>
          <w:rPr>
            <w:rFonts w:ascii="仿宋" w:eastAsia="仿宋" w:hAnsi="仿宋" w:cs="仿宋" w:hint="eastAsia"/>
            <w:lang w:eastAsia="zh-CN"/>
          </w:rPr>
          <w:t>(二)、培训与发展计划</w:t>
        </w:r>
        <w:r>
          <w:tab/>
        </w:r>
        <w:r>
          <w:fldChar w:fldCharType="begin"/>
        </w:r>
        <w:r>
          <w:instrText xml:space="preserve"> PAGEREF _Toc31696 \h </w:instrText>
        </w:r>
        <w:r>
          <w:fldChar w:fldCharType="separate"/>
        </w:r>
        <w:r>
          <w:t>30</w:t>
        </w:r>
        <w:r>
          <w:fldChar w:fldCharType="end"/>
        </w:r>
      </w:hyperlink>
    </w:p>
    <w:p>
      <w:pPr>
        <w:pStyle w:val="TOC1"/>
        <w:tabs>
          <w:tab w:val="right" w:leader="dot" w:pos="8306"/>
        </w:tabs>
      </w:pPr>
      <w:hyperlink w:anchor="_Toc23509" w:history="1">
        <w:r>
          <w:rPr>
            <w:rFonts w:ascii="仿宋" w:eastAsia="仿宋" w:hAnsi="仿宋" w:cs="仿宋" w:hint="eastAsia"/>
            <w:lang w:eastAsia="zh-CN"/>
          </w:rPr>
          <w:t>九、高性能气敏传感器项目投资规划</w:t>
        </w:r>
        <w:r>
          <w:tab/>
        </w:r>
        <w:r>
          <w:fldChar w:fldCharType="begin"/>
        </w:r>
        <w:r>
          <w:instrText xml:space="preserve"> PAGEREF _Toc23509 \h </w:instrText>
        </w:r>
        <w:r>
          <w:fldChar w:fldCharType="separate"/>
        </w:r>
        <w:r>
          <w:t>31</w:t>
        </w:r>
        <w:r>
          <w:fldChar w:fldCharType="end"/>
        </w:r>
      </w:hyperlink>
    </w:p>
    <w:p>
      <w:pPr>
        <w:pStyle w:val="TOC2"/>
        <w:tabs>
          <w:tab w:val="right" w:leader="dot" w:pos="8306"/>
        </w:tabs>
      </w:pPr>
      <w:hyperlink w:anchor="_Toc18972" w:history="1">
        <w:r>
          <w:rPr>
            <w:rFonts w:ascii="仿宋" w:eastAsia="仿宋" w:hAnsi="仿宋" w:cs="仿宋" w:hint="eastAsia"/>
            <w:lang w:eastAsia="zh-CN"/>
          </w:rPr>
          <w:t>(一)、高性能气敏传感器项目总投资估算</w:t>
        </w:r>
        <w:r>
          <w:tab/>
        </w:r>
        <w:r>
          <w:fldChar w:fldCharType="begin"/>
        </w:r>
        <w:r>
          <w:instrText xml:space="preserve"> PAGEREF _Toc18972 \h </w:instrText>
        </w:r>
        <w:r>
          <w:fldChar w:fldCharType="separate"/>
        </w:r>
        <w:r>
          <w:t>31</w:t>
        </w:r>
        <w:r>
          <w:fldChar w:fldCharType="end"/>
        </w:r>
      </w:hyperlink>
    </w:p>
    <w:p>
      <w:pPr>
        <w:pStyle w:val="TOC2"/>
        <w:tabs>
          <w:tab w:val="right" w:leader="dot" w:pos="8306"/>
        </w:tabs>
      </w:pPr>
      <w:hyperlink w:anchor="_Toc3314" w:history="1">
        <w:r>
          <w:rPr>
            <w:rFonts w:ascii="仿宋" w:eastAsia="仿宋" w:hAnsi="仿宋" w:cs="仿宋" w:hint="eastAsia"/>
            <w:lang w:eastAsia="zh-CN"/>
          </w:rPr>
          <w:t>(二)、资金筹措</w:t>
        </w:r>
        <w:r>
          <w:tab/>
        </w:r>
        <w:r>
          <w:fldChar w:fldCharType="begin"/>
        </w:r>
        <w:r>
          <w:instrText xml:space="preserve"> PAGEREF _Toc3314 \h </w:instrText>
        </w:r>
        <w:r>
          <w:fldChar w:fldCharType="separate"/>
        </w:r>
        <w:r>
          <w:t>32</w:t>
        </w:r>
        <w:r>
          <w:fldChar w:fldCharType="end"/>
        </w:r>
      </w:hyperlink>
    </w:p>
    <w:p>
      <w:pPr>
        <w:pStyle w:val="TOC1"/>
        <w:tabs>
          <w:tab w:val="right" w:leader="dot" w:pos="8306"/>
        </w:tabs>
      </w:pPr>
      <w:hyperlink w:anchor="_Toc12635" w:history="1">
        <w:r>
          <w:rPr>
            <w:rFonts w:ascii="仿宋" w:eastAsia="仿宋" w:hAnsi="仿宋" w:cs="仿宋" w:hint="eastAsia"/>
            <w:lang w:eastAsia="zh-CN"/>
          </w:rPr>
          <w:t>十、高性能气敏传感器项目计划安排</w:t>
        </w:r>
        <w:r>
          <w:tab/>
        </w:r>
        <w:r>
          <w:fldChar w:fldCharType="begin"/>
        </w:r>
        <w:r>
          <w:instrText xml:space="preserve"> PAGEREF _Toc12635 \h </w:instrText>
        </w:r>
        <w:r>
          <w:fldChar w:fldCharType="separate"/>
        </w:r>
        <w:r>
          <w:t>33</w:t>
        </w:r>
        <w:r>
          <w:fldChar w:fldCharType="end"/>
        </w:r>
      </w:hyperlink>
    </w:p>
    <w:p>
      <w:pPr>
        <w:pStyle w:val="TOC2"/>
        <w:tabs>
          <w:tab w:val="right" w:leader="dot" w:pos="8306"/>
        </w:tabs>
      </w:pPr>
      <w:hyperlink w:anchor="_Toc31635" w:history="1">
        <w:r>
          <w:rPr>
            <w:rFonts w:ascii="仿宋" w:eastAsia="仿宋" w:hAnsi="仿宋" w:cs="仿宋" w:hint="eastAsia"/>
            <w:lang w:eastAsia="zh-CN"/>
          </w:rPr>
          <w:t>(一)、建设周期</w:t>
        </w:r>
        <w:r>
          <w:tab/>
        </w:r>
        <w:r>
          <w:fldChar w:fldCharType="begin"/>
        </w:r>
        <w:r>
          <w:instrText xml:space="preserve"> PAGEREF _Toc31635 \h </w:instrText>
        </w:r>
        <w:r>
          <w:fldChar w:fldCharType="separate"/>
        </w:r>
        <w:r>
          <w:t>33</w:t>
        </w:r>
        <w:r>
          <w:fldChar w:fldCharType="end"/>
        </w:r>
      </w:hyperlink>
    </w:p>
    <w:p>
      <w:pPr>
        <w:pStyle w:val="TOC2"/>
        <w:tabs>
          <w:tab w:val="right" w:leader="dot" w:pos="8306"/>
        </w:tabs>
      </w:pPr>
      <w:hyperlink w:anchor="_Toc15362" w:history="1">
        <w:r>
          <w:rPr>
            <w:rFonts w:ascii="仿宋" w:eastAsia="仿宋" w:hAnsi="仿宋" w:cs="仿宋" w:hint="eastAsia"/>
            <w:lang w:eastAsia="zh-CN"/>
          </w:rPr>
          <w:t>(二)、建设进度</w:t>
        </w:r>
        <w:r>
          <w:tab/>
        </w:r>
        <w:r>
          <w:fldChar w:fldCharType="begin"/>
        </w:r>
        <w:r>
          <w:instrText xml:space="preserve"> PAGEREF _Toc15362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59" w:history="1">
        <w:r>
          <w:rPr>
            <w:rFonts w:ascii="仿宋" w:eastAsia="仿宋" w:hAnsi="仿宋" w:cs="仿宋" w:hint="eastAsia"/>
            <w:lang w:eastAsia="zh-CN"/>
          </w:rPr>
          <w:t>(三)、进度安排注意事项</w:t>
        </w:r>
        <w:r>
          <w:tab/>
        </w:r>
        <w:r>
          <w:fldChar w:fldCharType="begin"/>
        </w:r>
        <w:r>
          <w:instrText xml:space="preserve"> PAGEREF _Toc3359 \h </w:instrText>
        </w:r>
        <w:r>
          <w:fldChar w:fldCharType="separate"/>
        </w:r>
        <w:r>
          <w:t>35</w:t>
        </w:r>
        <w:r>
          <w:fldChar w:fldCharType="end"/>
        </w:r>
      </w:hyperlink>
    </w:p>
    <w:p>
      <w:pPr>
        <w:pStyle w:val="TOC2"/>
        <w:tabs>
          <w:tab w:val="right" w:leader="dot" w:pos="8306"/>
        </w:tabs>
      </w:pPr>
      <w:hyperlink w:anchor="_Toc21377" w:history="1">
        <w:r>
          <w:rPr>
            <w:rFonts w:ascii="仿宋" w:eastAsia="仿宋" w:hAnsi="仿宋" w:cs="仿宋" w:hint="eastAsia"/>
            <w:lang w:eastAsia="zh-CN"/>
          </w:rPr>
          <w:t>(四)、人力资源配置</w:t>
        </w:r>
        <w:r>
          <w:tab/>
        </w:r>
        <w:r>
          <w:fldChar w:fldCharType="begin"/>
        </w:r>
        <w:r>
          <w:instrText xml:space="preserve"> PAGEREF _Toc21377 \h </w:instrText>
        </w:r>
        <w:r>
          <w:fldChar w:fldCharType="separate"/>
        </w:r>
        <w:r>
          <w:t>36</w:t>
        </w:r>
        <w:r>
          <w:fldChar w:fldCharType="end"/>
        </w:r>
      </w:hyperlink>
    </w:p>
    <w:p>
      <w:pPr>
        <w:pStyle w:val="TOC1"/>
        <w:tabs>
          <w:tab w:val="right" w:leader="dot" w:pos="8306"/>
        </w:tabs>
      </w:pPr>
      <w:hyperlink w:anchor="_Toc16478" w:history="1">
        <w:r>
          <w:rPr>
            <w:rFonts w:ascii="仿宋" w:eastAsia="仿宋" w:hAnsi="仿宋" w:cs="仿宋" w:hint="eastAsia"/>
            <w:lang w:eastAsia="zh-CN"/>
          </w:rPr>
          <w:t>十一、高性能气敏传感器项目社会影响</w:t>
        </w:r>
        <w:r>
          <w:tab/>
        </w:r>
        <w:r>
          <w:fldChar w:fldCharType="begin"/>
        </w:r>
        <w:r>
          <w:instrText xml:space="preserve"> PAGEREF _Toc16478 \h </w:instrText>
        </w:r>
        <w:r>
          <w:fldChar w:fldCharType="separate"/>
        </w:r>
        <w:r>
          <w:t>37</w:t>
        </w:r>
        <w:r>
          <w:fldChar w:fldCharType="end"/>
        </w:r>
      </w:hyperlink>
    </w:p>
    <w:p>
      <w:pPr>
        <w:pStyle w:val="TOC2"/>
        <w:tabs>
          <w:tab w:val="right" w:leader="dot" w:pos="8306"/>
        </w:tabs>
      </w:pPr>
      <w:hyperlink w:anchor="_Toc12844" w:history="1">
        <w:r>
          <w:rPr>
            <w:rFonts w:ascii="仿宋" w:eastAsia="仿宋" w:hAnsi="仿宋" w:cs="仿宋" w:hint="eastAsia"/>
            <w:lang w:eastAsia="zh-CN"/>
          </w:rPr>
          <w:t>(一)、社会责任与义务</w:t>
        </w:r>
        <w:r>
          <w:tab/>
        </w:r>
        <w:r>
          <w:fldChar w:fldCharType="begin"/>
        </w:r>
        <w:r>
          <w:instrText xml:space="preserve"> PAGEREF _Toc12844 \h </w:instrText>
        </w:r>
        <w:r>
          <w:fldChar w:fldCharType="separate"/>
        </w:r>
        <w:r>
          <w:t>37</w:t>
        </w:r>
        <w:r>
          <w:fldChar w:fldCharType="end"/>
        </w:r>
      </w:hyperlink>
    </w:p>
    <w:p>
      <w:pPr>
        <w:pStyle w:val="TOC2"/>
        <w:tabs>
          <w:tab w:val="right" w:leader="dot" w:pos="8306"/>
        </w:tabs>
      </w:pPr>
      <w:hyperlink w:anchor="_Toc2623" w:history="1">
        <w:r>
          <w:rPr>
            <w:rFonts w:ascii="仿宋" w:eastAsia="仿宋" w:hAnsi="仿宋" w:cs="仿宋" w:hint="eastAsia"/>
            <w:lang w:eastAsia="zh-CN"/>
          </w:rPr>
          <w:t>(二)、社会参与与沟通</w:t>
        </w:r>
        <w:r>
          <w:tab/>
        </w:r>
        <w:r>
          <w:fldChar w:fldCharType="begin"/>
        </w:r>
        <w:r>
          <w:instrText xml:space="preserve"> PAGEREF _Toc2623 \h </w:instrText>
        </w:r>
        <w:r>
          <w:fldChar w:fldCharType="separate"/>
        </w:r>
        <w:r>
          <w:t>38</w:t>
        </w:r>
        <w:r>
          <w:fldChar w:fldCharType="end"/>
        </w:r>
      </w:hyperlink>
    </w:p>
    <w:p>
      <w:pPr>
        <w:pStyle w:val="TOC1"/>
        <w:tabs>
          <w:tab w:val="right" w:leader="dot" w:pos="8306"/>
        </w:tabs>
      </w:pPr>
      <w:hyperlink w:anchor="_Toc13692" w:history="1">
        <w:r>
          <w:rPr>
            <w:rFonts w:ascii="仿宋" w:eastAsia="仿宋" w:hAnsi="仿宋" w:cs="仿宋" w:hint="eastAsia"/>
            <w:lang w:eastAsia="zh-CN"/>
          </w:rPr>
          <w:t>十二、高性能气敏传感器项目人力资源管理</w:t>
        </w:r>
        <w:r>
          <w:tab/>
        </w:r>
        <w:r>
          <w:fldChar w:fldCharType="begin"/>
        </w:r>
        <w:r>
          <w:instrText xml:space="preserve"> PAGEREF _Toc13692 \h </w:instrText>
        </w:r>
        <w:r>
          <w:fldChar w:fldCharType="separate"/>
        </w:r>
        <w:r>
          <w:t>39</w:t>
        </w:r>
        <w:r>
          <w:fldChar w:fldCharType="end"/>
        </w:r>
      </w:hyperlink>
    </w:p>
    <w:p>
      <w:pPr>
        <w:pStyle w:val="TOC2"/>
        <w:tabs>
          <w:tab w:val="right" w:leader="dot" w:pos="8306"/>
        </w:tabs>
      </w:pPr>
      <w:hyperlink w:anchor="_Toc9622" w:history="1">
        <w:r>
          <w:rPr>
            <w:rFonts w:ascii="仿宋" w:eastAsia="仿宋" w:hAnsi="仿宋" w:cs="仿宋" w:hint="eastAsia"/>
            <w:lang w:eastAsia="zh-CN"/>
          </w:rPr>
          <w:t>(一)、建立健全的预算管理制度</w:t>
        </w:r>
        <w:r>
          <w:tab/>
        </w:r>
        <w:r>
          <w:fldChar w:fldCharType="begin"/>
        </w:r>
        <w:r>
          <w:instrText xml:space="preserve"> PAGEREF _Toc9622 \h </w:instrText>
        </w:r>
        <w:r>
          <w:fldChar w:fldCharType="separate"/>
        </w:r>
        <w:r>
          <w:t>39</w:t>
        </w:r>
        <w:r>
          <w:fldChar w:fldCharType="end"/>
        </w:r>
      </w:hyperlink>
    </w:p>
    <w:p>
      <w:pPr>
        <w:pStyle w:val="TOC2"/>
        <w:tabs>
          <w:tab w:val="right" w:leader="dot" w:pos="8306"/>
        </w:tabs>
      </w:pPr>
      <w:hyperlink w:anchor="_Toc6983" w:history="1">
        <w:r>
          <w:rPr>
            <w:rFonts w:ascii="仿宋" w:eastAsia="仿宋" w:hAnsi="仿宋" w:cs="仿宋" w:hint="eastAsia"/>
            <w:lang w:eastAsia="zh-CN"/>
          </w:rPr>
          <w:t>(二)、加强资金流动监控</w:t>
        </w:r>
        <w:r>
          <w:tab/>
        </w:r>
        <w:r>
          <w:fldChar w:fldCharType="begin"/>
        </w:r>
        <w:r>
          <w:instrText xml:space="preserve"> PAGEREF _Toc6983 \h </w:instrText>
        </w:r>
        <w:r>
          <w:fldChar w:fldCharType="separate"/>
        </w:r>
        <w:r>
          <w:t>41</w:t>
        </w:r>
        <w:r>
          <w:fldChar w:fldCharType="end"/>
        </w:r>
      </w:hyperlink>
    </w:p>
    <w:p>
      <w:pPr>
        <w:pStyle w:val="TOC2"/>
        <w:tabs>
          <w:tab w:val="right" w:leader="dot" w:pos="8306"/>
        </w:tabs>
      </w:pPr>
      <w:hyperlink w:anchor="_Toc21989" w:history="1">
        <w:r>
          <w:rPr>
            <w:rFonts w:ascii="仿宋" w:eastAsia="仿宋" w:hAnsi="仿宋" w:cs="仿宋" w:hint="eastAsia"/>
            <w:lang w:eastAsia="zh-CN"/>
          </w:rPr>
          <w:t>(三)、制定完善的风险控制机制</w:t>
        </w:r>
        <w:r>
          <w:tab/>
        </w:r>
        <w:r>
          <w:fldChar w:fldCharType="begin"/>
        </w:r>
        <w:r>
          <w:instrText xml:space="preserve"> PAGEREF _Toc21989 \h </w:instrText>
        </w:r>
        <w:r>
          <w:fldChar w:fldCharType="separate"/>
        </w:r>
        <w:r>
          <w:t>42</w:t>
        </w:r>
        <w:r>
          <w:fldChar w:fldCharType="end"/>
        </w:r>
      </w:hyperlink>
    </w:p>
    <w:p>
      <w:pPr>
        <w:pStyle w:val="TOC2"/>
        <w:tabs>
          <w:tab w:val="right" w:leader="dot" w:pos="8306"/>
        </w:tabs>
      </w:pPr>
      <w:hyperlink w:anchor="_Toc18919" w:history="1">
        <w:r>
          <w:rPr>
            <w:rFonts w:ascii="仿宋" w:eastAsia="仿宋" w:hAnsi="仿宋" w:cs="仿宋" w:hint="eastAsia"/>
            <w:lang w:eastAsia="zh-CN"/>
          </w:rPr>
          <w:t>(四)、优化成本管理</w:t>
        </w:r>
        <w:r>
          <w:tab/>
        </w:r>
        <w:r>
          <w:fldChar w:fldCharType="begin"/>
        </w:r>
        <w:r>
          <w:instrText xml:space="preserve"> PAGEREF _Toc18919 \h </w:instrText>
        </w:r>
        <w:r>
          <w:fldChar w:fldCharType="separate"/>
        </w:r>
        <w:r>
          <w:t>43</w:t>
        </w:r>
        <w:r>
          <w:fldChar w:fldCharType="end"/>
        </w:r>
      </w:hyperlink>
    </w:p>
    <w:p>
      <w:pPr>
        <w:pStyle w:val="TOC1"/>
        <w:tabs>
          <w:tab w:val="right" w:leader="dot" w:pos="8306"/>
        </w:tabs>
      </w:pPr>
      <w:hyperlink w:anchor="_Toc23930" w:history="1">
        <w:r>
          <w:rPr>
            <w:rFonts w:ascii="仿宋" w:eastAsia="仿宋" w:hAnsi="仿宋" w:cs="仿宋" w:hint="eastAsia"/>
            <w:lang w:eastAsia="zh-CN"/>
          </w:rPr>
          <w:t>十三、高性能气敏传感器项目实施保障措施</w:t>
        </w:r>
        <w:r>
          <w:tab/>
        </w:r>
        <w:r>
          <w:fldChar w:fldCharType="begin"/>
        </w:r>
        <w:r>
          <w:instrText xml:space="preserve"> PAGEREF _Toc23930 \h </w:instrText>
        </w:r>
        <w:r>
          <w:fldChar w:fldCharType="separate"/>
        </w:r>
        <w:r>
          <w:t>45</w:t>
        </w:r>
        <w:r>
          <w:fldChar w:fldCharType="end"/>
        </w:r>
      </w:hyperlink>
    </w:p>
    <w:p>
      <w:pPr>
        <w:pStyle w:val="TOC2"/>
        <w:tabs>
          <w:tab w:val="right" w:leader="dot" w:pos="8306"/>
        </w:tabs>
      </w:pPr>
      <w:hyperlink w:anchor="_Toc615" w:history="1">
        <w:r>
          <w:rPr>
            <w:rFonts w:ascii="仿宋" w:eastAsia="仿宋" w:hAnsi="仿宋" w:cs="仿宋" w:hint="eastAsia"/>
            <w:lang w:eastAsia="zh-CN"/>
          </w:rPr>
          <w:t>(一)、高性能气敏传感器项目实施保障机制</w:t>
        </w:r>
        <w:r>
          <w:tab/>
        </w:r>
        <w:r>
          <w:fldChar w:fldCharType="begin"/>
        </w:r>
        <w:r>
          <w:instrText xml:space="preserve"> PAGEREF _Toc615 \h </w:instrText>
        </w:r>
        <w:r>
          <w:fldChar w:fldCharType="separate"/>
        </w:r>
        <w:r>
          <w:t>45</w:t>
        </w:r>
        <w:r>
          <w:fldChar w:fldCharType="end"/>
        </w:r>
      </w:hyperlink>
    </w:p>
    <w:p>
      <w:pPr>
        <w:pStyle w:val="TOC2"/>
        <w:tabs>
          <w:tab w:val="right" w:leader="dot" w:pos="8306"/>
        </w:tabs>
      </w:pPr>
      <w:hyperlink w:anchor="_Toc10593" w:history="1">
        <w:r>
          <w:rPr>
            <w:rFonts w:ascii="仿宋" w:eastAsia="仿宋" w:hAnsi="仿宋" w:cs="仿宋" w:hint="eastAsia"/>
            <w:lang w:eastAsia="zh-CN"/>
          </w:rPr>
          <w:t>(二)、高性能气敏传感器项目法律合规要求</w:t>
        </w:r>
        <w:r>
          <w:tab/>
        </w:r>
        <w:r>
          <w:fldChar w:fldCharType="begin"/>
        </w:r>
        <w:r>
          <w:instrText xml:space="preserve"> PAGEREF _Toc10593 \h </w:instrText>
        </w:r>
        <w:r>
          <w:fldChar w:fldCharType="separate"/>
        </w:r>
        <w:r>
          <w:t>48</w:t>
        </w:r>
        <w:r>
          <w:fldChar w:fldCharType="end"/>
        </w:r>
      </w:hyperlink>
    </w:p>
    <w:p>
      <w:pPr>
        <w:pStyle w:val="TOC2"/>
        <w:tabs>
          <w:tab w:val="right" w:leader="dot" w:pos="8306"/>
        </w:tabs>
      </w:pPr>
      <w:hyperlink w:anchor="_Toc5412" w:history="1">
        <w:r>
          <w:rPr>
            <w:rFonts w:ascii="仿宋" w:eastAsia="仿宋" w:hAnsi="仿宋" w:cs="仿宋" w:hint="eastAsia"/>
            <w:lang w:eastAsia="zh-CN"/>
          </w:rPr>
          <w:t>(三)、高性能气敏传感器项目合同管理与法律事务</w:t>
        </w:r>
        <w:r>
          <w:tab/>
        </w:r>
        <w:r>
          <w:fldChar w:fldCharType="begin"/>
        </w:r>
        <w:r>
          <w:instrText xml:space="preserve"> PAGEREF _Toc5412 \h </w:instrText>
        </w:r>
        <w:r>
          <w:fldChar w:fldCharType="separate"/>
        </w:r>
        <w:r>
          <w:t>53</w:t>
        </w:r>
        <w:r>
          <w:fldChar w:fldCharType="end"/>
        </w:r>
      </w:hyperlink>
    </w:p>
    <w:p>
      <w:pPr>
        <w:pStyle w:val="TOC2"/>
        <w:tabs>
          <w:tab w:val="right" w:leader="dot" w:pos="8306"/>
        </w:tabs>
      </w:pPr>
      <w:hyperlink w:anchor="_Toc2553" w:history="1">
        <w:r>
          <w:rPr>
            <w:rFonts w:ascii="仿宋" w:eastAsia="仿宋" w:hAnsi="仿宋" w:cs="仿宋" w:hint="eastAsia"/>
            <w:lang w:eastAsia="zh-CN"/>
          </w:rPr>
          <w:t>(四)、高性能气敏传感器项目知识产权保护策略</w:t>
        </w:r>
        <w:r>
          <w:tab/>
        </w:r>
        <w:r>
          <w:fldChar w:fldCharType="begin"/>
        </w:r>
        <w:r>
          <w:instrText xml:space="preserve"> PAGEREF _Toc2553 \h </w:instrText>
        </w:r>
        <w:r>
          <w:fldChar w:fldCharType="separate"/>
        </w:r>
        <w:r>
          <w:t>59</w:t>
        </w:r>
        <w:r>
          <w:fldChar w:fldCharType="end"/>
        </w:r>
      </w:hyperlink>
    </w:p>
    <w:p>
      <w:pPr>
        <w:pStyle w:val="TOC1"/>
        <w:tabs>
          <w:tab w:val="right" w:leader="dot" w:pos="8306"/>
        </w:tabs>
      </w:pPr>
      <w:hyperlink w:anchor="_Toc13457" w:history="1">
        <w:r>
          <w:rPr>
            <w:rFonts w:ascii="仿宋" w:eastAsia="仿宋" w:hAnsi="仿宋" w:cs="仿宋" w:hint="eastAsia"/>
            <w:lang w:eastAsia="zh-CN"/>
          </w:rPr>
          <w:t>十四、风险识别与分类</w:t>
        </w:r>
        <w:r>
          <w:tab/>
        </w:r>
        <w:r>
          <w:fldChar w:fldCharType="begin"/>
        </w:r>
        <w:r>
          <w:instrText xml:space="preserve"> PAGEREF _Toc13457 \h </w:instrText>
        </w:r>
        <w:r>
          <w:fldChar w:fldCharType="separate"/>
        </w:r>
        <w:r>
          <w:t>62</w:t>
        </w:r>
        <w:r>
          <w:fldChar w:fldCharType="end"/>
        </w:r>
      </w:hyperlink>
    </w:p>
    <w:p>
      <w:pPr>
        <w:pStyle w:val="TOC2"/>
        <w:tabs>
          <w:tab w:val="right" w:leader="dot" w:pos="8306"/>
        </w:tabs>
      </w:pPr>
      <w:hyperlink w:anchor="_Toc17716" w:history="1">
        <w:r>
          <w:rPr>
            <w:rFonts w:ascii="仿宋" w:eastAsia="仿宋" w:hAnsi="仿宋" w:cs="仿宋" w:hint="eastAsia"/>
            <w:lang w:eastAsia="zh-CN"/>
          </w:rPr>
          <w:t>(一)、风险识别</w:t>
        </w:r>
        <w:r>
          <w:tab/>
        </w:r>
        <w:r>
          <w:fldChar w:fldCharType="begin"/>
        </w:r>
        <w:r>
          <w:instrText xml:space="preserve"> PAGEREF _Toc17716 \h </w:instrText>
        </w:r>
        <w:r>
          <w:fldChar w:fldCharType="separate"/>
        </w:r>
        <w:r>
          <w:t>62</w:t>
        </w:r>
        <w:r>
          <w:fldChar w:fldCharType="end"/>
        </w:r>
      </w:hyperlink>
    </w:p>
    <w:p>
      <w:pPr>
        <w:pStyle w:val="TOC2"/>
        <w:tabs>
          <w:tab w:val="right" w:leader="dot" w:pos="8306"/>
        </w:tabs>
      </w:pPr>
      <w:hyperlink w:anchor="_Toc7931" w:history="1">
        <w:r>
          <w:rPr>
            <w:rFonts w:ascii="仿宋" w:eastAsia="仿宋" w:hAnsi="仿宋" w:cs="仿宋" w:hint="eastAsia"/>
            <w:lang w:eastAsia="zh-CN"/>
          </w:rPr>
          <w:t>(二)、风险分类</w:t>
        </w:r>
        <w:r>
          <w:tab/>
        </w:r>
        <w:r>
          <w:fldChar w:fldCharType="begin"/>
        </w:r>
        <w:r>
          <w:instrText xml:space="preserve"> PAGEREF _Toc7931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35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433"/>
      <w:r>
        <w:rPr>
          <w:rFonts w:ascii="仿宋" w:eastAsia="仿宋" w:hAnsi="仿宋" w:cs="仿宋" w:hint="eastAsia"/>
          <w:sz w:val="28"/>
          <w:lang w:eastAsia="zh-CN"/>
        </w:rPr>
        <w:t>一、高性能气敏传感器项目绩效评估</w:t>
      </w:r>
      <w:bookmarkEnd w:id="2"/>
    </w:p>
    <w:p>
      <w:pPr>
        <w:pStyle w:val="Heading2"/>
        <w:rPr>
          <w:rFonts w:ascii="仿宋" w:eastAsia="仿宋" w:hAnsi="仿宋" w:cs="仿宋" w:hint="eastAsia"/>
          <w:lang w:eastAsia="zh-CN"/>
        </w:rPr>
      </w:pPr>
      <w:bookmarkStart w:id="3" w:name="_Toc1461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气敏传感器项目中，我们设计了一套全面的绩效评估指标，以确保高性能气敏传感器项目的可控和成功交付。这些指标跨足高性能气敏传感器项目目标、成本、进度和质量等多个维度，为我们提供了全面洞察高性能气敏传感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气敏传感器项目目标达成率是我们关注的首要指标。我们设定了明确的目标，并通过定期监测和评估，迅速发现并应对潜在的目标偏差。这为高性能气敏传感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成本绩效是另一个核心关注点。通过实际成本与预算成本的对比分析，我们深入了解成本差异的原因，及时调整资源分配，保持高性能气敏传感器项目在经济效益方面的合理水平。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气敏传感器项目进度作为关键的绩效指标之一，得到了精心的关注。我们制定了详细的高性能气敏传感器项目进度计划，并设立了进度符合度指标，确保实际进度与计划进度保持一致。这使我们能够快速发现和解决潜在的进度问题，保持高性能气敏传感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高性能气敏传感器项目绩效的不可或缺的一环。我们引入了一系列的质量标准和客户满意度指标，以确保高性能气敏传感器项目交付的成果在质量上达到或超越预期水平。通过持续监测这些指标，我们努力提升高性能气敏传感器项目整体质量水平，为高性能气敏传感器项目的成功交付提供有力保障。通过这些科学且全面的绩效评估，我们能够更好地引导高性能气敏传感器项目的持续改进，确保高性能气敏传感器项目目标的顺利达成。</w:t>
      </w:r>
    </w:p>
    <w:p>
      <w:pPr>
        <w:pStyle w:val="Heading2"/>
        <w:ind w:firstLine="560" w:firstLineChars="200"/>
        <w:rPr>
          <w:rFonts w:ascii="仿宋" w:eastAsia="仿宋" w:hAnsi="仿宋" w:cs="仿宋" w:hint="eastAsia"/>
          <w:sz w:val="28"/>
          <w:lang w:eastAsia="zh-CN"/>
        </w:rPr>
      </w:pPr>
      <w:bookmarkStart w:id="4" w:name="_Toc2320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绩效评估是高性能气敏传感器项目中的关键环节，为确保高性能气敏传感器项目达到预期目标，我们采用了多层次、多维度的绩效评估方法。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性能气敏传感器项目的战略目标对齐，确保每个决策和行动都与高性能气敏传感器项目整体目标保持一致。团队会定期召开战略对齐会议，审视当前工作与高性能气敏传感器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高性能气敏传感器项目进度、质量、成本和风险等方面。这些指标通过数据收集和分析，为高性能气敏传感器项目管理团队提供了客观的评估依据。例如，我们通过高性能气敏传感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高性能气敏传感器项目内部，还考虑了高性能气敏传感器项目对外部环境的影响。我们定期进行干系人满意度调查，以了解各利益相关方对高性能气敏传感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这种多层次、多角度的绩效评估方法，使得我们能够全面了解高性能气敏传感器项目的运行状态，及时做出调整，确保高性能气敏传感器项目在不断变化的环境中保持稳健前行。</w:t>
      </w:r>
    </w:p>
    <w:p>
      <w:pPr>
        <w:pStyle w:val="Heading2"/>
        <w:ind w:firstLine="560" w:firstLineChars="200"/>
        <w:rPr>
          <w:rFonts w:ascii="仿宋" w:eastAsia="仿宋" w:hAnsi="仿宋" w:cs="仿宋" w:hint="eastAsia"/>
          <w:sz w:val="28"/>
          <w:lang w:eastAsia="zh-CN"/>
        </w:rPr>
      </w:pPr>
      <w:bookmarkStart w:id="5" w:name="_Toc2659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为了确保高性能气敏传感器项目的有效管理和不断优化，我们采用了精心设计的绩效评估周期。这个周期旨在实现灵活、实时和全面的评估，以适应高性能气敏传感器项目执行中的各种挑战。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高性能气敏传感器项目的不同需求，分为短期、中期和长期。短期评估关注每个迭代或工作周期，以及时发现和解决当前任务中的问题。中期评估涵盖几个迭代，深入了解整体高性能气敏传感器项目的趋势和性能。长期评估则着眼于整个高性能气敏传感器项目阶段，确保高性能气敏传感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高性能气敏传感器项目管理工具和协作平台，团队成员能够随时更新和分享高性能气敏传感器项目数据。这种实时性的反馈机制使我们能够及时察觉潜在问题，快速调整，保持高性能气敏传感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高性能气敏传感器项目的决策制定密不可分。每个周期的高性能气敏传感器项目回顾会议成为集体总结经验、识别问题深层次原因并找到创新解决方案的平台。这种定期的反思与调整机制使高性能气敏传感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1005"/>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7998"/>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气敏传感器项目的技术管理特点体现在其创新导向。通过引入最先进的技术趋势和解决方案，高性能气敏传感器项目致力于提升科技含量、提高质量和效率水平。这意味着我们将采用最新的工具和方法，确保高性能气敏传感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性能气敏传感器项目技术管理的显著特征。通过整合不同领域的技术资源，我们实现了跨学科的协同工作。这有助于优化技术架构，提高整体效能。此外，整合性策略还促进了不同技术团队之间的紧密沟通和高效合作，确保高性能气敏传感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性能气敏传感器项目所采用的技术。通过不断优化技术方案，高性能气敏传感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性能气敏传感器项目团队将在高性能气敏传感器项目初期识别可能的技术风险，并采取相应的预防和应对措施。通过建立健全的风险评估机制，高性能气敏传感器项目能够在实施过程中及时发现并解决潜在的技术问题，保障高性能气敏传感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性能气敏传感器项目中，技术将成为高性能气敏传感器项目成功的有力支持。这一深度剖析揭示了技术管理在高性能气敏传感器项目实施中的关键作用，为高性能气敏传感器项目的技术基础奠定了坚实的基础。</w:t>
      </w:r>
    </w:p>
    <w:p>
      <w:pPr>
        <w:pStyle w:val="Heading2"/>
        <w:ind w:firstLine="560" w:firstLineChars="200"/>
        <w:rPr>
          <w:rFonts w:ascii="仿宋" w:eastAsia="仿宋" w:hAnsi="仿宋" w:cs="仿宋" w:hint="eastAsia"/>
          <w:sz w:val="28"/>
          <w:lang w:eastAsia="zh-CN"/>
        </w:rPr>
      </w:pPr>
      <w:bookmarkStart w:id="8" w:name="_Toc20440"/>
      <w:r>
        <w:rPr>
          <w:rFonts w:ascii="仿宋" w:eastAsia="仿宋" w:hAnsi="仿宋" w:cs="仿宋" w:hint="eastAsia"/>
          <w:sz w:val="28"/>
          <w:lang w:eastAsia="zh-CN"/>
        </w:rPr>
        <w:t>(二)、高性能气敏传感器项目工艺技术设计方案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性能气敏传感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性能气敏传感器项目将严格按照相关行业规范要求进行组织。通过有效控制产品质量，高性能气敏传感器项目将致力于为顾客提供优质的高性能气敏传感器项目产品和良好的服务。这体现了高性能气敏传感器项目对于生产活动合规性和质量标准的高度重视，为高性能气敏传感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性能气敏传感器项目注重生态效益和清洁生产原则。高性能气敏传感器项目建设将紧密结合地方特色经济发展，与社会经济发展规划和区域环境保护规划方案相协调一致。通过与当地区域自然生态系统的结合，高性能气敏传感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产品方面，高性能气敏传感器项目产品具有多样化的客户需求和个性化的特点。因此，高性能气敏传感器项目产品规格品种多样，且单批生产数量较小。为满足这一特点，高性能气敏传感器项目承办单位将建设先进的柔性制造生产线。通过广泛应用柔性制造技术，高性能气敏传感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性能气敏传感器项目采用的技术具有较高的技术含量和自动化水平，处于国内先进水平。这一技术选用不仅体现了对生产效率、质量和环境友好性的高标准要求，同时为高性能气敏传感器项目的可持续发展奠定了坚实的基础。</w:t>
      </w:r>
    </w:p>
    <w:p>
      <w:pPr>
        <w:pStyle w:val="Heading2"/>
        <w:ind w:firstLine="560" w:firstLineChars="200"/>
        <w:rPr>
          <w:rFonts w:ascii="仿宋" w:eastAsia="仿宋" w:hAnsi="仿宋" w:cs="仿宋" w:hint="eastAsia"/>
          <w:sz w:val="28"/>
          <w:lang w:eastAsia="zh-CN"/>
        </w:rPr>
      </w:pPr>
      <w:bookmarkStart w:id="9" w:name="_Toc870"/>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为确保高性能气敏传感器项目的高效生产和技术实施，我们制定了一套精心设计的设备选型方案，以满足高性能气敏传感器项目生产、质量和环保的要求。该方案的主要特点如下：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性能气敏传感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针对高性能气敏传感器项目产品的多样性和小批量生产的特点，我们将建设柔性制造生产线。通过在设备选型中考虑柔性制造技术，可以灵活应对不同产品规格和生产需求，实现生产线的高度灵活性和适应性。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4189"/>
      <w:r>
        <w:rPr>
          <w:rFonts w:ascii="仿宋" w:eastAsia="仿宋" w:hAnsi="仿宋" w:cs="仿宋" w:hint="eastAsia"/>
          <w:sz w:val="28"/>
          <w:lang w:eastAsia="zh-CN"/>
        </w:rPr>
        <w:t>三、高性能气敏传感器项目危机管理</w:t>
      </w:r>
      <w:bookmarkEnd w:id="10"/>
    </w:p>
    <w:p>
      <w:pPr>
        <w:pStyle w:val="Heading2"/>
        <w:rPr>
          <w:rFonts w:ascii="仿宋" w:eastAsia="仿宋" w:hAnsi="仿宋" w:cs="仿宋" w:hint="eastAsia"/>
          <w:lang w:eastAsia="zh-CN"/>
        </w:rPr>
      </w:pPr>
      <w:bookmarkStart w:id="11" w:name="_Toc19331"/>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气敏传感器项目危机管理中，危机预警与识别是确保高性能气敏传感器项目稳健运行的核心步骤。通过建立全面的监测机制，高性能气敏传感器项目团队旨在及时发现和理解潜在的风险和危机因素，以便采取及时的预防和应对措施，确保高性能气敏传感器项目持续处于可控状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性能气敏传感器项目团队全面分析了整个高性能气敏传感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高性能气敏传感器项目团队着重于明确定义高性能气敏传感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高性能气敏传感器项目进展的持续监控，团队能够及时发现潜在问题并作出迅速反应。高性能气敏传感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在这一阶段，团队的专业素养和反应速度将发挥至关重要的作用，以确保潜在危机能够在初期得到有效的处理，最大程度地减轻负面影响。通过危机预警与识别，高性能气敏传感器项目得以更有序、可控地推进。</w:t>
      </w:r>
    </w:p>
    <w:p>
      <w:pPr>
        <w:pStyle w:val="Heading2"/>
        <w:ind w:firstLine="560" w:firstLineChars="200"/>
        <w:rPr>
          <w:rFonts w:ascii="仿宋" w:eastAsia="仿宋" w:hAnsi="仿宋" w:cs="仿宋" w:hint="eastAsia"/>
          <w:sz w:val="28"/>
          <w:lang w:eastAsia="zh-CN"/>
        </w:rPr>
      </w:pPr>
      <w:bookmarkStart w:id="12" w:name="_Toc10526"/>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在危机发生时，高性能气敏传感器项目团队立即行动，成立了应急小组。该小组的任务是迅速制定并实施紧急应对措施，以最小化潜在损失。以下是采取的主要措施：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暂停高性能气敏传感器项目进度：为遏制危机蔓延，高性能气敏传感器项目暂时停止进行，以便全面评估当前状况。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资源重新分配：重新评估高性能气敏传感器项目资源的分配，确保最大限度地减小损失。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实时沟通：与关键利益相关者建立实时沟通机制，向他们传递高性能气敏传感器项目危机的实际状况，保障高性能气敏传感器项目核心利益。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在紧急应对的同时，高性能气敏传感器项目团队强调了团队协作和有效沟通的重要性。以下是团队协作的关键举措：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信息共享机制：建立了信息共享平台，确保团队成员能够及时获取高性能气敏传感器项目危机的实时信息。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领导者沟通：高性能气敏传感器项目领导者通过定期会议和即时沟通工具，指导团队应对危机，保持团队稳定运行。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随着危机得到初步控制，高性能气敏传感器项目团队转向制定恢复计划，以确保高性能气敏传感器项目能够从中迅速恢复。主要恢复计划包括：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修复受损的进度计划：重新评估高性能气敏传感器项目进度，制定修复计划，确保高性能气敏传感器项目尽快回归正常进程。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重新调整资源分配：优化资源分配，确保高性能气敏传感器项目在有限资源下高效运转。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风险管理机制加强：对高性能气敏传感器项目风险进行全面评估，制定更强化的风险管理策略，以预防未来可能的危机。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918"/>
      <w:r>
        <w:rPr>
          <w:rFonts w:ascii="仿宋" w:eastAsia="仿宋" w:hAnsi="仿宋" w:cs="仿宋" w:hint="eastAsia"/>
          <w:sz w:val="28"/>
          <w:lang w:eastAsia="zh-CN"/>
        </w:rPr>
        <w:t>四、高性能气敏传感器项目可持续发展</w:t>
      </w:r>
      <w:bookmarkEnd w:id="13"/>
    </w:p>
    <w:p>
      <w:pPr>
        <w:pStyle w:val="Heading2"/>
        <w:rPr>
          <w:rFonts w:ascii="仿宋" w:eastAsia="仿宋" w:hAnsi="仿宋" w:cs="仿宋" w:hint="eastAsia"/>
          <w:lang w:eastAsia="zh-CN"/>
        </w:rPr>
      </w:pPr>
      <w:bookmarkStart w:id="14" w:name="_Toc30981"/>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气敏传感器项目中，高性能气敏传感器项目团队着眼于未来，明确了可持续发展的战略方向。制定的具体可持续发展目标包括降低资源使用、采用环保技术、最大化社会效益等。这一步骤不仅有助于高性能气敏传感器项目在环保和社会责任方面达到最高标准，也为未来提供了明确的指引，确保高性能气敏传感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可持续实践的融入高性能气敏传感器项目管理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可持续实践已经贯穿于整个高性能气敏传感器项目管理周期。从高性能气敏传感器项目规划开始，高性能气敏传感器项目团队就考虑了环境和社会的因素。在执行阶段，高性能气敏传感器项目团队积极推动绿色技术的应用，优化资源利用。此外，关注员工的社会责任，通过培训和沟通活动提高员工对可持续发展的认知，使他们能够在日常工作中践行可持续实践。这些举措不仅为高性能气敏传感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11808"/>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性能气敏传感器项目的可持续发展理念，我们深信环保与社会责任是高性能气敏传感器项目成功的关键支柱。在高性能气敏传感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气敏传感器项目团队通过引入先进的环保技术、建立高效的废物处理系统以及推动能源节约措施，积极履行环保责任。定期的环保监测和评估确保高性能气敏传感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气敏传感器项目不仅致力于自身可持续发展，还注重对社会的回馈。通过支持社区高性能气敏传感器项目、参与慈善事业、提供培训机会等方式，高性能气敏传感器项目积极履行社会责任。与当地社区建立积极互动，关注员工的工作与生活平衡，以及员工的身心健康，是高性能气敏传感器项目在社会责任层面的关键举措。这样的实践不仅增强了高性能气敏传感器项目在社会中的声誉，也促进了社会的共同繁荣。</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6" w:name="_Toc8905"/>
      <w:r>
        <w:rPr>
          <w:rFonts w:ascii="仿宋" w:eastAsia="仿宋" w:hAnsi="仿宋" w:cs="仿宋" w:hint="eastAsia"/>
          <w:sz w:val="28"/>
          <w:lang w:eastAsia="zh-CN"/>
        </w:rPr>
        <w:t>五、高性能气敏传感器项目土建工程</w:t>
      </w:r>
      <w:bookmarkEnd w:id="16"/>
    </w:p>
    <w:p>
      <w:pPr>
        <w:pStyle w:val="Heading2"/>
        <w:rPr>
          <w:rFonts w:ascii="仿宋" w:eastAsia="仿宋" w:hAnsi="仿宋" w:cs="仿宋" w:hint="eastAsia"/>
          <w:lang w:eastAsia="zh-CN"/>
        </w:rPr>
      </w:pPr>
      <w:bookmarkStart w:id="17" w:name="_Toc19536"/>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在高性能气敏传感器项目的建筑工程设计中，我们将秉承一系列重要的设计原则，以确保高性能气敏传感器项目建筑在功能、美观、可持续性等方面达到最佳效果。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首要原则是确保建筑的功能性得到最大化的发挥。我们将充分理解高性能气敏传感器项目的实际需求，合理布局各个功能区域，保证建筑在满足业务需求的同时，提供高效的工作环境。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在建筑设计中，我们将综合考虑建设和运营成本。通过精细的经济效益分析，确保设计方案在高效利用资源的同时，对高性能气敏传感器项目的长期盈利能力有积极的贡献。</w:t>
      </w:r>
    </w:p>
    <w:p>
      <w:pPr>
        <w:pStyle w:val="Heading2"/>
        <w:ind w:firstLine="560" w:firstLineChars="200"/>
        <w:rPr>
          <w:rFonts w:ascii="仿宋" w:eastAsia="仿宋" w:hAnsi="仿宋" w:cs="仿宋" w:hint="eastAsia"/>
          <w:sz w:val="28"/>
          <w:lang w:eastAsia="zh-CN"/>
        </w:rPr>
      </w:pPr>
      <w:bookmarkStart w:id="18" w:name="_Toc12005"/>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气敏传感器项目的土建工程设计中，我们将精准设定设计年限，结合高性能气敏传感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https://d.book118.com/275223222300011122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D56875"/>
    <w:rsid w:val="2BD568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5223222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2024-03-03T06:35:00Z</dcterms:created>
  <dcterms:modified xsi:type="dcterms:W3CDTF">2024-03-03T06:36:00Z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73591A61341A4372B9717E679A8AF38E_11</vt:lpwstr>
  </property>
  <property fmtid="{D5CDD505-2E9C-101B-9397-08002B2CF9AE}" pid="3" name="KSOProductBuildVer">
    <vt:lpwstr>2052-12.1.0.16388</vt:lpwstr>
  </property>
</Properties>
</file>