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大型娱乐设施服务项目规划设计蓝图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3" w:history="1">
        <w:r>
          <w:rPr>
            <w:rFonts w:ascii="仿宋" w:eastAsia="仿宋" w:hAnsi="仿宋" w:cs="仿宋" w:hint="eastAsia"/>
            <w:lang w:eastAsia="zh-CN"/>
          </w:rPr>
          <w:t>序言</w:t>
        </w:r>
        <w:r>
          <w:tab/>
        </w:r>
        <w:r>
          <w:fldChar w:fldCharType="begin"/>
        </w:r>
        <w:r>
          <w:instrText xml:space="preserve"> PAGEREF _Toc2923 \h </w:instrText>
        </w:r>
        <w:r>
          <w:fldChar w:fldCharType="separate"/>
        </w:r>
        <w:r>
          <w:t>3</w:t>
        </w:r>
        <w:r>
          <w:fldChar w:fldCharType="end"/>
        </w:r>
      </w:hyperlink>
    </w:p>
    <w:p>
      <w:pPr>
        <w:pStyle w:val="TOC1"/>
        <w:tabs>
          <w:tab w:val="right" w:leader="dot" w:pos="8306"/>
        </w:tabs>
      </w:pPr>
      <w:hyperlink w:anchor="_Toc16163" w:history="1">
        <w:r>
          <w:rPr>
            <w:rFonts w:ascii="仿宋" w:eastAsia="仿宋" w:hAnsi="仿宋" w:cs="仿宋" w:hint="eastAsia"/>
            <w:lang w:eastAsia="zh-CN"/>
          </w:rPr>
          <w:t>一、大型娱乐设施服务项目建设单位说明</w:t>
        </w:r>
        <w:r>
          <w:tab/>
        </w:r>
        <w:r>
          <w:fldChar w:fldCharType="begin"/>
        </w:r>
        <w:r>
          <w:instrText xml:space="preserve"> PAGEREF _Toc16163 \h </w:instrText>
        </w:r>
        <w:r>
          <w:fldChar w:fldCharType="separate"/>
        </w:r>
        <w:r>
          <w:t>3</w:t>
        </w:r>
        <w:r>
          <w:fldChar w:fldCharType="end"/>
        </w:r>
      </w:hyperlink>
    </w:p>
    <w:p>
      <w:pPr>
        <w:pStyle w:val="TOC2"/>
        <w:tabs>
          <w:tab w:val="right" w:leader="dot" w:pos="8306"/>
        </w:tabs>
      </w:pPr>
      <w:hyperlink w:anchor="_Toc339" w:history="1">
        <w:r>
          <w:rPr>
            <w:rFonts w:ascii="仿宋" w:eastAsia="仿宋" w:hAnsi="仿宋" w:cs="仿宋" w:hint="eastAsia"/>
            <w:lang w:eastAsia="zh-CN"/>
          </w:rPr>
          <w:t>(一)、大型娱乐设施服务项目承办单位基本情况</w:t>
        </w:r>
        <w:r>
          <w:tab/>
        </w:r>
        <w:r>
          <w:fldChar w:fldCharType="begin"/>
        </w:r>
        <w:r>
          <w:instrText xml:space="preserve"> PAGEREF _Toc339 \h </w:instrText>
        </w:r>
        <w:r>
          <w:fldChar w:fldCharType="separate"/>
        </w:r>
        <w:r>
          <w:t>3</w:t>
        </w:r>
        <w:r>
          <w:fldChar w:fldCharType="end"/>
        </w:r>
      </w:hyperlink>
    </w:p>
    <w:p>
      <w:pPr>
        <w:pStyle w:val="TOC2"/>
        <w:tabs>
          <w:tab w:val="right" w:leader="dot" w:pos="8306"/>
        </w:tabs>
      </w:pPr>
      <w:hyperlink w:anchor="_Toc32110" w:history="1">
        <w:r>
          <w:rPr>
            <w:rFonts w:ascii="仿宋" w:eastAsia="仿宋" w:hAnsi="仿宋" w:cs="仿宋" w:hint="eastAsia"/>
            <w:lang w:eastAsia="zh-CN"/>
          </w:rPr>
          <w:t>(二)、公司经济效益分析</w:t>
        </w:r>
        <w:r>
          <w:tab/>
        </w:r>
        <w:r>
          <w:fldChar w:fldCharType="begin"/>
        </w:r>
        <w:r>
          <w:instrText xml:space="preserve"> PAGEREF _Toc32110 \h </w:instrText>
        </w:r>
        <w:r>
          <w:fldChar w:fldCharType="separate"/>
        </w:r>
        <w:r>
          <w:t>4</w:t>
        </w:r>
        <w:r>
          <w:fldChar w:fldCharType="end"/>
        </w:r>
      </w:hyperlink>
    </w:p>
    <w:p>
      <w:pPr>
        <w:pStyle w:val="TOC1"/>
        <w:tabs>
          <w:tab w:val="right" w:leader="dot" w:pos="8306"/>
        </w:tabs>
      </w:pPr>
      <w:hyperlink w:anchor="_Toc28938" w:history="1">
        <w:r>
          <w:rPr>
            <w:rFonts w:ascii="仿宋" w:eastAsia="仿宋" w:hAnsi="仿宋" w:cs="仿宋" w:hint="eastAsia"/>
            <w:lang w:eastAsia="zh-CN"/>
          </w:rPr>
          <w:t>二、大型娱乐设施服务项目危机管理</w:t>
        </w:r>
        <w:r>
          <w:tab/>
        </w:r>
        <w:r>
          <w:fldChar w:fldCharType="begin"/>
        </w:r>
        <w:r>
          <w:instrText xml:space="preserve"> PAGEREF _Toc28938 \h </w:instrText>
        </w:r>
        <w:r>
          <w:fldChar w:fldCharType="separate"/>
        </w:r>
        <w:r>
          <w:t>5</w:t>
        </w:r>
        <w:r>
          <w:fldChar w:fldCharType="end"/>
        </w:r>
      </w:hyperlink>
    </w:p>
    <w:p>
      <w:pPr>
        <w:pStyle w:val="TOC2"/>
        <w:tabs>
          <w:tab w:val="right" w:leader="dot" w:pos="8306"/>
        </w:tabs>
      </w:pPr>
      <w:hyperlink w:anchor="_Toc3741" w:history="1">
        <w:r>
          <w:rPr>
            <w:rFonts w:ascii="仿宋" w:eastAsia="仿宋" w:hAnsi="仿宋" w:cs="仿宋" w:hint="eastAsia"/>
            <w:lang w:eastAsia="zh-CN"/>
          </w:rPr>
          <w:t>(一)、危机预警与识别</w:t>
        </w:r>
        <w:r>
          <w:tab/>
        </w:r>
        <w:r>
          <w:fldChar w:fldCharType="begin"/>
        </w:r>
        <w:r>
          <w:instrText xml:space="preserve"> PAGEREF _Toc3741 \h </w:instrText>
        </w:r>
        <w:r>
          <w:fldChar w:fldCharType="separate"/>
        </w:r>
        <w:r>
          <w:t>5</w:t>
        </w:r>
        <w:r>
          <w:fldChar w:fldCharType="end"/>
        </w:r>
      </w:hyperlink>
    </w:p>
    <w:p>
      <w:pPr>
        <w:pStyle w:val="TOC2"/>
        <w:tabs>
          <w:tab w:val="right" w:leader="dot" w:pos="8306"/>
        </w:tabs>
      </w:pPr>
      <w:hyperlink w:anchor="_Toc31779" w:history="1">
        <w:r>
          <w:rPr>
            <w:rFonts w:ascii="仿宋" w:eastAsia="仿宋" w:hAnsi="仿宋" w:cs="仿宋" w:hint="eastAsia"/>
            <w:lang w:eastAsia="zh-CN"/>
          </w:rPr>
          <w:t>(二)、危机应对与恢复</w:t>
        </w:r>
        <w:r>
          <w:tab/>
        </w:r>
        <w:r>
          <w:fldChar w:fldCharType="begin"/>
        </w:r>
        <w:r>
          <w:instrText xml:space="preserve"> PAGEREF _Toc31779 \h </w:instrText>
        </w:r>
        <w:r>
          <w:fldChar w:fldCharType="separate"/>
        </w:r>
        <w:r>
          <w:t>6</w:t>
        </w:r>
        <w:r>
          <w:fldChar w:fldCharType="end"/>
        </w:r>
      </w:hyperlink>
    </w:p>
    <w:p>
      <w:pPr>
        <w:pStyle w:val="TOC1"/>
        <w:tabs>
          <w:tab w:val="right" w:leader="dot" w:pos="8306"/>
        </w:tabs>
      </w:pPr>
      <w:hyperlink w:anchor="_Toc4734" w:history="1">
        <w:r>
          <w:rPr>
            <w:rFonts w:ascii="仿宋" w:eastAsia="仿宋" w:hAnsi="仿宋" w:cs="仿宋" w:hint="eastAsia"/>
            <w:lang w:eastAsia="zh-CN"/>
          </w:rPr>
          <w:t>三、市场分析、调研</w:t>
        </w:r>
        <w:r>
          <w:tab/>
        </w:r>
        <w:r>
          <w:fldChar w:fldCharType="begin"/>
        </w:r>
        <w:r>
          <w:instrText xml:space="preserve"> PAGEREF _Toc4734 \h </w:instrText>
        </w:r>
        <w:r>
          <w:fldChar w:fldCharType="separate"/>
        </w:r>
        <w:r>
          <w:t>7</w:t>
        </w:r>
        <w:r>
          <w:fldChar w:fldCharType="end"/>
        </w:r>
      </w:hyperlink>
    </w:p>
    <w:p>
      <w:pPr>
        <w:pStyle w:val="TOC2"/>
        <w:tabs>
          <w:tab w:val="right" w:leader="dot" w:pos="8306"/>
        </w:tabs>
      </w:pPr>
      <w:hyperlink w:anchor="_Toc23957" w:history="1">
        <w:r>
          <w:rPr>
            <w:rFonts w:ascii="仿宋" w:eastAsia="仿宋" w:hAnsi="仿宋" w:cs="仿宋" w:hint="eastAsia"/>
            <w:lang w:eastAsia="zh-CN"/>
          </w:rPr>
          <w:t>(一)、大型娱乐设施服务行业分析</w:t>
        </w:r>
        <w:r>
          <w:tab/>
        </w:r>
        <w:r>
          <w:fldChar w:fldCharType="begin"/>
        </w:r>
        <w:r>
          <w:instrText xml:space="preserve"> PAGEREF _Toc23957 \h </w:instrText>
        </w:r>
        <w:r>
          <w:fldChar w:fldCharType="separate"/>
        </w:r>
        <w:r>
          <w:t>7</w:t>
        </w:r>
        <w:r>
          <w:fldChar w:fldCharType="end"/>
        </w:r>
      </w:hyperlink>
    </w:p>
    <w:p>
      <w:pPr>
        <w:pStyle w:val="TOC2"/>
        <w:tabs>
          <w:tab w:val="right" w:leader="dot" w:pos="8306"/>
        </w:tabs>
      </w:pPr>
      <w:hyperlink w:anchor="_Toc4366" w:history="1">
        <w:r>
          <w:rPr>
            <w:rFonts w:ascii="仿宋" w:eastAsia="仿宋" w:hAnsi="仿宋" w:cs="仿宋" w:hint="eastAsia"/>
            <w:lang w:eastAsia="zh-CN"/>
          </w:rPr>
          <w:t>(二)、大型娱乐设施服务市场分析预测</w:t>
        </w:r>
        <w:r>
          <w:tab/>
        </w:r>
        <w:r>
          <w:fldChar w:fldCharType="begin"/>
        </w:r>
        <w:r>
          <w:instrText xml:space="preserve"> PAGEREF _Toc4366 \h </w:instrText>
        </w:r>
        <w:r>
          <w:fldChar w:fldCharType="separate"/>
        </w:r>
        <w:r>
          <w:t>8</w:t>
        </w:r>
        <w:r>
          <w:fldChar w:fldCharType="end"/>
        </w:r>
      </w:hyperlink>
    </w:p>
    <w:p>
      <w:pPr>
        <w:pStyle w:val="TOC1"/>
        <w:tabs>
          <w:tab w:val="right" w:leader="dot" w:pos="8306"/>
        </w:tabs>
      </w:pPr>
      <w:hyperlink w:anchor="_Toc15065" w:history="1">
        <w:r>
          <w:rPr>
            <w:rFonts w:ascii="仿宋" w:eastAsia="仿宋" w:hAnsi="仿宋" w:cs="仿宋" w:hint="eastAsia"/>
            <w:lang w:eastAsia="zh-CN"/>
          </w:rPr>
          <w:t>四、工艺说明</w:t>
        </w:r>
        <w:r>
          <w:tab/>
        </w:r>
        <w:r>
          <w:fldChar w:fldCharType="begin"/>
        </w:r>
        <w:r>
          <w:instrText xml:space="preserve"> PAGEREF _Toc15065 \h </w:instrText>
        </w:r>
        <w:r>
          <w:fldChar w:fldCharType="separate"/>
        </w:r>
        <w:r>
          <w:t>9</w:t>
        </w:r>
        <w:r>
          <w:fldChar w:fldCharType="end"/>
        </w:r>
      </w:hyperlink>
    </w:p>
    <w:p>
      <w:pPr>
        <w:pStyle w:val="TOC2"/>
        <w:tabs>
          <w:tab w:val="right" w:leader="dot" w:pos="8306"/>
        </w:tabs>
      </w:pPr>
      <w:hyperlink w:anchor="_Toc10627" w:history="1">
        <w:r>
          <w:rPr>
            <w:rFonts w:ascii="仿宋" w:eastAsia="仿宋" w:hAnsi="仿宋" w:cs="仿宋" w:hint="eastAsia"/>
            <w:lang w:eastAsia="zh-CN"/>
          </w:rPr>
          <w:t>(一)、技术管理特点</w:t>
        </w:r>
        <w:r>
          <w:tab/>
        </w:r>
        <w:r>
          <w:fldChar w:fldCharType="begin"/>
        </w:r>
        <w:r>
          <w:instrText xml:space="preserve"> PAGEREF _Toc10627 \h </w:instrText>
        </w:r>
        <w:r>
          <w:fldChar w:fldCharType="separate"/>
        </w:r>
        <w:r>
          <w:t>9</w:t>
        </w:r>
        <w:r>
          <w:fldChar w:fldCharType="end"/>
        </w:r>
      </w:hyperlink>
    </w:p>
    <w:p>
      <w:pPr>
        <w:pStyle w:val="TOC2"/>
        <w:tabs>
          <w:tab w:val="right" w:leader="dot" w:pos="8306"/>
        </w:tabs>
      </w:pPr>
      <w:hyperlink w:anchor="_Toc12112" w:history="1">
        <w:r>
          <w:rPr>
            <w:rFonts w:ascii="仿宋" w:eastAsia="仿宋" w:hAnsi="仿宋" w:cs="仿宋" w:hint="eastAsia"/>
            <w:lang w:eastAsia="zh-CN"/>
          </w:rPr>
          <w:t>(二)、大型娱乐设施服务项目工艺技术设计方案</w:t>
        </w:r>
        <w:r>
          <w:tab/>
        </w:r>
        <w:r>
          <w:fldChar w:fldCharType="begin"/>
        </w:r>
        <w:r>
          <w:instrText xml:space="preserve"> PAGEREF _Toc12112 \h </w:instrText>
        </w:r>
        <w:r>
          <w:fldChar w:fldCharType="separate"/>
        </w:r>
        <w:r>
          <w:t>10</w:t>
        </w:r>
        <w:r>
          <w:fldChar w:fldCharType="end"/>
        </w:r>
      </w:hyperlink>
    </w:p>
    <w:p>
      <w:pPr>
        <w:pStyle w:val="TOC2"/>
        <w:tabs>
          <w:tab w:val="right" w:leader="dot" w:pos="8306"/>
        </w:tabs>
      </w:pPr>
      <w:hyperlink w:anchor="_Toc9915" w:history="1">
        <w:r>
          <w:rPr>
            <w:rFonts w:ascii="仿宋" w:eastAsia="仿宋" w:hAnsi="仿宋" w:cs="仿宋" w:hint="eastAsia"/>
            <w:lang w:eastAsia="zh-CN"/>
          </w:rPr>
          <w:t>(三)、设备选型方案</w:t>
        </w:r>
        <w:r>
          <w:tab/>
        </w:r>
        <w:r>
          <w:fldChar w:fldCharType="begin"/>
        </w:r>
        <w:r>
          <w:instrText xml:space="preserve"> PAGEREF _Toc9915 \h </w:instrText>
        </w:r>
        <w:r>
          <w:fldChar w:fldCharType="separate"/>
        </w:r>
        <w:r>
          <w:t>11</w:t>
        </w:r>
        <w:r>
          <w:fldChar w:fldCharType="end"/>
        </w:r>
      </w:hyperlink>
    </w:p>
    <w:p>
      <w:pPr>
        <w:pStyle w:val="TOC1"/>
        <w:tabs>
          <w:tab w:val="right" w:leader="dot" w:pos="8306"/>
        </w:tabs>
      </w:pPr>
      <w:hyperlink w:anchor="_Toc27508" w:history="1">
        <w:r>
          <w:rPr>
            <w:rFonts w:ascii="仿宋" w:eastAsia="仿宋" w:hAnsi="仿宋" w:cs="仿宋" w:hint="eastAsia"/>
            <w:lang w:eastAsia="zh-CN"/>
          </w:rPr>
          <w:t>五、大型娱乐设施服务项目选址可行性分析</w:t>
        </w:r>
        <w:r>
          <w:tab/>
        </w:r>
        <w:r>
          <w:fldChar w:fldCharType="begin"/>
        </w:r>
        <w:r>
          <w:instrText xml:space="preserve"> PAGEREF _Toc27508 \h </w:instrText>
        </w:r>
        <w:r>
          <w:fldChar w:fldCharType="separate"/>
        </w:r>
        <w:r>
          <w:t>13</w:t>
        </w:r>
        <w:r>
          <w:fldChar w:fldCharType="end"/>
        </w:r>
      </w:hyperlink>
    </w:p>
    <w:p>
      <w:pPr>
        <w:pStyle w:val="TOC2"/>
        <w:tabs>
          <w:tab w:val="right" w:leader="dot" w:pos="8306"/>
        </w:tabs>
      </w:pPr>
      <w:hyperlink w:anchor="_Toc3087" w:history="1">
        <w:r>
          <w:rPr>
            <w:rFonts w:ascii="仿宋" w:eastAsia="仿宋" w:hAnsi="仿宋" w:cs="仿宋" w:hint="eastAsia"/>
            <w:lang w:eastAsia="zh-CN"/>
          </w:rPr>
          <w:t>(一)、大型娱乐设施服务项目选址</w:t>
        </w:r>
        <w:r>
          <w:tab/>
        </w:r>
        <w:r>
          <w:fldChar w:fldCharType="begin"/>
        </w:r>
        <w:r>
          <w:instrText xml:space="preserve"> PAGEREF _Toc3087 \h </w:instrText>
        </w:r>
        <w:r>
          <w:fldChar w:fldCharType="separate"/>
        </w:r>
        <w:r>
          <w:t>13</w:t>
        </w:r>
        <w:r>
          <w:fldChar w:fldCharType="end"/>
        </w:r>
      </w:hyperlink>
    </w:p>
    <w:p>
      <w:pPr>
        <w:pStyle w:val="TOC2"/>
        <w:tabs>
          <w:tab w:val="right" w:leader="dot" w:pos="8306"/>
        </w:tabs>
      </w:pPr>
      <w:hyperlink w:anchor="_Toc20185" w:history="1">
        <w:r>
          <w:rPr>
            <w:rFonts w:ascii="仿宋" w:eastAsia="仿宋" w:hAnsi="仿宋" w:cs="仿宋" w:hint="eastAsia"/>
            <w:lang w:eastAsia="zh-CN"/>
          </w:rPr>
          <w:t>(二)、用地控制指标</w:t>
        </w:r>
        <w:r>
          <w:tab/>
        </w:r>
        <w:r>
          <w:fldChar w:fldCharType="begin"/>
        </w:r>
        <w:r>
          <w:instrText xml:space="preserve"> PAGEREF _Toc20185 \h </w:instrText>
        </w:r>
        <w:r>
          <w:fldChar w:fldCharType="separate"/>
        </w:r>
        <w:r>
          <w:t>13</w:t>
        </w:r>
        <w:r>
          <w:fldChar w:fldCharType="end"/>
        </w:r>
      </w:hyperlink>
    </w:p>
    <w:p>
      <w:pPr>
        <w:pStyle w:val="TOC2"/>
        <w:tabs>
          <w:tab w:val="right" w:leader="dot" w:pos="8306"/>
        </w:tabs>
      </w:pPr>
      <w:hyperlink w:anchor="_Toc1501" w:history="1">
        <w:r>
          <w:rPr>
            <w:rFonts w:ascii="仿宋" w:eastAsia="仿宋" w:hAnsi="仿宋" w:cs="仿宋" w:hint="eastAsia"/>
            <w:lang w:eastAsia="zh-CN"/>
          </w:rPr>
          <w:t>(三)、节约用地措施</w:t>
        </w:r>
        <w:r>
          <w:tab/>
        </w:r>
        <w:r>
          <w:fldChar w:fldCharType="begin"/>
        </w:r>
        <w:r>
          <w:instrText xml:space="preserve"> PAGEREF _Toc1501 \h </w:instrText>
        </w:r>
        <w:r>
          <w:fldChar w:fldCharType="separate"/>
        </w:r>
        <w:r>
          <w:t>15</w:t>
        </w:r>
        <w:r>
          <w:fldChar w:fldCharType="end"/>
        </w:r>
      </w:hyperlink>
    </w:p>
    <w:p>
      <w:pPr>
        <w:pStyle w:val="TOC2"/>
        <w:tabs>
          <w:tab w:val="right" w:leader="dot" w:pos="8306"/>
        </w:tabs>
      </w:pPr>
      <w:hyperlink w:anchor="_Toc23319" w:history="1">
        <w:r>
          <w:rPr>
            <w:rFonts w:ascii="仿宋" w:eastAsia="仿宋" w:hAnsi="仿宋" w:cs="仿宋" w:hint="eastAsia"/>
            <w:lang w:eastAsia="zh-CN"/>
          </w:rPr>
          <w:t>(四)、总图布置方案</w:t>
        </w:r>
        <w:r>
          <w:tab/>
        </w:r>
        <w:r>
          <w:fldChar w:fldCharType="begin"/>
        </w:r>
        <w:r>
          <w:instrText xml:space="preserve"> PAGEREF _Toc23319 \h </w:instrText>
        </w:r>
        <w:r>
          <w:fldChar w:fldCharType="separate"/>
        </w:r>
        <w:r>
          <w:t>16</w:t>
        </w:r>
        <w:r>
          <w:fldChar w:fldCharType="end"/>
        </w:r>
      </w:hyperlink>
    </w:p>
    <w:p>
      <w:pPr>
        <w:pStyle w:val="TOC2"/>
        <w:tabs>
          <w:tab w:val="right" w:leader="dot" w:pos="8306"/>
        </w:tabs>
      </w:pPr>
      <w:hyperlink w:anchor="_Toc17224" w:history="1">
        <w:r>
          <w:rPr>
            <w:rFonts w:ascii="仿宋" w:eastAsia="仿宋" w:hAnsi="仿宋" w:cs="仿宋" w:hint="eastAsia"/>
            <w:lang w:eastAsia="zh-CN"/>
          </w:rPr>
          <w:t>(五)、选址综合评价</w:t>
        </w:r>
        <w:r>
          <w:tab/>
        </w:r>
        <w:r>
          <w:fldChar w:fldCharType="begin"/>
        </w:r>
        <w:r>
          <w:instrText xml:space="preserve"> PAGEREF _Toc17224 \h </w:instrText>
        </w:r>
        <w:r>
          <w:fldChar w:fldCharType="separate"/>
        </w:r>
        <w:r>
          <w:t>17</w:t>
        </w:r>
        <w:r>
          <w:fldChar w:fldCharType="end"/>
        </w:r>
      </w:hyperlink>
    </w:p>
    <w:p>
      <w:pPr>
        <w:pStyle w:val="TOC1"/>
        <w:tabs>
          <w:tab w:val="right" w:leader="dot" w:pos="8306"/>
        </w:tabs>
      </w:pPr>
      <w:hyperlink w:anchor="_Toc3849" w:history="1">
        <w:r>
          <w:rPr>
            <w:rFonts w:ascii="仿宋" w:eastAsia="仿宋" w:hAnsi="仿宋" w:cs="仿宋" w:hint="eastAsia"/>
            <w:lang w:eastAsia="zh-CN"/>
          </w:rPr>
          <w:t>六、产品规划分析</w:t>
        </w:r>
        <w:r>
          <w:tab/>
        </w:r>
        <w:r>
          <w:fldChar w:fldCharType="begin"/>
        </w:r>
        <w:r>
          <w:instrText xml:space="preserve"> PAGEREF _Toc3849 \h </w:instrText>
        </w:r>
        <w:r>
          <w:fldChar w:fldCharType="separate"/>
        </w:r>
        <w:r>
          <w:t>18</w:t>
        </w:r>
        <w:r>
          <w:fldChar w:fldCharType="end"/>
        </w:r>
      </w:hyperlink>
    </w:p>
    <w:p>
      <w:pPr>
        <w:pStyle w:val="TOC2"/>
        <w:tabs>
          <w:tab w:val="right" w:leader="dot" w:pos="8306"/>
        </w:tabs>
      </w:pPr>
      <w:hyperlink w:anchor="_Toc11000" w:history="1">
        <w:r>
          <w:rPr>
            <w:rFonts w:ascii="仿宋" w:eastAsia="仿宋" w:hAnsi="仿宋" w:cs="仿宋" w:hint="eastAsia"/>
            <w:lang w:eastAsia="zh-CN"/>
          </w:rPr>
          <w:t>(一)、产品规划</w:t>
        </w:r>
        <w:r>
          <w:tab/>
        </w:r>
        <w:r>
          <w:fldChar w:fldCharType="begin"/>
        </w:r>
        <w:r>
          <w:instrText xml:space="preserve"> PAGEREF _Toc11000 \h </w:instrText>
        </w:r>
        <w:r>
          <w:fldChar w:fldCharType="separate"/>
        </w:r>
        <w:r>
          <w:t>18</w:t>
        </w:r>
        <w:r>
          <w:fldChar w:fldCharType="end"/>
        </w:r>
      </w:hyperlink>
    </w:p>
    <w:p>
      <w:pPr>
        <w:pStyle w:val="TOC2"/>
        <w:tabs>
          <w:tab w:val="right" w:leader="dot" w:pos="8306"/>
        </w:tabs>
      </w:pPr>
      <w:hyperlink w:anchor="_Toc29963" w:history="1">
        <w:r>
          <w:rPr>
            <w:rFonts w:ascii="仿宋" w:eastAsia="仿宋" w:hAnsi="仿宋" w:cs="仿宋" w:hint="eastAsia"/>
            <w:lang w:eastAsia="zh-CN"/>
          </w:rPr>
          <w:t>(二)、建设规模</w:t>
        </w:r>
        <w:r>
          <w:tab/>
        </w:r>
        <w:r>
          <w:fldChar w:fldCharType="begin"/>
        </w:r>
        <w:r>
          <w:instrText xml:space="preserve"> PAGEREF _Toc29963 \h </w:instrText>
        </w:r>
        <w:r>
          <w:fldChar w:fldCharType="separate"/>
        </w:r>
        <w:r>
          <w:t>19</w:t>
        </w:r>
        <w:r>
          <w:fldChar w:fldCharType="end"/>
        </w:r>
      </w:hyperlink>
    </w:p>
    <w:p>
      <w:pPr>
        <w:pStyle w:val="TOC1"/>
        <w:tabs>
          <w:tab w:val="right" w:leader="dot" w:pos="8306"/>
        </w:tabs>
      </w:pPr>
      <w:hyperlink w:anchor="_Toc10978" w:history="1">
        <w:r>
          <w:rPr>
            <w:rFonts w:ascii="仿宋" w:eastAsia="仿宋" w:hAnsi="仿宋" w:cs="仿宋" w:hint="eastAsia"/>
            <w:lang w:eastAsia="zh-CN"/>
          </w:rPr>
          <w:t>七、大型娱乐设施服务项目财务管理</w:t>
        </w:r>
        <w:r>
          <w:tab/>
        </w:r>
        <w:r>
          <w:fldChar w:fldCharType="begin"/>
        </w:r>
        <w:r>
          <w:instrText xml:space="preserve"> PAGEREF _Toc10978 \h </w:instrText>
        </w:r>
        <w:r>
          <w:fldChar w:fldCharType="separate"/>
        </w:r>
        <w:r>
          <w:t>20</w:t>
        </w:r>
        <w:r>
          <w:fldChar w:fldCharType="end"/>
        </w:r>
      </w:hyperlink>
    </w:p>
    <w:p>
      <w:pPr>
        <w:pStyle w:val="TOC2"/>
        <w:tabs>
          <w:tab w:val="right" w:leader="dot" w:pos="8306"/>
        </w:tabs>
      </w:pPr>
      <w:hyperlink w:anchor="_Toc17435" w:history="1">
        <w:r>
          <w:rPr>
            <w:rFonts w:ascii="仿宋" w:eastAsia="仿宋" w:hAnsi="仿宋" w:cs="仿宋" w:hint="eastAsia"/>
            <w:lang w:eastAsia="zh-CN"/>
          </w:rPr>
          <w:t>(一)、资金需求大</w:t>
        </w:r>
        <w:r>
          <w:tab/>
        </w:r>
        <w:r>
          <w:fldChar w:fldCharType="begin"/>
        </w:r>
        <w:r>
          <w:instrText xml:space="preserve"> PAGEREF _Toc17435 \h </w:instrText>
        </w:r>
        <w:r>
          <w:fldChar w:fldCharType="separate"/>
        </w:r>
        <w:r>
          <w:t>20</w:t>
        </w:r>
        <w:r>
          <w:fldChar w:fldCharType="end"/>
        </w:r>
      </w:hyperlink>
    </w:p>
    <w:p>
      <w:pPr>
        <w:pStyle w:val="TOC2"/>
        <w:tabs>
          <w:tab w:val="right" w:leader="dot" w:pos="8306"/>
        </w:tabs>
      </w:pPr>
      <w:hyperlink w:anchor="_Toc9064" w:history="1">
        <w:r>
          <w:rPr>
            <w:rFonts w:ascii="仿宋" w:eastAsia="仿宋" w:hAnsi="仿宋" w:cs="仿宋" w:hint="eastAsia"/>
            <w:lang w:eastAsia="zh-CN"/>
          </w:rPr>
          <w:t>(二)、研发周期长</w:t>
        </w:r>
        <w:r>
          <w:tab/>
        </w:r>
        <w:r>
          <w:fldChar w:fldCharType="begin"/>
        </w:r>
        <w:r>
          <w:instrText xml:space="preserve"> PAGEREF _Toc9064 \h </w:instrText>
        </w:r>
        <w:r>
          <w:fldChar w:fldCharType="separate"/>
        </w:r>
        <w:r>
          <w:t>21</w:t>
        </w:r>
        <w:r>
          <w:fldChar w:fldCharType="end"/>
        </w:r>
      </w:hyperlink>
    </w:p>
    <w:p>
      <w:pPr>
        <w:pStyle w:val="TOC2"/>
        <w:tabs>
          <w:tab w:val="right" w:leader="dot" w:pos="8306"/>
        </w:tabs>
      </w:pPr>
      <w:hyperlink w:anchor="_Toc13062" w:history="1">
        <w:r>
          <w:rPr>
            <w:rFonts w:ascii="仿宋" w:eastAsia="仿宋" w:hAnsi="仿宋" w:cs="仿宋" w:hint="eastAsia"/>
            <w:lang w:eastAsia="zh-CN"/>
          </w:rPr>
          <w:t>(三)、市场风险大</w:t>
        </w:r>
        <w:r>
          <w:tab/>
        </w:r>
        <w:r>
          <w:fldChar w:fldCharType="begin"/>
        </w:r>
        <w:r>
          <w:instrText xml:space="preserve"> PAGEREF _Toc13062 \h </w:instrText>
        </w:r>
        <w:r>
          <w:fldChar w:fldCharType="separate"/>
        </w:r>
        <w:r>
          <w:t>23</w:t>
        </w:r>
        <w:r>
          <w:fldChar w:fldCharType="end"/>
        </w:r>
      </w:hyperlink>
    </w:p>
    <w:p>
      <w:pPr>
        <w:pStyle w:val="TOC2"/>
        <w:tabs>
          <w:tab w:val="right" w:leader="dot" w:pos="8306"/>
        </w:tabs>
      </w:pPr>
      <w:hyperlink w:anchor="_Toc12362" w:history="1">
        <w:r>
          <w:rPr>
            <w:rFonts w:ascii="仿宋" w:eastAsia="仿宋" w:hAnsi="仿宋" w:cs="仿宋" w:hint="eastAsia"/>
            <w:lang w:eastAsia="zh-CN"/>
          </w:rPr>
          <w:t>(四)、利润率高</w:t>
        </w:r>
        <w:r>
          <w:tab/>
        </w:r>
        <w:r>
          <w:fldChar w:fldCharType="begin"/>
        </w:r>
        <w:r>
          <w:instrText xml:space="preserve"> PAGEREF _Toc12362 \h </w:instrText>
        </w:r>
        <w:r>
          <w:fldChar w:fldCharType="separate"/>
        </w:r>
        <w:r>
          <w:t>25</w:t>
        </w:r>
        <w:r>
          <w:fldChar w:fldCharType="end"/>
        </w:r>
      </w:hyperlink>
    </w:p>
    <w:p>
      <w:pPr>
        <w:pStyle w:val="TOC1"/>
        <w:tabs>
          <w:tab w:val="right" w:leader="dot" w:pos="8306"/>
        </w:tabs>
      </w:pPr>
      <w:hyperlink w:anchor="_Toc22032" w:history="1">
        <w:r>
          <w:rPr>
            <w:rFonts w:ascii="仿宋" w:eastAsia="仿宋" w:hAnsi="仿宋" w:cs="仿宋" w:hint="eastAsia"/>
            <w:lang w:eastAsia="zh-CN"/>
          </w:rPr>
          <w:t>八、大型娱乐设施服务项目人力资源培养与发展</w:t>
        </w:r>
        <w:r>
          <w:tab/>
        </w:r>
        <w:r>
          <w:fldChar w:fldCharType="begin"/>
        </w:r>
        <w:r>
          <w:instrText xml:space="preserve"> PAGEREF _Toc22032 \h </w:instrText>
        </w:r>
        <w:r>
          <w:fldChar w:fldCharType="separate"/>
        </w:r>
        <w:r>
          <w:t>28</w:t>
        </w:r>
        <w:r>
          <w:fldChar w:fldCharType="end"/>
        </w:r>
      </w:hyperlink>
    </w:p>
    <w:p>
      <w:pPr>
        <w:pStyle w:val="TOC2"/>
        <w:tabs>
          <w:tab w:val="right" w:leader="dot" w:pos="8306"/>
        </w:tabs>
      </w:pPr>
      <w:hyperlink w:anchor="_Toc26172" w:history="1">
        <w:r>
          <w:rPr>
            <w:rFonts w:ascii="仿宋" w:eastAsia="仿宋" w:hAnsi="仿宋" w:cs="仿宋" w:hint="eastAsia"/>
            <w:lang w:eastAsia="zh-CN"/>
          </w:rPr>
          <w:t>(一)、人才需求与规划</w:t>
        </w:r>
        <w:r>
          <w:tab/>
        </w:r>
        <w:r>
          <w:fldChar w:fldCharType="begin"/>
        </w:r>
        <w:r>
          <w:instrText xml:space="preserve"> PAGEREF _Toc26172 \h </w:instrText>
        </w:r>
        <w:r>
          <w:fldChar w:fldCharType="separate"/>
        </w:r>
        <w:r>
          <w:t>28</w:t>
        </w:r>
        <w:r>
          <w:fldChar w:fldCharType="end"/>
        </w:r>
      </w:hyperlink>
    </w:p>
    <w:p>
      <w:pPr>
        <w:pStyle w:val="TOC2"/>
        <w:tabs>
          <w:tab w:val="right" w:leader="dot" w:pos="8306"/>
        </w:tabs>
      </w:pPr>
      <w:hyperlink w:anchor="_Toc25262" w:history="1">
        <w:r>
          <w:rPr>
            <w:rFonts w:ascii="仿宋" w:eastAsia="仿宋" w:hAnsi="仿宋" w:cs="仿宋" w:hint="eastAsia"/>
            <w:lang w:eastAsia="zh-CN"/>
          </w:rPr>
          <w:t>(二)、培训与发展计划</w:t>
        </w:r>
        <w:r>
          <w:tab/>
        </w:r>
        <w:r>
          <w:fldChar w:fldCharType="begin"/>
        </w:r>
        <w:r>
          <w:instrText xml:space="preserve"> PAGEREF _Toc25262 \h </w:instrText>
        </w:r>
        <w:r>
          <w:fldChar w:fldCharType="separate"/>
        </w:r>
        <w:r>
          <w:t>28</w:t>
        </w:r>
        <w:r>
          <w:fldChar w:fldCharType="end"/>
        </w:r>
      </w:hyperlink>
    </w:p>
    <w:p>
      <w:pPr>
        <w:pStyle w:val="TOC1"/>
        <w:tabs>
          <w:tab w:val="right" w:leader="dot" w:pos="8306"/>
        </w:tabs>
      </w:pPr>
      <w:hyperlink w:anchor="_Toc4644" w:history="1">
        <w:r>
          <w:rPr>
            <w:rFonts w:ascii="仿宋" w:eastAsia="仿宋" w:hAnsi="仿宋" w:cs="仿宋" w:hint="eastAsia"/>
            <w:lang w:eastAsia="zh-CN"/>
          </w:rPr>
          <w:t>九、生产安全保护</w:t>
        </w:r>
        <w:r>
          <w:tab/>
        </w:r>
        <w:r>
          <w:fldChar w:fldCharType="begin"/>
        </w:r>
        <w:r>
          <w:instrText xml:space="preserve"> PAGEREF _Toc4644 \h </w:instrText>
        </w:r>
        <w:r>
          <w:fldChar w:fldCharType="separate"/>
        </w:r>
        <w:r>
          <w:t>29</w:t>
        </w:r>
        <w:r>
          <w:fldChar w:fldCharType="end"/>
        </w:r>
      </w:hyperlink>
    </w:p>
    <w:p>
      <w:pPr>
        <w:pStyle w:val="TOC2"/>
        <w:tabs>
          <w:tab w:val="right" w:leader="dot" w:pos="8306"/>
        </w:tabs>
      </w:pPr>
      <w:hyperlink w:anchor="_Toc21073" w:history="1">
        <w:r>
          <w:rPr>
            <w:rFonts w:ascii="仿宋" w:eastAsia="仿宋" w:hAnsi="仿宋" w:cs="仿宋" w:hint="eastAsia"/>
            <w:lang w:eastAsia="zh-CN"/>
          </w:rPr>
          <w:t>(一)、消防安全</w:t>
        </w:r>
        <w:r>
          <w:tab/>
        </w:r>
        <w:r>
          <w:fldChar w:fldCharType="begin"/>
        </w:r>
        <w:r>
          <w:instrText xml:space="preserve"> PAGEREF _Toc21073 \h </w:instrText>
        </w:r>
        <w:r>
          <w:fldChar w:fldCharType="separate"/>
        </w:r>
        <w:r>
          <w:t>29</w:t>
        </w:r>
        <w:r>
          <w:fldChar w:fldCharType="end"/>
        </w:r>
      </w:hyperlink>
    </w:p>
    <w:p>
      <w:pPr>
        <w:pStyle w:val="TOC2"/>
        <w:tabs>
          <w:tab w:val="right" w:leader="dot" w:pos="8306"/>
        </w:tabs>
      </w:pPr>
      <w:hyperlink w:anchor="_Toc12104" w:history="1">
        <w:r>
          <w:rPr>
            <w:rFonts w:ascii="仿宋" w:eastAsia="仿宋" w:hAnsi="仿宋" w:cs="仿宋" w:hint="eastAsia"/>
            <w:lang w:eastAsia="zh-CN"/>
          </w:rPr>
          <w:t>(二)、防火防爆总图布置措施</w:t>
        </w:r>
        <w:r>
          <w:tab/>
        </w:r>
        <w:r>
          <w:fldChar w:fldCharType="begin"/>
        </w:r>
        <w:r>
          <w:instrText xml:space="preserve"> PAGEREF _Toc12104 \h </w:instrText>
        </w:r>
        <w:r>
          <w:fldChar w:fldCharType="separate"/>
        </w:r>
        <w:r>
          <w:t>30</w:t>
        </w:r>
        <w:r>
          <w:fldChar w:fldCharType="end"/>
        </w:r>
      </w:hyperlink>
    </w:p>
    <w:p>
      <w:pPr>
        <w:pStyle w:val="TOC2"/>
        <w:tabs>
          <w:tab w:val="right" w:leader="dot" w:pos="8306"/>
        </w:tabs>
      </w:pPr>
      <w:hyperlink w:anchor="_Toc25689" w:history="1">
        <w:r>
          <w:rPr>
            <w:rFonts w:ascii="仿宋" w:eastAsia="仿宋" w:hAnsi="仿宋" w:cs="仿宋" w:hint="eastAsia"/>
            <w:lang w:eastAsia="zh-CN"/>
          </w:rPr>
          <w:t>(三)、自然灾害防范措施</w:t>
        </w:r>
        <w:r>
          <w:tab/>
        </w:r>
        <w:r>
          <w:fldChar w:fldCharType="begin"/>
        </w:r>
        <w:r>
          <w:instrText xml:space="preserve"> PAGEREF _Toc25689 \h </w:instrText>
        </w:r>
        <w:r>
          <w:fldChar w:fldCharType="separate"/>
        </w:r>
        <w:r>
          <w:t>31</w:t>
        </w:r>
        <w:r>
          <w:fldChar w:fldCharType="end"/>
        </w:r>
      </w:hyperlink>
    </w:p>
    <w:p>
      <w:pPr>
        <w:pStyle w:val="TOC2"/>
        <w:tabs>
          <w:tab w:val="right" w:leader="dot" w:pos="8306"/>
        </w:tabs>
      </w:pPr>
      <w:hyperlink w:anchor="_Toc13304" w:history="1">
        <w:r>
          <w:rPr>
            <w:rFonts w:ascii="仿宋" w:eastAsia="仿宋" w:hAnsi="仿宋" w:cs="仿宋" w:hint="eastAsia"/>
            <w:lang w:eastAsia="zh-CN"/>
          </w:rPr>
          <w:t>(四)、安全色及安全标志使用要求</w:t>
        </w:r>
        <w:r>
          <w:tab/>
        </w:r>
        <w:r>
          <w:fldChar w:fldCharType="begin"/>
        </w:r>
        <w:r>
          <w:instrText xml:space="preserve"> PAGEREF _Toc13304 \h </w:instrText>
        </w:r>
        <w:r>
          <w:fldChar w:fldCharType="separate"/>
        </w:r>
        <w:r>
          <w:t>32</w:t>
        </w:r>
        <w:r>
          <w:fldChar w:fldCharType="end"/>
        </w:r>
      </w:hyperlink>
    </w:p>
    <w:p>
      <w:pPr>
        <w:pStyle w:val="TOC2"/>
        <w:tabs>
          <w:tab w:val="right" w:leader="dot" w:pos="8306"/>
        </w:tabs>
      </w:pPr>
      <w:hyperlink w:anchor="_Toc16535" w:history="1">
        <w:r>
          <w:rPr>
            <w:rFonts w:ascii="仿宋" w:eastAsia="仿宋" w:hAnsi="仿宋" w:cs="仿宋" w:hint="eastAsia"/>
            <w:lang w:eastAsia="zh-CN"/>
          </w:rPr>
          <w:t>(五)、防尘防毒措施</w:t>
        </w:r>
        <w:r>
          <w:tab/>
        </w:r>
        <w:r>
          <w:fldChar w:fldCharType="begin"/>
        </w:r>
        <w:r>
          <w:instrText xml:space="preserve"> PAGEREF _Toc16535 \h </w:instrText>
        </w:r>
        <w:r>
          <w:fldChar w:fldCharType="separate"/>
        </w:r>
        <w:r>
          <w:t>33</w:t>
        </w:r>
        <w:r>
          <w:fldChar w:fldCharType="end"/>
        </w:r>
      </w:hyperlink>
    </w:p>
    <w:p>
      <w:pPr>
        <w:pStyle w:val="TOC2"/>
        <w:tabs>
          <w:tab w:val="right" w:leader="dot" w:pos="8306"/>
        </w:tabs>
      </w:pPr>
      <w:hyperlink w:anchor="_Toc4214" w:history="1">
        <w:r>
          <w:rPr>
            <w:rFonts w:ascii="仿宋" w:eastAsia="仿宋" w:hAnsi="仿宋" w:cs="仿宋" w:hint="eastAsia"/>
            <w:lang w:eastAsia="zh-CN"/>
          </w:rPr>
          <w:t>(六)、防静电、触电防护及防雷措施</w:t>
        </w:r>
        <w:r>
          <w:tab/>
        </w:r>
        <w:r>
          <w:fldChar w:fldCharType="begin"/>
        </w:r>
        <w:r>
          <w:instrText xml:space="preserve"> PAGEREF _Toc4214 \h </w:instrText>
        </w:r>
        <w:r>
          <w:fldChar w:fldCharType="separate"/>
        </w:r>
        <w:r>
          <w:t>34</w:t>
        </w:r>
        <w:r>
          <w:fldChar w:fldCharType="end"/>
        </w:r>
      </w:hyperlink>
    </w:p>
    <w:p>
      <w:pPr>
        <w:pStyle w:val="TOC2"/>
        <w:tabs>
          <w:tab w:val="right" w:leader="dot" w:pos="8306"/>
        </w:tabs>
      </w:pPr>
      <w:hyperlink w:anchor="_Toc18199" w:history="1">
        <w:r>
          <w:rPr>
            <w:rFonts w:ascii="仿宋" w:eastAsia="仿宋" w:hAnsi="仿宋" w:cs="仿宋" w:hint="eastAsia"/>
            <w:lang w:eastAsia="zh-CN"/>
          </w:rPr>
          <w:t>(七)、机械设备安全保障措施</w:t>
        </w:r>
        <w:r>
          <w:tab/>
        </w:r>
        <w:r>
          <w:fldChar w:fldCharType="begin"/>
        </w:r>
        <w:r>
          <w:instrText xml:space="preserve"> PAGEREF _Toc18199 \h </w:instrText>
        </w:r>
        <w:r>
          <w:fldChar w:fldCharType="separate"/>
        </w:r>
        <w:r>
          <w:t>36</w:t>
        </w:r>
        <w:r>
          <w:fldChar w:fldCharType="end"/>
        </w:r>
      </w:hyperlink>
    </w:p>
    <w:p>
      <w:pPr>
        <w:pStyle w:val="TOC1"/>
        <w:tabs>
          <w:tab w:val="right" w:leader="dot" w:pos="8306"/>
        </w:tabs>
      </w:pPr>
      <w:hyperlink w:anchor="_Toc23080" w:history="1">
        <w:r>
          <w:rPr>
            <w:rFonts w:ascii="仿宋" w:eastAsia="仿宋" w:hAnsi="仿宋" w:cs="仿宋" w:hint="eastAsia"/>
            <w:lang w:eastAsia="zh-CN"/>
          </w:rPr>
          <w:t>十、大型娱乐设施服务项目社会影响</w:t>
        </w:r>
        <w:r>
          <w:tab/>
        </w:r>
        <w:r>
          <w:fldChar w:fldCharType="begin"/>
        </w:r>
        <w:r>
          <w:instrText xml:space="preserve"> PAGEREF _Toc23080 \h </w:instrText>
        </w:r>
        <w:r>
          <w:fldChar w:fldCharType="separate"/>
        </w:r>
        <w:r>
          <w:t>37</w:t>
        </w:r>
        <w:r>
          <w:fldChar w:fldCharType="end"/>
        </w:r>
      </w:hyperlink>
    </w:p>
    <w:p>
      <w:pPr>
        <w:pStyle w:val="TOC2"/>
        <w:tabs>
          <w:tab w:val="right" w:leader="dot" w:pos="8306"/>
        </w:tabs>
      </w:pPr>
      <w:hyperlink w:anchor="_Toc16136" w:history="1">
        <w:r>
          <w:rPr>
            <w:rFonts w:ascii="仿宋" w:eastAsia="仿宋" w:hAnsi="仿宋" w:cs="仿宋" w:hint="eastAsia"/>
            <w:lang w:eastAsia="zh-CN"/>
          </w:rPr>
          <w:t>(一)、社会责任与义务</w:t>
        </w:r>
        <w:r>
          <w:tab/>
        </w:r>
        <w:r>
          <w:fldChar w:fldCharType="begin"/>
        </w:r>
        <w:r>
          <w:instrText xml:space="preserve"> PAGEREF _Toc16136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3" w:history="1">
        <w:r>
          <w:rPr>
            <w:rFonts w:ascii="仿宋" w:eastAsia="仿宋" w:hAnsi="仿宋" w:cs="仿宋" w:hint="eastAsia"/>
            <w:lang w:eastAsia="zh-CN"/>
          </w:rPr>
          <w:t>(二)、社会参与与沟通</w:t>
        </w:r>
        <w:r>
          <w:tab/>
        </w:r>
        <w:r>
          <w:fldChar w:fldCharType="begin"/>
        </w:r>
        <w:r>
          <w:instrText xml:space="preserve"> PAGEREF _Toc11613 \h </w:instrText>
        </w:r>
        <w:r>
          <w:fldChar w:fldCharType="separate"/>
        </w:r>
        <w:r>
          <w:t>38</w:t>
        </w:r>
        <w:r>
          <w:fldChar w:fldCharType="end"/>
        </w:r>
      </w:hyperlink>
    </w:p>
    <w:p>
      <w:pPr>
        <w:pStyle w:val="TOC1"/>
        <w:tabs>
          <w:tab w:val="right" w:leader="dot" w:pos="8306"/>
        </w:tabs>
      </w:pPr>
      <w:hyperlink w:anchor="_Toc26098" w:history="1">
        <w:r>
          <w:rPr>
            <w:rFonts w:ascii="仿宋" w:eastAsia="仿宋" w:hAnsi="仿宋" w:cs="仿宋" w:hint="eastAsia"/>
            <w:lang w:eastAsia="zh-CN"/>
          </w:rPr>
          <w:t>十一、大型娱乐设施服务项目人力资源管理</w:t>
        </w:r>
        <w:r>
          <w:tab/>
        </w:r>
        <w:r>
          <w:fldChar w:fldCharType="begin"/>
        </w:r>
        <w:r>
          <w:instrText xml:space="preserve"> PAGEREF _Toc26098 \h </w:instrText>
        </w:r>
        <w:r>
          <w:fldChar w:fldCharType="separate"/>
        </w:r>
        <w:r>
          <w:t>39</w:t>
        </w:r>
        <w:r>
          <w:fldChar w:fldCharType="end"/>
        </w:r>
      </w:hyperlink>
    </w:p>
    <w:p>
      <w:pPr>
        <w:pStyle w:val="TOC2"/>
        <w:tabs>
          <w:tab w:val="right" w:leader="dot" w:pos="8306"/>
        </w:tabs>
      </w:pPr>
      <w:hyperlink w:anchor="_Toc25126" w:history="1">
        <w:r>
          <w:rPr>
            <w:rFonts w:ascii="仿宋" w:eastAsia="仿宋" w:hAnsi="仿宋" w:cs="仿宋" w:hint="eastAsia"/>
            <w:lang w:eastAsia="zh-CN"/>
          </w:rPr>
          <w:t>(一)、建立健全的预算管理制度</w:t>
        </w:r>
        <w:r>
          <w:tab/>
        </w:r>
        <w:r>
          <w:fldChar w:fldCharType="begin"/>
        </w:r>
        <w:r>
          <w:instrText xml:space="preserve"> PAGEREF _Toc25126 \h </w:instrText>
        </w:r>
        <w:r>
          <w:fldChar w:fldCharType="separate"/>
        </w:r>
        <w:r>
          <w:t>39</w:t>
        </w:r>
        <w:r>
          <w:fldChar w:fldCharType="end"/>
        </w:r>
      </w:hyperlink>
    </w:p>
    <w:p>
      <w:pPr>
        <w:pStyle w:val="TOC2"/>
        <w:tabs>
          <w:tab w:val="right" w:leader="dot" w:pos="8306"/>
        </w:tabs>
      </w:pPr>
      <w:hyperlink w:anchor="_Toc10659" w:history="1">
        <w:r>
          <w:rPr>
            <w:rFonts w:ascii="仿宋" w:eastAsia="仿宋" w:hAnsi="仿宋" w:cs="仿宋" w:hint="eastAsia"/>
            <w:lang w:eastAsia="zh-CN"/>
          </w:rPr>
          <w:t>(二)、加强资金流动监控</w:t>
        </w:r>
        <w:r>
          <w:tab/>
        </w:r>
        <w:r>
          <w:fldChar w:fldCharType="begin"/>
        </w:r>
        <w:r>
          <w:instrText xml:space="preserve"> PAGEREF _Toc10659 \h </w:instrText>
        </w:r>
        <w:r>
          <w:fldChar w:fldCharType="separate"/>
        </w:r>
        <w:r>
          <w:t>41</w:t>
        </w:r>
        <w:r>
          <w:fldChar w:fldCharType="end"/>
        </w:r>
      </w:hyperlink>
    </w:p>
    <w:p>
      <w:pPr>
        <w:pStyle w:val="TOC2"/>
        <w:tabs>
          <w:tab w:val="right" w:leader="dot" w:pos="8306"/>
        </w:tabs>
      </w:pPr>
      <w:hyperlink w:anchor="_Toc21781" w:history="1">
        <w:r>
          <w:rPr>
            <w:rFonts w:ascii="仿宋" w:eastAsia="仿宋" w:hAnsi="仿宋" w:cs="仿宋" w:hint="eastAsia"/>
            <w:lang w:eastAsia="zh-CN"/>
          </w:rPr>
          <w:t>(三)、制定完善的风险控制机制</w:t>
        </w:r>
        <w:r>
          <w:tab/>
        </w:r>
        <w:r>
          <w:fldChar w:fldCharType="begin"/>
        </w:r>
        <w:r>
          <w:instrText xml:space="preserve"> PAGEREF _Toc21781 \h </w:instrText>
        </w:r>
        <w:r>
          <w:fldChar w:fldCharType="separate"/>
        </w:r>
        <w:r>
          <w:t>42</w:t>
        </w:r>
        <w:r>
          <w:fldChar w:fldCharType="end"/>
        </w:r>
      </w:hyperlink>
    </w:p>
    <w:p>
      <w:pPr>
        <w:pStyle w:val="TOC2"/>
        <w:tabs>
          <w:tab w:val="right" w:leader="dot" w:pos="8306"/>
        </w:tabs>
      </w:pPr>
      <w:hyperlink w:anchor="_Toc27252" w:history="1">
        <w:r>
          <w:rPr>
            <w:rFonts w:ascii="仿宋" w:eastAsia="仿宋" w:hAnsi="仿宋" w:cs="仿宋" w:hint="eastAsia"/>
            <w:lang w:eastAsia="zh-CN"/>
          </w:rPr>
          <w:t>(四)、优化成本管理</w:t>
        </w:r>
        <w:r>
          <w:tab/>
        </w:r>
        <w:r>
          <w:fldChar w:fldCharType="begin"/>
        </w:r>
        <w:r>
          <w:instrText xml:space="preserve"> PAGEREF _Toc27252 \h </w:instrText>
        </w:r>
        <w:r>
          <w:fldChar w:fldCharType="separate"/>
        </w:r>
        <w:r>
          <w:t>43</w:t>
        </w:r>
        <w:r>
          <w:fldChar w:fldCharType="end"/>
        </w:r>
      </w:hyperlink>
    </w:p>
    <w:p>
      <w:pPr>
        <w:pStyle w:val="TOC1"/>
        <w:tabs>
          <w:tab w:val="right" w:leader="dot" w:pos="8306"/>
        </w:tabs>
      </w:pPr>
      <w:hyperlink w:anchor="_Toc19171" w:history="1">
        <w:r>
          <w:rPr>
            <w:rFonts w:ascii="仿宋" w:eastAsia="仿宋" w:hAnsi="仿宋" w:cs="仿宋" w:hint="eastAsia"/>
            <w:lang w:eastAsia="zh-CN"/>
          </w:rPr>
          <w:t>十二、大型娱乐设施服务项目计划安排</w:t>
        </w:r>
        <w:r>
          <w:tab/>
        </w:r>
        <w:r>
          <w:fldChar w:fldCharType="begin"/>
        </w:r>
        <w:r>
          <w:instrText xml:space="preserve"> PAGEREF _Toc19171 \h </w:instrText>
        </w:r>
        <w:r>
          <w:fldChar w:fldCharType="separate"/>
        </w:r>
        <w:r>
          <w:t>45</w:t>
        </w:r>
        <w:r>
          <w:fldChar w:fldCharType="end"/>
        </w:r>
      </w:hyperlink>
    </w:p>
    <w:p>
      <w:pPr>
        <w:pStyle w:val="TOC2"/>
        <w:tabs>
          <w:tab w:val="right" w:leader="dot" w:pos="8306"/>
        </w:tabs>
      </w:pPr>
      <w:hyperlink w:anchor="_Toc20701" w:history="1">
        <w:r>
          <w:rPr>
            <w:rFonts w:ascii="仿宋" w:eastAsia="仿宋" w:hAnsi="仿宋" w:cs="仿宋" w:hint="eastAsia"/>
            <w:lang w:eastAsia="zh-CN"/>
          </w:rPr>
          <w:t>(一)、建设周期</w:t>
        </w:r>
        <w:r>
          <w:tab/>
        </w:r>
        <w:r>
          <w:fldChar w:fldCharType="begin"/>
        </w:r>
        <w:r>
          <w:instrText xml:space="preserve"> PAGEREF _Toc20701 \h </w:instrText>
        </w:r>
        <w:r>
          <w:fldChar w:fldCharType="separate"/>
        </w:r>
        <w:r>
          <w:t>45</w:t>
        </w:r>
        <w:r>
          <w:fldChar w:fldCharType="end"/>
        </w:r>
      </w:hyperlink>
    </w:p>
    <w:p>
      <w:pPr>
        <w:pStyle w:val="TOC2"/>
        <w:tabs>
          <w:tab w:val="right" w:leader="dot" w:pos="8306"/>
        </w:tabs>
      </w:pPr>
      <w:hyperlink w:anchor="_Toc28233" w:history="1">
        <w:r>
          <w:rPr>
            <w:rFonts w:ascii="仿宋" w:eastAsia="仿宋" w:hAnsi="仿宋" w:cs="仿宋" w:hint="eastAsia"/>
            <w:lang w:eastAsia="zh-CN"/>
          </w:rPr>
          <w:t>(二)、建设进度</w:t>
        </w:r>
        <w:r>
          <w:tab/>
        </w:r>
        <w:r>
          <w:fldChar w:fldCharType="begin"/>
        </w:r>
        <w:r>
          <w:instrText xml:space="preserve"> PAGEREF _Toc28233 \h </w:instrText>
        </w:r>
        <w:r>
          <w:fldChar w:fldCharType="separate"/>
        </w:r>
        <w:r>
          <w:t>46</w:t>
        </w:r>
        <w:r>
          <w:fldChar w:fldCharType="end"/>
        </w:r>
      </w:hyperlink>
    </w:p>
    <w:p>
      <w:pPr>
        <w:pStyle w:val="TOC2"/>
        <w:tabs>
          <w:tab w:val="right" w:leader="dot" w:pos="8306"/>
        </w:tabs>
      </w:pPr>
      <w:hyperlink w:anchor="_Toc22634" w:history="1">
        <w:r>
          <w:rPr>
            <w:rFonts w:ascii="仿宋" w:eastAsia="仿宋" w:hAnsi="仿宋" w:cs="仿宋" w:hint="eastAsia"/>
            <w:lang w:eastAsia="zh-CN"/>
          </w:rPr>
          <w:t>(三)、进度安排注意事项</w:t>
        </w:r>
        <w:r>
          <w:tab/>
        </w:r>
        <w:r>
          <w:fldChar w:fldCharType="begin"/>
        </w:r>
        <w:r>
          <w:instrText xml:space="preserve"> PAGEREF _Toc22634 \h </w:instrText>
        </w:r>
        <w:r>
          <w:fldChar w:fldCharType="separate"/>
        </w:r>
        <w:r>
          <w:t>47</w:t>
        </w:r>
        <w:r>
          <w:fldChar w:fldCharType="end"/>
        </w:r>
      </w:hyperlink>
    </w:p>
    <w:p>
      <w:pPr>
        <w:pStyle w:val="TOC2"/>
        <w:tabs>
          <w:tab w:val="right" w:leader="dot" w:pos="8306"/>
        </w:tabs>
      </w:pPr>
      <w:hyperlink w:anchor="_Toc8587" w:history="1">
        <w:r>
          <w:rPr>
            <w:rFonts w:ascii="仿宋" w:eastAsia="仿宋" w:hAnsi="仿宋" w:cs="仿宋" w:hint="eastAsia"/>
            <w:lang w:eastAsia="zh-CN"/>
          </w:rPr>
          <w:t>(四)、人力资源配置</w:t>
        </w:r>
        <w:r>
          <w:tab/>
        </w:r>
        <w:r>
          <w:fldChar w:fldCharType="begin"/>
        </w:r>
        <w:r>
          <w:instrText xml:space="preserve"> PAGEREF _Toc8587 \h </w:instrText>
        </w:r>
        <w:r>
          <w:fldChar w:fldCharType="separate"/>
        </w:r>
        <w:r>
          <w:t>48</w:t>
        </w:r>
        <w:r>
          <w:fldChar w:fldCharType="end"/>
        </w:r>
      </w:hyperlink>
    </w:p>
    <w:p>
      <w:pPr>
        <w:pStyle w:val="TOC1"/>
        <w:tabs>
          <w:tab w:val="right" w:leader="dot" w:pos="8306"/>
        </w:tabs>
      </w:pPr>
      <w:hyperlink w:anchor="_Toc908" w:history="1">
        <w:r>
          <w:rPr>
            <w:rFonts w:ascii="仿宋" w:eastAsia="仿宋" w:hAnsi="仿宋" w:cs="仿宋" w:hint="eastAsia"/>
            <w:lang w:eastAsia="zh-CN"/>
          </w:rPr>
          <w:t>十三、利益相关者分析与沟通计划</w:t>
        </w:r>
        <w:r>
          <w:tab/>
        </w:r>
        <w:r>
          <w:fldChar w:fldCharType="begin"/>
        </w:r>
        <w:r>
          <w:instrText xml:space="preserve"> PAGEREF _Toc908 \h </w:instrText>
        </w:r>
        <w:r>
          <w:fldChar w:fldCharType="separate"/>
        </w:r>
        <w:r>
          <w:t>49</w:t>
        </w:r>
        <w:r>
          <w:fldChar w:fldCharType="end"/>
        </w:r>
      </w:hyperlink>
    </w:p>
    <w:p>
      <w:pPr>
        <w:pStyle w:val="TOC2"/>
        <w:tabs>
          <w:tab w:val="right" w:leader="dot" w:pos="8306"/>
        </w:tabs>
      </w:pPr>
      <w:hyperlink w:anchor="_Toc27021" w:history="1">
        <w:r>
          <w:rPr>
            <w:rFonts w:ascii="仿宋" w:eastAsia="仿宋" w:hAnsi="仿宋" w:cs="仿宋" w:hint="eastAsia"/>
            <w:lang w:eastAsia="zh-CN"/>
          </w:rPr>
          <w:t>(一)、利益相关者分析</w:t>
        </w:r>
        <w:r>
          <w:tab/>
        </w:r>
        <w:r>
          <w:fldChar w:fldCharType="begin"/>
        </w:r>
        <w:r>
          <w:instrText xml:space="preserve"> PAGEREF _Toc27021 \h </w:instrText>
        </w:r>
        <w:r>
          <w:fldChar w:fldCharType="separate"/>
        </w:r>
        <w:r>
          <w:t>49</w:t>
        </w:r>
        <w:r>
          <w:fldChar w:fldCharType="end"/>
        </w:r>
      </w:hyperlink>
    </w:p>
    <w:p>
      <w:pPr>
        <w:pStyle w:val="TOC2"/>
        <w:tabs>
          <w:tab w:val="right" w:leader="dot" w:pos="8306"/>
        </w:tabs>
      </w:pPr>
      <w:hyperlink w:anchor="_Toc1768" w:history="1">
        <w:r>
          <w:rPr>
            <w:rFonts w:ascii="仿宋" w:eastAsia="仿宋" w:hAnsi="仿宋" w:cs="仿宋" w:hint="eastAsia"/>
            <w:lang w:eastAsia="zh-CN"/>
          </w:rPr>
          <w:t>(二)、沟通计划</w:t>
        </w:r>
        <w:r>
          <w:tab/>
        </w:r>
        <w:r>
          <w:fldChar w:fldCharType="begin"/>
        </w:r>
        <w:r>
          <w:instrText xml:space="preserve"> PAGEREF _Toc1768 \h </w:instrText>
        </w:r>
        <w:r>
          <w:fldChar w:fldCharType="separate"/>
        </w:r>
        <w:r>
          <w:t>50</w:t>
        </w:r>
        <w:r>
          <w:fldChar w:fldCharType="end"/>
        </w:r>
      </w:hyperlink>
    </w:p>
    <w:p>
      <w:pPr>
        <w:pStyle w:val="TOC1"/>
        <w:tabs>
          <w:tab w:val="right" w:leader="dot" w:pos="8306"/>
        </w:tabs>
      </w:pPr>
      <w:hyperlink w:anchor="_Toc9839" w:history="1">
        <w:r>
          <w:rPr>
            <w:rFonts w:ascii="仿宋" w:eastAsia="仿宋" w:hAnsi="仿宋" w:cs="仿宋" w:hint="eastAsia"/>
            <w:lang w:eastAsia="zh-CN"/>
          </w:rPr>
          <w:t>十四、大型娱乐设施服务项目实施保障措施</w:t>
        </w:r>
        <w:r>
          <w:tab/>
        </w:r>
        <w:r>
          <w:fldChar w:fldCharType="begin"/>
        </w:r>
        <w:r>
          <w:instrText xml:space="preserve"> PAGEREF _Toc9839 \h </w:instrText>
        </w:r>
        <w:r>
          <w:fldChar w:fldCharType="separate"/>
        </w:r>
        <w:r>
          <w:t>51</w:t>
        </w:r>
        <w:r>
          <w:fldChar w:fldCharType="end"/>
        </w:r>
      </w:hyperlink>
    </w:p>
    <w:p>
      <w:pPr>
        <w:pStyle w:val="TOC2"/>
        <w:tabs>
          <w:tab w:val="right" w:leader="dot" w:pos="8306"/>
        </w:tabs>
      </w:pPr>
      <w:hyperlink w:anchor="_Toc28677" w:history="1">
        <w:r>
          <w:rPr>
            <w:rFonts w:ascii="仿宋" w:eastAsia="仿宋" w:hAnsi="仿宋" w:cs="仿宋" w:hint="eastAsia"/>
            <w:lang w:eastAsia="zh-CN"/>
          </w:rPr>
          <w:t>(一)、大型娱乐设施服务项目实施保障机制</w:t>
        </w:r>
        <w:r>
          <w:tab/>
        </w:r>
        <w:r>
          <w:fldChar w:fldCharType="begin"/>
        </w:r>
        <w:r>
          <w:instrText xml:space="preserve"> PAGEREF _Toc28677 \h </w:instrText>
        </w:r>
        <w:r>
          <w:fldChar w:fldCharType="separate"/>
        </w:r>
        <w:r>
          <w:t>51</w:t>
        </w:r>
        <w:r>
          <w:fldChar w:fldCharType="end"/>
        </w:r>
      </w:hyperlink>
    </w:p>
    <w:p>
      <w:pPr>
        <w:pStyle w:val="TOC2"/>
        <w:tabs>
          <w:tab w:val="right" w:leader="dot" w:pos="8306"/>
        </w:tabs>
      </w:pPr>
      <w:hyperlink w:anchor="_Toc11762" w:history="1">
        <w:r>
          <w:rPr>
            <w:rFonts w:ascii="仿宋" w:eastAsia="仿宋" w:hAnsi="仿宋" w:cs="仿宋" w:hint="eastAsia"/>
            <w:lang w:eastAsia="zh-CN"/>
          </w:rPr>
          <w:t>(二)、大型娱乐设施服务项目法律合规要求</w:t>
        </w:r>
        <w:r>
          <w:tab/>
        </w:r>
        <w:r>
          <w:fldChar w:fldCharType="begin"/>
        </w:r>
        <w:r>
          <w:instrText xml:space="preserve"> PAGEREF _Toc11762 \h </w:instrText>
        </w:r>
        <w:r>
          <w:fldChar w:fldCharType="separate"/>
        </w:r>
        <w:r>
          <w:t>55</w:t>
        </w:r>
        <w:r>
          <w:fldChar w:fldCharType="end"/>
        </w:r>
      </w:hyperlink>
    </w:p>
    <w:p>
      <w:pPr>
        <w:pStyle w:val="TOC2"/>
        <w:tabs>
          <w:tab w:val="right" w:leader="dot" w:pos="8306"/>
        </w:tabs>
      </w:pPr>
      <w:hyperlink w:anchor="_Toc10893" w:history="1">
        <w:r>
          <w:rPr>
            <w:rFonts w:ascii="仿宋" w:eastAsia="仿宋" w:hAnsi="仿宋" w:cs="仿宋" w:hint="eastAsia"/>
            <w:lang w:eastAsia="zh-CN"/>
          </w:rPr>
          <w:t>(三)、大型娱乐设施服务项目合同管理与法律事务</w:t>
        </w:r>
        <w:r>
          <w:tab/>
        </w:r>
        <w:r>
          <w:fldChar w:fldCharType="begin"/>
        </w:r>
        <w:r>
          <w:instrText xml:space="preserve"> PAGEREF _Toc10893 \h </w:instrText>
        </w:r>
        <w:r>
          <w:fldChar w:fldCharType="separate"/>
        </w:r>
        <w:r>
          <w:t>60</w:t>
        </w:r>
        <w:r>
          <w:fldChar w:fldCharType="end"/>
        </w:r>
      </w:hyperlink>
    </w:p>
    <w:p>
      <w:pPr>
        <w:pStyle w:val="TOC2"/>
        <w:tabs>
          <w:tab w:val="right" w:leader="dot" w:pos="8306"/>
        </w:tabs>
      </w:pPr>
      <w:hyperlink w:anchor="_Toc15939" w:history="1">
        <w:r>
          <w:rPr>
            <w:rFonts w:ascii="仿宋" w:eastAsia="仿宋" w:hAnsi="仿宋" w:cs="仿宋" w:hint="eastAsia"/>
            <w:lang w:eastAsia="zh-CN"/>
          </w:rPr>
          <w:t>(四)、大型娱乐设施服务项目知识产权保护策略</w:t>
        </w:r>
        <w:r>
          <w:tab/>
        </w:r>
        <w:r>
          <w:fldChar w:fldCharType="begin"/>
        </w:r>
        <w:r>
          <w:instrText xml:space="preserve"> PAGEREF _Toc15939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63"/>
      <w:r>
        <w:rPr>
          <w:rFonts w:ascii="仿宋" w:eastAsia="仿宋" w:hAnsi="仿宋" w:cs="仿宋" w:hint="eastAsia"/>
          <w:sz w:val="28"/>
          <w:lang w:eastAsia="zh-CN"/>
        </w:rPr>
        <w:t>一、大型娱乐设施服务项目建设单位说明</w:t>
      </w:r>
      <w:bookmarkEnd w:id="2"/>
    </w:p>
    <w:p>
      <w:pPr>
        <w:pStyle w:val="Heading2"/>
        <w:rPr>
          <w:rFonts w:ascii="仿宋" w:eastAsia="仿宋" w:hAnsi="仿宋" w:cs="仿宋" w:hint="eastAsia"/>
          <w:lang w:eastAsia="zh-CN"/>
        </w:rPr>
      </w:pPr>
      <w:bookmarkStart w:id="3" w:name="_Toc339"/>
      <w:r>
        <w:rPr>
          <w:rFonts w:ascii="仿宋" w:eastAsia="仿宋" w:hAnsi="仿宋" w:cs="仿宋" w:hint="eastAsia"/>
          <w:lang w:eastAsia="zh-CN"/>
        </w:rPr>
        <w:t>(一)、大型娱乐设施服务项目承办单位基本情况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1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娱乐设施服务项目承办单位的XXXX，我们着眼于实现可持续的经济效益。通过技术创新和解决方案的提供，公司预计在大型娱乐设施服务项目执行期间将获得可观的收入增长。这一收入来源主要包括大型娱乐设施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同时，我们注重成本控制和效率提升，以确保大型娱乐设施服务项目的可持续盈利。透过精细的管理和资源优化，公司期望实现大型娱乐设施服务项目利润最大化。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型娱乐设施服务项目实施进行全面的投资评估，包括大型娱乐设施服务项目启动阶段的资金投入和后续运营成本。通过对大型娱乐设施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大型娱乐设施服务项目实施过程中具备足够的资金流动性，公司将进行详尽的现金流分析。这包括资金需求的合理预测、大型娱乐设施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938"/>
      <w:r>
        <w:rPr>
          <w:rFonts w:ascii="仿宋" w:eastAsia="仿宋" w:hAnsi="仿宋" w:cs="仿宋" w:hint="eastAsia"/>
          <w:sz w:val="28"/>
          <w:lang w:eastAsia="zh-CN"/>
        </w:rPr>
        <w:t>二、大型娱乐设施服务项目危机管理</w:t>
      </w:r>
      <w:bookmarkEnd w:id="5"/>
    </w:p>
    <w:p>
      <w:pPr>
        <w:pStyle w:val="Heading2"/>
        <w:rPr>
          <w:rFonts w:ascii="仿宋" w:eastAsia="仿宋" w:hAnsi="仿宋" w:cs="仿宋" w:hint="eastAsia"/>
          <w:lang w:eastAsia="zh-CN"/>
        </w:rPr>
      </w:pPr>
      <w:bookmarkStart w:id="6" w:name="_Toc374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项目危机管理中，危机预警与识别是确保大型娱乐设施服务项目稳健运行的核心步骤。通过建立全面的监测机制，大型娱乐设施服务项目团队旨在及时发现和理解潜在的风险和危机因素，以便采取及时的预防和应对措施，确保大型娱乐设施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娱乐设施服务项目团队全面分析了整个大型娱乐设施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娱乐设施服务项目团队着重于明确定义大型娱乐设施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娱乐设施服务项目进展的持续监控，团队能够及时发现潜在问题并作出迅速反应。大型娱乐设施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在这一阶段，团队的专业素养和反应速度将发挥至关重要的作用，以确保潜在危机能够在初期得到有效的处理，最大程度地减轻负面影响。通过危机预警与识别，大型娱乐设施服务项目得以更有序、可控地推进。</w:t>
      </w:r>
    </w:p>
    <w:p>
      <w:pPr>
        <w:pStyle w:val="Heading2"/>
        <w:ind w:firstLine="560" w:firstLineChars="200"/>
        <w:rPr>
          <w:rFonts w:ascii="仿宋" w:eastAsia="仿宋" w:hAnsi="仿宋" w:cs="仿宋" w:hint="eastAsia"/>
          <w:sz w:val="28"/>
          <w:lang w:eastAsia="zh-CN"/>
        </w:rPr>
      </w:pPr>
      <w:bookmarkStart w:id="7" w:name="_Toc3177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在危机发生时，大型娱乐设施服务项目团队立即行动，成立了应急小组。该小组的任务是迅速制定并实施紧急应对措施，以最小化潜在损失。以下是采取的主要措施：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暂停大型娱乐设施服务项目进度：为遏制危机蔓延，大型娱乐设施服务项目暂时停止进行，以便全面评估当前状况。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资源重新分配：重新评估大型娱乐设施服务项目资源的分配，确保最大限度地减小损失。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实时沟通：与关键利益相关者建立实时沟通机制，向他们传递大型娱乐设施服务项目危机的实际状况，保障大型娱乐设施服务项目核心利益。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在紧急应对的同时，大型娱乐设施服务项目团队强调了团队协作和有效沟通的重要性。以下是团队协作的关键举措：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信息共享机制：建立了信息共享平台，确保团队成员能够及时获取大型娱乐设施服务项目危机的实时信息。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领导者沟通：大型娱乐设施服务项目领导者通过定期会议和即时沟通工具，指导团队应对危机，保持团队稳定运行。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随着危机得到初步控制，大型娱乐设施服务项目团队转向制定恢复计划，以确保大型娱乐设施服务项目能够从中迅速恢复。主要恢复计划包括：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修复受损的进度计划：重新评估大型娱乐设施服务项目进度，制定修复计划，确保大型娱乐设施服务项目尽快回归正常进程。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重新调整资源分配：优化资源分配，确保大型娱乐设施服务项目在有限资源下高效运转。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风险管理机制加强：对大型娱乐设施服务项目风险进行全面评估，制定更强化的风险管理策略，以预防未来可能的危机。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73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957"/>
      <w:r>
        <w:rPr>
          <w:rFonts w:ascii="仿宋" w:eastAsia="仿宋" w:hAnsi="仿宋" w:cs="仿宋" w:hint="eastAsia"/>
          <w:lang w:eastAsia="zh-CN"/>
        </w:rPr>
        <w:t>(一)、大型娱乐设施服务行业分析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行业一直以来都是市场的关注焦点。行业内的发展趋势、竞争态势以及潜在机会都对大型娱乐设施服务项目的推进产生深远的影响。通过深入研究行业的整体概貌，我们将更好地理解行业的核心特征，为大型娱乐设施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行业，技术一直是推动创新和发展的关键因素。我们将对当前技术趋势进行详尽分析，包括但不限于人工智能、大数据应用、先进制造技术等。这有助于大型娱乐设施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型娱乐设施服务项目成功的基础。我们将对主要竞争对手进行深入研究，包括其市场份额、产品特点、市场定位等。通过全面了解竞争对手的优势和劣势，大型娱乐设施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366"/>
      <w:r>
        <w:rPr>
          <w:rFonts w:ascii="仿宋" w:eastAsia="仿宋" w:hAnsi="仿宋" w:cs="仿宋" w:hint="eastAsia"/>
          <w:sz w:val="28"/>
          <w:lang w:eastAsia="zh-CN"/>
        </w:rPr>
        <w:t>(二)、大型娱乐设施服务市场分析预测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型娱乐设施服务市场未来的增长趋势。这包括市场的整体规模、各细分领域的发展趋势等。大型娱乐设施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型娱乐设施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型娱乐设施服务项目实施过程中需要充分考虑的因素。我们将对市场风险进行全面评估，包括但不限于政策法规风险、市场竞争风险、技术变革风险等。通过对潜在风险的深入分析，大型娱乐设施服务项目可以制定相应的风险缓解策略，降低不确定性对大型娱乐设施服务项目的影响。</w:t>
      </w:r>
    </w:p>
    <w:p>
      <w:pPr>
        <w:pStyle w:val="Heading1"/>
        <w:ind w:firstLine="560" w:firstLineChars="200"/>
        <w:rPr>
          <w:rFonts w:ascii="仿宋" w:eastAsia="仿宋" w:hAnsi="仿宋" w:cs="仿宋" w:hint="eastAsia"/>
          <w:sz w:val="28"/>
          <w:lang w:eastAsia="zh-CN"/>
        </w:rPr>
      </w:pPr>
      <w:bookmarkStart w:id="11" w:name="_Toc1506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062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技术管理特点体现在其创新导向。通过引入最先进的技术趋势和解决方案，大型娱乐设施服务项目致力于提升科技含量、提高质量和效率水平。这意味着我们将采用最新的工具和方法，确保大型娱乐设施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娱乐设施服务项目技术管理的显著特征。通过整合不同领域的技术资源，我们实现了跨学科的协同工作。这有助于优化技术架构，提高整体效能。此外，整合性策略还促进了不同技术团队之间的紧密沟通和高效合作，确保大型娱乐设施服务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大型娱乐设施服务项目所采用的技术。通过不断优化技术方案，大型娱乐设施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娱乐设施服务项目团队将在大型娱乐设施服务项目初期识别可能的技术风险，并采取相应的预防和应对措施。通过建立健全的风险评估机制，大型娱乐设施服务项目能够在实施过程中及时发现并解决潜在的技术问题，保障大型娱乐设施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型娱乐设施服务项目中，技术将成为大型娱乐设施服务项目成功的有力支持。这一深度剖析揭示了技术管理在大型娱乐设施服务项目实施中的关键作用，为大型娱乐设施服务项目的技术基础奠定了坚实的基础。</w:t>
      </w:r>
    </w:p>
    <w:p>
      <w:pPr>
        <w:pStyle w:val="Heading2"/>
        <w:ind w:firstLine="560" w:firstLineChars="200"/>
        <w:rPr>
          <w:rFonts w:ascii="仿宋" w:eastAsia="仿宋" w:hAnsi="仿宋" w:cs="仿宋" w:hint="eastAsia"/>
          <w:sz w:val="28"/>
          <w:lang w:eastAsia="zh-CN"/>
        </w:rPr>
      </w:pPr>
      <w:bookmarkStart w:id="13" w:name="_Toc12112"/>
      <w:r>
        <w:rPr>
          <w:rFonts w:ascii="仿宋" w:eastAsia="仿宋" w:hAnsi="仿宋" w:cs="仿宋" w:hint="eastAsia"/>
          <w:sz w:val="28"/>
          <w:lang w:eastAsia="zh-CN"/>
        </w:rPr>
        <w:t>(二)、大型娱乐设施服务项目工艺技术设计方案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娱乐设施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经营活动方面，大型娱乐设施服务项目将严格按照相关行业规范要求进行组织。通过有效控制产品质量，大型娱乐设施服务项目将致力于为顾客提供优质的大型娱乐设施服务项目产品和良好的服务。这体现了大型娱乐设施服务项目对于生产活动合规性和质量标准的高度重视，为大型娱乐设施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娱乐设施服务项目注重生态效益和清洁生产原则。大型娱乐设施服务项目建设将紧密结合地方特色经济发展，与社会经济发展规划和区域环境保护规划方案相协调一致。通过与当地区域自然生态系统的结合，大型娱乐设施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型娱乐设施服务项目产品具有多样化的客户需求和个性化的特点。因此，大型娱乐设施服务项目产品规格品种多样，且单批生产数量较小。为满足这一特点，大型娱乐设施服务项目承办单位将建设先进的柔性制造生产线。通过广泛应用柔性制造技术，大型娱乐设施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型娱乐设施服务项目采用的技术具有较高的技术含量和自动化水平，处于国内先进水平。这一技术选用不仅体现了对生产效率、质量和环境友好性的高标准要求，同时为大型娱乐设施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991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为确保大型娱乐设施服务项目的高效生产和技术实施，我们制定了一套精心设计的设备选型方案，以满足大型娱乐设施服务项目生产、质量和环保的要求。该方案的主要特点如下：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型娱乐设施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针对大型娱乐设施服务项目产品的多样性和小批量生产的特点，我们将建设柔性制造生产线。通过在设备选型中考虑柔性制造技术，可以灵活应对不同产品规格和生产需求，实现生产线的高度灵活性和适应性。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508"/>
      <w:r>
        <w:rPr>
          <w:rFonts w:ascii="仿宋" w:eastAsia="仿宋" w:hAnsi="仿宋" w:cs="仿宋" w:hint="eastAsia"/>
          <w:sz w:val="28"/>
          <w:lang w:eastAsia="zh-CN"/>
        </w:rPr>
        <w:t>五、大型娱乐设施服务项目选址可行性分析</w:t>
      </w:r>
      <w:bookmarkEnd w:id="15"/>
    </w:p>
    <w:p>
      <w:pPr>
        <w:pStyle w:val="Heading2"/>
        <w:rPr>
          <w:rFonts w:ascii="仿宋" w:eastAsia="仿宋" w:hAnsi="仿宋" w:cs="仿宋" w:hint="eastAsia"/>
          <w:lang w:eastAsia="zh-CN"/>
        </w:rPr>
      </w:pPr>
      <w:bookmarkStart w:id="16" w:name="_Toc3087"/>
      <w:r>
        <w:rPr>
          <w:rFonts w:ascii="仿宋" w:eastAsia="仿宋" w:hAnsi="仿宋" w:cs="仿宋" w:hint="eastAsia"/>
          <w:lang w:eastAsia="zh-CN"/>
        </w:rPr>
        <w:t>(一)、大型娱乐设施服务项目选址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该大型娱乐设施服务项目选址位于XX省XX市XX区XXX街道</w:t>
      </w:r>
    </w:p>
    <w:p>
      <w:pPr>
        <w:pStyle w:val="Heading2"/>
        <w:ind w:firstLine="560" w:firstLineChars="200"/>
        <w:rPr>
          <w:rFonts w:ascii="仿宋" w:eastAsia="仿宋" w:hAnsi="仿宋" w:cs="仿宋" w:hint="eastAsia"/>
          <w:sz w:val="28"/>
          <w:lang w:eastAsia="zh-CN"/>
        </w:rPr>
      </w:pPr>
      <w:bookmarkStart w:id="17" w:name="_Toc2018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娱乐设施服务项目的征地面积将根据大型娱乐设施服务项目的实际规模和需求进行精确规划。具体面积XXX平方米，旨在确保大型娱乐设施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净用地面积是在征地面积基础上去除不可利用面积后的实际可开发用地。具体面积XXX平方米，考虑到环保、交通、安全等多方面因素，以确保大型娱乐设施服务项目在整体利用效率上达到最优。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大型娱乐设施服务项目计划建设的建筑总规模具体面积XXX平方米。这一规模的确定综合考虑了大型娱乐设施服务项目的性质、规模，以及城市规划的相关要求，确保建筑布局与周边环境协调一致。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绿地率是大型娱乐设施服务项目用地中被规划为绿地的比例。具体面积XXX平方米，旨在通过合理规划绿地，改善大型娱乐设施服务项目周边环境，提升居民生活质量，并符合城市整体绿化规划。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容积率是用地上可以建设的建筑总体积与用地面积之比。具体面积XXX，通过合理的容积率规划，确保大型娱乐设施服务项目建筑规模与周边环境和谐共生。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娱乐设施服务项目选址与当地城市规划相一致，具体面积XXX平方米。通过与城市规划部门深入沟通，确保大型娱乐设施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娱乐设施服务项目选址符合当地产业政策，具体面积XXX平方米。这包括大型娱乐设施服务项目对当地经济的促进作用，以及对相关产业的带动效应，确保大型娱乐设施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用地总体要求必须符合环保和可持续发展的原则，具体面积XXX平方米。通过采用绿色建筑设计、节能减排等措施，确保大型娱乐设施服务项目在建设和运营过程中对环境的影响最小化，达到可持续发展的要求。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确保大型娱乐设施服务项目选址具备必要的公共设施配套，具体面积XXX平方米。这包括交通便利性、教育、医疗等基础设施，以提高居民生活品质，使得大型娱乐设施服务项目选址更具吸引力。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考虑用地总体要求对当地社会稳定性的影响，具体面积XXX平方米。通过深入了解当地社区反馈，确保大型娱乐设施服务项目的选址和建设过程对当地社会和谐稳定产生积极作用。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娱乐设施服务项目选址不仅符合法规和规划，还在实际操作中具有可行性。这一全面规划将为大型娱乐设施服务项目的成功实施提供坚实的基础，确保大型娱乐设施服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50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娱乐设施服务项目的设备规划和空间设计中，我们将采取灵活设备布局的措施。设备布局将根据实际需求进行灵活设计，避免不必要的浪费。通过合理规划设备摆放位置，我们将提高设备的利用率，减少设备间距，以确保大型娱乐设施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娱乐设施服务项目内部引入共享设施的概念，例如共享会议室、办公区等。通过这种方式，我们可以减少对资源的重复建设，提高资源共享效率，从而减小大型娱乐设施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31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型娱乐设施服务项目的总图布置中，我们将不同功能区域进行明确的规划，以最大程度满足大型娱乐设施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https://d.book118.com/275301204113011100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A409C"/>
    <w:rsid w:val="08CA4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0120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2024-01-16T04:50:00Z</dcterms:created>
  <dcterms:modified xsi:type="dcterms:W3CDTF">2024-01-16T04:50:46Z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44419352E8A34CE6A15FA663AC91DB07_11</vt:lpwstr>
  </property>
  <property fmtid="{D5CDD505-2E9C-101B-9397-08002B2CF9AE}" pid="3" name="KSOProductBuildVer">
    <vt:lpwstr>2052-12.1.0.16120</vt:lpwstr>
  </property>
</Properties>
</file>