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before="7" w:after="1"/>
        <w:ind w:left="0"/>
        <w:rPr>
          <w:rFonts w:ascii="Times New Roman"/>
          <w:sz w:val="9"/>
        </w:rPr>
      </w:pPr>
    </w:p>
    <w:p>
      <w:pPr>
        <w:pStyle w:val="BodyText"/>
        <w:ind w:left="2828"/>
        <w:rPr>
          <w:rFonts w:ascii="Times New Roman"/>
          <w:sz w:val="20"/>
        </w:rPr>
      </w:pPr>
      <w:r>
        <w:rPr>
          <w:rFonts w:ascii="Times New Roman"/>
          <w:sz w:val="20"/>
        </w:rPr>
        <w:drawing>
          <wp:inline distT="0" distB="0" distL="0" distR="0">
            <wp:extent cx="2178475" cy="40233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2178475" cy="402335"/>
                    </a:xfrm>
                    <a:prstGeom prst="rect">
                      <a:avLst/>
                    </a:prstGeom>
                  </pic:spPr>
                </pic:pic>
              </a:graphicData>
            </a:graphic>
          </wp:inline>
        </w:drawing>
      </w:r>
    </w:p>
    <w:p>
      <w:pPr>
        <w:pStyle w:val="BodyText"/>
        <w:ind w:left="0"/>
        <w:rPr>
          <w:rFonts w:ascii="Times New Roman"/>
          <w:sz w:val="20"/>
        </w:rPr>
      </w:pPr>
    </w:p>
    <w:p>
      <w:pPr>
        <w:pStyle w:val="BodyText"/>
        <w:ind w:left="0"/>
        <w:rPr>
          <w:rFonts w:ascii="Times New Roman"/>
          <w:sz w:val="22"/>
        </w:rPr>
      </w:pPr>
    </w:p>
    <w:p>
      <w:pPr>
        <w:pStyle w:val="Title"/>
      </w:pPr>
      <w:r>
        <w:rPr>
          <w:spacing w:val="144"/>
        </w:rPr>
        <w:t>本科毕业设计</w:t>
      </w:r>
      <w:r>
        <w:t>（</w:t>
      </w:r>
      <w:r>
        <w:rPr>
          <w:spacing w:val="36"/>
        </w:rPr>
        <w:t xml:space="preserve"> 论文</w:t>
      </w:r>
      <w:r>
        <w:rPr>
          <w:spacing w:val="-10"/>
        </w:rPr>
        <w:t>）</w:t>
      </w:r>
    </w:p>
    <w:p>
      <w:pPr>
        <w:pStyle w:val="BodyText"/>
        <w:spacing w:before="7"/>
        <w:ind w:left="0"/>
        <w:rPr>
          <w:rFonts w:ascii="Microsoft JhengHei"/>
          <w:b/>
          <w:sz w:val="15"/>
        </w:rPr>
      </w:pPr>
      <w:r>
        <w:drawing>
          <wp:anchor distT="0" distB="0" distL="0" distR="0" simplePos="0" relativeHeight="251658240" behindDoc="0" locked="0" layoutInCell="1" allowOverlap="1">
            <wp:simplePos x="0" y="0"/>
            <wp:positionH relativeFrom="page">
              <wp:posOffset>3334642</wp:posOffset>
            </wp:positionH>
            <wp:positionV relativeFrom="paragraph">
              <wp:posOffset>195346</wp:posOffset>
            </wp:positionV>
            <wp:extent cx="1011122" cy="101422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1011122" cy="1014222"/>
                    </a:xfrm>
                    <a:prstGeom prst="rect">
                      <a:avLst/>
                    </a:prstGeom>
                  </pic:spPr>
                </pic:pic>
              </a:graphicData>
            </a:graphic>
          </wp:anchor>
        </w:drawing>
      </w:r>
    </w:p>
    <w:p>
      <w:pPr>
        <w:pStyle w:val="BodyText"/>
        <w:ind w:left="0"/>
        <w:rPr>
          <w:rFonts w:ascii="Microsoft JhengHei"/>
          <w:b/>
          <w:sz w:val="20"/>
        </w:rPr>
      </w:pPr>
    </w:p>
    <w:p>
      <w:pPr>
        <w:pStyle w:val="BodyText"/>
        <w:ind w:left="0"/>
        <w:rPr>
          <w:rFonts w:ascii="Microsoft JhengHei"/>
          <w:b/>
          <w:sz w:val="20"/>
        </w:rPr>
      </w:pPr>
    </w:p>
    <w:p>
      <w:pPr>
        <w:pStyle w:val="BodyText"/>
        <w:spacing w:before="1"/>
        <w:ind w:left="0"/>
        <w:rPr>
          <w:rFonts w:ascii="Microsoft JhengHei"/>
          <w:b/>
          <w:sz w:val="19"/>
        </w:rPr>
      </w:pPr>
    </w:p>
    <w:p>
      <w:pPr>
        <w:tabs>
          <w:tab w:val="left" w:pos="2371"/>
          <w:tab w:val="left" w:pos="4239"/>
        </w:tabs>
        <w:spacing w:before="0" w:line="593" w:lineRule="exact"/>
        <w:ind w:left="1509" w:right="0" w:firstLine="0"/>
        <w:jc w:val="left"/>
        <w:rPr>
          <w:rFonts w:ascii="Microsoft JhengHei" w:eastAsia="Microsoft JhengHei"/>
          <w:b/>
          <w:sz w:val="36"/>
        </w:rPr>
      </w:pPr>
      <w:r>
        <w:rPr>
          <w:rFonts w:ascii="Microsoft JhengHei" w:eastAsia="Microsoft JhengHei"/>
          <w:b/>
          <w:spacing w:val="-10"/>
          <w:sz w:val="36"/>
        </w:rPr>
        <w:t>题</w:t>
      </w:r>
      <w:r>
        <w:rPr>
          <w:rFonts w:ascii="Microsoft JhengHei" w:eastAsia="Microsoft JhengHei"/>
          <w:b/>
          <w:sz w:val="36"/>
        </w:rPr>
        <w:tab/>
      </w:r>
      <w:r>
        <w:rPr>
          <w:rFonts w:ascii="Microsoft JhengHei" w:eastAsia="Microsoft JhengHei"/>
          <w:b/>
          <w:spacing w:val="-10"/>
          <w:sz w:val="36"/>
        </w:rPr>
        <w:t>目</w:t>
      </w:r>
      <w:r>
        <w:rPr>
          <w:rFonts w:ascii="Microsoft JhengHei" w:eastAsia="Microsoft JhengHei"/>
          <w:b/>
          <w:sz w:val="36"/>
        </w:rPr>
        <w:tab/>
        <w:t>一</w:t>
      </w:r>
      <w:r>
        <w:rPr>
          <w:rFonts w:ascii="Microsoft JhengHei" w:eastAsia="Microsoft JhengHei"/>
          <w:b/>
          <w:sz w:val="36"/>
        </w:rPr>
        <w:t>种</w:t>
      </w:r>
      <w:r>
        <w:rPr>
          <w:rFonts w:ascii="Microsoft JhengHei" w:eastAsia="Microsoft JhengHei"/>
          <w:b/>
          <w:sz w:val="36"/>
        </w:rPr>
        <w:t>表</w:t>
      </w:r>
      <w:r>
        <w:rPr>
          <w:rFonts w:ascii="Microsoft JhengHei" w:eastAsia="Microsoft JhengHei"/>
          <w:b/>
          <w:sz w:val="36"/>
        </w:rPr>
        <w:t>面</w:t>
      </w:r>
      <w:r>
        <w:rPr>
          <w:rFonts w:ascii="Microsoft JhengHei" w:eastAsia="Microsoft JhengHei"/>
          <w:b/>
          <w:sz w:val="36"/>
        </w:rPr>
        <w:t>活</w:t>
      </w:r>
      <w:r>
        <w:rPr>
          <w:rFonts w:ascii="Microsoft JhengHei" w:eastAsia="Microsoft JhengHei"/>
          <w:b/>
          <w:spacing w:val="-10"/>
          <w:sz w:val="36"/>
        </w:rPr>
        <w:t>性</w:t>
      </w:r>
    </w:p>
    <w:p>
      <w:pPr>
        <w:pStyle w:val="BodyText"/>
        <w:spacing w:line="20" w:lineRule="exact"/>
        <w:ind w:left="2841"/>
        <w:rPr>
          <w:rFonts w:ascii="Microsoft JhengHei"/>
          <w:sz w:val="2"/>
        </w:rPr>
      </w:pPr>
      <w:r>
        <w:rPr>
          <w:rFonts w:ascii="Microsoft JhengHei"/>
          <w:sz w:val="2"/>
        </w:rPr>
        <w:pict>
          <v:group id="_x0000_i1025" style="width:248.25pt;height:0.5pt;mso-position-horizontal-relative:char;mso-position-vertical-relative:line" coordorigin="0,0" coordsize="4965,10">
            <v:line id="_x0000_s1026" style="position:absolute" from="0,5" to="4965,5" stroked="t" strokecolor="black" strokeweight="0.5pt">
              <v:stroke dashstyle="solid"/>
            </v:line>
            <w10:wrap type="none"/>
          </v:group>
        </w:pict>
      </w:r>
    </w:p>
    <w:p>
      <w:pPr>
        <w:spacing w:before="226" w:after="2"/>
        <w:ind w:left="4058" w:right="0" w:firstLine="0"/>
        <w:jc w:val="left"/>
        <w:rPr>
          <w:rFonts w:ascii="Microsoft JhengHei" w:eastAsia="Microsoft JhengHei"/>
          <w:b/>
          <w:sz w:val="36"/>
        </w:rPr>
      </w:pPr>
      <w:r>
        <w:rPr>
          <w:rFonts w:ascii="Microsoft JhengHei" w:eastAsia="Microsoft JhengHei"/>
          <w:b/>
          <w:spacing w:val="-2"/>
          <w:sz w:val="36"/>
        </w:rPr>
        <w:t>离子液体的合成</w:t>
      </w:r>
    </w:p>
    <w:p>
      <w:pPr>
        <w:pStyle w:val="BodyText"/>
        <w:spacing w:line="20" w:lineRule="exact"/>
        <w:ind w:left="1401"/>
        <w:rPr>
          <w:rFonts w:ascii="Microsoft JhengHei"/>
          <w:sz w:val="2"/>
        </w:rPr>
      </w:pPr>
      <w:r>
        <w:rPr>
          <w:rFonts w:ascii="Microsoft JhengHei"/>
          <w:sz w:val="2"/>
        </w:rPr>
        <w:pict>
          <v:group id="_x0000_i1027" style="width:320.25pt;height:0.5pt;mso-position-horizontal-relative:char;mso-position-vertical-relative:line" coordorigin="0,0" coordsize="6405,10">
            <v:line id="_x0000_s1028" style="position:absolute" from="0,5" to="6405,5" stroked="t" strokecolor="black" strokeweight="0.5pt">
              <v:stroke dashstyle="solid"/>
            </v:line>
            <w10:wrap type="none"/>
          </v:group>
        </w:pict>
      </w:r>
    </w:p>
    <w:p>
      <w:pPr>
        <w:pStyle w:val="BodyText"/>
        <w:spacing w:before="9"/>
        <w:ind w:left="0"/>
        <w:rPr>
          <w:rFonts w:ascii="Microsoft JhengHei"/>
          <w:b/>
        </w:rPr>
      </w:pPr>
    </w:p>
    <w:p>
      <w:pPr>
        <w:pStyle w:val="Heading2"/>
        <w:tabs>
          <w:tab w:val="left" w:pos="3485"/>
          <w:tab w:val="left" w:pos="4931"/>
          <w:tab w:val="left" w:pos="5534"/>
        </w:tabs>
        <w:spacing w:line="511" w:lineRule="exact"/>
        <w:ind w:left="1518" w:firstLine="0"/>
      </w:pPr>
      <w:r>
        <w:t>学</w:t>
      </w:r>
      <w:r>
        <w:t>生</w:t>
      </w:r>
      <w:r>
        <w:t>姓</w:t>
      </w:r>
      <w:r>
        <w:rPr>
          <w:spacing w:val="-10"/>
        </w:rPr>
        <w:t>名</w:t>
      </w:r>
      <w:r>
        <w:tab/>
        <w:t>陈</w:t>
      </w:r>
      <w:r>
        <w:rPr>
          <w:spacing w:val="-12"/>
        </w:rPr>
        <w:t>亮</w:t>
      </w:r>
      <w:r>
        <w:tab/>
      </w:r>
      <w:r>
        <w:rPr>
          <w:spacing w:val="-10"/>
        </w:rPr>
        <w:t>学</w:t>
      </w:r>
      <w:r>
        <w:tab/>
      </w:r>
      <w:r>
        <w:rPr>
          <w:spacing w:val="-10"/>
        </w:rPr>
        <w:t>号</w:t>
      </w:r>
    </w:p>
    <w:p>
      <w:pPr>
        <w:tabs>
          <w:tab w:val="left" w:pos="6034"/>
        </w:tabs>
        <w:spacing w:line="20" w:lineRule="exact"/>
        <w:ind w:left="2841" w:right="0" w:firstLine="0"/>
        <w:rPr>
          <w:rFonts w:ascii="Microsoft JhengHei"/>
          <w:sz w:val="2"/>
        </w:rPr>
      </w:pPr>
      <w:r>
        <w:rPr>
          <w:rFonts w:ascii="Microsoft JhengHei"/>
          <w:sz w:val="2"/>
        </w:rPr>
        <w:pict>
          <v:group id="_x0000_i1029" style="width:94.6pt;height:0.5pt;mso-position-horizontal-relative:char;mso-position-vertical-relative:line" coordorigin="0,0" coordsize="1892,10">
            <v:line id="_x0000_s1030" style="position:absolute" from="0,5" to="1892,5" stroked="t" strokecolor="black" strokeweight="0.5pt">
              <v:stroke dashstyle="solid"/>
            </v:line>
            <w10:wrap type="none"/>
          </v:group>
        </w:pict>
      </w:r>
      <w:r>
        <w:rPr>
          <w:rFonts w:ascii="Microsoft JhengHei"/>
          <w:sz w:val="2"/>
        </w:rPr>
        <w:tab/>
      </w:r>
      <w:r>
        <w:rPr>
          <w:rFonts w:ascii="Microsoft JhengHei"/>
          <w:sz w:val="2"/>
        </w:rPr>
        <w:pict>
          <v:group id="_x0000_i1031" style="width:88.9pt;height:0.5pt;mso-position-horizontal-relative:char;mso-position-vertical-relative:line" coordorigin="0,0" coordsize="1778,10">
            <v:line id="_x0000_s1032" style="position:absolute" from="0,5" to="1778,5" stroked="t" strokecolor="black" strokeweight="0.5pt">
              <v:stroke dashstyle="solid"/>
            </v:line>
            <w10:wrap type="none"/>
          </v:group>
        </w:pict>
      </w:r>
    </w:p>
    <w:p>
      <w:pPr>
        <w:pStyle w:val="BodyText"/>
        <w:ind w:left="0"/>
        <w:rPr>
          <w:rFonts w:ascii="Microsoft JhengHei"/>
          <w:b/>
          <w:sz w:val="13"/>
        </w:rPr>
      </w:pPr>
    </w:p>
    <w:tbl>
      <w:tblPr>
        <w:tblStyle w:val="TableNormal"/>
        <w:tblW w:w="0" w:type="auto"/>
        <w:jc w:val="left"/>
        <w:tblInd w:w="1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372"/>
        <w:gridCol w:w="1263"/>
        <w:gridCol w:w="3707"/>
      </w:tblGrid>
      <w:tr>
        <w:tblPrEx>
          <w:tblW w:w="0" w:type="auto"/>
          <w:jc w:val="left"/>
          <w:tblInd w:w="14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5"/>
          <w:jc w:val="left"/>
        </w:trPr>
        <w:tc>
          <w:tcPr>
            <w:tcW w:w="1372" w:type="dxa"/>
          </w:tcPr>
          <w:p>
            <w:pPr>
              <w:pStyle w:val="TableParagraph"/>
              <w:spacing w:before="0" w:line="386" w:lineRule="exact"/>
              <w:ind w:left="50"/>
              <w:rPr>
                <w:rFonts w:ascii="Microsoft JhengHei" w:eastAsia="Microsoft JhengHei"/>
                <w:b/>
                <w:sz w:val="30"/>
              </w:rPr>
            </w:pPr>
            <w:r>
              <w:rPr>
                <w:rFonts w:ascii="Microsoft JhengHei" w:eastAsia="Microsoft JhengHei"/>
                <w:b/>
                <w:spacing w:val="-3"/>
                <w:sz w:val="30"/>
              </w:rPr>
              <w:t>教学院系</w:t>
            </w:r>
          </w:p>
        </w:tc>
        <w:tc>
          <w:tcPr>
            <w:tcW w:w="1263" w:type="dxa"/>
            <w:tcBorders>
              <w:bottom w:val="single" w:sz="4" w:space="0" w:color="000000"/>
            </w:tcBorders>
          </w:tcPr>
          <w:p>
            <w:pPr>
              <w:pStyle w:val="TableParagraph"/>
              <w:spacing w:before="0"/>
              <w:ind w:left="0"/>
              <w:rPr>
                <w:sz w:val="30"/>
              </w:rPr>
            </w:pPr>
          </w:p>
        </w:tc>
        <w:tc>
          <w:tcPr>
            <w:tcW w:w="3707" w:type="dxa"/>
            <w:tcBorders>
              <w:bottom w:val="single" w:sz="4" w:space="0" w:color="000000"/>
            </w:tcBorders>
          </w:tcPr>
          <w:p>
            <w:pPr>
              <w:pStyle w:val="TableParagraph"/>
              <w:spacing w:before="0" w:line="386" w:lineRule="exact"/>
              <w:ind w:left="319"/>
              <w:rPr>
                <w:rFonts w:ascii="Microsoft JhengHei" w:eastAsia="Microsoft JhengHei"/>
                <w:b/>
                <w:sz w:val="30"/>
              </w:rPr>
            </w:pPr>
            <w:r>
              <w:rPr>
                <w:rFonts w:ascii="Microsoft JhengHei" w:eastAsia="Microsoft JhengHei"/>
                <w:b/>
                <w:spacing w:val="-2"/>
                <w:sz w:val="30"/>
              </w:rPr>
              <w:t>化学化工学院</w:t>
            </w:r>
          </w:p>
        </w:tc>
      </w:tr>
      <w:tr>
        <w:tblPrEx>
          <w:tblW w:w="0" w:type="auto"/>
          <w:jc w:val="left"/>
          <w:tblInd w:w="1476" w:type="dxa"/>
          <w:tblLayout w:type="fixed"/>
          <w:tblCellMar>
            <w:top w:w="0" w:type="dxa"/>
            <w:left w:w="0" w:type="dxa"/>
            <w:bottom w:w="0" w:type="dxa"/>
            <w:right w:w="0" w:type="dxa"/>
          </w:tblCellMar>
          <w:tblLook w:val="01E0"/>
        </w:tblPrEx>
        <w:trPr>
          <w:trHeight w:val="660"/>
          <w:jc w:val="left"/>
        </w:trPr>
        <w:tc>
          <w:tcPr>
            <w:tcW w:w="1372" w:type="dxa"/>
          </w:tcPr>
          <w:p>
            <w:pPr>
              <w:pStyle w:val="TableParagraph"/>
              <w:spacing w:before="113" w:line="527" w:lineRule="exact"/>
              <w:ind w:left="50"/>
              <w:rPr>
                <w:rFonts w:ascii="Microsoft JhengHei" w:eastAsia="Microsoft JhengHei"/>
                <w:b/>
                <w:sz w:val="30"/>
              </w:rPr>
            </w:pPr>
            <w:r>
              <w:rPr>
                <w:rFonts w:ascii="Microsoft JhengHei" w:eastAsia="Microsoft JhengHei"/>
                <w:b/>
                <w:spacing w:val="-3"/>
                <w:sz w:val="30"/>
              </w:rPr>
              <w:t>专业年级</w:t>
            </w:r>
          </w:p>
        </w:tc>
        <w:tc>
          <w:tcPr>
            <w:tcW w:w="1263" w:type="dxa"/>
            <w:tcBorders>
              <w:top w:val="single" w:sz="4" w:space="0" w:color="000000"/>
              <w:bottom w:val="single" w:sz="4" w:space="0" w:color="000000"/>
            </w:tcBorders>
          </w:tcPr>
          <w:p>
            <w:pPr>
              <w:pStyle w:val="TableParagraph"/>
              <w:spacing w:before="0"/>
              <w:ind w:left="0"/>
              <w:rPr>
                <w:sz w:val="34"/>
              </w:rPr>
            </w:pPr>
          </w:p>
        </w:tc>
        <w:tc>
          <w:tcPr>
            <w:tcW w:w="3707" w:type="dxa"/>
            <w:tcBorders>
              <w:top w:val="single" w:sz="4" w:space="0" w:color="000000"/>
              <w:bottom w:val="single" w:sz="4" w:space="0" w:color="000000"/>
            </w:tcBorders>
          </w:tcPr>
          <w:p>
            <w:pPr>
              <w:pStyle w:val="TableParagraph"/>
              <w:spacing w:before="113" w:line="527" w:lineRule="exact"/>
              <w:ind w:left="18"/>
              <w:rPr>
                <w:rFonts w:ascii="Microsoft JhengHei" w:eastAsia="Microsoft JhengHei"/>
                <w:b/>
                <w:sz w:val="30"/>
              </w:rPr>
            </w:pPr>
            <w:r>
              <w:rPr>
                <w:rFonts w:ascii="Microsoft JhengHei" w:eastAsia="Microsoft JhengHei"/>
                <w:b/>
                <w:spacing w:val="-2"/>
                <w:sz w:val="30"/>
              </w:rPr>
              <w:t>化学工程与工艺级</w:t>
            </w:r>
          </w:p>
        </w:tc>
      </w:tr>
      <w:tr>
        <w:tblPrEx>
          <w:tblW w:w="0" w:type="auto"/>
          <w:jc w:val="left"/>
          <w:tblInd w:w="1476" w:type="dxa"/>
          <w:tblLayout w:type="fixed"/>
          <w:tblCellMar>
            <w:top w:w="0" w:type="dxa"/>
            <w:left w:w="0" w:type="dxa"/>
            <w:bottom w:w="0" w:type="dxa"/>
            <w:right w:w="0" w:type="dxa"/>
          </w:tblCellMar>
          <w:tblLook w:val="01E0"/>
        </w:tblPrEx>
        <w:trPr>
          <w:trHeight w:val="660"/>
          <w:jc w:val="left"/>
        </w:trPr>
        <w:tc>
          <w:tcPr>
            <w:tcW w:w="1372" w:type="dxa"/>
          </w:tcPr>
          <w:p>
            <w:pPr>
              <w:pStyle w:val="TableParagraph"/>
              <w:spacing w:before="113" w:line="527" w:lineRule="exact"/>
              <w:ind w:left="50"/>
              <w:rPr>
                <w:rFonts w:ascii="Microsoft JhengHei" w:eastAsia="Microsoft JhengHei"/>
                <w:b/>
                <w:sz w:val="30"/>
              </w:rPr>
            </w:pPr>
            <w:r>
              <w:rPr>
                <w:rFonts w:ascii="Microsoft JhengHei" w:eastAsia="Microsoft JhengHei"/>
                <w:b/>
                <w:spacing w:val="-3"/>
                <w:sz w:val="30"/>
              </w:rPr>
              <w:t>指导教师</w:t>
            </w:r>
          </w:p>
        </w:tc>
        <w:tc>
          <w:tcPr>
            <w:tcW w:w="1263" w:type="dxa"/>
            <w:tcBorders>
              <w:top w:val="single" w:sz="4" w:space="0" w:color="000000"/>
              <w:bottom w:val="single" w:sz="4" w:space="0" w:color="000000"/>
            </w:tcBorders>
          </w:tcPr>
          <w:p>
            <w:pPr>
              <w:pStyle w:val="TableParagraph"/>
              <w:spacing w:before="113" w:line="527" w:lineRule="exact"/>
              <w:ind w:left="645"/>
              <w:rPr>
                <w:rFonts w:ascii="Microsoft JhengHei" w:eastAsia="Microsoft JhengHei"/>
                <w:b/>
                <w:sz w:val="30"/>
              </w:rPr>
            </w:pPr>
            <w:r>
              <w:rPr>
                <w:rFonts w:ascii="Microsoft JhengHei" w:eastAsia="Microsoft JhengHei"/>
                <w:b/>
                <w:spacing w:val="-5"/>
                <w:sz w:val="30"/>
              </w:rPr>
              <w:t>黄英</w:t>
            </w:r>
          </w:p>
        </w:tc>
        <w:tc>
          <w:tcPr>
            <w:tcW w:w="3707" w:type="dxa"/>
            <w:tcBorders>
              <w:top w:val="single" w:sz="4" w:space="0" w:color="000000"/>
            </w:tcBorders>
          </w:tcPr>
          <w:p>
            <w:pPr>
              <w:pStyle w:val="TableParagraph"/>
              <w:tabs>
                <w:tab w:val="left" w:pos="1430"/>
                <w:tab w:val="left" w:pos="2518"/>
              </w:tabs>
              <w:spacing w:before="113" w:line="527" w:lineRule="exact"/>
              <w:ind w:left="828"/>
              <w:rPr>
                <w:rFonts w:ascii="Microsoft JhengHei" w:eastAsia="Microsoft JhengHei"/>
                <w:b/>
                <w:sz w:val="30"/>
              </w:rPr>
            </w:pPr>
            <w:r>
              <w:rPr>
                <w:rFonts w:ascii="Microsoft JhengHei" w:eastAsia="Microsoft JhengHei"/>
                <w:b/>
                <w:spacing w:val="-10"/>
                <w:sz w:val="30"/>
              </w:rPr>
              <w:t>职</w:t>
            </w:r>
            <w:r>
              <w:rPr>
                <w:rFonts w:ascii="Microsoft JhengHei" w:eastAsia="Microsoft JhengHei"/>
                <w:b/>
                <w:sz w:val="30"/>
              </w:rPr>
              <w:tab/>
            </w:r>
            <w:r>
              <w:rPr>
                <w:rFonts w:ascii="Microsoft JhengHei" w:eastAsia="Microsoft JhengHei"/>
                <w:b/>
                <w:spacing w:val="-10"/>
                <w:sz w:val="30"/>
              </w:rPr>
              <w:t>称</w:t>
            </w:r>
            <w:r>
              <w:rPr>
                <w:rFonts w:ascii="Microsoft JhengHei" w:eastAsia="Microsoft JhengHei"/>
                <w:b/>
                <w:sz w:val="30"/>
              </w:rPr>
              <w:tab/>
              <w:t>讲</w:t>
            </w:r>
            <w:r>
              <w:rPr>
                <w:rFonts w:ascii="Microsoft JhengHei" w:eastAsia="Microsoft JhengHei"/>
                <w:b/>
                <w:spacing w:val="-10"/>
                <w:sz w:val="30"/>
              </w:rPr>
              <w:t>师</w:t>
            </w:r>
          </w:p>
        </w:tc>
      </w:tr>
      <w:tr>
        <w:tblPrEx>
          <w:tblW w:w="0" w:type="auto"/>
          <w:jc w:val="left"/>
          <w:tblInd w:w="1476" w:type="dxa"/>
          <w:tblLayout w:type="fixed"/>
          <w:tblCellMar>
            <w:top w:w="0" w:type="dxa"/>
            <w:left w:w="0" w:type="dxa"/>
            <w:bottom w:w="0" w:type="dxa"/>
            <w:right w:w="0" w:type="dxa"/>
          </w:tblCellMar>
          <w:tblLook w:val="01E0"/>
        </w:tblPrEx>
        <w:trPr>
          <w:trHeight w:val="660"/>
          <w:jc w:val="left"/>
        </w:trPr>
        <w:tc>
          <w:tcPr>
            <w:tcW w:w="1372" w:type="dxa"/>
          </w:tcPr>
          <w:p>
            <w:pPr>
              <w:pStyle w:val="TableParagraph"/>
              <w:tabs>
                <w:tab w:val="left" w:pos="953"/>
              </w:tabs>
              <w:spacing w:before="113" w:line="527" w:lineRule="exact"/>
              <w:ind w:left="50"/>
              <w:rPr>
                <w:rFonts w:ascii="Microsoft JhengHei" w:eastAsia="Microsoft JhengHei"/>
                <w:b/>
                <w:sz w:val="30"/>
              </w:rPr>
            </w:pPr>
            <w:r>
              <w:rPr>
                <w:rFonts w:ascii="Microsoft JhengHei" w:eastAsia="Microsoft JhengHei"/>
                <w:b/>
                <w:spacing w:val="-10"/>
                <w:sz w:val="30"/>
              </w:rPr>
              <w:t>单</w:t>
            </w:r>
            <w:r>
              <w:rPr>
                <w:rFonts w:ascii="Microsoft JhengHei" w:eastAsia="Microsoft JhengHei"/>
                <w:b/>
                <w:sz w:val="30"/>
              </w:rPr>
              <w:tab/>
            </w:r>
            <w:r>
              <w:rPr>
                <w:rFonts w:ascii="Microsoft JhengHei" w:eastAsia="Microsoft JhengHei"/>
                <w:b/>
                <w:spacing w:val="-10"/>
                <w:sz w:val="30"/>
              </w:rPr>
              <w:t>位</w:t>
            </w:r>
          </w:p>
        </w:tc>
        <w:tc>
          <w:tcPr>
            <w:tcW w:w="1263" w:type="dxa"/>
            <w:tcBorders>
              <w:top w:val="single" w:sz="4" w:space="0" w:color="000000"/>
              <w:bottom w:val="single" w:sz="4" w:space="0" w:color="000000"/>
            </w:tcBorders>
          </w:tcPr>
          <w:p>
            <w:pPr>
              <w:pStyle w:val="TableParagraph"/>
              <w:spacing w:before="0"/>
              <w:ind w:left="0"/>
              <w:rPr>
                <w:sz w:val="34"/>
              </w:rPr>
            </w:pPr>
          </w:p>
        </w:tc>
        <w:tc>
          <w:tcPr>
            <w:tcW w:w="3707" w:type="dxa"/>
            <w:tcBorders>
              <w:bottom w:val="single" w:sz="4" w:space="0" w:color="000000"/>
            </w:tcBorders>
          </w:tcPr>
          <w:p>
            <w:pPr>
              <w:pStyle w:val="TableParagraph"/>
              <w:spacing w:before="0" w:line="20" w:lineRule="exact"/>
              <w:ind w:left="1930" w:right="-72"/>
              <w:rPr>
                <w:rFonts w:ascii="Microsoft JhengHei"/>
                <w:sz w:val="2"/>
              </w:rPr>
            </w:pPr>
            <w:r>
              <w:rPr>
                <w:rFonts w:ascii="Microsoft JhengHei"/>
                <w:sz w:val="2"/>
              </w:rPr>
              <w:pict>
                <v:group id="_x0000_i1033" style="width:88.9pt;height:0.5pt;mso-position-horizontal-relative:char;mso-position-vertical-relative:line" coordorigin="0,0" coordsize="1778,10">
                  <v:line id="_x0000_s1034" style="position:absolute" from="0,5" to="1778,5" stroked="t" strokecolor="black" strokeweight="0.5pt">
                    <v:stroke dashstyle="solid"/>
                  </v:line>
                  <w10:wrap type="none"/>
                </v:group>
              </w:pict>
            </w:r>
          </w:p>
          <w:p>
            <w:pPr>
              <w:pStyle w:val="TableParagraph"/>
              <w:spacing w:before="93" w:line="527" w:lineRule="exact"/>
              <w:ind w:left="319"/>
              <w:rPr>
                <w:rFonts w:ascii="Microsoft JhengHei" w:eastAsia="Microsoft JhengHei"/>
                <w:b/>
                <w:sz w:val="30"/>
              </w:rPr>
            </w:pPr>
            <w:r>
              <w:rPr>
                <w:rFonts w:ascii="Microsoft JhengHei" w:eastAsia="Microsoft JhengHei"/>
                <w:b/>
                <w:spacing w:val="-2"/>
                <w:sz w:val="30"/>
              </w:rPr>
              <w:t>西南石油大学</w:t>
            </w:r>
          </w:p>
        </w:tc>
      </w:tr>
      <w:tr>
        <w:tblPrEx>
          <w:tblW w:w="0" w:type="auto"/>
          <w:jc w:val="left"/>
          <w:tblInd w:w="1476" w:type="dxa"/>
          <w:tblLayout w:type="fixed"/>
          <w:tblCellMar>
            <w:top w:w="0" w:type="dxa"/>
            <w:left w:w="0" w:type="dxa"/>
            <w:bottom w:w="0" w:type="dxa"/>
            <w:right w:w="0" w:type="dxa"/>
          </w:tblCellMar>
          <w:tblLook w:val="01E0"/>
        </w:tblPrEx>
        <w:trPr>
          <w:trHeight w:val="660"/>
          <w:jc w:val="left"/>
        </w:trPr>
        <w:tc>
          <w:tcPr>
            <w:tcW w:w="1372" w:type="dxa"/>
          </w:tcPr>
          <w:p>
            <w:pPr>
              <w:pStyle w:val="TableParagraph"/>
              <w:spacing w:before="113" w:line="527" w:lineRule="exact"/>
              <w:ind w:left="50"/>
              <w:rPr>
                <w:rFonts w:ascii="Microsoft JhengHei" w:eastAsia="Microsoft JhengHei"/>
                <w:b/>
                <w:sz w:val="30"/>
              </w:rPr>
            </w:pPr>
            <w:r>
              <w:rPr>
                <w:rFonts w:ascii="Microsoft JhengHei" w:eastAsia="Microsoft JhengHei"/>
                <w:b/>
                <w:spacing w:val="-3"/>
                <w:sz w:val="30"/>
              </w:rPr>
              <w:t>辅导教师</w:t>
            </w:r>
          </w:p>
        </w:tc>
        <w:tc>
          <w:tcPr>
            <w:tcW w:w="1263" w:type="dxa"/>
            <w:tcBorders>
              <w:top w:val="single" w:sz="4" w:space="0" w:color="000000"/>
              <w:bottom w:val="single" w:sz="4" w:space="0" w:color="000000"/>
            </w:tcBorders>
          </w:tcPr>
          <w:p>
            <w:pPr>
              <w:pStyle w:val="TableParagraph"/>
              <w:spacing w:before="0"/>
              <w:ind w:left="0"/>
              <w:rPr>
                <w:sz w:val="34"/>
              </w:rPr>
            </w:pPr>
          </w:p>
        </w:tc>
        <w:tc>
          <w:tcPr>
            <w:tcW w:w="3707" w:type="dxa"/>
            <w:tcBorders>
              <w:top w:val="single" w:sz="4" w:space="0" w:color="000000"/>
            </w:tcBorders>
          </w:tcPr>
          <w:p>
            <w:pPr>
              <w:pStyle w:val="TableParagraph"/>
              <w:tabs>
                <w:tab w:val="left" w:pos="1429"/>
              </w:tabs>
              <w:spacing w:before="113" w:line="527" w:lineRule="exact"/>
              <w:ind w:left="828"/>
              <w:rPr>
                <w:rFonts w:ascii="Microsoft JhengHei" w:eastAsia="Microsoft JhengHei"/>
                <w:b/>
                <w:sz w:val="30"/>
              </w:rPr>
            </w:pPr>
            <w:r>
              <w:rPr>
                <w:rFonts w:ascii="Microsoft JhengHei" w:eastAsia="Microsoft JhengHei"/>
                <w:b/>
                <w:spacing w:val="-10"/>
                <w:sz w:val="30"/>
              </w:rPr>
              <w:t>职</w:t>
            </w:r>
            <w:r>
              <w:rPr>
                <w:rFonts w:ascii="Microsoft JhengHei" w:eastAsia="Microsoft JhengHei"/>
                <w:b/>
                <w:sz w:val="30"/>
              </w:rPr>
              <w:tab/>
            </w:r>
            <w:r>
              <w:rPr>
                <w:rFonts w:ascii="Microsoft JhengHei" w:eastAsia="Microsoft JhengHei"/>
                <w:b/>
                <w:spacing w:val="-10"/>
                <w:sz w:val="30"/>
              </w:rPr>
              <w:t>称</w:t>
            </w:r>
          </w:p>
        </w:tc>
      </w:tr>
      <w:tr>
        <w:tblPrEx>
          <w:tblW w:w="0" w:type="auto"/>
          <w:jc w:val="left"/>
          <w:tblInd w:w="1476" w:type="dxa"/>
          <w:tblLayout w:type="fixed"/>
          <w:tblCellMar>
            <w:top w:w="0" w:type="dxa"/>
            <w:left w:w="0" w:type="dxa"/>
            <w:bottom w:w="0" w:type="dxa"/>
            <w:right w:w="0" w:type="dxa"/>
          </w:tblCellMar>
          <w:tblLook w:val="01E0"/>
        </w:tblPrEx>
        <w:trPr>
          <w:trHeight w:val="660"/>
          <w:jc w:val="left"/>
        </w:trPr>
        <w:tc>
          <w:tcPr>
            <w:tcW w:w="1372" w:type="dxa"/>
          </w:tcPr>
          <w:p>
            <w:pPr>
              <w:pStyle w:val="TableParagraph"/>
              <w:tabs>
                <w:tab w:val="left" w:pos="953"/>
              </w:tabs>
              <w:spacing w:before="113" w:line="527" w:lineRule="exact"/>
              <w:ind w:left="50"/>
              <w:rPr>
                <w:rFonts w:ascii="Microsoft JhengHei" w:eastAsia="Microsoft JhengHei"/>
                <w:b/>
                <w:sz w:val="30"/>
              </w:rPr>
            </w:pPr>
            <w:r>
              <w:rPr>
                <w:rFonts w:ascii="Microsoft JhengHei" w:eastAsia="Microsoft JhengHei"/>
                <w:b/>
                <w:spacing w:val="-10"/>
                <w:sz w:val="30"/>
              </w:rPr>
              <w:t>单</w:t>
            </w:r>
            <w:r>
              <w:rPr>
                <w:rFonts w:ascii="Microsoft JhengHei" w:eastAsia="Microsoft JhengHei"/>
                <w:b/>
                <w:sz w:val="30"/>
              </w:rPr>
              <w:tab/>
            </w:r>
            <w:r>
              <w:rPr>
                <w:rFonts w:ascii="Microsoft JhengHei" w:eastAsia="Microsoft JhengHei"/>
                <w:b/>
                <w:spacing w:val="-10"/>
                <w:sz w:val="30"/>
              </w:rPr>
              <w:t>位</w:t>
            </w:r>
          </w:p>
        </w:tc>
        <w:tc>
          <w:tcPr>
            <w:tcW w:w="1263" w:type="dxa"/>
            <w:tcBorders>
              <w:top w:val="single" w:sz="4" w:space="0" w:color="000000"/>
              <w:bottom w:val="single" w:sz="4" w:space="0" w:color="000000"/>
            </w:tcBorders>
          </w:tcPr>
          <w:p>
            <w:pPr>
              <w:pStyle w:val="TableParagraph"/>
              <w:spacing w:before="0"/>
              <w:ind w:left="0"/>
              <w:rPr>
                <w:sz w:val="34"/>
              </w:rPr>
            </w:pPr>
          </w:p>
        </w:tc>
        <w:tc>
          <w:tcPr>
            <w:tcW w:w="3707" w:type="dxa"/>
            <w:tcBorders>
              <w:bottom w:val="single" w:sz="4" w:space="0" w:color="000000"/>
            </w:tcBorders>
          </w:tcPr>
          <w:p>
            <w:pPr>
              <w:pStyle w:val="TableParagraph"/>
              <w:spacing w:before="0" w:line="20" w:lineRule="exact"/>
              <w:ind w:left="1930" w:right="-72"/>
              <w:rPr>
                <w:rFonts w:ascii="Microsoft JhengHei"/>
                <w:sz w:val="2"/>
              </w:rPr>
            </w:pPr>
            <w:r>
              <w:rPr>
                <w:rFonts w:ascii="Microsoft JhengHei"/>
                <w:sz w:val="2"/>
              </w:rPr>
              <w:pict>
                <v:group id="_x0000_i1035" style="width:88.9pt;height:0.5pt;mso-position-horizontal-relative:char;mso-position-vertical-relative:line" coordorigin="0,0" coordsize="1778,10">
                  <v:line id="_x0000_s1036" style="position:absolute" from="0,5" to="1778,5" stroked="t" strokecolor="black" strokeweight="0.5pt">
                    <v:stroke dashstyle="solid"/>
                  </v:line>
                  <w10:wrap type="none"/>
                </v:group>
              </w:pict>
            </w:r>
          </w:p>
        </w:tc>
      </w:tr>
    </w:tbl>
    <w:p>
      <w:pPr>
        <w:pStyle w:val="BodyText"/>
        <w:spacing w:before="11"/>
        <w:ind w:left="0"/>
        <w:rPr>
          <w:rFonts w:ascii="Microsoft JhengHei"/>
          <w:b/>
          <w:sz w:val="31"/>
        </w:rPr>
      </w:pPr>
    </w:p>
    <w:p>
      <w:pPr>
        <w:tabs>
          <w:tab w:val="left" w:pos="4505"/>
          <w:tab w:val="left" w:pos="5297"/>
          <w:tab w:val="left" w:pos="5908"/>
          <w:tab w:val="left" w:pos="6700"/>
          <w:tab w:val="left" w:pos="7310"/>
        </w:tabs>
        <w:spacing w:before="0"/>
        <w:ind w:left="1603" w:right="0" w:firstLine="0"/>
        <w:jc w:val="left"/>
        <w:rPr>
          <w:rFonts w:ascii="Microsoft JhengHei" w:eastAsia="Microsoft JhengHei"/>
          <w:b/>
          <w:sz w:val="30"/>
        </w:rPr>
      </w:pPr>
      <w:r>
        <w:rPr>
          <w:rFonts w:ascii="Microsoft JhengHei" w:eastAsia="Microsoft JhengHei"/>
          <w:b/>
          <w:sz w:val="30"/>
        </w:rPr>
        <w:t>完</w:t>
      </w:r>
      <w:r>
        <w:rPr>
          <w:rFonts w:ascii="Microsoft JhengHei" w:eastAsia="Microsoft JhengHei"/>
          <w:b/>
          <w:sz w:val="30"/>
        </w:rPr>
        <w:t>毕</w:t>
      </w:r>
      <w:r>
        <w:rPr>
          <w:rFonts w:ascii="Microsoft JhengHei" w:eastAsia="Microsoft JhengHei"/>
          <w:b/>
          <w:sz w:val="30"/>
        </w:rPr>
        <w:t>日</w:t>
      </w:r>
      <w:r>
        <w:rPr>
          <w:rFonts w:ascii="Microsoft JhengHei" w:eastAsia="Microsoft JhengHei"/>
          <w:b/>
          <w:spacing w:val="-10"/>
          <w:sz w:val="30"/>
        </w:rPr>
        <w:t>期</w:t>
      </w:r>
      <w:r>
        <w:rPr>
          <w:rFonts w:ascii="Microsoft JhengHei" w:eastAsia="Microsoft JhengHei"/>
          <w:b/>
          <w:sz w:val="30"/>
        </w:rPr>
        <w:tab/>
      </w:r>
      <w:r>
        <w:rPr>
          <w:rFonts w:ascii="Microsoft JhengHei" w:eastAsia="Microsoft JhengHei"/>
          <w:b/>
          <w:spacing w:val="-10"/>
          <w:sz w:val="30"/>
        </w:rPr>
        <w:t>年</w:t>
      </w:r>
      <w:r>
        <w:rPr>
          <w:rFonts w:ascii="Microsoft JhengHei" w:eastAsia="Microsoft JhengHei"/>
          <w:b/>
          <w:sz w:val="30"/>
        </w:rPr>
        <w:tab/>
      </w:r>
      <w:r>
        <w:rPr>
          <w:rFonts w:ascii="Times New Roman" w:eastAsia="Times New Roman"/>
          <w:b/>
          <w:spacing w:val="-10"/>
          <w:sz w:val="24"/>
        </w:rPr>
        <w:t>6</w:t>
      </w:r>
      <w:r>
        <w:rPr>
          <w:rFonts w:ascii="Times New Roman" w:eastAsia="Times New Roman"/>
          <w:b/>
          <w:sz w:val="24"/>
        </w:rPr>
        <w:tab/>
      </w:r>
      <w:r>
        <w:rPr>
          <w:rFonts w:ascii="Microsoft JhengHei" w:eastAsia="Microsoft JhengHei"/>
          <w:b/>
          <w:spacing w:val="-10"/>
          <w:sz w:val="30"/>
        </w:rPr>
        <w:t>月</w:t>
      </w:r>
      <w:r>
        <w:rPr>
          <w:rFonts w:ascii="Microsoft JhengHei" w:eastAsia="Microsoft JhengHei"/>
          <w:b/>
          <w:sz w:val="30"/>
        </w:rPr>
        <w:tab/>
      </w:r>
      <w:r>
        <w:rPr>
          <w:rFonts w:ascii="Times New Roman" w:eastAsia="Times New Roman"/>
          <w:b/>
          <w:spacing w:val="-10"/>
          <w:sz w:val="24"/>
        </w:rPr>
        <w:t>1</w:t>
      </w:r>
      <w:r>
        <w:rPr>
          <w:rFonts w:ascii="Times New Roman" w:eastAsia="Times New Roman"/>
          <w:b/>
          <w:sz w:val="24"/>
        </w:rPr>
        <w:tab/>
      </w:r>
      <w:r>
        <w:rPr>
          <w:rFonts w:ascii="Microsoft JhengHei" w:eastAsia="Microsoft JhengHei"/>
          <w:b/>
          <w:spacing w:val="-10"/>
          <w:sz w:val="30"/>
        </w:rPr>
        <w:t>日</w:t>
      </w:r>
    </w:p>
    <w:p>
      <w:pPr>
        <w:spacing w:after="0"/>
        <w:jc w:val="left"/>
        <w:rPr>
          <w:rFonts w:ascii="Microsoft JhengHei" w:eastAsia="Microsoft JhengHei"/>
          <w:sz w:val="30"/>
        </w:rPr>
        <w:sectPr>
          <w:type w:val="continuous"/>
          <w:pgSz w:w="11910" w:h="16840"/>
          <w:pgMar w:top="1920" w:right="1080" w:bottom="280" w:left="1560" w:header="708" w:footer="708"/>
          <w:cols w:space="708"/>
        </w:sectPr>
      </w:pPr>
    </w:p>
    <w:p>
      <w:pPr>
        <w:spacing w:before="53" w:line="376" w:lineRule="auto"/>
        <w:ind w:left="2621" w:right="244" w:hanging="1467"/>
        <w:jc w:val="left"/>
        <w:rPr>
          <w:rFonts w:ascii="Times New Roman"/>
          <w:sz w:val="52"/>
        </w:rPr>
      </w:pPr>
      <w:r>
        <w:rPr>
          <w:rFonts w:ascii="Times New Roman"/>
          <w:sz w:val="52"/>
        </w:rPr>
        <w:t>Southwest</w:t>
      </w:r>
      <w:r>
        <w:rPr>
          <w:rFonts w:ascii="Times New Roman"/>
          <w:spacing w:val="-18"/>
          <w:sz w:val="52"/>
        </w:rPr>
        <w:t xml:space="preserve"> </w:t>
      </w:r>
      <w:r>
        <w:rPr>
          <w:rFonts w:ascii="Times New Roman"/>
          <w:sz w:val="52"/>
        </w:rPr>
        <w:t>Petroleum</w:t>
      </w:r>
      <w:r>
        <w:rPr>
          <w:rFonts w:ascii="Times New Roman"/>
          <w:spacing w:val="-18"/>
          <w:sz w:val="52"/>
        </w:rPr>
        <w:t xml:space="preserve"> </w:t>
      </w:r>
      <w:r>
        <w:rPr>
          <w:rFonts w:ascii="Times New Roman"/>
          <w:sz w:val="52"/>
        </w:rPr>
        <w:t>University Graduation Thesis</w:t>
      </w:r>
    </w:p>
    <w:p>
      <w:pPr>
        <w:pStyle w:val="BodyText"/>
        <w:spacing w:before="11"/>
        <w:ind w:left="0"/>
        <w:rPr>
          <w:rFonts w:ascii="Times New Roman"/>
          <w:sz w:val="10"/>
        </w:rPr>
      </w:pPr>
      <w:r>
        <w:drawing>
          <wp:anchor distT="0" distB="0" distL="0" distR="0" simplePos="0" relativeHeight="251659264" behindDoc="0" locked="0" layoutInCell="1" allowOverlap="1">
            <wp:simplePos x="0" y="0"/>
            <wp:positionH relativeFrom="page">
              <wp:posOffset>3485007</wp:posOffset>
            </wp:positionH>
            <wp:positionV relativeFrom="paragraph">
              <wp:posOffset>95517</wp:posOffset>
            </wp:positionV>
            <wp:extent cx="753982" cy="754379"/>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 cstate="print"/>
                    <a:stretch>
                      <a:fillRect/>
                    </a:stretch>
                  </pic:blipFill>
                  <pic:spPr>
                    <a:xfrm>
                      <a:off x="0" y="0"/>
                      <a:ext cx="753982" cy="754379"/>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10"/>
        <w:ind w:left="0"/>
        <w:rPr>
          <w:rFonts w:ascii="Times New Roman"/>
          <w:sz w:val="20"/>
        </w:rPr>
      </w:pPr>
    </w:p>
    <w:p>
      <w:pPr>
        <w:pStyle w:val="Heading1"/>
        <w:spacing w:before="86"/>
        <w:ind w:right="249"/>
      </w:pPr>
      <w:r>
        <w:t>The</w:t>
      </w:r>
      <w:r>
        <w:rPr>
          <w:spacing w:val="-4"/>
        </w:rPr>
        <w:t xml:space="preserve"> </w:t>
      </w:r>
      <w:r>
        <w:t>synthesis</w:t>
      </w:r>
      <w:r>
        <w:rPr>
          <w:spacing w:val="-2"/>
        </w:rPr>
        <w:t xml:space="preserve"> </w:t>
      </w:r>
      <w:r>
        <w:t>of</w:t>
      </w:r>
      <w:r>
        <w:rPr>
          <w:spacing w:val="-3"/>
        </w:rPr>
        <w:t xml:space="preserve"> </w:t>
      </w:r>
      <w:r>
        <w:t>a</w:t>
      </w:r>
      <w:r>
        <w:rPr>
          <w:spacing w:val="-2"/>
        </w:rPr>
        <w:t xml:space="preserve"> </w:t>
      </w:r>
      <w:r>
        <w:t>surface</w:t>
      </w:r>
      <w:r>
        <w:rPr>
          <w:spacing w:val="-2"/>
        </w:rPr>
        <w:t xml:space="preserve"> </w:t>
      </w:r>
      <w:r>
        <w:t>active</w:t>
      </w:r>
      <w:r>
        <w:rPr>
          <w:spacing w:val="-2"/>
        </w:rPr>
        <w:t xml:space="preserve"> </w:t>
      </w:r>
      <w:r>
        <w:t>ionic</w:t>
      </w:r>
      <w:r>
        <w:rPr>
          <w:spacing w:val="-2"/>
        </w:rPr>
        <w:t xml:space="preserve"> liquid</w:t>
      </w:r>
    </w:p>
    <w:p>
      <w:pPr>
        <w:pStyle w:val="BodyText"/>
        <w:ind w:left="0"/>
        <w:rPr>
          <w:rFonts w:ascii="Times New Roman"/>
          <w:b/>
          <w:sz w:val="34"/>
        </w:rPr>
      </w:pPr>
    </w:p>
    <w:p>
      <w:pPr>
        <w:pStyle w:val="BodyText"/>
        <w:ind w:left="0"/>
        <w:rPr>
          <w:rFonts w:ascii="Times New Roman"/>
          <w:b/>
          <w:sz w:val="34"/>
        </w:rPr>
      </w:pPr>
    </w:p>
    <w:p>
      <w:pPr>
        <w:pStyle w:val="Heading3"/>
        <w:spacing w:before="291"/>
        <w:ind w:left="1933" w:firstLine="0"/>
      </w:pPr>
      <w:r>
        <w:rPr>
          <w:rFonts w:ascii="Times New Roman" w:eastAsia="Times New Roman"/>
          <w:spacing w:val="-2"/>
        </w:rPr>
        <w:t>Grade</w:t>
      </w:r>
      <w:r>
        <w:rPr>
          <w:spacing w:val="-2"/>
        </w:rPr>
        <w:t>：</w:t>
      </w:r>
    </w:p>
    <w:p>
      <w:pPr>
        <w:tabs>
          <w:tab w:val="left" w:pos="3333"/>
        </w:tabs>
        <w:spacing w:before="110"/>
        <w:ind w:left="1933" w:right="0" w:firstLine="0"/>
        <w:jc w:val="left"/>
        <w:rPr>
          <w:rFonts w:ascii="Times New Roman" w:eastAsia="Times New Roman"/>
          <w:b/>
          <w:sz w:val="30"/>
        </w:rPr>
      </w:pPr>
      <w:r>
        <w:rPr>
          <w:rFonts w:ascii="Times New Roman" w:eastAsia="Times New Roman"/>
          <w:b/>
          <w:spacing w:val="-2"/>
          <w:sz w:val="28"/>
        </w:rPr>
        <w:t>Name</w:t>
      </w:r>
      <w:r>
        <w:rPr>
          <w:rFonts w:ascii="Microsoft JhengHei" w:eastAsia="Microsoft JhengHei"/>
          <w:b/>
          <w:spacing w:val="-2"/>
          <w:sz w:val="28"/>
        </w:rPr>
        <w:t>：</w:t>
      </w:r>
      <w:r>
        <w:rPr>
          <w:rFonts w:ascii="Microsoft JhengHei" w:eastAsia="Microsoft JhengHei"/>
          <w:b/>
          <w:sz w:val="28"/>
        </w:rPr>
        <w:tab/>
      </w:r>
      <w:r>
        <w:rPr>
          <w:rFonts w:ascii="Times New Roman" w:eastAsia="Times New Roman"/>
          <w:b/>
          <w:sz w:val="30"/>
        </w:rPr>
        <w:t>Liang</w:t>
      </w:r>
      <w:r>
        <w:rPr>
          <w:rFonts w:ascii="Times New Roman" w:eastAsia="Times New Roman"/>
          <w:b/>
          <w:spacing w:val="-2"/>
          <w:sz w:val="30"/>
        </w:rPr>
        <w:t xml:space="preserve"> </w:t>
      </w:r>
      <w:r>
        <w:rPr>
          <w:rFonts w:ascii="Times New Roman" w:eastAsia="Times New Roman"/>
          <w:b/>
          <w:spacing w:val="-4"/>
          <w:sz w:val="30"/>
        </w:rPr>
        <w:t>Chen</w:t>
      </w:r>
    </w:p>
    <w:p>
      <w:pPr>
        <w:tabs>
          <w:tab w:val="left" w:pos="3540"/>
        </w:tabs>
        <w:spacing w:before="109"/>
        <w:ind w:left="1812" w:right="0" w:firstLine="0"/>
        <w:jc w:val="left"/>
        <w:rPr>
          <w:rFonts w:ascii="Times New Roman" w:eastAsia="Times New Roman"/>
          <w:b/>
          <w:sz w:val="30"/>
        </w:rPr>
      </w:pPr>
      <w:r>
        <w:rPr>
          <w:rFonts w:ascii="Times New Roman" w:eastAsia="Times New Roman"/>
          <w:b/>
          <w:spacing w:val="-2"/>
          <w:sz w:val="28"/>
        </w:rPr>
        <w:t>Speciality</w:t>
      </w:r>
      <w:r>
        <w:rPr>
          <w:rFonts w:ascii="Microsoft JhengHei" w:eastAsia="Microsoft JhengHei"/>
          <w:b/>
          <w:spacing w:val="-2"/>
          <w:sz w:val="28"/>
        </w:rPr>
        <w:t>：</w:t>
      </w:r>
      <w:r>
        <w:rPr>
          <w:rFonts w:ascii="Microsoft JhengHei" w:eastAsia="Microsoft JhengHei"/>
          <w:b/>
          <w:sz w:val="28"/>
        </w:rPr>
        <w:tab/>
      </w:r>
      <w:r>
        <w:rPr>
          <w:rFonts w:ascii="Times New Roman" w:eastAsia="Times New Roman"/>
          <w:b/>
          <w:sz w:val="30"/>
        </w:rPr>
        <w:t>Chemical</w:t>
      </w:r>
      <w:r>
        <w:rPr>
          <w:rFonts w:ascii="Times New Roman" w:eastAsia="Times New Roman"/>
          <w:b/>
          <w:spacing w:val="-6"/>
          <w:sz w:val="30"/>
        </w:rPr>
        <w:t xml:space="preserve"> </w:t>
      </w:r>
      <w:r>
        <w:rPr>
          <w:rFonts w:ascii="Times New Roman" w:eastAsia="Times New Roman"/>
          <w:b/>
          <w:sz w:val="30"/>
        </w:rPr>
        <w:t>Engineering</w:t>
      </w:r>
      <w:r>
        <w:rPr>
          <w:rFonts w:ascii="Times New Roman" w:eastAsia="Times New Roman"/>
          <w:b/>
          <w:spacing w:val="-3"/>
          <w:sz w:val="30"/>
        </w:rPr>
        <w:t xml:space="preserve"> </w:t>
      </w:r>
      <w:r>
        <w:rPr>
          <w:rFonts w:ascii="Times New Roman" w:eastAsia="Times New Roman"/>
          <w:b/>
          <w:sz w:val="30"/>
        </w:rPr>
        <w:t>and</w:t>
      </w:r>
      <w:r>
        <w:rPr>
          <w:rFonts w:ascii="Times New Roman" w:eastAsia="Times New Roman"/>
          <w:b/>
          <w:spacing w:val="-3"/>
          <w:sz w:val="30"/>
        </w:rPr>
        <w:t xml:space="preserve"> </w:t>
      </w:r>
      <w:r>
        <w:rPr>
          <w:rFonts w:ascii="Times New Roman" w:eastAsia="Times New Roman"/>
          <w:b/>
          <w:spacing w:val="-2"/>
          <w:sz w:val="30"/>
        </w:rPr>
        <w:t>Technology</w:t>
      </w:r>
    </w:p>
    <w:p>
      <w:pPr>
        <w:tabs>
          <w:tab w:val="left" w:pos="3722"/>
        </w:tabs>
        <w:spacing w:before="109"/>
        <w:ind w:left="1933" w:right="0" w:firstLine="0"/>
        <w:jc w:val="left"/>
        <w:rPr>
          <w:rFonts w:ascii="Times New Roman" w:eastAsia="Times New Roman"/>
          <w:b/>
          <w:sz w:val="28"/>
        </w:rPr>
      </w:pPr>
      <w:r>
        <w:rPr>
          <w:rFonts w:ascii="Times New Roman" w:eastAsia="Times New Roman"/>
          <w:b/>
          <w:spacing w:val="-2"/>
          <w:sz w:val="28"/>
        </w:rPr>
        <w:t>Instructor</w:t>
      </w:r>
      <w:r>
        <w:rPr>
          <w:rFonts w:ascii="Microsoft JhengHei" w:eastAsia="Microsoft JhengHei"/>
          <w:b/>
          <w:spacing w:val="-2"/>
          <w:sz w:val="28"/>
        </w:rPr>
        <w:t>：</w:t>
      </w:r>
      <w:r>
        <w:rPr>
          <w:rFonts w:ascii="Microsoft JhengHei" w:eastAsia="Microsoft JhengHei"/>
          <w:b/>
          <w:sz w:val="28"/>
        </w:rPr>
        <w:tab/>
      </w:r>
      <w:r>
        <w:rPr>
          <w:rFonts w:ascii="Times New Roman" w:eastAsia="Times New Roman"/>
          <w:b/>
          <w:sz w:val="28"/>
        </w:rPr>
        <w:t>Ying</w:t>
      </w:r>
      <w:r>
        <w:rPr>
          <w:rFonts w:ascii="Times New Roman" w:eastAsia="Times New Roman"/>
          <w:b/>
          <w:spacing w:val="-4"/>
          <w:sz w:val="28"/>
        </w:rPr>
        <w:t xml:space="preserve"> </w:t>
      </w:r>
      <w:r>
        <w:rPr>
          <w:rFonts w:ascii="Times New Roman" w:eastAsia="Times New Roman"/>
          <w:b/>
          <w:spacing w:val="-2"/>
          <w:sz w:val="28"/>
        </w:rPr>
        <w:t>Huang</w:t>
      </w:r>
    </w:p>
    <w:p>
      <w:pPr>
        <w:pStyle w:val="BodyText"/>
        <w:ind w:left="0"/>
        <w:rPr>
          <w:rFonts w:ascii="Times New Roman"/>
          <w:b/>
          <w:sz w:val="30"/>
        </w:rPr>
      </w:pPr>
    </w:p>
    <w:p>
      <w:pPr>
        <w:pStyle w:val="BodyText"/>
        <w:ind w:left="0"/>
        <w:rPr>
          <w:rFonts w:ascii="Times New Roman"/>
          <w:b/>
          <w:sz w:val="30"/>
        </w:rPr>
      </w:pPr>
    </w:p>
    <w:p>
      <w:pPr>
        <w:pStyle w:val="BodyText"/>
        <w:ind w:left="0"/>
        <w:rPr>
          <w:rFonts w:ascii="Times New Roman"/>
          <w:b/>
          <w:sz w:val="30"/>
        </w:rPr>
      </w:pPr>
    </w:p>
    <w:p>
      <w:pPr>
        <w:pStyle w:val="BodyText"/>
        <w:ind w:left="0"/>
        <w:rPr>
          <w:rFonts w:ascii="Times New Roman"/>
          <w:b/>
          <w:sz w:val="30"/>
        </w:rPr>
      </w:pPr>
    </w:p>
    <w:p>
      <w:pPr>
        <w:pStyle w:val="BodyText"/>
        <w:ind w:left="0"/>
        <w:rPr>
          <w:rFonts w:ascii="Times New Roman"/>
          <w:b/>
          <w:sz w:val="30"/>
        </w:rPr>
      </w:pPr>
    </w:p>
    <w:p>
      <w:pPr>
        <w:pStyle w:val="BodyText"/>
        <w:spacing w:before="8"/>
        <w:ind w:left="0"/>
        <w:rPr>
          <w:rFonts w:ascii="Times New Roman"/>
          <w:b/>
          <w:sz w:val="30"/>
        </w:rPr>
      </w:pPr>
    </w:p>
    <w:p>
      <w:pPr>
        <w:spacing w:before="0"/>
        <w:ind w:left="0" w:right="196" w:firstLine="0"/>
        <w:jc w:val="center"/>
        <w:rPr>
          <w:rFonts w:ascii="Times New Roman"/>
          <w:b/>
          <w:sz w:val="30"/>
        </w:rPr>
      </w:pPr>
      <w:r>
        <w:rPr>
          <w:rFonts w:ascii="Times New Roman"/>
          <w:b/>
          <w:sz w:val="30"/>
        </w:rPr>
        <w:t>School</w:t>
      </w:r>
      <w:r>
        <w:rPr>
          <w:rFonts w:ascii="Times New Roman"/>
          <w:b/>
          <w:spacing w:val="-5"/>
          <w:sz w:val="30"/>
        </w:rPr>
        <w:t xml:space="preserve"> </w:t>
      </w:r>
      <w:r>
        <w:rPr>
          <w:rFonts w:ascii="Times New Roman"/>
          <w:b/>
          <w:sz w:val="30"/>
        </w:rPr>
        <w:t>of</w:t>
      </w:r>
      <w:r>
        <w:rPr>
          <w:rFonts w:ascii="Times New Roman"/>
          <w:b/>
          <w:spacing w:val="-3"/>
          <w:sz w:val="30"/>
        </w:rPr>
        <w:t xml:space="preserve"> </w:t>
      </w:r>
      <w:r>
        <w:rPr>
          <w:rFonts w:ascii="Times New Roman"/>
          <w:b/>
          <w:sz w:val="30"/>
        </w:rPr>
        <w:t>Chemistry</w:t>
      </w:r>
      <w:r>
        <w:rPr>
          <w:rFonts w:ascii="Times New Roman"/>
          <w:b/>
          <w:spacing w:val="-5"/>
          <w:sz w:val="30"/>
        </w:rPr>
        <w:t xml:space="preserve"> </w:t>
      </w:r>
      <w:r>
        <w:rPr>
          <w:rFonts w:ascii="Times New Roman"/>
          <w:b/>
          <w:sz w:val="30"/>
        </w:rPr>
        <w:t>and</w:t>
      </w:r>
      <w:r>
        <w:rPr>
          <w:rFonts w:ascii="Times New Roman"/>
          <w:b/>
          <w:spacing w:val="-3"/>
          <w:sz w:val="30"/>
        </w:rPr>
        <w:t xml:space="preserve"> </w:t>
      </w:r>
      <w:r>
        <w:rPr>
          <w:rFonts w:ascii="Times New Roman"/>
          <w:b/>
          <w:sz w:val="30"/>
        </w:rPr>
        <w:t>Chemical</w:t>
      </w:r>
      <w:r>
        <w:rPr>
          <w:rFonts w:ascii="Times New Roman"/>
          <w:b/>
          <w:spacing w:val="-3"/>
          <w:sz w:val="30"/>
        </w:rPr>
        <w:t xml:space="preserve"> </w:t>
      </w:r>
      <w:r>
        <w:rPr>
          <w:rFonts w:ascii="Times New Roman"/>
          <w:b/>
          <w:spacing w:val="-2"/>
          <w:sz w:val="30"/>
        </w:rPr>
        <w:t>Engineering</w:t>
      </w:r>
    </w:p>
    <w:p>
      <w:pPr>
        <w:spacing w:before="279"/>
        <w:ind w:left="0" w:right="195" w:firstLine="0"/>
        <w:jc w:val="center"/>
        <w:rPr>
          <w:rFonts w:ascii="Times New Roman"/>
          <w:b/>
          <w:sz w:val="30"/>
        </w:rPr>
      </w:pPr>
      <w:r>
        <w:rPr>
          <w:rFonts w:ascii="Times New Roman"/>
          <w:b/>
          <w:sz w:val="30"/>
        </w:rPr>
        <w:t>-</w:t>
      </w:r>
      <w:r>
        <w:rPr>
          <w:rFonts w:ascii="Times New Roman"/>
          <w:b/>
          <w:spacing w:val="-10"/>
          <w:sz w:val="30"/>
        </w:rPr>
        <w:t>6</w:t>
      </w:r>
    </w:p>
    <w:p>
      <w:pPr>
        <w:spacing w:after="0"/>
        <w:jc w:val="center"/>
        <w:rPr>
          <w:rFonts w:ascii="Times New Roman"/>
          <w:sz w:val="30"/>
        </w:rPr>
        <w:sectPr>
          <w:pgSz w:w="11910" w:h="16840"/>
          <w:pgMar w:top="1360" w:right="1080" w:bottom="280" w:left="1560" w:header="708" w:footer="708"/>
          <w:pgNumType w:start="2"/>
          <w:cols w:space="708"/>
        </w:sectPr>
      </w:pPr>
    </w:p>
    <w:p>
      <w:pPr>
        <w:pStyle w:val="Heading1"/>
        <w:spacing w:line="512" w:lineRule="exact"/>
        <w:ind w:right="146"/>
        <w:rPr>
          <w:rFonts w:ascii="Microsoft JhengHei" w:eastAsia="Microsoft JhengHei"/>
        </w:rPr>
      </w:pPr>
      <w:r>
        <w:rPr>
          <w:rFonts w:ascii="Microsoft JhengHei" w:eastAsia="Microsoft JhengHei"/>
        </w:rPr>
        <w:t>摘</w:t>
      </w:r>
      <w:r>
        <w:rPr>
          <w:rFonts w:ascii="Microsoft JhengHei" w:eastAsia="Microsoft JhengHei"/>
          <w:spacing w:val="41"/>
          <w:w w:val="150"/>
        </w:rPr>
        <w:t xml:space="preserve"> </w:t>
      </w:r>
      <w:r>
        <w:rPr>
          <w:rFonts w:ascii="Microsoft JhengHei" w:eastAsia="Microsoft JhengHei"/>
          <w:spacing w:val="-10"/>
        </w:rPr>
        <w:t>要</w:t>
      </w:r>
    </w:p>
    <w:p>
      <w:pPr>
        <w:spacing w:before="83" w:line="343" w:lineRule="auto"/>
        <w:ind w:left="141" w:right="335" w:firstLine="360"/>
        <w:jc w:val="both"/>
        <w:rPr>
          <w:i/>
          <w:sz w:val="24"/>
        </w:rPr>
      </w:pPr>
      <w:r>
        <w:rPr>
          <w:i/>
          <w:spacing w:val="-2"/>
          <w:sz w:val="24"/>
        </w:rPr>
        <w:t>离子液体作为一种新型的绿色材料，含有不易挥发、不可燃、可重复运用、热稳</w:t>
      </w:r>
      <w:r>
        <w:rPr>
          <w:i/>
          <w:spacing w:val="-4"/>
          <w:sz w:val="24"/>
        </w:rPr>
        <w:t>定性好、物化性质可调等特点，并且在精细有机合成、催化、电化学、材料科学、生</w:t>
      </w:r>
      <w:r>
        <w:rPr>
          <w:i/>
          <w:spacing w:val="-7"/>
          <w:sz w:val="24"/>
        </w:rPr>
        <w:t>物工程以及能源等领域得到了广泛的应用。现有的应用最为广泛的离子液体为烷基甲</w:t>
      </w:r>
      <w:r>
        <w:rPr>
          <w:i/>
          <w:spacing w:val="-4"/>
          <w:sz w:val="24"/>
        </w:rPr>
        <w:t>基咪唑盐，然而其设计性差、极性大、憎水性弱、有机性能低的缺点限制了其在工业</w:t>
      </w:r>
      <w:r>
        <w:rPr>
          <w:i/>
          <w:spacing w:val="-2"/>
          <w:sz w:val="24"/>
        </w:rPr>
        <w:t>上的进</w:t>
      </w:r>
      <w:r>
        <w:rPr>
          <w:rFonts w:ascii="Times New Roman" w:eastAsia="Times New Roman"/>
          <w:spacing w:val="-2"/>
          <w:sz w:val="24"/>
        </w:rPr>
        <w:t>-</w:t>
      </w:r>
      <w:r>
        <w:rPr>
          <w:i/>
          <w:spacing w:val="-2"/>
          <w:sz w:val="24"/>
        </w:rPr>
        <w:t>步应用。因此设计开发新型的、含有特殊功效的离子液体材料来满足不同的</w:t>
      </w:r>
      <w:r>
        <w:rPr>
          <w:i/>
          <w:spacing w:val="-2"/>
          <w:sz w:val="24"/>
        </w:rPr>
        <w:t>需求并丰富离子液体基础化学理论，含有重要意义。</w:t>
      </w:r>
    </w:p>
    <w:p>
      <w:pPr>
        <w:spacing w:before="2" w:line="343" w:lineRule="auto"/>
        <w:ind w:left="141" w:right="215" w:firstLine="352"/>
        <w:jc w:val="left"/>
        <w:rPr>
          <w:i/>
          <w:sz w:val="24"/>
        </w:rPr>
      </w:pPr>
      <w:r>
        <w:rPr>
          <w:i/>
          <w:spacing w:val="-2"/>
          <w:sz w:val="24"/>
        </w:rPr>
        <w:t xml:space="preserve">咪唑表面活性剂是一类新型的表面活性剂。对于 </w:t>
      </w:r>
      <w:r>
        <w:rPr>
          <w:rFonts w:ascii="Times New Roman" w:eastAsia="Times New Roman" w:hAnsi="Times New Roman"/>
          <w:sz w:val="24"/>
        </w:rPr>
        <w:t>1-</w:t>
      </w:r>
      <w:r>
        <w:rPr>
          <w:i/>
          <w:sz w:val="24"/>
        </w:rPr>
        <w:t>烷基</w:t>
      </w:r>
      <w:r>
        <w:rPr>
          <w:rFonts w:ascii="Times New Roman" w:eastAsia="Times New Roman" w:hAnsi="Times New Roman"/>
          <w:sz w:val="24"/>
        </w:rPr>
        <w:t>-3-</w:t>
      </w:r>
      <w:r>
        <w:rPr>
          <w:i/>
          <w:sz w:val="24"/>
        </w:rPr>
        <w:t>甲基咪唑溴而言，当烷</w:t>
      </w:r>
      <w:r>
        <w:rPr>
          <w:i/>
          <w:spacing w:val="-15"/>
          <w:sz w:val="24"/>
        </w:rPr>
        <w:t>基链的长度较短时，它是一种在常温下为液体、几乎无蒸汽压、无可燃性、无着火点、</w:t>
      </w:r>
      <w:r>
        <w:rPr>
          <w:i/>
          <w:spacing w:val="-2"/>
          <w:sz w:val="24"/>
        </w:rPr>
        <w:t>热稳定性和化学稳定性高的离子液体，并在化学分离、有机合成、纳米材料和太阳能</w:t>
      </w:r>
      <w:r>
        <w:rPr>
          <w:i/>
          <w:spacing w:val="-2"/>
          <w:sz w:val="24"/>
        </w:rPr>
        <w:t>电池等领域得到了广泛的应用。而当它的烷基链较长时，则类似于传统的阳离子表面</w:t>
      </w:r>
      <w:r>
        <w:rPr>
          <w:i/>
          <w:spacing w:val="-2"/>
          <w:sz w:val="24"/>
        </w:rPr>
        <w:t>活性剂，并作为双亲性的咪唑离子液得到了广泛的研究。研究表明，与传统的阳离子</w:t>
      </w:r>
      <w:r>
        <w:rPr>
          <w:i/>
          <w:spacing w:val="-2"/>
          <w:sz w:val="24"/>
        </w:rPr>
        <w:t>表面活性剂</w:t>
      </w:r>
      <w:r>
        <w:rPr>
          <w:spacing w:val="-2"/>
          <w:sz w:val="24"/>
        </w:rPr>
        <w:t>—</w:t>
      </w:r>
      <w:r>
        <w:rPr>
          <w:i/>
          <w:spacing w:val="-2"/>
          <w:sz w:val="24"/>
        </w:rPr>
        <w:t>烷基三甲基溴化铵相比，这种长链咪唑离子液含有更高的表面活性。</w:t>
      </w:r>
    </w:p>
    <w:p>
      <w:pPr>
        <w:spacing w:before="2"/>
        <w:ind w:left="493" w:right="0" w:firstLine="0"/>
        <w:jc w:val="left"/>
        <w:rPr>
          <w:i/>
          <w:sz w:val="24"/>
        </w:rPr>
      </w:pPr>
      <w:r>
        <w:rPr>
          <w:i/>
          <w:spacing w:val="-1"/>
          <w:sz w:val="24"/>
        </w:rPr>
        <w:t>论文分综述和实验两个部分：</w:t>
      </w:r>
    </w:p>
    <w:p>
      <w:pPr>
        <w:spacing w:before="132" w:line="343" w:lineRule="auto"/>
        <w:ind w:left="141" w:right="335" w:firstLine="352"/>
        <w:jc w:val="both"/>
        <w:rPr>
          <w:i/>
          <w:sz w:val="24"/>
        </w:rPr>
      </w:pPr>
      <w:r>
        <w:rPr>
          <w:i/>
          <w:spacing w:val="-2"/>
          <w:sz w:val="24"/>
        </w:rPr>
        <w:t>综述部分系统地概述了离子液体的分类；离子液体的合成办法和性质；离子液体</w:t>
      </w:r>
      <w:r>
        <w:rPr>
          <w:i/>
          <w:spacing w:val="-4"/>
          <w:sz w:val="24"/>
        </w:rPr>
        <w:t>在有机合成、电化学、化学分离等方面的应用等三个大方面，归纳了离子液体的特点</w:t>
      </w:r>
      <w:r>
        <w:rPr>
          <w:i/>
          <w:spacing w:val="-4"/>
          <w:sz w:val="24"/>
        </w:rPr>
        <w:t>和应用。</w:t>
      </w:r>
    </w:p>
    <w:p>
      <w:pPr>
        <w:spacing w:before="1" w:line="343" w:lineRule="auto"/>
        <w:ind w:left="141" w:right="335" w:firstLine="352"/>
        <w:jc w:val="both"/>
        <w:rPr>
          <w:i/>
          <w:sz w:val="24"/>
        </w:rPr>
      </w:pPr>
      <w:r>
        <w:rPr>
          <w:i/>
          <w:spacing w:val="-2"/>
          <w:sz w:val="24"/>
        </w:rPr>
        <w:t>本实验重要以甲基咪唑、</w:t>
      </w:r>
      <w:r>
        <w:rPr>
          <w:rFonts w:ascii="Times New Roman" w:eastAsia="Times New Roman"/>
          <w:spacing w:val="-2"/>
          <w:sz w:val="24"/>
        </w:rPr>
        <w:t>1-</w:t>
      </w:r>
      <w:r>
        <w:rPr>
          <w:i/>
          <w:spacing w:val="-2"/>
          <w:sz w:val="24"/>
        </w:rPr>
        <w:t>溴代十二烷为原料，采用咪唑类表面活性子液体的合</w:t>
      </w:r>
      <w:r>
        <w:rPr>
          <w:i/>
          <w:spacing w:val="-4"/>
          <w:sz w:val="24"/>
        </w:rPr>
        <w:t>成路线。产物经分离纯化后用红外光谱测试技术进行表征，最后测试了合成产物的熔</w:t>
      </w:r>
      <w:r>
        <w:rPr>
          <w:i/>
          <w:spacing w:val="-2"/>
          <w:sz w:val="24"/>
        </w:rPr>
        <w:t>点，以及表面活性。</w:t>
      </w:r>
    </w:p>
    <w:p>
      <w:pPr>
        <w:spacing w:before="0" w:line="363" w:lineRule="exact"/>
        <w:ind w:left="493" w:right="0" w:firstLine="0"/>
        <w:jc w:val="left"/>
        <w:rPr>
          <w:i/>
          <w:sz w:val="24"/>
        </w:rPr>
      </w:pPr>
      <w:r>
        <w:rPr>
          <w:rFonts w:ascii="Microsoft JhengHei" w:eastAsia="Microsoft JhengHei"/>
          <w:b/>
          <w:sz w:val="24"/>
        </w:rPr>
        <w:t>核心词</w:t>
      </w:r>
      <w:r>
        <w:rPr>
          <w:i/>
          <w:spacing w:val="-1"/>
          <w:sz w:val="24"/>
        </w:rPr>
        <w:t>：离子液体；咪唑；表面活性</w:t>
      </w:r>
    </w:p>
    <w:p>
      <w:pPr>
        <w:spacing w:after="0" w:line="363" w:lineRule="exact"/>
        <w:jc w:val="left"/>
        <w:rPr>
          <w:sz w:val="24"/>
        </w:rPr>
        <w:sectPr>
          <w:pgSz w:w="11910" w:h="16840"/>
          <w:pgMar w:top="1480" w:right="1080" w:bottom="280" w:left="1560" w:header="708" w:footer="708"/>
          <w:pgNumType w:start="3"/>
          <w:cols w:space="708"/>
        </w:sectPr>
      </w:pPr>
    </w:p>
    <w:p>
      <w:pPr>
        <w:spacing w:before="73"/>
        <w:ind w:left="0" w:right="195" w:firstLine="0"/>
        <w:jc w:val="center"/>
        <w:rPr>
          <w:rFonts w:ascii="Times New Roman"/>
          <w:sz w:val="32"/>
        </w:rPr>
      </w:pPr>
      <w:r>
        <w:rPr>
          <w:rFonts w:ascii="Times New Roman"/>
          <w:spacing w:val="-2"/>
          <w:sz w:val="32"/>
        </w:rPr>
        <w:t>Abstract</w:t>
      </w:r>
    </w:p>
    <w:p>
      <w:pPr>
        <w:pStyle w:val="BodyText"/>
        <w:spacing w:before="207" w:line="381" w:lineRule="auto"/>
        <w:ind w:right="334" w:firstLine="480"/>
        <w:jc w:val="both"/>
        <w:rPr>
          <w:rFonts w:ascii="Times New Roman"/>
        </w:rPr>
      </w:pPr>
      <w:r>
        <w:rPr>
          <w:rFonts w:ascii="Times New Roman"/>
          <w:color w:val="333333"/>
        </w:rPr>
        <w:t>Ionic liquids as a new type of green material, non-volatile, non-combustible, reusable, good thermal stability, and physicochemical properties tunable characteristics, and in fine organic</w:t>
      </w:r>
      <w:r>
        <w:rPr>
          <w:rFonts w:ascii="Times New Roman"/>
          <w:color w:val="333333"/>
          <w:spacing w:val="-3"/>
        </w:rPr>
        <w:t xml:space="preserve"> </w:t>
      </w:r>
      <w:r>
        <w:rPr>
          <w:rFonts w:ascii="Times New Roman"/>
          <w:color w:val="333333"/>
        </w:rPr>
        <w:t>synthesis,</w:t>
      </w:r>
      <w:r>
        <w:rPr>
          <w:rFonts w:ascii="Times New Roman"/>
          <w:color w:val="333333"/>
          <w:spacing w:val="-2"/>
        </w:rPr>
        <w:t xml:space="preserve"> </w:t>
      </w:r>
      <w:r>
        <w:rPr>
          <w:rFonts w:ascii="Times New Roman"/>
          <w:color w:val="333333"/>
        </w:rPr>
        <w:t>catalysis,</w:t>
      </w:r>
      <w:r>
        <w:rPr>
          <w:rFonts w:ascii="Times New Roman"/>
          <w:color w:val="333333"/>
          <w:spacing w:val="-2"/>
        </w:rPr>
        <w:t xml:space="preserve"> </w:t>
      </w:r>
      <w:r>
        <w:rPr>
          <w:rFonts w:ascii="Times New Roman"/>
          <w:color w:val="333333"/>
        </w:rPr>
        <w:t>electrochemistry,</w:t>
      </w:r>
      <w:r>
        <w:rPr>
          <w:rFonts w:ascii="Times New Roman"/>
          <w:color w:val="333333"/>
          <w:spacing w:val="-2"/>
        </w:rPr>
        <w:t xml:space="preserve"> </w:t>
      </w:r>
      <w:r>
        <w:rPr>
          <w:rFonts w:ascii="Times New Roman"/>
          <w:color w:val="333333"/>
        </w:rPr>
        <w:t>materials</w:t>
      </w:r>
      <w:r>
        <w:rPr>
          <w:rFonts w:ascii="Times New Roman"/>
          <w:color w:val="333333"/>
          <w:spacing w:val="-2"/>
        </w:rPr>
        <w:t xml:space="preserve"> </w:t>
      </w:r>
      <w:r>
        <w:rPr>
          <w:rFonts w:ascii="Times New Roman"/>
          <w:color w:val="333333"/>
        </w:rPr>
        <w:t>science,</w:t>
      </w:r>
      <w:r>
        <w:rPr>
          <w:rFonts w:ascii="Times New Roman"/>
          <w:color w:val="333333"/>
          <w:spacing w:val="-3"/>
        </w:rPr>
        <w:t xml:space="preserve"> </w:t>
      </w:r>
      <w:r>
        <w:rPr>
          <w:rFonts w:ascii="Times New Roman"/>
          <w:color w:val="333333"/>
        </w:rPr>
        <w:t>bioengineering</w:t>
      </w:r>
      <w:r>
        <w:rPr>
          <w:rFonts w:ascii="Times New Roman"/>
          <w:color w:val="333333"/>
          <w:spacing w:val="-2"/>
        </w:rPr>
        <w:t xml:space="preserve"> </w:t>
      </w:r>
      <w:r>
        <w:rPr>
          <w:rFonts w:ascii="Times New Roman"/>
          <w:color w:val="333333"/>
        </w:rPr>
        <w:t>and</w:t>
      </w:r>
      <w:r>
        <w:rPr>
          <w:rFonts w:ascii="Times New Roman"/>
          <w:color w:val="333333"/>
          <w:spacing w:val="-2"/>
        </w:rPr>
        <w:t xml:space="preserve"> </w:t>
      </w:r>
      <w:r>
        <w:rPr>
          <w:rFonts w:ascii="Times New Roman"/>
          <w:color w:val="333333"/>
        </w:rPr>
        <w:t>energy and other areas has been widely used. Existing most widely used ionic liquid alkyl methyl of imidazole salt, however, its design, polarity, polar weak organic performance of low defect limits its industrial progress - further applications. Design and development of new, special features of ionic liquid materials to meet different needs and enrich the ionic liquid and basic chemical theory is of great significance.</w:t>
      </w:r>
    </w:p>
    <w:p>
      <w:pPr>
        <w:pStyle w:val="BodyText"/>
        <w:spacing w:before="9" w:line="381" w:lineRule="auto"/>
        <w:ind w:right="334" w:firstLine="480"/>
        <w:jc w:val="both"/>
        <w:rPr>
          <w:rFonts w:ascii="Times New Roman" w:hAnsi="Times New Roman"/>
        </w:rPr>
      </w:pPr>
      <w:r>
        <w:rPr>
          <w:rFonts w:ascii="Times New Roman" w:hAnsi="Times New Roman"/>
          <w:color w:val="333333"/>
        </w:rPr>
        <w:t>Imidazole surfactants are a new class of surfactant. For 1 - alkyl - 3 – methyl imidazolium bromide, when the alkyl chain length is shorter, it is at room temperature liquid, almost no vapor pressure, non-flammable, non-fire point, thermal stability and high chemical stability of the ionic liquid, and chemical separation, the field of organic synthesis, nano-materials and solar cells, etc. are widely used. When its longer alkyl chain, similar to traditional cationic surfactants, and amphiphilic Imidazolium ionic liquid has been widely studied. Studies have shown that compared with traditional cationic surfactant</w:t>
      </w:r>
    </w:p>
    <w:p>
      <w:pPr>
        <w:pStyle w:val="BodyText"/>
        <w:spacing w:before="9"/>
        <w:jc w:val="both"/>
        <w:rPr>
          <w:rFonts w:ascii="Times New Roman"/>
        </w:rPr>
      </w:pPr>
      <w:r>
        <w:rPr>
          <w:rFonts w:ascii="Times New Roman"/>
          <w:color w:val="333333"/>
        </w:rPr>
        <w:t>-</w:t>
      </w:r>
      <w:r>
        <w:rPr>
          <w:rFonts w:ascii="Times New Roman"/>
          <w:color w:val="333333"/>
          <w:spacing w:val="-1"/>
        </w:rPr>
        <w:t xml:space="preserve"> </w:t>
      </w:r>
      <w:r>
        <w:rPr>
          <w:rFonts w:ascii="Times New Roman"/>
          <w:color w:val="333333"/>
        </w:rPr>
        <w:t>alkyl</w:t>
      </w:r>
      <w:r>
        <w:rPr>
          <w:rFonts w:ascii="Times New Roman"/>
          <w:color w:val="333333"/>
          <w:spacing w:val="-1"/>
        </w:rPr>
        <w:t xml:space="preserve"> </w:t>
      </w:r>
      <w:r>
        <w:rPr>
          <w:rFonts w:ascii="Times New Roman"/>
          <w:color w:val="333333"/>
        </w:rPr>
        <w:t>trimethyl</w:t>
      </w:r>
      <w:r>
        <w:rPr>
          <w:rFonts w:ascii="Times New Roman"/>
          <w:color w:val="333333"/>
          <w:spacing w:val="-1"/>
        </w:rPr>
        <w:t xml:space="preserve"> </w:t>
      </w:r>
      <w:r>
        <w:rPr>
          <w:rFonts w:ascii="Times New Roman"/>
          <w:color w:val="333333"/>
        </w:rPr>
        <w:t>ammonium</w:t>
      </w:r>
      <w:r>
        <w:rPr>
          <w:rFonts w:ascii="Times New Roman"/>
          <w:color w:val="333333"/>
          <w:spacing w:val="-2"/>
        </w:rPr>
        <w:t xml:space="preserve"> </w:t>
      </w:r>
      <w:r>
        <w:rPr>
          <w:rFonts w:ascii="Times New Roman"/>
          <w:color w:val="333333"/>
        </w:rPr>
        <w:t>bromide,</w:t>
      </w:r>
      <w:r>
        <w:rPr>
          <w:rFonts w:ascii="Times New Roman"/>
          <w:color w:val="333333"/>
          <w:spacing w:val="-1"/>
        </w:rPr>
        <w:t xml:space="preserve"> </w:t>
      </w:r>
      <w:r>
        <w:rPr>
          <w:rFonts w:ascii="Times New Roman"/>
          <w:color w:val="333333"/>
        </w:rPr>
        <w:t>long-chain</w:t>
      </w:r>
      <w:r>
        <w:rPr>
          <w:rFonts w:ascii="Times New Roman"/>
          <w:color w:val="333333"/>
          <w:spacing w:val="-1"/>
        </w:rPr>
        <w:t xml:space="preserve"> </w:t>
      </w:r>
      <w:r>
        <w:rPr>
          <w:rFonts w:ascii="Times New Roman"/>
          <w:color w:val="333333"/>
        </w:rPr>
        <w:t>ionic</w:t>
      </w:r>
      <w:r>
        <w:rPr>
          <w:rFonts w:ascii="Times New Roman"/>
          <w:color w:val="333333"/>
          <w:spacing w:val="-1"/>
        </w:rPr>
        <w:t xml:space="preserve"> </w:t>
      </w:r>
      <w:r>
        <w:rPr>
          <w:rFonts w:ascii="Times New Roman"/>
          <w:color w:val="333333"/>
        </w:rPr>
        <w:t>liquid</w:t>
      </w:r>
      <w:r>
        <w:rPr>
          <w:rFonts w:ascii="Times New Roman"/>
          <w:color w:val="333333"/>
          <w:spacing w:val="-1"/>
        </w:rPr>
        <w:t xml:space="preserve"> </w:t>
      </w:r>
      <w:r>
        <w:rPr>
          <w:rFonts w:ascii="Times New Roman"/>
          <w:color w:val="333333"/>
        </w:rPr>
        <w:t>has</w:t>
      </w:r>
      <w:r>
        <w:rPr>
          <w:rFonts w:ascii="Times New Roman"/>
          <w:color w:val="333333"/>
          <w:spacing w:val="-1"/>
        </w:rPr>
        <w:t xml:space="preserve"> </w:t>
      </w:r>
      <w:r>
        <w:rPr>
          <w:rFonts w:ascii="Times New Roman"/>
          <w:color w:val="333333"/>
        </w:rPr>
        <w:t>a</w:t>
      </w:r>
      <w:r>
        <w:rPr>
          <w:rFonts w:ascii="Times New Roman"/>
          <w:color w:val="333333"/>
          <w:spacing w:val="-2"/>
        </w:rPr>
        <w:t xml:space="preserve"> </w:t>
      </w:r>
      <w:r>
        <w:rPr>
          <w:rFonts w:ascii="Times New Roman"/>
          <w:color w:val="333333"/>
        </w:rPr>
        <w:t>higher</w:t>
      </w:r>
      <w:r>
        <w:rPr>
          <w:rFonts w:ascii="Times New Roman"/>
          <w:color w:val="333333"/>
          <w:spacing w:val="-1"/>
        </w:rPr>
        <w:t xml:space="preserve"> </w:t>
      </w:r>
      <w:r>
        <w:rPr>
          <w:rFonts w:ascii="Times New Roman"/>
          <w:color w:val="333333"/>
        </w:rPr>
        <w:t>surface</w:t>
      </w:r>
      <w:r>
        <w:rPr>
          <w:rFonts w:ascii="Times New Roman"/>
          <w:color w:val="333333"/>
          <w:spacing w:val="-1"/>
        </w:rPr>
        <w:t xml:space="preserve"> </w:t>
      </w:r>
      <w:r>
        <w:rPr>
          <w:rFonts w:ascii="Times New Roman"/>
          <w:color w:val="333333"/>
          <w:spacing w:val="-2"/>
        </w:rPr>
        <w:t>activity.</w:t>
      </w:r>
    </w:p>
    <w:p>
      <w:pPr>
        <w:pStyle w:val="BodyText"/>
        <w:spacing w:before="148"/>
        <w:ind w:left="621"/>
        <w:jc w:val="both"/>
      </w:pPr>
      <w:r>
        <w:rPr>
          <w:rFonts w:ascii="Times New Roman" w:eastAsia="Times New Roman"/>
          <w:color w:val="333333"/>
        </w:rPr>
        <w:t>Thesis</w:t>
      </w:r>
      <w:r>
        <w:rPr>
          <w:rFonts w:ascii="Times New Roman" w:eastAsia="Times New Roman"/>
          <w:color w:val="333333"/>
          <w:spacing w:val="-1"/>
        </w:rPr>
        <w:t xml:space="preserve"> </w:t>
      </w:r>
      <w:r>
        <w:rPr>
          <w:rFonts w:ascii="Times New Roman" w:eastAsia="Times New Roman"/>
          <w:color w:val="333333"/>
        </w:rPr>
        <w:t>review and</w:t>
      </w:r>
      <w:r>
        <w:rPr>
          <w:rFonts w:ascii="Times New Roman" w:eastAsia="Times New Roman"/>
          <w:color w:val="333333"/>
          <w:spacing w:val="-1"/>
        </w:rPr>
        <w:t xml:space="preserve"> </w:t>
      </w:r>
      <w:r>
        <w:rPr>
          <w:rFonts w:ascii="Times New Roman" w:eastAsia="Times New Roman"/>
          <w:color w:val="333333"/>
        </w:rPr>
        <w:t>experiments</w:t>
      </w:r>
      <w:r>
        <w:rPr>
          <w:rFonts w:ascii="Times New Roman" w:eastAsia="Times New Roman"/>
          <w:color w:val="333333"/>
          <w:spacing w:val="-1"/>
        </w:rPr>
        <w:t xml:space="preserve"> </w:t>
      </w:r>
      <w:r>
        <w:rPr>
          <w:rFonts w:ascii="Times New Roman" w:eastAsia="Times New Roman"/>
          <w:color w:val="333333"/>
        </w:rPr>
        <w:t>in</w:t>
      </w:r>
      <w:r>
        <w:rPr>
          <w:rFonts w:ascii="Times New Roman" w:eastAsia="Times New Roman"/>
          <w:color w:val="333333"/>
          <w:spacing w:val="-1"/>
        </w:rPr>
        <w:t xml:space="preserve"> </w:t>
      </w:r>
      <w:r>
        <w:rPr>
          <w:rFonts w:ascii="Times New Roman" w:eastAsia="Times New Roman"/>
          <w:color w:val="333333"/>
        </w:rPr>
        <w:t xml:space="preserve">two </w:t>
      </w:r>
      <w:r>
        <w:rPr>
          <w:rFonts w:ascii="Times New Roman" w:eastAsia="Times New Roman"/>
          <w:color w:val="333333"/>
          <w:spacing w:val="-2"/>
        </w:rPr>
        <w:t>parts</w:t>
      </w:r>
      <w:r>
        <w:rPr>
          <w:color w:val="333333"/>
          <w:spacing w:val="-2"/>
        </w:rPr>
        <w:t>：</w:t>
      </w:r>
    </w:p>
    <w:p>
      <w:pPr>
        <w:pStyle w:val="BodyText"/>
        <w:spacing w:before="148" w:line="381" w:lineRule="auto"/>
        <w:ind w:right="334" w:firstLine="480"/>
        <w:jc w:val="both"/>
        <w:rPr>
          <w:rFonts w:ascii="Times New Roman"/>
        </w:rPr>
      </w:pPr>
      <w:r>
        <w:rPr>
          <w:rFonts w:ascii="Times New Roman"/>
          <w:color w:val="333333"/>
        </w:rPr>
        <w:t>Summary of part of the system overview of the classification of the ionic liquid; three major aspects of the synthesis method and the nature of the ionic liquid; ionic liquids in organic synthesis, electrochemistry, chemical separation, summarized the characteristics and applications of ionic liquids.</w:t>
      </w:r>
    </w:p>
    <w:p>
      <w:pPr>
        <w:pStyle w:val="BodyText"/>
        <w:spacing w:before="5" w:line="381" w:lineRule="auto"/>
        <w:ind w:right="335" w:firstLine="480"/>
        <w:jc w:val="both"/>
        <w:rPr>
          <w:rFonts w:ascii="Times New Roman"/>
        </w:rPr>
      </w:pPr>
      <w:r>
        <w:rPr>
          <w:rFonts w:ascii="Times New Roman"/>
          <w:color w:val="333333"/>
        </w:rPr>
        <w:t>This experiment with methyl imidazole,1 - bromodecane as raw materials, to take the route of synthesis of the imidazole surfactant liquids.Finally, characterization of the</w:t>
      </w:r>
      <w:r>
        <w:rPr>
          <w:rFonts w:ascii="Times New Roman"/>
          <w:color w:val="333333"/>
          <w:spacing w:val="40"/>
        </w:rPr>
        <w:t xml:space="preserve"> </w:t>
      </w:r>
      <w:r>
        <w:rPr>
          <w:rFonts w:ascii="Times New Roman"/>
          <w:color w:val="333333"/>
        </w:rPr>
        <w:t>melting point of the synthetic products, as well as surfactant.</w:t>
      </w:r>
    </w:p>
    <w:p>
      <w:pPr>
        <w:pStyle w:val="BodyText"/>
        <w:spacing w:line="295" w:lineRule="exact"/>
        <w:ind w:left="621"/>
        <w:jc w:val="both"/>
        <w:rPr>
          <w:rFonts w:ascii="Times New Roman" w:eastAsia="Times New Roman"/>
        </w:rPr>
      </w:pPr>
      <w:r>
        <w:rPr>
          <w:rFonts w:ascii="Times New Roman" w:eastAsia="Times New Roman"/>
          <w:b/>
          <w:color w:val="333333"/>
        </w:rPr>
        <w:t>Key</w:t>
      </w:r>
      <w:r>
        <w:rPr>
          <w:rFonts w:ascii="Times New Roman" w:eastAsia="Times New Roman"/>
          <w:b/>
          <w:color w:val="333333"/>
          <w:spacing w:val="-3"/>
        </w:rPr>
        <w:t xml:space="preserve"> </w:t>
      </w:r>
      <w:r>
        <w:rPr>
          <w:rFonts w:ascii="Times New Roman" w:eastAsia="Times New Roman"/>
          <w:b/>
          <w:color w:val="333333"/>
        </w:rPr>
        <w:t>words</w:t>
      </w:r>
      <w:r>
        <w:rPr>
          <w:color w:val="333333"/>
        </w:rPr>
        <w:t>：</w:t>
      </w:r>
      <w:r>
        <w:rPr>
          <w:color w:val="333333"/>
          <w:spacing w:val="-3"/>
        </w:rPr>
        <w:t xml:space="preserve"> </w:t>
      </w:r>
      <w:r>
        <w:rPr>
          <w:rFonts w:ascii="Times New Roman" w:eastAsia="Times New Roman"/>
          <w:color w:val="333333"/>
        </w:rPr>
        <w:t>ionic</w:t>
      </w:r>
      <w:r>
        <w:rPr>
          <w:rFonts w:ascii="Times New Roman" w:eastAsia="Times New Roman"/>
          <w:color w:val="333333"/>
          <w:spacing w:val="-1"/>
        </w:rPr>
        <w:t xml:space="preserve"> </w:t>
      </w:r>
      <w:r>
        <w:rPr>
          <w:rFonts w:ascii="Times New Roman" w:eastAsia="Times New Roman"/>
          <w:color w:val="333333"/>
        </w:rPr>
        <w:t>liquid;</w:t>
      </w:r>
      <w:r>
        <w:rPr>
          <w:rFonts w:ascii="Times New Roman" w:eastAsia="Times New Roman"/>
          <w:color w:val="333333"/>
          <w:spacing w:val="-2"/>
        </w:rPr>
        <w:t xml:space="preserve"> </w:t>
      </w:r>
      <w:r>
        <w:rPr>
          <w:rFonts w:ascii="Times New Roman" w:eastAsia="Times New Roman"/>
          <w:color w:val="333333"/>
        </w:rPr>
        <w:t>imidazole;</w:t>
      </w:r>
      <w:r>
        <w:rPr>
          <w:rFonts w:ascii="Times New Roman" w:eastAsia="Times New Roman"/>
          <w:color w:val="333333"/>
          <w:spacing w:val="-1"/>
        </w:rPr>
        <w:t xml:space="preserve"> </w:t>
      </w:r>
      <w:r>
        <w:rPr>
          <w:rFonts w:ascii="Times New Roman" w:eastAsia="Times New Roman"/>
          <w:color w:val="333333"/>
          <w:spacing w:val="-2"/>
        </w:rPr>
        <w:t>surfactant</w:t>
      </w:r>
    </w:p>
    <w:p>
      <w:pPr>
        <w:spacing w:after="0" w:line="295" w:lineRule="exact"/>
        <w:jc w:val="both"/>
        <w:rPr>
          <w:rFonts w:ascii="Times New Roman" w:eastAsia="Times New Roman"/>
        </w:rPr>
        <w:sectPr>
          <w:pgSz w:w="11910" w:h="16840"/>
          <w:pgMar w:top="1320" w:right="1080" w:bottom="280" w:left="1560" w:header="708" w:footer="708"/>
          <w:pgNumType w:start="4"/>
          <w:cols w:space="708"/>
        </w:sectPr>
      </w:pPr>
    </w:p>
    <w:p>
      <w:pPr>
        <w:spacing w:before="0" w:line="414" w:lineRule="exact"/>
        <w:ind w:left="0" w:right="195" w:firstLine="0"/>
        <w:jc w:val="center"/>
        <w:rPr>
          <w:rFonts w:ascii="Microsoft JhengHei" w:eastAsia="Microsoft JhengHei"/>
          <w:b/>
          <w:sz w:val="24"/>
        </w:rPr>
      </w:pPr>
      <w:r>
        <w:rPr>
          <w:rFonts w:ascii="Microsoft JhengHei" w:eastAsia="Microsoft JhengHei"/>
          <w:b/>
          <w:spacing w:val="-5"/>
          <w:sz w:val="24"/>
        </w:rPr>
        <w:t>目录</w:t>
      </w:r>
    </w:p>
    <w:p>
      <w:pPr>
        <w:spacing w:after="0" w:line="414" w:lineRule="exact"/>
        <w:jc w:val="center"/>
        <w:rPr>
          <w:rFonts w:ascii="Microsoft JhengHei" w:eastAsia="Microsoft JhengHei"/>
          <w:sz w:val="24"/>
        </w:rPr>
        <w:sectPr>
          <w:pgSz w:w="11910" w:h="16840"/>
          <w:pgMar w:top="1460" w:right="1080" w:bottom="1736" w:left="1560" w:header="708" w:footer="708"/>
          <w:pgNumType w:start="5"/>
          <w:cols w:space="708"/>
        </w:sectPr>
      </w:pPr>
    </w:p>
    <w:sdt>
      <w:sdtPr>
        <w:id w:val="468291952"/>
        <w:docPartObj>
          <w:docPartGallery w:val="Table of Contents"/>
          <w:docPartUnique/>
        </w:docPartObj>
      </w:sdtPr>
      <w:sdtContent>
        <w:p>
          <w:pPr>
            <w:pStyle w:val="TOC1"/>
            <w:numPr>
              <w:ilvl w:val="0"/>
              <w:numId w:val="9"/>
            </w:numPr>
            <w:tabs>
              <w:tab w:val="left" w:pos="322"/>
              <w:tab w:val="right" w:leader="dot" w:pos="8442"/>
            </w:tabs>
            <w:spacing w:before="78" w:after="0" w:line="240" w:lineRule="auto"/>
            <w:ind w:left="322" w:right="0" w:hanging="181"/>
            <w:jc w:val="left"/>
            <w:rPr>
              <w:rFonts w:ascii="Times New Roman" w:eastAsia="Times New Roman"/>
            </w:rPr>
          </w:pPr>
          <w:hyperlink w:anchor="_TOC_250040" w:history="1">
            <w:r>
              <w:t>绪</w:t>
            </w:r>
            <w:r>
              <w:rPr>
                <w:spacing w:val="-10"/>
              </w:rPr>
              <w:t>论</w:t>
            </w:r>
            <w:r>
              <w:rPr>
                <w:rFonts w:ascii="Times New Roman" w:eastAsia="Times New Roman"/>
              </w:rPr>
              <w:tab/>
            </w:r>
            <w:r>
              <w:rPr>
                <w:rFonts w:ascii="Times New Roman" w:eastAsia="Times New Roman"/>
                <w:spacing w:val="-10"/>
                <w:position w:val="-5"/>
              </w:rPr>
              <w:t>1</w:t>
            </w:r>
          </w:hyperlink>
        </w:p>
        <w:p>
          <w:pPr>
            <w:pStyle w:val="TOC2"/>
            <w:numPr>
              <w:ilvl w:val="1"/>
              <w:numId w:val="9"/>
            </w:numPr>
            <w:tabs>
              <w:tab w:val="left" w:pos="1100"/>
              <w:tab w:val="left" w:pos="1101"/>
              <w:tab w:val="right" w:leader="dot" w:pos="8442"/>
            </w:tabs>
            <w:spacing w:before="88" w:after="0" w:line="240" w:lineRule="auto"/>
            <w:ind w:left="1101" w:right="0" w:hanging="540"/>
            <w:jc w:val="left"/>
            <w:rPr>
              <w:rFonts w:ascii="Times New Roman" w:eastAsia="Times New Roman"/>
            </w:rPr>
          </w:pPr>
          <w:hyperlink w:anchor="_TOC_250039" w:history="1">
            <w:r>
              <w:t>引</w:t>
            </w:r>
            <w:r>
              <w:rPr>
                <w:spacing w:val="-10"/>
              </w:rPr>
              <w:t>言</w:t>
            </w:r>
            <w:r>
              <w:rPr>
                <w:rFonts w:ascii="Times New Roman" w:eastAsia="Times New Roman"/>
              </w:rPr>
              <w:tab/>
            </w:r>
            <w:r>
              <w:rPr>
                <w:rFonts w:ascii="Times New Roman" w:eastAsia="Times New Roman"/>
                <w:spacing w:val="-10"/>
                <w:position w:val="-5"/>
              </w:rPr>
              <w:t>1</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38" w:history="1">
            <w:r>
              <w:t>离子液体介</w:t>
            </w:r>
            <w:r>
              <w:rPr>
                <w:spacing w:val="-10"/>
              </w:rPr>
              <w:t>绍</w:t>
            </w:r>
            <w:r>
              <w:rPr>
                <w:rFonts w:ascii="Times New Roman" w:eastAsia="Times New Roman"/>
              </w:rPr>
              <w:tab/>
            </w:r>
            <w:r>
              <w:rPr>
                <w:rFonts w:ascii="Times New Roman" w:eastAsia="Times New Roman"/>
                <w:spacing w:val="-10"/>
                <w:position w:val="-5"/>
              </w:rPr>
              <w:t>1</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7" w:history="1">
            <w:r>
              <w:t>离子液体的分</w:t>
            </w:r>
            <w:r>
              <w:rPr>
                <w:spacing w:val="-10"/>
              </w:rPr>
              <w:t>类</w:t>
            </w:r>
            <w:r>
              <w:rPr>
                <w:rFonts w:ascii="Times New Roman" w:eastAsia="Times New Roman"/>
              </w:rPr>
              <w:tab/>
            </w:r>
            <w:r>
              <w:rPr>
                <w:rFonts w:ascii="Times New Roman" w:eastAsia="Times New Roman"/>
                <w:spacing w:val="-10"/>
                <w:position w:val="-5"/>
              </w:rPr>
              <w:t>1</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6" w:history="1">
            <w:r>
              <w:t>离子液体的特</w:t>
            </w:r>
            <w:r>
              <w:rPr>
                <w:spacing w:val="-10"/>
              </w:rPr>
              <w:t>点</w:t>
            </w:r>
            <w:r>
              <w:rPr>
                <w:rFonts w:ascii="Times New Roman" w:eastAsia="Times New Roman"/>
              </w:rPr>
              <w:tab/>
            </w:r>
            <w:r>
              <w:rPr>
                <w:rFonts w:ascii="Times New Roman" w:eastAsia="Times New Roman"/>
                <w:spacing w:val="-10"/>
                <w:position w:val="-5"/>
              </w:rPr>
              <w:t>2</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5" w:history="1">
            <w:r>
              <w:t>离子液体的研究进</w:t>
            </w:r>
            <w:r>
              <w:rPr>
                <w:spacing w:val="-10"/>
              </w:rPr>
              <w:t>展</w:t>
            </w:r>
            <w:r>
              <w:rPr>
                <w:rFonts w:ascii="Times New Roman" w:eastAsia="Times New Roman"/>
              </w:rPr>
              <w:tab/>
            </w:r>
            <w:r>
              <w:rPr>
                <w:rFonts w:ascii="Times New Roman" w:eastAsia="Times New Roman"/>
                <w:spacing w:val="-10"/>
                <w:position w:val="-5"/>
              </w:rPr>
              <w:t>2</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34" w:history="1">
            <w:r>
              <w:t>离子液体的物理化学性</w:t>
            </w:r>
            <w:r>
              <w:rPr>
                <w:spacing w:val="-10"/>
              </w:rPr>
              <w:t>质</w:t>
            </w:r>
            <w:r>
              <w:rPr>
                <w:rFonts w:ascii="Times New Roman" w:eastAsia="Times New Roman"/>
              </w:rPr>
              <w:tab/>
            </w:r>
            <w:r>
              <w:rPr>
                <w:rFonts w:ascii="Times New Roman" w:eastAsia="Times New Roman"/>
                <w:spacing w:val="-10"/>
                <w:position w:val="-5"/>
              </w:rPr>
              <w:t>3</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3" w:history="1">
            <w:r>
              <w:t>离子液体的熔</w:t>
            </w:r>
            <w:r>
              <w:rPr>
                <w:spacing w:val="-10"/>
              </w:rPr>
              <w:t>点</w:t>
            </w:r>
            <w:r>
              <w:rPr>
                <w:rFonts w:ascii="Times New Roman" w:eastAsia="Times New Roman"/>
              </w:rPr>
              <w:tab/>
            </w:r>
            <w:r>
              <w:rPr>
                <w:rFonts w:ascii="Times New Roman" w:eastAsia="Times New Roman"/>
                <w:spacing w:val="-10"/>
                <w:position w:val="-5"/>
              </w:rPr>
              <w:t>3</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2" w:history="1">
            <w:r>
              <w:t>离子液体的密</w:t>
            </w:r>
            <w:r>
              <w:rPr>
                <w:spacing w:val="-10"/>
              </w:rPr>
              <w:t>度</w:t>
            </w:r>
            <w:r>
              <w:rPr>
                <w:rFonts w:ascii="Times New Roman" w:eastAsia="Times New Roman"/>
              </w:rPr>
              <w:tab/>
            </w:r>
            <w:r>
              <w:rPr>
                <w:rFonts w:ascii="Times New Roman" w:eastAsia="Times New Roman"/>
                <w:spacing w:val="-10"/>
                <w:position w:val="-5"/>
              </w:rPr>
              <w:t>4</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1" w:history="1">
            <w:r>
              <w:t>离子液体的溶解</w:t>
            </w:r>
            <w:r>
              <w:rPr>
                <w:spacing w:val="-10"/>
              </w:rPr>
              <w:t>性</w:t>
            </w:r>
            <w:r>
              <w:rPr>
                <w:rFonts w:ascii="Times New Roman" w:eastAsia="Times New Roman"/>
              </w:rPr>
              <w:tab/>
            </w:r>
            <w:r>
              <w:rPr>
                <w:rFonts w:ascii="Times New Roman" w:eastAsia="Times New Roman"/>
                <w:spacing w:val="-10"/>
                <w:position w:val="-5"/>
              </w:rPr>
              <w:t>4</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30" w:history="1">
            <w:r>
              <w:t>离子液体的热稳定</w:t>
            </w:r>
            <w:r>
              <w:rPr>
                <w:spacing w:val="-10"/>
              </w:rPr>
              <w:t>性</w:t>
            </w:r>
            <w:r>
              <w:rPr>
                <w:rFonts w:ascii="Times New Roman" w:eastAsia="Times New Roman"/>
              </w:rPr>
              <w:tab/>
            </w:r>
            <w:r>
              <w:rPr>
                <w:rFonts w:ascii="Times New Roman" w:eastAsia="Times New Roman"/>
                <w:spacing w:val="-10"/>
                <w:position w:val="-5"/>
              </w:rPr>
              <w:t>5</w:t>
            </w:r>
          </w:hyperlink>
        </w:p>
        <w:p>
          <w:pPr>
            <w:pStyle w:val="TOC4"/>
            <w:numPr>
              <w:ilvl w:val="2"/>
              <w:numId w:val="9"/>
            </w:numPr>
            <w:tabs>
              <w:tab w:val="left" w:pos="1521"/>
              <w:tab w:val="right" w:leader="dot" w:pos="8442"/>
            </w:tabs>
            <w:spacing w:before="89" w:after="0" w:line="240" w:lineRule="auto"/>
            <w:ind w:left="1521" w:right="0" w:hanging="540"/>
            <w:jc w:val="left"/>
            <w:rPr>
              <w:rFonts w:ascii="Times New Roman" w:eastAsia="Times New Roman"/>
            </w:rPr>
          </w:pPr>
          <w:hyperlink w:anchor="_TOC_250029" w:history="1">
            <w:r>
              <w:t>离子液体的粘</w:t>
            </w:r>
            <w:r>
              <w:rPr>
                <w:spacing w:val="-10"/>
              </w:rPr>
              <w:t>度</w:t>
            </w:r>
            <w:r>
              <w:rPr>
                <w:rFonts w:ascii="Times New Roman" w:eastAsia="Times New Roman"/>
              </w:rPr>
              <w:tab/>
            </w:r>
            <w:r>
              <w:rPr>
                <w:rFonts w:ascii="Times New Roman" w:eastAsia="Times New Roman"/>
                <w:spacing w:val="-10"/>
                <w:position w:val="-5"/>
              </w:rPr>
              <w:t>6</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28" w:history="1">
            <w:r>
              <w:t>离子液体的电化学性</w:t>
            </w:r>
            <w:r>
              <w:rPr>
                <w:spacing w:val="-10"/>
              </w:rPr>
              <w:t>能</w:t>
            </w:r>
            <w:r>
              <w:rPr>
                <w:rFonts w:ascii="Times New Roman" w:eastAsia="Times New Roman"/>
              </w:rPr>
              <w:tab/>
            </w:r>
            <w:r>
              <w:rPr>
                <w:rFonts w:ascii="Times New Roman" w:eastAsia="Times New Roman"/>
                <w:spacing w:val="-10"/>
                <w:position w:val="-5"/>
              </w:rPr>
              <w:t>7</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27" w:history="1">
            <w:r>
              <w:t>离子液体的表面张</w:t>
            </w:r>
            <w:r>
              <w:rPr>
                <w:spacing w:val="-10"/>
              </w:rPr>
              <w:t>力</w:t>
            </w:r>
            <w:r>
              <w:rPr>
                <w:rFonts w:ascii="Times New Roman" w:eastAsia="Times New Roman"/>
              </w:rPr>
              <w:tab/>
            </w:r>
            <w:r>
              <w:rPr>
                <w:rFonts w:ascii="Times New Roman" w:eastAsia="Times New Roman"/>
                <w:spacing w:val="-10"/>
                <w:position w:val="-5"/>
              </w:rPr>
              <w:t>7</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26" w:history="1">
            <w:r>
              <w:t>离子液体的应</w:t>
            </w:r>
            <w:r>
              <w:rPr>
                <w:spacing w:val="-10"/>
              </w:rPr>
              <w:t>用</w:t>
            </w:r>
            <w:r>
              <w:rPr>
                <w:rFonts w:ascii="Times New Roman" w:eastAsia="Times New Roman"/>
              </w:rPr>
              <w:tab/>
            </w:r>
            <w:r>
              <w:rPr>
                <w:rFonts w:ascii="Times New Roman" w:eastAsia="Times New Roman"/>
                <w:spacing w:val="-10"/>
                <w:position w:val="-5"/>
              </w:rPr>
              <w:t>7</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25" w:history="1">
            <w:r>
              <w:t>萃取分离中的应</w:t>
            </w:r>
            <w:r>
              <w:rPr>
                <w:spacing w:val="-10"/>
              </w:rPr>
              <w:t>用</w:t>
            </w:r>
            <w:r>
              <w:rPr>
                <w:rFonts w:ascii="Times New Roman" w:eastAsia="Times New Roman"/>
              </w:rPr>
              <w:tab/>
            </w:r>
            <w:r>
              <w:rPr>
                <w:rFonts w:ascii="Times New Roman" w:eastAsia="Times New Roman"/>
                <w:spacing w:val="-10"/>
                <w:position w:val="-5"/>
              </w:rPr>
              <w:t>8</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24" w:history="1">
            <w:r>
              <w:t>在有机合成中的应</w:t>
            </w:r>
            <w:r>
              <w:rPr>
                <w:spacing w:val="-10"/>
              </w:rPr>
              <w:t>用</w:t>
            </w:r>
            <w:r>
              <w:rPr>
                <w:rFonts w:ascii="Times New Roman" w:eastAsia="Times New Roman"/>
              </w:rPr>
              <w:tab/>
            </w:r>
            <w:r>
              <w:rPr>
                <w:rFonts w:ascii="Times New Roman" w:eastAsia="Times New Roman"/>
                <w:spacing w:val="-10"/>
                <w:position w:val="-5"/>
              </w:rPr>
              <w:t>9</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23" w:history="1">
            <w:r>
              <w:t>电化学方面的应</w:t>
            </w:r>
            <w:r>
              <w:rPr>
                <w:spacing w:val="-10"/>
              </w:rPr>
              <w:t>用</w:t>
            </w:r>
            <w:r>
              <w:rPr>
                <w:rFonts w:ascii="Times New Roman" w:eastAsia="Times New Roman"/>
              </w:rPr>
              <w:tab/>
            </w:r>
            <w:r>
              <w:rPr>
                <w:rFonts w:ascii="Times New Roman" w:eastAsia="Times New Roman"/>
                <w:spacing w:val="-10"/>
                <w:position w:val="-5"/>
              </w:rPr>
              <w:t>9</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22" w:history="1">
            <w:r>
              <w:t>在三次采油中的应</w:t>
            </w:r>
            <w:r>
              <w:rPr>
                <w:spacing w:val="-10"/>
              </w:rPr>
              <w:t>用</w:t>
            </w:r>
            <w:r>
              <w:rPr>
                <w:rFonts w:ascii="Times New Roman" w:eastAsia="Times New Roman"/>
              </w:rPr>
              <w:tab/>
            </w:r>
            <w:r>
              <w:rPr>
                <w:rFonts w:ascii="Times New Roman" w:eastAsia="Times New Roman"/>
                <w:spacing w:val="-5"/>
                <w:position w:val="-5"/>
              </w:rPr>
              <w:t>10</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21" w:history="1">
            <w:r>
              <w:t>离子液体型表面活性</w:t>
            </w:r>
            <w:r>
              <w:rPr>
                <w:spacing w:val="-10"/>
              </w:rPr>
              <w:t>剂</w:t>
            </w:r>
            <w:r>
              <w:rPr>
                <w:rFonts w:ascii="Times New Roman" w:eastAsia="Times New Roman"/>
              </w:rPr>
              <w:tab/>
            </w:r>
            <w:r>
              <w:rPr>
                <w:rFonts w:ascii="Times New Roman" w:eastAsia="Times New Roman"/>
                <w:spacing w:val="-5"/>
                <w:position w:val="-5"/>
              </w:rPr>
              <w:t>10</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20" w:history="1">
            <w:r>
              <w:t>咪唑类离子液体的研究进</w:t>
            </w:r>
            <w:r>
              <w:rPr>
                <w:spacing w:val="-10"/>
              </w:rPr>
              <w:t>展</w:t>
            </w:r>
            <w:r>
              <w:rPr>
                <w:rFonts w:ascii="Times New Roman" w:eastAsia="Times New Roman"/>
              </w:rPr>
              <w:tab/>
            </w:r>
            <w:r>
              <w:rPr>
                <w:rFonts w:ascii="Times New Roman" w:eastAsia="Times New Roman"/>
                <w:spacing w:val="-5"/>
                <w:position w:val="-5"/>
              </w:rPr>
              <w:t>10</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19" w:history="1">
            <w:r>
              <w:t>二烷基咪唑四氟硼酸盐的研究进</w:t>
            </w:r>
            <w:r>
              <w:rPr>
                <w:spacing w:val="-10"/>
              </w:rPr>
              <w:t>展</w:t>
            </w:r>
            <w:r>
              <w:rPr>
                <w:rFonts w:ascii="Times New Roman" w:eastAsia="Times New Roman"/>
              </w:rPr>
              <w:tab/>
            </w:r>
            <w:r>
              <w:rPr>
                <w:rFonts w:ascii="Times New Roman" w:eastAsia="Times New Roman"/>
                <w:spacing w:val="-5"/>
                <w:position w:val="-5"/>
              </w:rPr>
              <w:t>10</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18" w:history="1">
            <w:r>
              <w:t>二烷基咪唑硫酸乙酯的研究进</w:t>
            </w:r>
            <w:r>
              <w:rPr>
                <w:spacing w:val="-10"/>
              </w:rPr>
              <w:t>展</w:t>
            </w:r>
            <w:r>
              <w:rPr>
                <w:rFonts w:ascii="Times New Roman" w:eastAsia="Times New Roman"/>
              </w:rPr>
              <w:tab/>
            </w:r>
            <w:r>
              <w:rPr>
                <w:rFonts w:ascii="Times New Roman" w:eastAsia="Times New Roman"/>
                <w:spacing w:val="-5"/>
                <w:position w:val="-5"/>
              </w:rPr>
              <w:t>11</w:t>
            </w:r>
          </w:hyperlink>
        </w:p>
        <w:p>
          <w:pPr>
            <w:pStyle w:val="TOC2"/>
            <w:numPr>
              <w:ilvl w:val="1"/>
              <w:numId w:val="9"/>
            </w:numPr>
            <w:tabs>
              <w:tab w:val="left" w:pos="921"/>
              <w:tab w:val="right" w:leader="dot" w:pos="8442"/>
            </w:tabs>
            <w:spacing w:before="89" w:after="0" w:line="240" w:lineRule="auto"/>
            <w:ind w:left="921" w:right="0" w:hanging="360"/>
            <w:jc w:val="left"/>
            <w:rPr>
              <w:rFonts w:ascii="Times New Roman" w:eastAsia="Times New Roman"/>
            </w:rPr>
          </w:pPr>
          <w:hyperlink w:anchor="_TOC_250017" w:history="1">
            <w:r>
              <w:t>产物纯</w:t>
            </w:r>
            <w:r>
              <w:rPr>
                <w:spacing w:val="-10"/>
              </w:rPr>
              <w:t>化</w:t>
            </w:r>
            <w:r>
              <w:rPr>
                <w:rFonts w:ascii="Times New Roman" w:eastAsia="Times New Roman"/>
              </w:rPr>
              <w:tab/>
            </w:r>
            <w:r>
              <w:rPr>
                <w:rFonts w:ascii="Times New Roman" w:eastAsia="Times New Roman"/>
                <w:spacing w:val="-5"/>
                <w:position w:val="-5"/>
              </w:rPr>
              <w:t>12</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16" w:history="1">
            <w:r>
              <w:t>研究思路及意</w:t>
            </w:r>
            <w:r>
              <w:rPr>
                <w:spacing w:val="-10"/>
              </w:rPr>
              <w:t>义</w:t>
            </w:r>
            <w:r>
              <w:rPr>
                <w:rFonts w:ascii="Times New Roman" w:eastAsia="Times New Roman"/>
              </w:rPr>
              <w:tab/>
            </w:r>
            <w:r>
              <w:rPr>
                <w:rFonts w:ascii="Times New Roman" w:eastAsia="Times New Roman"/>
                <w:spacing w:val="-5"/>
                <w:position w:val="-5"/>
              </w:rPr>
              <w:t>13</w:t>
            </w:r>
          </w:hyperlink>
        </w:p>
        <w:p>
          <w:pPr>
            <w:pStyle w:val="TOC1"/>
            <w:numPr>
              <w:ilvl w:val="0"/>
              <w:numId w:val="9"/>
            </w:numPr>
            <w:tabs>
              <w:tab w:val="left" w:pos="322"/>
              <w:tab w:val="right" w:leader="dot" w:pos="8442"/>
            </w:tabs>
            <w:spacing w:before="88" w:after="0" w:line="240" w:lineRule="auto"/>
            <w:ind w:left="322" w:right="0" w:hanging="181"/>
            <w:jc w:val="left"/>
            <w:rPr>
              <w:rFonts w:ascii="Times New Roman" w:eastAsia="Times New Roman"/>
            </w:rPr>
          </w:pPr>
          <w:hyperlink w:anchor="_TOC_250015" w:history="1">
            <w:r>
              <w:t>实验部</w:t>
            </w:r>
            <w:r>
              <w:rPr>
                <w:spacing w:val="-10"/>
              </w:rPr>
              <w:t>分</w:t>
            </w:r>
            <w:r>
              <w:rPr>
                <w:rFonts w:ascii="Times New Roman" w:eastAsia="Times New Roman"/>
              </w:rPr>
              <w:tab/>
            </w:r>
            <w:r>
              <w:rPr>
                <w:rFonts w:ascii="Times New Roman" w:eastAsia="Times New Roman"/>
                <w:spacing w:val="-5"/>
                <w:position w:val="-5"/>
              </w:rPr>
              <w:t>14</w:t>
            </w:r>
          </w:hyperlink>
        </w:p>
        <w:p>
          <w:pPr>
            <w:pStyle w:val="TOC2"/>
            <w:numPr>
              <w:ilvl w:val="1"/>
              <w:numId w:val="9"/>
            </w:numPr>
            <w:tabs>
              <w:tab w:val="left" w:pos="981"/>
              <w:tab w:val="right" w:leader="dot" w:pos="8442"/>
            </w:tabs>
            <w:spacing w:before="88" w:after="0" w:line="240" w:lineRule="auto"/>
            <w:ind w:left="981" w:right="0" w:hanging="420"/>
            <w:jc w:val="left"/>
            <w:rPr>
              <w:rFonts w:ascii="Times New Roman" w:eastAsia="Times New Roman"/>
            </w:rPr>
          </w:pPr>
          <w:hyperlink w:anchor="_TOC_250014" w:history="1">
            <w:r>
              <w:t>引</w:t>
            </w:r>
            <w:r>
              <w:rPr>
                <w:spacing w:val="-10"/>
              </w:rPr>
              <w:t>言</w:t>
            </w:r>
            <w:r>
              <w:rPr>
                <w:rFonts w:ascii="Times New Roman" w:eastAsia="Times New Roman"/>
              </w:rPr>
              <w:tab/>
            </w:r>
            <w:r>
              <w:rPr>
                <w:rFonts w:ascii="Times New Roman" w:eastAsia="Times New Roman"/>
                <w:spacing w:val="-5"/>
                <w:position w:val="-5"/>
              </w:rPr>
              <w:t>14</w:t>
            </w:r>
          </w:hyperlink>
        </w:p>
        <w:p>
          <w:pPr>
            <w:pStyle w:val="TOC2"/>
            <w:numPr>
              <w:ilvl w:val="1"/>
              <w:numId w:val="9"/>
            </w:numPr>
            <w:tabs>
              <w:tab w:val="left" w:pos="981"/>
              <w:tab w:val="right" w:leader="dot" w:pos="8442"/>
            </w:tabs>
            <w:spacing w:before="88" w:after="0" w:line="240" w:lineRule="auto"/>
            <w:ind w:left="981" w:right="0" w:hanging="420"/>
            <w:jc w:val="left"/>
            <w:rPr>
              <w:rFonts w:ascii="Times New Roman" w:eastAsia="Times New Roman"/>
            </w:rPr>
          </w:pPr>
          <w:r>
            <w:t>实验试</w:t>
          </w:r>
          <w:r>
            <w:rPr>
              <w:spacing w:val="-10"/>
            </w:rPr>
            <w:t>剂</w:t>
          </w:r>
          <w:r>
            <w:rPr>
              <w:rFonts w:ascii="Times New Roman" w:eastAsia="Times New Roman"/>
            </w:rPr>
            <w:tab/>
          </w:r>
          <w:r>
            <w:rPr>
              <w:rFonts w:ascii="Times New Roman" w:eastAsia="Times New Roman"/>
              <w:spacing w:val="-5"/>
              <w:position w:val="-5"/>
            </w:rPr>
            <w:t>14</w:t>
          </w:r>
        </w:p>
        <w:p>
          <w:pPr>
            <w:pStyle w:val="TOC2"/>
            <w:numPr>
              <w:ilvl w:val="1"/>
              <w:numId w:val="9"/>
            </w:numPr>
            <w:tabs>
              <w:tab w:val="left" w:pos="981"/>
              <w:tab w:val="right" w:leader="dot" w:pos="8442"/>
            </w:tabs>
            <w:spacing w:before="88" w:after="0" w:line="240" w:lineRule="auto"/>
            <w:ind w:left="981" w:right="0" w:hanging="420"/>
            <w:jc w:val="left"/>
            <w:rPr>
              <w:rFonts w:ascii="Times New Roman" w:eastAsia="Times New Roman"/>
            </w:rPr>
          </w:pPr>
          <w:hyperlink w:anchor="_TOC_250013" w:history="1">
            <w:r>
              <w:t>实验仪</w:t>
            </w:r>
            <w:r>
              <w:rPr>
                <w:spacing w:val="-10"/>
              </w:rPr>
              <w:t>器</w:t>
            </w:r>
            <w:r>
              <w:rPr>
                <w:rFonts w:ascii="Times New Roman" w:eastAsia="Times New Roman"/>
              </w:rPr>
              <w:tab/>
            </w:r>
            <w:r>
              <w:rPr>
                <w:rFonts w:ascii="Times New Roman" w:eastAsia="Times New Roman"/>
                <w:spacing w:val="-5"/>
                <w:position w:val="-5"/>
              </w:rPr>
              <w:t>15</w:t>
            </w:r>
          </w:hyperlink>
        </w:p>
        <w:p>
          <w:pPr>
            <w:pStyle w:val="TOC2"/>
            <w:numPr>
              <w:ilvl w:val="1"/>
              <w:numId w:val="9"/>
            </w:numPr>
            <w:tabs>
              <w:tab w:val="left" w:pos="1041"/>
              <w:tab w:val="right" w:leader="dot" w:pos="8442"/>
            </w:tabs>
            <w:spacing w:before="88" w:after="20" w:line="240" w:lineRule="auto"/>
            <w:ind w:left="1041" w:right="0" w:hanging="480"/>
            <w:jc w:val="left"/>
            <w:rPr>
              <w:rFonts w:ascii="Times New Roman" w:eastAsia="Times New Roman"/>
            </w:rPr>
          </w:pPr>
          <w:hyperlink w:anchor="_TOC_250012" w:history="1">
            <w:r>
              <w:t>合成路</w:t>
            </w:r>
            <w:r>
              <w:rPr>
                <w:spacing w:val="-10"/>
              </w:rPr>
              <w:t>线</w:t>
            </w:r>
            <w:r>
              <w:rPr>
                <w:rFonts w:ascii="Times New Roman" w:eastAsia="Times New Roman"/>
              </w:rPr>
              <w:tab/>
            </w:r>
            <w:r>
              <w:rPr>
                <w:rFonts w:ascii="Times New Roman" w:eastAsia="Times New Roman"/>
                <w:spacing w:val="-5"/>
                <w:position w:val="-5"/>
              </w:rPr>
              <w:t>15</w:t>
            </w:r>
          </w:hyperlink>
        </w:p>
        <w:p>
          <w:pPr>
            <w:pStyle w:val="TOC2"/>
            <w:numPr>
              <w:ilvl w:val="1"/>
              <w:numId w:val="9"/>
            </w:numPr>
            <w:tabs>
              <w:tab w:val="left" w:pos="1041"/>
              <w:tab w:val="right" w:leader="dot" w:pos="8442"/>
            </w:tabs>
            <w:spacing w:before="52" w:after="0" w:line="240" w:lineRule="auto"/>
            <w:ind w:left="1041" w:right="0" w:hanging="480"/>
            <w:jc w:val="left"/>
            <w:rPr>
              <w:rFonts w:ascii="Times New Roman" w:eastAsia="Times New Roman"/>
            </w:rPr>
          </w:pPr>
          <w:hyperlink w:anchor="_TOC_250011" w:history="1">
            <w:r>
              <w:t>反映机理探</w:t>
            </w:r>
            <w:r>
              <w:rPr>
                <w:spacing w:val="-10"/>
              </w:rPr>
              <w:t>讨</w:t>
            </w:r>
            <w:r>
              <w:rPr>
                <w:rFonts w:ascii="Times New Roman" w:eastAsia="Times New Roman"/>
              </w:rPr>
              <w:tab/>
            </w:r>
            <w:r>
              <w:rPr>
                <w:rFonts w:ascii="Times New Roman" w:eastAsia="Times New Roman"/>
                <w:spacing w:val="-5"/>
                <w:position w:val="-5"/>
              </w:rPr>
              <w:t>15</w:t>
            </w:r>
          </w:hyperlink>
        </w:p>
        <w:p>
          <w:pPr>
            <w:pStyle w:val="TOC2"/>
            <w:numPr>
              <w:ilvl w:val="1"/>
              <w:numId w:val="9"/>
            </w:numPr>
            <w:tabs>
              <w:tab w:val="left" w:pos="981"/>
              <w:tab w:val="right" w:leader="dot" w:pos="8442"/>
            </w:tabs>
            <w:spacing w:before="88" w:after="0" w:line="240" w:lineRule="auto"/>
            <w:ind w:left="981" w:right="0" w:hanging="420"/>
            <w:jc w:val="left"/>
            <w:rPr>
              <w:rFonts w:ascii="Times New Roman" w:eastAsia="Times New Roman"/>
            </w:rPr>
          </w:pPr>
          <w:hyperlink w:anchor="_TOC_250010" w:history="1">
            <w:r>
              <w:t>合成条件研</w:t>
            </w:r>
            <w:r>
              <w:rPr>
                <w:spacing w:val="-10"/>
              </w:rPr>
              <w:t>究</w:t>
            </w:r>
            <w:r>
              <w:rPr>
                <w:rFonts w:ascii="Times New Roman" w:eastAsia="Times New Roman"/>
              </w:rPr>
              <w:tab/>
            </w:r>
            <w:r>
              <w:rPr>
                <w:rFonts w:ascii="Times New Roman" w:eastAsia="Times New Roman"/>
                <w:spacing w:val="-5"/>
                <w:position w:val="-5"/>
              </w:rPr>
              <w:t>16</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sectPr>
              <w:type w:val="continuous"/>
              <w:pgSz w:w="11910" w:h="16840"/>
              <w:pgMar w:top="1420" w:right="1080" w:bottom="1736" w:left="1560" w:header="708" w:footer="708"/>
              <w:pgNumType w:start="6"/>
              <w:cols w:space="708"/>
            </w:sectPr>
          </w:pPr>
          <w:hyperlink w:anchor="_TOC_250009" w:history="1">
            <w:r>
              <w:t>反映最佳时</w:t>
            </w:r>
            <w:r>
              <w:rPr>
                <w:spacing w:val="-10"/>
              </w:rPr>
              <w:t>间</w:t>
            </w:r>
            <w:r>
              <w:rPr>
                <w:rFonts w:ascii="Times New Roman" w:eastAsia="Times New Roman"/>
              </w:rPr>
              <w:tab/>
            </w:r>
            <w:r>
              <w:rPr>
                <w:rFonts w:ascii="Times New Roman" w:eastAsia="Times New Roman"/>
                <w:spacing w:val="-5"/>
                <w:position w:val="-5"/>
              </w:rPr>
              <w:t>16</w:t>
            </w:r>
          </w:hyperlink>
        </w:p>
      </w:sdtContent>
    </w:sdt>
    <w:sdt>
      <w:sdtPr>
        <w:id w:val="85478950"/>
        <w:docPartObj>
          <w:docPartGallery w:val="Table of Contents"/>
          <w:docPartUnique/>
        </w:docPartObj>
      </w:sdtPr>
      <w:sdtContent>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08" w:history="1">
            <w:r>
              <w:t>拟定合成最佳温</w:t>
            </w:r>
            <w:r>
              <w:rPr>
                <w:spacing w:val="-10"/>
              </w:rPr>
              <w:t>度</w:t>
            </w:r>
            <w:r>
              <w:rPr>
                <w:rFonts w:ascii="Times New Roman" w:eastAsia="Times New Roman"/>
              </w:rPr>
              <w:tab/>
            </w:r>
            <w:r>
              <w:rPr>
                <w:rFonts w:ascii="Times New Roman" w:eastAsia="Times New Roman"/>
                <w:spacing w:val="-5"/>
                <w:position w:val="-5"/>
              </w:rPr>
              <w:t>17</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07" w:history="1">
            <w:r>
              <w:t>拟定最佳的配料</w:t>
            </w:r>
            <w:r>
              <w:rPr>
                <w:spacing w:val="-10"/>
              </w:rPr>
              <w:t>比</w:t>
            </w:r>
            <w:r>
              <w:rPr>
                <w:rFonts w:ascii="Times New Roman" w:eastAsia="Times New Roman"/>
              </w:rPr>
              <w:tab/>
            </w:r>
            <w:r>
              <w:rPr>
                <w:rFonts w:ascii="Times New Roman" w:eastAsia="Times New Roman"/>
                <w:spacing w:val="-5"/>
                <w:position w:val="-5"/>
              </w:rPr>
              <w:t>17</w:t>
            </w:r>
          </w:hyperlink>
        </w:p>
        <w:p>
          <w:pPr>
            <w:pStyle w:val="TOC2"/>
            <w:numPr>
              <w:ilvl w:val="1"/>
              <w:numId w:val="9"/>
            </w:numPr>
            <w:tabs>
              <w:tab w:val="left" w:pos="921"/>
              <w:tab w:val="right" w:leader="dot" w:pos="8442"/>
            </w:tabs>
            <w:spacing w:before="88" w:after="0" w:line="240" w:lineRule="auto"/>
            <w:ind w:left="921" w:right="0" w:hanging="360"/>
            <w:jc w:val="left"/>
            <w:rPr>
              <w:rFonts w:ascii="Times New Roman" w:eastAsia="Times New Roman"/>
            </w:rPr>
          </w:pPr>
          <w:hyperlink w:anchor="_TOC_250006" w:history="1">
            <w:r>
              <w:t>产物表征</w:t>
            </w:r>
            <w:r>
              <w:rPr>
                <w:spacing w:val="-4"/>
              </w:rPr>
              <w:t>（</w:t>
            </w:r>
            <w:r>
              <w:rPr>
                <w:rFonts w:ascii="Times New Roman" w:eastAsia="Times New Roman"/>
                <w:spacing w:val="-4"/>
              </w:rPr>
              <w:t>IR</w:t>
            </w:r>
            <w:r>
              <w:rPr>
                <w:spacing w:val="-4"/>
              </w:rPr>
              <w:t>）</w:t>
            </w:r>
            <w:r>
              <w:rPr>
                <w:rFonts w:ascii="Times New Roman" w:eastAsia="Times New Roman"/>
              </w:rPr>
              <w:tab/>
            </w:r>
            <w:r>
              <w:rPr>
                <w:rFonts w:ascii="Times New Roman" w:eastAsia="Times New Roman"/>
                <w:spacing w:val="-5"/>
                <w:position w:val="-5"/>
              </w:rPr>
              <w:t>18</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05" w:history="1">
            <w:r>
              <w:t>红外光谱的测</w:t>
            </w:r>
            <w:r>
              <w:rPr>
                <w:spacing w:val="-10"/>
              </w:rPr>
              <w:t>定</w:t>
            </w:r>
            <w:r>
              <w:rPr>
                <w:rFonts w:ascii="Times New Roman" w:eastAsia="Times New Roman"/>
              </w:rPr>
              <w:tab/>
            </w:r>
            <w:r>
              <w:rPr>
                <w:rFonts w:ascii="Times New Roman" w:eastAsia="Times New Roman"/>
                <w:spacing w:val="-5"/>
                <w:position w:val="-5"/>
              </w:rPr>
              <w:t>18</w:t>
            </w:r>
          </w:hyperlink>
        </w:p>
        <w:p>
          <w:pPr>
            <w:pStyle w:val="TOC3"/>
            <w:numPr>
              <w:ilvl w:val="1"/>
              <w:numId w:val="9"/>
            </w:numPr>
            <w:tabs>
              <w:tab w:val="left" w:pos="1068"/>
              <w:tab w:val="left" w:leader="dot" w:pos="8207"/>
            </w:tabs>
            <w:spacing w:before="148" w:after="0" w:line="240" w:lineRule="auto"/>
            <w:ind w:left="1068" w:right="0" w:hanging="420"/>
            <w:jc w:val="left"/>
            <w:rPr>
              <w:rFonts w:ascii="Times New Roman" w:eastAsia="Times New Roman"/>
              <w:color w:val="262626"/>
            </w:rPr>
          </w:pPr>
          <w:r>
            <w:rPr>
              <w:color w:val="262626"/>
            </w:rPr>
            <w:t>产物的物化性能测</w:t>
          </w:r>
          <w:r>
            <w:rPr>
              <w:color w:val="262626"/>
              <w:spacing w:val="-10"/>
            </w:rPr>
            <w:t>试</w:t>
          </w:r>
          <w:r>
            <w:rPr>
              <w:rFonts w:ascii="Times New Roman" w:eastAsia="Times New Roman"/>
              <w:color w:val="262626"/>
            </w:rPr>
            <w:tab/>
          </w:r>
          <w:r>
            <w:rPr>
              <w:rFonts w:ascii="Times New Roman" w:eastAsia="Times New Roman"/>
              <w:color w:val="262626"/>
              <w:spacing w:val="-5"/>
            </w:rPr>
            <w:t>17</w:t>
          </w:r>
        </w:p>
        <w:p>
          <w:pPr>
            <w:pStyle w:val="TOC4"/>
            <w:numPr>
              <w:ilvl w:val="2"/>
              <w:numId w:val="9"/>
            </w:numPr>
            <w:tabs>
              <w:tab w:val="left" w:pos="1521"/>
              <w:tab w:val="right" w:leader="dot" w:pos="8442"/>
            </w:tabs>
            <w:spacing w:before="73" w:after="0" w:line="240" w:lineRule="auto"/>
            <w:ind w:left="1521" w:right="0" w:hanging="540"/>
            <w:jc w:val="left"/>
            <w:rPr>
              <w:rFonts w:ascii="Times New Roman" w:eastAsia="Times New Roman"/>
            </w:rPr>
          </w:pPr>
          <w:hyperlink w:anchor="_TOC_250004" w:history="1">
            <w:r>
              <w:t>熔点的测</w:t>
            </w:r>
            <w:r>
              <w:rPr>
                <w:spacing w:val="-10"/>
              </w:rPr>
              <w:t>定</w:t>
            </w:r>
            <w:r>
              <w:rPr>
                <w:rFonts w:ascii="Times New Roman" w:eastAsia="Times New Roman"/>
              </w:rPr>
              <w:tab/>
            </w:r>
            <w:r>
              <w:rPr>
                <w:rFonts w:ascii="Times New Roman" w:eastAsia="Times New Roman"/>
                <w:spacing w:val="-5"/>
                <w:position w:val="-5"/>
              </w:rPr>
              <w:t>19</w:t>
            </w:r>
          </w:hyperlink>
        </w:p>
        <w:p>
          <w:pPr>
            <w:pStyle w:val="TOC4"/>
            <w:numPr>
              <w:ilvl w:val="2"/>
              <w:numId w:val="9"/>
            </w:numPr>
            <w:tabs>
              <w:tab w:val="left" w:pos="1521"/>
              <w:tab w:val="right" w:leader="dot" w:pos="8442"/>
            </w:tabs>
            <w:spacing w:before="88" w:after="0" w:line="240" w:lineRule="auto"/>
            <w:ind w:left="1521" w:right="0" w:hanging="540"/>
            <w:jc w:val="left"/>
            <w:rPr>
              <w:rFonts w:ascii="Times New Roman" w:eastAsia="Times New Roman"/>
            </w:rPr>
          </w:pPr>
          <w:hyperlink w:anchor="_TOC_250003" w:history="1">
            <w:r>
              <w:t>表面张力的测</w:t>
            </w:r>
            <w:r>
              <w:rPr>
                <w:spacing w:val="-10"/>
              </w:rPr>
              <w:t>定</w:t>
            </w:r>
            <w:r>
              <w:rPr>
                <w:rFonts w:ascii="Times New Roman" w:eastAsia="Times New Roman"/>
              </w:rPr>
              <w:tab/>
            </w:r>
            <w:r>
              <w:rPr>
                <w:rFonts w:ascii="Times New Roman" w:eastAsia="Times New Roman"/>
                <w:spacing w:val="-5"/>
                <w:position w:val="-5"/>
              </w:rPr>
              <w:t>19</w:t>
            </w:r>
          </w:hyperlink>
        </w:p>
        <w:p>
          <w:pPr>
            <w:pStyle w:val="TOC1"/>
            <w:numPr>
              <w:ilvl w:val="0"/>
              <w:numId w:val="9"/>
            </w:numPr>
            <w:tabs>
              <w:tab w:val="left" w:pos="322"/>
              <w:tab w:val="right" w:leader="dot" w:pos="8442"/>
            </w:tabs>
            <w:spacing w:before="88" w:after="0" w:line="240" w:lineRule="auto"/>
            <w:ind w:left="322" w:right="0" w:hanging="181"/>
            <w:jc w:val="left"/>
            <w:rPr>
              <w:rFonts w:ascii="Times New Roman" w:eastAsia="Times New Roman"/>
            </w:rPr>
          </w:pPr>
          <w:hyperlink w:anchor="_TOC_250002" w:history="1">
            <w:r>
              <w:t>实验成果以及心得体</w:t>
            </w:r>
            <w:r>
              <w:rPr>
                <w:spacing w:val="-10"/>
              </w:rPr>
              <w:t>会</w:t>
            </w:r>
            <w:r>
              <w:rPr>
                <w:rFonts w:ascii="Times New Roman" w:eastAsia="Times New Roman"/>
              </w:rPr>
              <w:tab/>
            </w:r>
            <w:r>
              <w:rPr>
                <w:rFonts w:ascii="Times New Roman" w:eastAsia="Times New Roman"/>
                <w:spacing w:val="-5"/>
                <w:position w:val="-5"/>
              </w:rPr>
              <w:t>20</w:t>
            </w:r>
          </w:hyperlink>
        </w:p>
        <w:p>
          <w:pPr>
            <w:pStyle w:val="TOC1"/>
            <w:tabs>
              <w:tab w:val="right" w:leader="dot" w:pos="8442"/>
            </w:tabs>
            <w:ind w:left="141" w:firstLine="0"/>
            <w:rPr>
              <w:rFonts w:ascii="Times New Roman" w:eastAsia="Times New Roman"/>
            </w:rPr>
          </w:pPr>
          <w:hyperlink w:anchor="_TOC_250001" w:history="1">
            <w:r>
              <w:t>谢</w:t>
            </w:r>
            <w:r>
              <w:rPr>
                <w:spacing w:val="-10"/>
              </w:rPr>
              <w:t>辞</w:t>
            </w:r>
            <w:r>
              <w:rPr>
                <w:rFonts w:ascii="Times New Roman" w:eastAsia="Times New Roman"/>
              </w:rPr>
              <w:tab/>
            </w:r>
            <w:r>
              <w:rPr>
                <w:rFonts w:ascii="Times New Roman" w:eastAsia="Times New Roman"/>
                <w:spacing w:val="-5"/>
                <w:position w:val="-5"/>
              </w:rPr>
              <w:t>22</w:t>
            </w:r>
          </w:hyperlink>
        </w:p>
        <w:p>
          <w:pPr>
            <w:pStyle w:val="TOC1"/>
            <w:tabs>
              <w:tab w:val="right" w:leader="dot" w:pos="8442"/>
            </w:tabs>
            <w:ind w:left="141" w:firstLine="0"/>
            <w:rPr>
              <w:rFonts w:ascii="Times New Roman" w:eastAsia="Times New Roman"/>
            </w:rPr>
          </w:pPr>
          <w:hyperlink w:anchor="_TOC_250000" w:history="1">
            <w:r>
              <w:t>参考文</w:t>
            </w:r>
            <w:r>
              <w:rPr>
                <w:spacing w:val="-10"/>
              </w:rPr>
              <w:t>献</w:t>
            </w:r>
            <w:r>
              <w:rPr>
                <w:rFonts w:ascii="Times New Roman" w:eastAsia="Times New Roman"/>
              </w:rPr>
              <w:tab/>
            </w:r>
            <w:r>
              <w:rPr>
                <w:rFonts w:ascii="Times New Roman" w:eastAsia="Times New Roman"/>
                <w:spacing w:val="-5"/>
                <w:position w:val="-5"/>
              </w:rPr>
              <w:t>23</w:t>
            </w:r>
          </w:hyperlink>
        </w:p>
      </w:sdtContent>
    </w:sdt>
    <w:p>
      <w:pPr>
        <w:spacing w:after="0"/>
        <w:rPr>
          <w:rFonts w:ascii="Times New Roman" w:eastAsia="Times New Roman"/>
        </w:rPr>
        <w:sectPr>
          <w:type w:val="nextPage"/>
          <w:pgSz w:w="11910" w:h="16840"/>
          <w:pgMar w:top="1420" w:right="1080" w:bottom="1736" w:left="1560" w:header="708" w:footer="708"/>
          <w:pgNumType w:start="7"/>
          <w:cols w:space="708"/>
          <w:titlePg w:val="0"/>
        </w:sectPr>
      </w:pPr>
    </w:p>
    <w:p>
      <w:pPr>
        <w:pStyle w:val="Heading1"/>
        <w:numPr>
          <w:ilvl w:val="0"/>
          <w:numId w:val="8"/>
        </w:numPr>
        <w:tabs>
          <w:tab w:val="left" w:pos="461"/>
        </w:tabs>
        <w:spacing w:before="0" w:after="0" w:line="532" w:lineRule="exact"/>
        <w:ind w:left="461" w:right="0" w:hanging="320"/>
        <w:jc w:val="left"/>
        <w:rPr>
          <w:rFonts w:ascii="Microsoft JhengHei" w:eastAsia="Microsoft JhengHei"/>
        </w:rPr>
      </w:pPr>
      <w:bookmarkStart w:id="0" w:name="_TOC_250040"/>
      <w:bookmarkEnd w:id="0"/>
      <w:r>
        <w:rPr>
          <w:rFonts w:ascii="Microsoft JhengHei" w:eastAsia="Microsoft JhengHei"/>
          <w:spacing w:val="-6"/>
        </w:rPr>
        <w:t>绪论</w:t>
      </w:r>
    </w:p>
    <w:p>
      <w:pPr>
        <w:pStyle w:val="Heading2"/>
        <w:numPr>
          <w:ilvl w:val="1"/>
          <w:numId w:val="8"/>
        </w:numPr>
        <w:tabs>
          <w:tab w:val="left" w:pos="815"/>
          <w:tab w:val="left" w:pos="816"/>
        </w:tabs>
        <w:spacing w:before="295" w:after="0" w:line="240" w:lineRule="auto"/>
        <w:ind w:left="816" w:right="0" w:hanging="675"/>
        <w:jc w:val="left"/>
      </w:pPr>
      <w:bookmarkStart w:id="1" w:name="_TOC_250039"/>
      <w:bookmarkEnd w:id="1"/>
      <w:r>
        <w:rPr>
          <w:spacing w:val="-5"/>
        </w:rPr>
        <w:t>引言</w:t>
      </w:r>
    </w:p>
    <w:p>
      <w:pPr>
        <w:pStyle w:val="BodyText"/>
        <w:spacing w:before="161" w:line="343" w:lineRule="auto"/>
        <w:ind w:right="215" w:firstLine="480"/>
      </w:pPr>
      <w:r>
        <w:t>室温离子液体</w:t>
      </w:r>
      <w:r>
        <w:rPr>
          <w:rFonts w:ascii="Times New Roman" w:eastAsia="Times New Roman" w:hAnsi="Times New Roman"/>
          <w:vertAlign w:val="superscript"/>
        </w:rPr>
        <w:t>[1]</w:t>
      </w:r>
      <w:r>
        <w:rPr>
          <w:rFonts w:ascii="Times New Roman" w:eastAsia="Times New Roman" w:hAnsi="Times New Roman"/>
          <w:vertAlign w:val="baseline"/>
        </w:rPr>
        <w:t xml:space="preserve"> (Room Temperature Ionic Liquid ILs</w:t>
      </w:r>
      <w:r>
        <w:rPr>
          <w:spacing w:val="-12"/>
          <w:vertAlign w:val="baseline"/>
        </w:rPr>
        <w:t xml:space="preserve">，简称为 </w:t>
      </w:r>
      <w:r>
        <w:rPr>
          <w:rFonts w:ascii="Times New Roman" w:eastAsia="Times New Roman" w:hAnsi="Times New Roman"/>
          <w:vertAlign w:val="baseline"/>
        </w:rPr>
        <w:t>ILs)</w:t>
      </w:r>
      <w:r>
        <w:rPr>
          <w:vertAlign w:val="baseline"/>
        </w:rPr>
        <w:t>是近年发展起来</w:t>
      </w:r>
      <w:r>
        <w:rPr>
          <w:spacing w:val="-2"/>
          <w:vertAlign w:val="baseline"/>
        </w:rPr>
        <w:t>的一类没有溶剂的，在室温及相邻温度下完全由离子构成的，呈液态的低温熔盐电解</w:t>
      </w:r>
      <w:r>
        <w:rPr>
          <w:spacing w:val="-9"/>
          <w:vertAlign w:val="baseline"/>
        </w:rPr>
        <w:t xml:space="preserve">质。由于 </w:t>
      </w:r>
      <w:r>
        <w:rPr>
          <w:rFonts w:ascii="Times New Roman" w:eastAsia="Times New Roman" w:hAnsi="Times New Roman"/>
          <w:vertAlign w:val="baseline"/>
        </w:rPr>
        <w:t xml:space="preserve">ILs </w:t>
      </w:r>
      <w:r>
        <w:rPr>
          <w:vertAlign w:val="baseline"/>
        </w:rPr>
        <w:t xml:space="preserve">的性质能够通过调节其阴阳离子组合来进行可优化设计，因此又被称为 </w:t>
      </w:r>
      <w:r>
        <w:rPr>
          <w:spacing w:val="-16"/>
          <w:vertAlign w:val="baseline"/>
        </w:rPr>
        <w:t>“可设计的溶剂”。作为一种新型的绿色替代溶剂，</w:t>
      </w:r>
      <w:r>
        <w:rPr>
          <w:rFonts w:ascii="Times New Roman" w:eastAsia="Times New Roman" w:hAnsi="Times New Roman"/>
          <w:spacing w:val="-2"/>
          <w:vertAlign w:val="baseline"/>
        </w:rPr>
        <w:t>ILs</w:t>
      </w:r>
      <w:r>
        <w:rPr>
          <w:rFonts w:ascii="Times New Roman" w:eastAsia="Times New Roman" w:hAnsi="Times New Roman"/>
          <w:spacing w:val="-13"/>
          <w:vertAlign w:val="baseline"/>
        </w:rPr>
        <w:t xml:space="preserve"> </w:t>
      </w:r>
      <w:r>
        <w:rPr>
          <w:spacing w:val="-12"/>
          <w:vertAlign w:val="baseline"/>
        </w:rPr>
        <w:t>含有不可比拟的独特性质，如：</w:t>
      </w:r>
      <w:r>
        <w:rPr>
          <w:spacing w:val="-2"/>
          <w:vertAlign w:val="baseline"/>
        </w:rPr>
        <w:t>不易燃、不爆炸、易分离、宽液区、低熔点、高粘度、热稳定性好、大电化学窗口、</w:t>
      </w:r>
      <w:r>
        <w:rPr>
          <w:spacing w:val="-2"/>
          <w:vertAlign w:val="baseline"/>
        </w:rPr>
        <w:t>几乎没有蒸汽压，以及对无机化合物、有机化合物、金属有机化合物都有较好的溶解</w:t>
      </w:r>
      <w:r>
        <w:rPr>
          <w:spacing w:val="-2"/>
          <w:vertAlign w:val="baseline"/>
        </w:rPr>
        <w:t>性等特性，被广泛应用于合成、相转移催化、聚合反映、气体吸取、电化学和化学、</w:t>
      </w:r>
      <w:r>
        <w:rPr>
          <w:vertAlign w:val="baseline"/>
        </w:rPr>
        <w:t>生物分离工程以及功效材料的合成等领域</w:t>
      </w:r>
      <w:r>
        <w:rPr>
          <w:rFonts w:ascii="Times New Roman" w:eastAsia="Times New Roman" w:hAnsi="Times New Roman"/>
          <w:vertAlign w:val="superscript"/>
        </w:rPr>
        <w:t>[2,3]</w:t>
      </w:r>
      <w:r>
        <w:rPr>
          <w:vertAlign w:val="baseline"/>
        </w:rPr>
        <w:t>。</w:t>
      </w:r>
      <w:r>
        <w:rPr>
          <w:rFonts w:ascii="Times New Roman" w:eastAsia="Times New Roman" w:hAnsi="Times New Roman"/>
          <w:vertAlign w:val="baseline"/>
        </w:rPr>
        <w:t xml:space="preserve">ILs </w:t>
      </w:r>
      <w:r>
        <w:rPr>
          <w:vertAlign w:val="baseline"/>
        </w:rPr>
        <w:t>的诸多的特殊性能，使其成为传统</w:t>
      </w:r>
      <w:r>
        <w:rPr>
          <w:spacing w:val="-2"/>
          <w:vertAlign w:val="baseline"/>
        </w:rPr>
        <w:t>挥发性溶剂的抱负替代品。这不仅为化学理论研究提供了一种崭新的领域，并且较好</w:t>
      </w:r>
      <w:r>
        <w:rPr>
          <w:spacing w:val="-2"/>
          <w:vertAlign w:val="baseline"/>
        </w:rPr>
        <w:t>的解决了当代工业生产所带来的环境污染问题，并获得了突破性进展，因此，人们普</w:t>
      </w:r>
      <w:r>
        <w:rPr>
          <w:spacing w:val="-3"/>
          <w:vertAlign w:val="baseline"/>
        </w:rPr>
        <w:t xml:space="preserve">遍认为它将成为 </w:t>
      </w:r>
      <w:r>
        <w:rPr>
          <w:rFonts w:ascii="Times New Roman" w:eastAsia="Times New Roman" w:hAnsi="Times New Roman"/>
          <w:vertAlign w:val="baseline"/>
        </w:rPr>
        <w:t xml:space="preserve">21 </w:t>
      </w:r>
      <w:r>
        <w:rPr>
          <w:vertAlign w:val="baseline"/>
        </w:rPr>
        <w:t>世纪抱负的绿色化学溶剂。</w:t>
      </w:r>
    </w:p>
    <w:p>
      <w:pPr>
        <w:pStyle w:val="Heading2"/>
        <w:numPr>
          <w:ilvl w:val="1"/>
          <w:numId w:val="8"/>
        </w:numPr>
        <w:tabs>
          <w:tab w:val="left" w:pos="591"/>
        </w:tabs>
        <w:spacing w:before="214" w:after="0" w:line="240" w:lineRule="auto"/>
        <w:ind w:left="591" w:right="0" w:hanging="450"/>
        <w:jc w:val="left"/>
      </w:pPr>
      <w:bookmarkStart w:id="2" w:name="_TOC_250038"/>
      <w:bookmarkEnd w:id="2"/>
      <w:r>
        <w:rPr>
          <w:spacing w:val="-2"/>
        </w:rPr>
        <w:t>离子液体介绍</w:t>
      </w:r>
    </w:p>
    <w:p>
      <w:pPr>
        <w:pStyle w:val="BodyText"/>
        <w:ind w:left="0"/>
        <w:rPr>
          <w:rFonts w:ascii="Microsoft JhengHei"/>
          <w:b/>
          <w:sz w:val="18"/>
        </w:rPr>
      </w:pPr>
    </w:p>
    <w:p>
      <w:pPr>
        <w:pStyle w:val="Heading3"/>
        <w:numPr>
          <w:ilvl w:val="2"/>
          <w:numId w:val="8"/>
        </w:numPr>
        <w:tabs>
          <w:tab w:val="left" w:pos="771"/>
        </w:tabs>
        <w:spacing w:before="0" w:after="0" w:line="240" w:lineRule="auto"/>
        <w:ind w:left="771" w:right="0" w:hanging="630"/>
        <w:jc w:val="left"/>
      </w:pPr>
      <w:bookmarkStart w:id="3" w:name="_TOC_250037"/>
      <w:bookmarkEnd w:id="3"/>
      <w:r>
        <w:rPr>
          <w:spacing w:val="-2"/>
        </w:rPr>
        <w:t>离子液体的分类</w:t>
      </w:r>
    </w:p>
    <w:p>
      <w:pPr>
        <w:pStyle w:val="BodyText"/>
        <w:spacing w:before="179" w:line="343" w:lineRule="auto"/>
        <w:ind w:right="244" w:firstLine="480"/>
      </w:pPr>
      <w:r>
        <w:rPr>
          <w:rFonts w:ascii="Times New Roman" w:eastAsia="Times New Roman"/>
        </w:rPr>
        <w:t xml:space="preserve">ILs </w:t>
      </w:r>
      <w:r>
        <w:t>重要是由有机阳离子和无机阴离子构成，通过变化其阴、阳离子的组合能够</w:t>
      </w:r>
      <w:r>
        <w:rPr>
          <w:spacing w:val="-9"/>
        </w:rPr>
        <w:t xml:space="preserve">得到不同的 </w:t>
      </w:r>
      <w:r>
        <w:rPr>
          <w:rFonts w:ascii="Times New Roman" w:eastAsia="Times New Roman"/>
          <w:spacing w:val="-2"/>
        </w:rPr>
        <w:t>ILs</w:t>
      </w:r>
      <w:r>
        <w:rPr>
          <w:spacing w:val="-5"/>
        </w:rPr>
        <w:t xml:space="preserve">。按其无机阴离子的差别，大致上可划分为 </w:t>
      </w:r>
      <w:r>
        <w:rPr>
          <w:rFonts w:ascii="Times New Roman" w:eastAsia="Times New Roman"/>
          <w:spacing w:val="-2"/>
        </w:rPr>
        <w:t>AlC1</w:t>
      </w:r>
      <w:r>
        <w:rPr>
          <w:rFonts w:ascii="Times New Roman" w:eastAsia="Times New Roman"/>
          <w:spacing w:val="-2"/>
          <w:vertAlign w:val="subscript"/>
        </w:rPr>
        <w:t>3</w:t>
      </w:r>
      <w:r>
        <w:rPr>
          <w:rFonts w:ascii="Times New Roman" w:eastAsia="Times New Roman"/>
          <w:spacing w:val="-9"/>
          <w:vertAlign w:val="baseline"/>
        </w:rPr>
        <w:t xml:space="preserve"> </w:t>
      </w:r>
      <w:r>
        <w:rPr>
          <w:spacing w:val="-2"/>
          <w:vertAlign w:val="baseline"/>
        </w:rPr>
        <w:t>型（卤化盐离子</w:t>
      </w:r>
      <w:r>
        <w:rPr>
          <w:spacing w:val="-120"/>
          <w:vertAlign w:val="baseline"/>
        </w:rPr>
        <w:t>）</w:t>
      </w:r>
      <w:r>
        <w:rPr>
          <w:spacing w:val="-2"/>
          <w:vertAlign w:val="baseline"/>
        </w:rPr>
        <w:t>、</w:t>
      </w:r>
      <w:r>
        <w:rPr>
          <w:spacing w:val="-9"/>
          <w:vertAlign w:val="baseline"/>
        </w:rPr>
        <w:t xml:space="preserve">非 </w:t>
      </w:r>
      <w:r>
        <w:rPr>
          <w:rFonts w:ascii="Times New Roman" w:eastAsia="Times New Roman"/>
          <w:vertAlign w:val="baseline"/>
        </w:rPr>
        <w:t>AlC1</w:t>
      </w:r>
      <w:r>
        <w:rPr>
          <w:rFonts w:ascii="Times New Roman" w:eastAsia="Times New Roman"/>
          <w:vertAlign w:val="subscript"/>
        </w:rPr>
        <w:t>3</w:t>
      </w:r>
      <w:r>
        <w:rPr>
          <w:rFonts w:ascii="Times New Roman" w:eastAsia="Times New Roman"/>
          <w:vertAlign w:val="baseline"/>
        </w:rPr>
        <w:t xml:space="preserve"> </w:t>
      </w:r>
      <w:r>
        <w:rPr>
          <w:spacing w:val="-3"/>
          <w:vertAlign w:val="baseline"/>
        </w:rPr>
        <w:t xml:space="preserve">型和其它特殊的 </w:t>
      </w:r>
      <w:r>
        <w:rPr>
          <w:rFonts w:ascii="Times New Roman" w:eastAsia="Times New Roman"/>
          <w:vertAlign w:val="baseline"/>
        </w:rPr>
        <w:t xml:space="preserve">3 </w:t>
      </w:r>
      <w:r>
        <w:rPr>
          <w:vertAlign w:val="baseline"/>
        </w:rPr>
        <w:t>种类型。</w:t>
      </w:r>
    </w:p>
    <w:p>
      <w:pPr>
        <w:pStyle w:val="ListParagraph"/>
        <w:numPr>
          <w:ilvl w:val="3"/>
          <w:numId w:val="8"/>
        </w:numPr>
        <w:tabs>
          <w:tab w:val="left" w:pos="841"/>
        </w:tabs>
        <w:spacing w:before="1" w:after="0" w:line="343" w:lineRule="auto"/>
        <w:ind w:left="141" w:right="335" w:firstLine="360"/>
        <w:jc w:val="both"/>
        <w:rPr>
          <w:sz w:val="24"/>
        </w:rPr>
      </w:pPr>
      <w:r>
        <w:rPr>
          <w:rFonts w:ascii="Times New Roman" w:eastAsia="Times New Roman"/>
          <w:spacing w:val="-2"/>
          <w:sz w:val="24"/>
        </w:rPr>
        <w:t>AlC1</w:t>
      </w:r>
      <w:r>
        <w:rPr>
          <w:rFonts w:ascii="Times New Roman" w:eastAsia="Times New Roman"/>
          <w:spacing w:val="-2"/>
          <w:sz w:val="24"/>
          <w:vertAlign w:val="subscript"/>
        </w:rPr>
        <w:t>3</w:t>
      </w:r>
      <w:r>
        <w:rPr>
          <w:rFonts w:ascii="Times New Roman" w:eastAsia="Times New Roman"/>
          <w:spacing w:val="-13"/>
          <w:sz w:val="24"/>
          <w:vertAlign w:val="baseline"/>
        </w:rPr>
        <w:t xml:space="preserve"> </w:t>
      </w:r>
      <w:r>
        <w:rPr>
          <w:spacing w:val="-14"/>
          <w:sz w:val="24"/>
          <w:vertAlign w:val="baseline"/>
        </w:rPr>
        <w:t xml:space="preserve">型：这类重要是金属类卤化盐，如 </w:t>
      </w:r>
      <w:r>
        <w:rPr>
          <w:rFonts w:ascii="Times New Roman" w:eastAsia="Times New Roman"/>
          <w:spacing w:val="-2"/>
          <w:sz w:val="24"/>
          <w:vertAlign w:val="baseline"/>
        </w:rPr>
        <w:t>AlCl</w:t>
      </w:r>
      <w:r>
        <w:rPr>
          <w:rFonts w:ascii="Times New Roman" w:eastAsia="Times New Roman"/>
          <w:spacing w:val="-2"/>
          <w:sz w:val="24"/>
          <w:vertAlign w:val="subscript"/>
        </w:rPr>
        <w:t>4</w:t>
      </w:r>
      <w:r>
        <w:rPr>
          <w:rFonts w:ascii="Times New Roman" w:eastAsia="Times New Roman"/>
          <w:spacing w:val="-2"/>
          <w:position w:val="7"/>
          <w:sz w:val="16"/>
          <w:vertAlign w:val="baseline"/>
        </w:rPr>
        <w:t>-</w:t>
      </w:r>
      <w:r>
        <w:rPr>
          <w:spacing w:val="-2"/>
          <w:sz w:val="24"/>
          <w:vertAlign w:val="baseline"/>
        </w:rPr>
        <w:t>，</w:t>
      </w:r>
      <w:r>
        <w:rPr>
          <w:rFonts w:ascii="Times New Roman" w:eastAsia="Times New Roman"/>
          <w:spacing w:val="-2"/>
          <w:sz w:val="24"/>
          <w:vertAlign w:val="baseline"/>
        </w:rPr>
        <w:t>CuC1</w:t>
      </w:r>
      <w:r>
        <w:rPr>
          <w:rFonts w:ascii="Times New Roman" w:eastAsia="Times New Roman"/>
          <w:spacing w:val="-2"/>
          <w:sz w:val="24"/>
          <w:vertAlign w:val="subscript"/>
        </w:rPr>
        <w:t>2</w:t>
      </w:r>
      <w:r>
        <w:rPr>
          <w:rFonts w:ascii="Times New Roman" w:eastAsia="Times New Roman"/>
          <w:spacing w:val="-2"/>
          <w:position w:val="7"/>
          <w:sz w:val="16"/>
          <w:vertAlign w:val="baseline"/>
        </w:rPr>
        <w:t>-</w:t>
      </w:r>
      <w:r>
        <w:rPr>
          <w:spacing w:val="-6"/>
          <w:sz w:val="24"/>
          <w:vertAlign w:val="baseline"/>
        </w:rPr>
        <w:t xml:space="preserve">等，由于该类型 </w:t>
      </w:r>
      <w:r>
        <w:rPr>
          <w:rFonts w:ascii="Times New Roman" w:eastAsia="Times New Roman"/>
          <w:spacing w:val="-2"/>
          <w:sz w:val="24"/>
          <w:vertAlign w:val="baseline"/>
        </w:rPr>
        <w:t>ILs</w:t>
      </w:r>
      <w:r>
        <w:rPr>
          <w:rFonts w:ascii="Times New Roman" w:eastAsia="Times New Roman"/>
          <w:spacing w:val="-13"/>
          <w:sz w:val="24"/>
          <w:vertAlign w:val="baseline"/>
        </w:rPr>
        <w:t xml:space="preserve"> </w:t>
      </w:r>
      <w:r>
        <w:rPr>
          <w:spacing w:val="-2"/>
          <w:sz w:val="24"/>
          <w:vertAlign w:val="baseline"/>
        </w:rPr>
        <w:t>含</w:t>
      </w:r>
      <w:r>
        <w:rPr>
          <w:spacing w:val="-4"/>
          <w:sz w:val="24"/>
          <w:vertAlign w:val="baseline"/>
        </w:rPr>
        <w:t>有诸多的优点，不仅能较好的应用于电化学和化学反映中，并且能够同时用作溶剂和</w:t>
      </w:r>
      <w:r>
        <w:rPr>
          <w:spacing w:val="-5"/>
          <w:sz w:val="24"/>
          <w:vertAlign w:val="baseline"/>
        </w:rPr>
        <w:t xml:space="preserve">催化剂。但是这类 </w:t>
      </w:r>
      <w:r>
        <w:rPr>
          <w:rFonts w:ascii="Times New Roman" w:eastAsia="Times New Roman"/>
          <w:spacing w:val="-2"/>
          <w:sz w:val="24"/>
          <w:vertAlign w:val="baseline"/>
        </w:rPr>
        <w:t>ILs</w:t>
      </w:r>
      <w:r>
        <w:rPr>
          <w:rFonts w:ascii="Times New Roman" w:eastAsia="Times New Roman"/>
          <w:spacing w:val="-13"/>
          <w:sz w:val="24"/>
          <w:vertAlign w:val="baseline"/>
        </w:rPr>
        <w:t xml:space="preserve"> </w:t>
      </w:r>
      <w:r>
        <w:rPr>
          <w:spacing w:val="-2"/>
          <w:sz w:val="24"/>
          <w:vertAlign w:val="baseline"/>
        </w:rPr>
        <w:t>的缺点是热稳定性和化学稳定性相对较差，对水极其敏感，见</w:t>
      </w:r>
      <w:r>
        <w:rPr>
          <w:spacing w:val="-4"/>
          <w:sz w:val="24"/>
          <w:vertAlign w:val="baseline"/>
        </w:rPr>
        <w:t>水容易分解，因此不可遇水，连空气中有水蒸气也不例外，必须在完全真空或惰性氛</w:t>
      </w:r>
      <w:r>
        <w:rPr>
          <w:spacing w:val="-4"/>
          <w:sz w:val="24"/>
          <w:vertAlign w:val="baseline"/>
        </w:rPr>
        <w:t xml:space="preserve">围的条件下进行操作，另外，杂质的存在对该类 </w:t>
      </w:r>
      <w:r>
        <w:rPr>
          <w:rFonts w:ascii="Times New Roman" w:eastAsia="Times New Roman"/>
          <w:spacing w:val="-2"/>
          <w:sz w:val="24"/>
          <w:vertAlign w:val="baseline"/>
        </w:rPr>
        <w:t>ILs</w:t>
      </w:r>
      <w:r>
        <w:rPr>
          <w:rFonts w:ascii="Times New Roman" w:eastAsia="Times New Roman"/>
          <w:spacing w:val="-13"/>
          <w:sz w:val="24"/>
          <w:vertAlign w:val="baseline"/>
        </w:rPr>
        <w:t xml:space="preserve"> </w:t>
      </w:r>
      <w:r>
        <w:rPr>
          <w:spacing w:val="-2"/>
          <w:sz w:val="24"/>
          <w:vertAlign w:val="baseline"/>
        </w:rPr>
        <w:t>所产生的化学反映也起着决定性</w:t>
      </w:r>
      <w:r>
        <w:rPr>
          <w:sz w:val="24"/>
          <w:vertAlign w:val="baseline"/>
        </w:rPr>
        <w:t>的影响作用；并且，</w:t>
      </w:r>
      <w:r>
        <w:rPr>
          <w:rFonts w:ascii="Times New Roman" w:eastAsia="Times New Roman"/>
          <w:sz w:val="24"/>
          <w:vertAlign w:val="baseline"/>
        </w:rPr>
        <w:t>AlC1</w:t>
      </w:r>
      <w:r>
        <w:rPr>
          <w:rFonts w:ascii="Times New Roman" w:eastAsia="Times New Roman"/>
          <w:sz w:val="24"/>
          <w:vertAlign w:val="subscript"/>
        </w:rPr>
        <w:t>3</w:t>
      </w:r>
      <w:r>
        <w:rPr>
          <w:rFonts w:ascii="Times New Roman" w:eastAsia="Times New Roman"/>
          <w:spacing w:val="-20"/>
          <w:sz w:val="24"/>
          <w:vertAlign w:val="baseline"/>
        </w:rPr>
        <w:t xml:space="preserve"> </w:t>
      </w:r>
      <w:r>
        <w:rPr>
          <w:sz w:val="24"/>
          <w:vertAlign w:val="baseline"/>
        </w:rPr>
        <w:t>遇水会释放出盐酸，对皮肤会产生刺激作用。</w:t>
      </w:r>
    </w:p>
    <w:p>
      <w:pPr>
        <w:pStyle w:val="ListParagraph"/>
        <w:numPr>
          <w:ilvl w:val="3"/>
          <w:numId w:val="8"/>
        </w:numPr>
        <w:tabs>
          <w:tab w:val="left" w:pos="954"/>
        </w:tabs>
        <w:spacing w:before="2" w:after="0" w:line="343" w:lineRule="auto"/>
        <w:ind w:left="141" w:right="316" w:firstLine="360"/>
        <w:jc w:val="both"/>
        <w:rPr>
          <w:sz w:val="24"/>
        </w:rPr>
      </w:pPr>
      <w:r>
        <w:rPr>
          <w:spacing w:val="-15"/>
          <w:sz w:val="24"/>
        </w:rPr>
        <w:t xml:space="preserve">非 </w:t>
      </w:r>
      <w:r>
        <w:rPr>
          <w:rFonts w:ascii="Times New Roman" w:eastAsia="Times New Roman"/>
          <w:sz w:val="24"/>
        </w:rPr>
        <w:t>AlCl</w:t>
      </w:r>
      <w:r>
        <w:rPr>
          <w:rFonts w:ascii="Times New Roman" w:eastAsia="Times New Roman"/>
          <w:sz w:val="24"/>
          <w:vertAlign w:val="subscript"/>
        </w:rPr>
        <w:t>3</w:t>
      </w:r>
      <w:r>
        <w:rPr>
          <w:rFonts w:ascii="Times New Roman" w:eastAsia="Times New Roman"/>
          <w:spacing w:val="-15"/>
          <w:sz w:val="24"/>
          <w:vertAlign w:val="baseline"/>
        </w:rPr>
        <w:t xml:space="preserve"> </w:t>
      </w:r>
      <w:r>
        <w:rPr>
          <w:spacing w:val="13"/>
          <w:sz w:val="24"/>
          <w:vertAlign w:val="baseline"/>
        </w:rPr>
        <w:t xml:space="preserve">型： 这类重要是非金属类， 如： </w:t>
      </w:r>
      <w:r>
        <w:rPr>
          <w:rFonts w:ascii="Times New Roman" w:eastAsia="Times New Roman"/>
          <w:sz w:val="24"/>
          <w:vertAlign w:val="baseline"/>
        </w:rPr>
        <w:t>BF</w:t>
      </w:r>
      <w:r>
        <w:rPr>
          <w:rFonts w:ascii="Times New Roman" w:eastAsia="Times New Roman"/>
          <w:sz w:val="24"/>
          <w:vertAlign w:val="subscript"/>
        </w:rPr>
        <w:t>4</w:t>
      </w:r>
      <w:r>
        <w:rPr>
          <w:rFonts w:ascii="Times New Roman" w:eastAsia="Times New Roman"/>
          <w:position w:val="7"/>
          <w:sz w:val="16"/>
          <w:vertAlign w:val="baseline"/>
        </w:rPr>
        <w:t>-</w:t>
      </w:r>
      <w:r>
        <w:rPr>
          <w:spacing w:val="-15"/>
          <w:sz w:val="24"/>
          <w:vertAlign w:val="baseline"/>
        </w:rPr>
        <w:t xml:space="preserve">， </w:t>
      </w:r>
      <w:r>
        <w:rPr>
          <w:rFonts w:ascii="Times New Roman" w:eastAsia="Times New Roman"/>
          <w:sz w:val="24"/>
          <w:vertAlign w:val="baseline"/>
        </w:rPr>
        <w:t>pF</w:t>
      </w:r>
      <w:r>
        <w:rPr>
          <w:rFonts w:ascii="Times New Roman" w:eastAsia="Times New Roman"/>
          <w:sz w:val="24"/>
          <w:vertAlign w:val="subscript"/>
        </w:rPr>
        <w:t>6</w:t>
      </w:r>
      <w:r>
        <w:rPr>
          <w:rFonts w:ascii="Times New Roman" w:eastAsia="Times New Roman"/>
          <w:position w:val="7"/>
          <w:sz w:val="16"/>
          <w:vertAlign w:val="baseline"/>
        </w:rPr>
        <w:t>-</w:t>
      </w:r>
      <w:r>
        <w:rPr>
          <w:spacing w:val="-15"/>
          <w:sz w:val="24"/>
          <w:vertAlign w:val="baseline"/>
        </w:rPr>
        <w:t xml:space="preserve">， </w:t>
      </w:r>
      <w:r>
        <w:rPr>
          <w:rFonts w:ascii="Times New Roman" w:eastAsia="Times New Roman"/>
          <w:sz w:val="24"/>
          <w:vertAlign w:val="baseline"/>
        </w:rPr>
        <w:t>NO</w:t>
      </w:r>
      <w:r>
        <w:rPr>
          <w:rFonts w:ascii="Times New Roman" w:eastAsia="Times New Roman"/>
          <w:sz w:val="24"/>
          <w:vertAlign w:val="subscript"/>
        </w:rPr>
        <w:t>3</w:t>
      </w:r>
      <w:r>
        <w:rPr>
          <w:rFonts w:ascii="Times New Roman" w:eastAsia="Times New Roman"/>
          <w:position w:val="7"/>
          <w:sz w:val="16"/>
          <w:vertAlign w:val="baseline"/>
        </w:rPr>
        <w:t>-</w:t>
      </w:r>
      <w:r>
        <w:rPr>
          <w:spacing w:val="-15"/>
          <w:sz w:val="24"/>
          <w:vertAlign w:val="baseline"/>
        </w:rPr>
        <w:t xml:space="preserve">， </w:t>
      </w:r>
      <w:r>
        <w:rPr>
          <w:rFonts w:ascii="Times New Roman" w:eastAsia="Times New Roman"/>
          <w:sz w:val="24"/>
          <w:vertAlign w:val="baseline"/>
        </w:rPr>
        <w:t>ClO</w:t>
      </w:r>
      <w:r>
        <w:rPr>
          <w:rFonts w:ascii="Times New Roman" w:eastAsia="Times New Roman"/>
          <w:sz w:val="24"/>
          <w:vertAlign w:val="subscript"/>
        </w:rPr>
        <w:t>4</w:t>
      </w:r>
      <w:r>
        <w:rPr>
          <w:rFonts w:ascii="Times New Roman" w:eastAsia="Times New Roman"/>
          <w:position w:val="7"/>
          <w:sz w:val="16"/>
          <w:vertAlign w:val="baseline"/>
        </w:rPr>
        <w:t>-</w:t>
      </w:r>
      <w:r>
        <w:rPr>
          <w:sz w:val="24"/>
          <w:vertAlign w:val="baseline"/>
        </w:rPr>
        <w:t xml:space="preserve">， </w:t>
      </w:r>
      <w:r>
        <w:rPr>
          <w:rFonts w:ascii="Times New Roman" w:eastAsia="Times New Roman"/>
          <w:spacing w:val="-2"/>
          <w:sz w:val="24"/>
          <w:vertAlign w:val="baseline"/>
        </w:rPr>
        <w:t>CH</w:t>
      </w:r>
      <w:r>
        <w:rPr>
          <w:rFonts w:ascii="Times New Roman" w:eastAsia="Times New Roman"/>
          <w:spacing w:val="-2"/>
          <w:sz w:val="24"/>
          <w:vertAlign w:val="subscript"/>
        </w:rPr>
        <w:t>3</w:t>
      </w:r>
      <w:r>
        <w:rPr>
          <w:rFonts w:ascii="Times New Roman" w:eastAsia="Times New Roman"/>
          <w:spacing w:val="-2"/>
          <w:sz w:val="24"/>
          <w:vertAlign w:val="baseline"/>
        </w:rPr>
        <w:t>COO</w:t>
      </w:r>
      <w:r>
        <w:rPr>
          <w:rFonts w:ascii="Times New Roman" w:eastAsia="Times New Roman"/>
          <w:spacing w:val="-2"/>
          <w:position w:val="7"/>
          <w:sz w:val="16"/>
          <w:vertAlign w:val="baseline"/>
        </w:rPr>
        <w:t>-</w:t>
      </w:r>
      <w:r>
        <w:rPr>
          <w:spacing w:val="-2"/>
          <w:sz w:val="24"/>
          <w:vertAlign w:val="baseline"/>
        </w:rPr>
        <w:t>，</w:t>
      </w:r>
      <w:r>
        <w:rPr>
          <w:rFonts w:ascii="Times New Roman" w:eastAsia="Times New Roman"/>
          <w:spacing w:val="-2"/>
          <w:sz w:val="24"/>
          <w:vertAlign w:val="baseline"/>
        </w:rPr>
        <w:t>CF</w:t>
      </w:r>
      <w:r>
        <w:rPr>
          <w:rFonts w:ascii="Times New Roman" w:eastAsia="Times New Roman"/>
          <w:spacing w:val="-2"/>
          <w:sz w:val="24"/>
          <w:vertAlign w:val="subscript"/>
        </w:rPr>
        <w:t>3</w:t>
      </w:r>
      <w:r>
        <w:rPr>
          <w:rFonts w:ascii="Times New Roman" w:eastAsia="Times New Roman"/>
          <w:spacing w:val="-2"/>
          <w:sz w:val="24"/>
          <w:vertAlign w:val="baseline"/>
        </w:rPr>
        <w:t>COO</w:t>
      </w:r>
      <w:r>
        <w:rPr>
          <w:rFonts w:ascii="Times New Roman" w:eastAsia="Times New Roman"/>
          <w:spacing w:val="-2"/>
          <w:position w:val="7"/>
          <w:sz w:val="16"/>
          <w:vertAlign w:val="baseline"/>
        </w:rPr>
        <w:t>-</w:t>
      </w:r>
      <w:r>
        <w:rPr>
          <w:spacing w:val="-8"/>
          <w:sz w:val="24"/>
          <w:vertAlign w:val="baseline"/>
        </w:rPr>
        <w:t xml:space="preserve">等，这类 </w:t>
      </w:r>
      <w:r>
        <w:rPr>
          <w:rFonts w:ascii="Times New Roman" w:eastAsia="Times New Roman"/>
          <w:spacing w:val="-2"/>
          <w:sz w:val="24"/>
          <w:vertAlign w:val="baseline"/>
        </w:rPr>
        <w:t>ILs</w:t>
      </w:r>
      <w:r>
        <w:rPr>
          <w:rFonts w:ascii="Times New Roman" w:eastAsia="Times New Roman"/>
          <w:spacing w:val="-13"/>
          <w:sz w:val="24"/>
          <w:vertAlign w:val="baseline"/>
        </w:rPr>
        <w:t xml:space="preserve"> </w:t>
      </w:r>
      <w:r>
        <w:rPr>
          <w:spacing w:val="-9"/>
          <w:sz w:val="24"/>
          <w:vertAlign w:val="baseline"/>
        </w:rPr>
        <w:t xml:space="preserve">不同于 </w:t>
      </w:r>
      <w:r>
        <w:rPr>
          <w:rFonts w:ascii="Times New Roman" w:eastAsia="Times New Roman"/>
          <w:spacing w:val="-2"/>
          <w:sz w:val="24"/>
          <w:vertAlign w:val="baseline"/>
        </w:rPr>
        <w:t>AlC1</w:t>
      </w:r>
      <w:r>
        <w:rPr>
          <w:rFonts w:ascii="Times New Roman" w:eastAsia="Times New Roman"/>
          <w:spacing w:val="-2"/>
          <w:sz w:val="24"/>
          <w:vertAlign w:val="subscript"/>
        </w:rPr>
        <w:t>3</w:t>
      </w:r>
      <w:r>
        <w:rPr>
          <w:rFonts w:ascii="Times New Roman" w:eastAsia="Times New Roman"/>
          <w:spacing w:val="-13"/>
          <w:sz w:val="24"/>
          <w:vertAlign w:val="baseline"/>
        </w:rPr>
        <w:t xml:space="preserve"> </w:t>
      </w:r>
      <w:r>
        <w:rPr>
          <w:spacing w:val="-2"/>
          <w:sz w:val="24"/>
          <w:vertAlign w:val="baseline"/>
        </w:rPr>
        <w:t>型的离子液体，它们有特定的构成，</w:t>
      </w:r>
      <w:r>
        <w:rPr>
          <w:spacing w:val="-2"/>
          <w:sz w:val="24"/>
          <w:vertAlign w:val="baseline"/>
        </w:rPr>
        <w:t>并且对水和空气都是稳定的。因此，离子液体开始备受人们关注。</w:t>
      </w:r>
    </w:p>
    <w:p>
      <w:pPr>
        <w:spacing w:after="0" w:line="343" w:lineRule="auto"/>
        <w:jc w:val="both"/>
        <w:rPr>
          <w:sz w:val="24"/>
        </w:rPr>
        <w:sectPr>
          <w:pgSz w:w="11910" w:h="16840"/>
          <w:pgMar w:top="1640" w:right="1080" w:bottom="280" w:left="1560" w:header="708" w:footer="708"/>
          <w:pgNumType w:start="8"/>
          <w:cols w:space="708"/>
        </w:sectPr>
      </w:pPr>
    </w:p>
    <w:p>
      <w:pPr>
        <w:pStyle w:val="ListParagraph"/>
        <w:numPr>
          <w:ilvl w:val="3"/>
          <w:numId w:val="8"/>
        </w:numPr>
        <w:tabs>
          <w:tab w:val="left" w:pos="901"/>
        </w:tabs>
        <w:spacing w:before="52" w:after="0" w:line="343" w:lineRule="auto"/>
        <w:ind w:left="141" w:right="216" w:firstLine="360"/>
        <w:jc w:val="left"/>
        <w:rPr>
          <w:sz w:val="24"/>
        </w:rPr>
      </w:pPr>
      <w:r>
        <w:pict>
          <v:shapetype id="_x0000_t202" coordsize="21600,21600" o:spt="202" path="m,l,21600r21600,l21600,xe">
            <v:stroke joinstyle="miter"/>
            <v:path gradientshapeok="t" o:connecttype="rect"/>
          </v:shapetype>
          <v:shape id="_x0000_s1037" type="#_x0000_t202" style="width:259.7pt;height:8.9pt;margin-top:53.27pt;margin-left:181.22pt;mso-position-horizontal-relative:page;position:absolute;z-index:-251656192" filled="f" stroked="f">
            <v:textbox inset="0,0,0,0">
              <w:txbxContent>
                <w:p>
                  <w:pPr>
                    <w:tabs>
                      <w:tab w:val="left" w:pos="3846"/>
                      <w:tab w:val="left" w:pos="4233"/>
                      <w:tab w:val="left" w:pos="5113"/>
                    </w:tabs>
                    <w:spacing w:before="0" w:line="177" w:lineRule="exact"/>
                    <w:ind w:left="0" w:right="0" w:firstLine="0"/>
                    <w:jc w:val="left"/>
                    <w:rPr>
                      <w:rFonts w:ascii="Times New Roman"/>
                      <w:sz w:val="16"/>
                    </w:rPr>
                  </w:pPr>
                  <w:r>
                    <w:rPr>
                      <w:rFonts w:ascii="Times New Roman"/>
                      <w:spacing w:val="-10"/>
                      <w:sz w:val="16"/>
                    </w:rPr>
                    <w:t>4</w:t>
                  </w:r>
                  <w:r>
                    <w:rPr>
                      <w:rFonts w:ascii="Times New Roman"/>
                      <w:sz w:val="16"/>
                    </w:rPr>
                    <w:tab/>
                  </w:r>
                  <w:r>
                    <w:rPr>
                      <w:rFonts w:ascii="Times New Roman"/>
                      <w:spacing w:val="-10"/>
                      <w:sz w:val="16"/>
                    </w:rPr>
                    <w:t>3</w:t>
                  </w:r>
                  <w:r>
                    <w:rPr>
                      <w:rFonts w:ascii="Times New Roman"/>
                      <w:sz w:val="16"/>
                    </w:rPr>
                    <w:tab/>
                  </w:r>
                  <w:r>
                    <w:rPr>
                      <w:rFonts w:ascii="Times New Roman"/>
                      <w:spacing w:val="-10"/>
                      <w:sz w:val="16"/>
                    </w:rPr>
                    <w:t>2</w:t>
                  </w:r>
                  <w:r>
                    <w:rPr>
                      <w:rFonts w:ascii="Times New Roman"/>
                      <w:sz w:val="16"/>
                    </w:rPr>
                    <w:tab/>
                  </w:r>
                  <w:r>
                    <w:rPr>
                      <w:rFonts w:ascii="Times New Roman"/>
                      <w:spacing w:val="-10"/>
                      <w:sz w:val="16"/>
                    </w:rPr>
                    <w:t>3</w:t>
                  </w:r>
                </w:p>
              </w:txbxContent>
            </v:textbox>
          </v:shape>
        </w:pict>
      </w:r>
      <w:r>
        <w:rPr>
          <w:spacing w:val="-6"/>
          <w:sz w:val="24"/>
        </w:rPr>
        <w:t xml:space="preserve">其它特殊类型：这类 </w:t>
      </w:r>
      <w:r>
        <w:rPr>
          <w:rFonts w:ascii="Times New Roman" w:eastAsia="Times New Roman"/>
          <w:sz w:val="24"/>
        </w:rPr>
        <w:t>ILs</w:t>
      </w:r>
      <w:r>
        <w:rPr>
          <w:rFonts w:ascii="Times New Roman" w:eastAsia="Times New Roman"/>
          <w:spacing w:val="-8"/>
          <w:sz w:val="24"/>
        </w:rPr>
        <w:t xml:space="preserve"> </w:t>
      </w:r>
      <w:r>
        <w:rPr>
          <w:sz w:val="24"/>
        </w:rPr>
        <w:t>是由含氮的有机杂环阳离子和无机阴离子构成，比有</w:t>
      </w:r>
      <w:r>
        <w:rPr>
          <w:spacing w:val="-7"/>
          <w:sz w:val="24"/>
        </w:rPr>
        <w:t>机溶剂含有更多的优点。</w:t>
      </w:r>
      <w:r>
        <w:rPr>
          <w:rFonts w:ascii="Times New Roman" w:eastAsia="Times New Roman"/>
          <w:sz w:val="24"/>
        </w:rPr>
        <w:t>Forsyths</w:t>
      </w:r>
      <w:r>
        <w:rPr>
          <w:rFonts w:ascii="Times New Roman" w:eastAsia="Times New Roman"/>
          <w:position w:val="7"/>
          <w:sz w:val="16"/>
        </w:rPr>
        <w:t>[4]</w:t>
      </w:r>
      <w:r>
        <w:rPr>
          <w:rFonts w:ascii="Times New Roman" w:eastAsia="Times New Roman"/>
          <w:spacing w:val="14"/>
          <w:position w:val="7"/>
          <w:sz w:val="16"/>
        </w:rPr>
        <w:t xml:space="preserve"> </w:t>
      </w:r>
      <w:r>
        <w:rPr>
          <w:spacing w:val="-6"/>
          <w:sz w:val="24"/>
        </w:rPr>
        <w:t xml:space="preserve">等研究发现阴离子为 </w:t>
      </w:r>
      <w:r>
        <w:rPr>
          <w:rFonts w:ascii="Times New Roman" w:eastAsia="Times New Roman"/>
          <w:sz w:val="24"/>
        </w:rPr>
        <w:t>N(CN</w:t>
      </w:r>
      <w:r>
        <w:rPr>
          <w:rFonts w:ascii="Times New Roman" w:eastAsia="Times New Roman"/>
          <w:position w:val="7"/>
          <w:sz w:val="16"/>
        </w:rPr>
        <w:t>-</w:t>
      </w:r>
      <w:r>
        <w:rPr>
          <w:rFonts w:ascii="Times New Roman" w:eastAsia="Times New Roman"/>
          <w:sz w:val="24"/>
        </w:rPr>
        <w:t>)</w:t>
      </w:r>
      <w:r>
        <w:rPr>
          <w:spacing w:val="-30"/>
          <w:sz w:val="24"/>
        </w:rPr>
        <w:t xml:space="preserve">的 </w:t>
      </w:r>
      <w:r>
        <w:rPr>
          <w:rFonts w:ascii="Times New Roman" w:eastAsia="Times New Roman"/>
          <w:sz w:val="24"/>
        </w:rPr>
        <w:t>ILs</w:t>
      </w:r>
      <w:r>
        <w:rPr>
          <w:rFonts w:ascii="Times New Roman" w:eastAsia="Times New Roman"/>
          <w:spacing w:val="-8"/>
          <w:sz w:val="24"/>
        </w:rPr>
        <w:t xml:space="preserve"> </w:t>
      </w:r>
      <w:r>
        <w:rPr>
          <w:spacing w:val="-9"/>
          <w:sz w:val="24"/>
        </w:rPr>
        <w:t xml:space="preserve">普遍粘度较低；阴离子为 </w:t>
      </w:r>
      <w:r>
        <w:rPr>
          <w:rFonts w:ascii="Times New Roman" w:eastAsia="Times New Roman"/>
          <w:sz w:val="24"/>
        </w:rPr>
        <w:t>Br</w:t>
      </w:r>
      <w:r>
        <w:rPr>
          <w:rFonts w:ascii="Times New Roman" w:eastAsia="Times New Roman"/>
          <w:position w:val="7"/>
          <w:sz w:val="16"/>
        </w:rPr>
        <w:t>-</w:t>
      </w:r>
      <w:r>
        <w:rPr>
          <w:spacing w:val="-23"/>
          <w:sz w:val="24"/>
        </w:rPr>
        <w:t xml:space="preserve">或 </w:t>
      </w:r>
      <w:r>
        <w:rPr>
          <w:rFonts w:ascii="Times New Roman" w:eastAsia="Times New Roman"/>
          <w:sz w:val="24"/>
        </w:rPr>
        <w:t>BF</w:t>
      </w:r>
      <w:r>
        <w:rPr>
          <w:rFonts w:ascii="Times New Roman" w:eastAsia="Times New Roman"/>
          <w:spacing w:val="34"/>
          <w:sz w:val="24"/>
        </w:rPr>
        <w:t xml:space="preserve"> </w:t>
      </w:r>
      <w:r>
        <w:rPr>
          <w:rFonts w:ascii="Times New Roman" w:eastAsia="Times New Roman"/>
          <w:position w:val="7"/>
          <w:sz w:val="16"/>
        </w:rPr>
        <w:t>-</w:t>
      </w:r>
      <w:r>
        <w:rPr>
          <w:spacing w:val="-23"/>
          <w:sz w:val="24"/>
        </w:rPr>
        <w:t xml:space="preserve">的 </w:t>
      </w:r>
      <w:r>
        <w:rPr>
          <w:rFonts w:ascii="Times New Roman" w:eastAsia="Times New Roman"/>
          <w:sz w:val="24"/>
        </w:rPr>
        <w:t xml:space="preserve">ILs </w:t>
      </w:r>
      <w:r>
        <w:rPr>
          <w:spacing w:val="-4"/>
          <w:sz w:val="24"/>
        </w:rPr>
        <w:t xml:space="preserve">成本较低；新型的阴离子 </w:t>
      </w:r>
      <w:r>
        <w:rPr>
          <w:rFonts w:ascii="Times New Roman" w:eastAsia="Times New Roman"/>
          <w:sz w:val="24"/>
        </w:rPr>
        <w:t>CF</w:t>
      </w:r>
      <w:r>
        <w:rPr>
          <w:rFonts w:ascii="Times New Roman" w:eastAsia="Times New Roman"/>
          <w:spacing w:val="35"/>
          <w:sz w:val="24"/>
        </w:rPr>
        <w:t xml:space="preserve"> </w:t>
      </w:r>
      <w:r>
        <w:rPr>
          <w:rFonts w:ascii="Times New Roman" w:eastAsia="Times New Roman"/>
          <w:sz w:val="24"/>
        </w:rPr>
        <w:t>SO</w:t>
      </w:r>
      <w:r>
        <w:rPr>
          <w:rFonts w:ascii="Times New Roman" w:eastAsia="Times New Roman"/>
          <w:spacing w:val="35"/>
          <w:sz w:val="24"/>
        </w:rPr>
        <w:t xml:space="preserve"> </w:t>
      </w:r>
      <w:r>
        <w:rPr>
          <w:rFonts w:ascii="Times New Roman" w:eastAsia="Times New Roman"/>
          <w:sz w:val="24"/>
        </w:rPr>
        <w:t>NCOCF</w:t>
      </w:r>
      <w:r>
        <w:rPr>
          <w:rFonts w:ascii="Times New Roman" w:eastAsia="Times New Roman"/>
          <w:spacing w:val="35"/>
          <w:sz w:val="24"/>
        </w:rPr>
        <w:t xml:space="preserve"> </w:t>
      </w:r>
      <w:r>
        <w:rPr>
          <w:rFonts w:ascii="Times New Roman" w:eastAsia="Times New Roman"/>
          <w:position w:val="7"/>
          <w:sz w:val="16"/>
        </w:rPr>
        <w:t>-</w:t>
      </w:r>
      <w:r>
        <w:rPr>
          <w:rFonts w:ascii="Times New Roman" w:eastAsia="Times New Roman"/>
          <w:sz w:val="24"/>
        </w:rPr>
        <w:t>(</w:t>
      </w:r>
      <w:r>
        <w:rPr>
          <w:spacing w:val="-12"/>
          <w:sz w:val="24"/>
        </w:rPr>
        <w:t xml:space="preserve">缩写为 </w:t>
      </w:r>
      <w:r>
        <w:rPr>
          <w:rFonts w:ascii="Times New Roman" w:eastAsia="Times New Roman"/>
          <w:sz w:val="24"/>
        </w:rPr>
        <w:t>TSAC</w:t>
      </w:r>
      <w:r>
        <w:rPr>
          <w:rFonts w:ascii="Times New Roman" w:eastAsia="Times New Roman"/>
          <w:position w:val="7"/>
          <w:sz w:val="16"/>
        </w:rPr>
        <w:t>-</w:t>
      </w:r>
      <w:r>
        <w:rPr>
          <w:rFonts w:ascii="Times New Roman" w:eastAsia="Times New Roman"/>
          <w:sz w:val="24"/>
        </w:rPr>
        <w:t>)</w:t>
      </w:r>
      <w:r>
        <w:rPr>
          <w:spacing w:val="-4"/>
          <w:sz w:val="24"/>
        </w:rPr>
        <w:t xml:space="preserve">含有减少 </w:t>
      </w:r>
      <w:r>
        <w:rPr>
          <w:rFonts w:ascii="Times New Roman" w:eastAsia="Times New Roman"/>
          <w:sz w:val="24"/>
        </w:rPr>
        <w:t xml:space="preserve">ILs </w:t>
      </w:r>
      <w:r>
        <w:rPr>
          <w:spacing w:val="-1"/>
          <w:sz w:val="24"/>
        </w:rPr>
        <w:t xml:space="preserve">熔点和粘度的作用，并且该阴离子与小分子组合也能形成新型的 </w:t>
      </w:r>
      <w:r>
        <w:rPr>
          <w:rFonts w:ascii="Times New Roman" w:eastAsia="Times New Roman"/>
          <w:sz w:val="24"/>
        </w:rPr>
        <w:t>ILs</w:t>
      </w:r>
      <w:r>
        <w:rPr>
          <w:sz w:val="24"/>
        </w:rPr>
        <w:t>。</w:t>
      </w:r>
    </w:p>
    <w:p>
      <w:pPr>
        <w:pStyle w:val="Heading3"/>
        <w:numPr>
          <w:ilvl w:val="2"/>
          <w:numId w:val="8"/>
        </w:numPr>
        <w:tabs>
          <w:tab w:val="left" w:pos="771"/>
        </w:tabs>
        <w:spacing w:before="231" w:after="0" w:line="240" w:lineRule="auto"/>
        <w:ind w:left="771" w:right="0" w:hanging="630"/>
        <w:jc w:val="left"/>
      </w:pPr>
      <w:bookmarkStart w:id="4" w:name="_TOC_250036"/>
      <w:bookmarkEnd w:id="4"/>
      <w:r>
        <w:rPr>
          <w:spacing w:val="-2"/>
        </w:rPr>
        <w:t>离子液体的特点</w:t>
      </w:r>
    </w:p>
    <w:p>
      <w:pPr>
        <w:pStyle w:val="BodyText"/>
        <w:spacing w:before="179" w:line="343" w:lineRule="auto"/>
        <w:ind w:right="336" w:firstLine="360"/>
        <w:jc w:val="both"/>
      </w:pPr>
      <w:r>
        <w:rPr>
          <w:rFonts w:ascii="Times New Roman" w:eastAsia="Times New Roman" w:hAnsi="Times New Roman"/>
          <w:spacing w:val="-2"/>
        </w:rPr>
        <w:t>ILs</w:t>
      </w:r>
      <w:r>
        <w:rPr>
          <w:rFonts w:ascii="Times New Roman" w:eastAsia="Times New Roman" w:hAnsi="Times New Roman"/>
          <w:spacing w:val="-13"/>
        </w:rPr>
        <w:t xml:space="preserve"> </w:t>
      </w:r>
      <w:r>
        <w:rPr>
          <w:spacing w:val="-5"/>
        </w:rPr>
        <w:t xml:space="preserve">的熔点普通都低于 </w:t>
      </w:r>
      <w:r>
        <w:rPr>
          <w:rFonts w:ascii="Times New Roman" w:eastAsia="Times New Roman" w:hAnsi="Times New Roman"/>
          <w:spacing w:val="-2"/>
        </w:rPr>
        <w:t>100</w:t>
      </w:r>
      <w:r>
        <w:rPr>
          <w:spacing w:val="-2"/>
        </w:rPr>
        <w:t>℃，重要是由有机阳离子和有机或无机阴离子构成的盐</w:t>
      </w:r>
      <w:r>
        <w:t>类，普通含有一种杂环氮原子。</w:t>
      </w:r>
      <w:r>
        <w:rPr>
          <w:rFonts w:ascii="Times New Roman" w:eastAsia="Times New Roman" w:hAnsi="Times New Roman"/>
        </w:rPr>
        <w:t>ILs</w:t>
      </w:r>
      <w:r>
        <w:rPr>
          <w:rFonts w:ascii="Times New Roman" w:eastAsia="Times New Roman" w:hAnsi="Times New Roman"/>
          <w:spacing w:val="-15"/>
        </w:rPr>
        <w:t xml:space="preserve"> </w:t>
      </w:r>
      <w:r>
        <w:t>的特性重要由其阴、阳离子决定，并且能够通过</w:t>
      </w:r>
      <w:r>
        <w:t>调节阴、阳离子组合对离子液体进行优化。</w:t>
      </w:r>
      <w:r>
        <w:rPr>
          <w:rFonts w:ascii="Times New Roman" w:eastAsia="Times New Roman" w:hAnsi="Times New Roman"/>
        </w:rPr>
        <w:t>ILs</w:t>
      </w:r>
      <w:r>
        <w:rPr>
          <w:rFonts w:ascii="Times New Roman" w:eastAsia="Times New Roman" w:hAnsi="Times New Roman"/>
          <w:spacing w:val="-15"/>
        </w:rPr>
        <w:t xml:space="preserve"> </w:t>
      </w:r>
      <w:r>
        <w:t>与传统有机溶剂和电解质溶液相比，</w:t>
      </w:r>
      <w:r>
        <w:rPr>
          <w:spacing w:val="-2"/>
        </w:rPr>
        <w:t>含有一系列突出的特性，例如：</w:t>
      </w:r>
    </w:p>
    <w:p>
      <w:pPr>
        <w:pStyle w:val="ListParagraph"/>
        <w:numPr>
          <w:ilvl w:val="3"/>
          <w:numId w:val="8"/>
        </w:numPr>
        <w:tabs>
          <w:tab w:val="left" w:pos="782"/>
        </w:tabs>
        <w:spacing w:before="1" w:after="0" w:line="343" w:lineRule="auto"/>
        <w:ind w:left="141" w:right="336" w:firstLine="360"/>
        <w:jc w:val="both"/>
        <w:rPr>
          <w:sz w:val="24"/>
        </w:rPr>
      </w:pPr>
      <w:r>
        <w:rPr>
          <w:spacing w:val="-3"/>
          <w:sz w:val="24"/>
        </w:rPr>
        <w:t xml:space="preserve">极低的蒸汽压，这是由于 </w:t>
      </w:r>
      <w:r>
        <w:rPr>
          <w:rFonts w:ascii="Times New Roman" w:eastAsia="Times New Roman"/>
          <w:sz w:val="24"/>
        </w:rPr>
        <w:t>ILs</w:t>
      </w:r>
      <w:r>
        <w:rPr>
          <w:rFonts w:ascii="Times New Roman" w:eastAsia="Times New Roman"/>
          <w:spacing w:val="-15"/>
          <w:sz w:val="24"/>
        </w:rPr>
        <w:t xml:space="preserve"> </w:t>
      </w:r>
      <w:r>
        <w:rPr>
          <w:sz w:val="24"/>
        </w:rPr>
        <w:t>内部存在相称大的库仑作用力的缘故。无毒、无</w:t>
      </w:r>
      <w:r>
        <w:rPr>
          <w:spacing w:val="-2"/>
          <w:sz w:val="24"/>
        </w:rPr>
        <w:t>色、无味、不挥发、呈弱腐蚀性、无污染、易操作。</w:t>
      </w:r>
    </w:p>
    <w:p>
      <w:pPr>
        <w:pStyle w:val="ListParagraph"/>
        <w:numPr>
          <w:ilvl w:val="3"/>
          <w:numId w:val="8"/>
        </w:numPr>
        <w:tabs>
          <w:tab w:val="left" w:pos="782"/>
        </w:tabs>
        <w:spacing w:before="1" w:after="0" w:line="343" w:lineRule="auto"/>
        <w:ind w:left="141" w:right="244" w:firstLine="360"/>
        <w:jc w:val="left"/>
        <w:rPr>
          <w:sz w:val="24"/>
        </w:rPr>
      </w:pPr>
      <w:r>
        <w:rPr>
          <w:rFonts w:ascii="Times New Roman" w:eastAsia="Times New Roman"/>
          <w:sz w:val="24"/>
        </w:rPr>
        <w:t xml:space="preserve">ILs </w:t>
      </w:r>
      <w:r>
        <w:rPr>
          <w:sz w:val="24"/>
        </w:rPr>
        <w:t>含有良好的电化学稳定性和较宽的电化学窗口，优良的导电性能，是较好</w:t>
      </w:r>
      <w:r>
        <w:rPr>
          <w:spacing w:val="-2"/>
          <w:sz w:val="24"/>
        </w:rPr>
        <w:t>的传热和传能介质，可重复循环运用且不易燃烧；有特有的反映性能，如：液程宽、</w:t>
      </w:r>
      <w:r>
        <w:rPr>
          <w:spacing w:val="-2"/>
          <w:sz w:val="24"/>
        </w:rPr>
        <w:t>粘度低、稳定性高；独特的溶解特性，并且存在强的静电场。</w:t>
      </w:r>
    </w:p>
    <w:p>
      <w:pPr>
        <w:pStyle w:val="ListParagraph"/>
        <w:numPr>
          <w:ilvl w:val="3"/>
          <w:numId w:val="8"/>
        </w:numPr>
        <w:tabs>
          <w:tab w:val="left" w:pos="782"/>
        </w:tabs>
        <w:spacing w:before="0" w:after="0" w:line="343" w:lineRule="auto"/>
        <w:ind w:left="141" w:right="336" w:firstLine="360"/>
        <w:jc w:val="left"/>
        <w:rPr>
          <w:sz w:val="24"/>
        </w:rPr>
      </w:pPr>
      <w:r>
        <w:rPr>
          <w:rFonts w:ascii="Times New Roman" w:eastAsia="Times New Roman"/>
          <w:sz w:val="24"/>
        </w:rPr>
        <w:t xml:space="preserve">ILs </w:t>
      </w:r>
      <w:r>
        <w:rPr>
          <w:sz w:val="24"/>
        </w:rPr>
        <w:t>含有较宽的液相范畴和稳定的温度范畴，呈液态的温度区间大、溶解范畴</w:t>
      </w:r>
      <w:r>
        <w:rPr>
          <w:spacing w:val="-2"/>
          <w:sz w:val="24"/>
        </w:rPr>
        <w:t>广、稳定性好。</w:t>
      </w:r>
    </w:p>
    <w:p>
      <w:pPr>
        <w:pStyle w:val="ListParagraph"/>
        <w:numPr>
          <w:ilvl w:val="3"/>
          <w:numId w:val="8"/>
        </w:numPr>
        <w:tabs>
          <w:tab w:val="left" w:pos="782"/>
        </w:tabs>
        <w:spacing w:before="1" w:after="0" w:line="343" w:lineRule="auto"/>
        <w:ind w:left="141" w:right="336" w:firstLine="360"/>
        <w:jc w:val="left"/>
        <w:rPr>
          <w:sz w:val="24"/>
        </w:rPr>
      </w:pPr>
      <w:r>
        <w:rPr>
          <w:spacing w:val="-12"/>
          <w:sz w:val="24"/>
        </w:rPr>
        <w:t xml:space="preserve">通过设计 </w:t>
      </w:r>
      <w:r>
        <w:rPr>
          <w:rFonts w:ascii="Times New Roman" w:eastAsia="Times New Roman"/>
          <w:sz w:val="24"/>
        </w:rPr>
        <w:t>ILs</w:t>
      </w:r>
      <w:r>
        <w:rPr>
          <w:rFonts w:ascii="Times New Roman" w:eastAsia="Times New Roman"/>
          <w:spacing w:val="-9"/>
          <w:sz w:val="24"/>
        </w:rPr>
        <w:t xml:space="preserve"> </w:t>
      </w:r>
      <w:r>
        <w:rPr>
          <w:sz w:val="24"/>
        </w:rPr>
        <w:t>的阴、阳离子，能够根据需要的不同合成各类对无机物、有机物</w:t>
      </w:r>
      <w:r>
        <w:rPr>
          <w:spacing w:val="-4"/>
          <w:sz w:val="24"/>
        </w:rPr>
        <w:t xml:space="preserve">和聚合物的溶解性不同的 </w:t>
      </w:r>
      <w:r>
        <w:rPr>
          <w:rFonts w:ascii="Times New Roman" w:eastAsia="Times New Roman"/>
          <w:sz w:val="24"/>
        </w:rPr>
        <w:t>ILs</w:t>
      </w:r>
      <w:r>
        <w:rPr>
          <w:sz w:val="24"/>
        </w:rPr>
        <w:t>，并且能够调节其酸度至超酸。</w:t>
      </w:r>
    </w:p>
    <w:p>
      <w:pPr>
        <w:pStyle w:val="Heading3"/>
        <w:numPr>
          <w:ilvl w:val="2"/>
          <w:numId w:val="8"/>
        </w:numPr>
        <w:tabs>
          <w:tab w:val="left" w:pos="771"/>
        </w:tabs>
        <w:spacing w:before="231" w:after="0" w:line="240" w:lineRule="auto"/>
        <w:ind w:left="771" w:right="0" w:hanging="630"/>
        <w:jc w:val="left"/>
      </w:pPr>
      <w:bookmarkStart w:id="5" w:name="_TOC_250035"/>
      <w:bookmarkEnd w:id="5"/>
      <w:r>
        <w:rPr>
          <w:spacing w:val="-2"/>
        </w:rPr>
        <w:t>离子液体的研究进展</w:t>
      </w:r>
    </w:p>
    <w:p>
      <w:pPr>
        <w:pStyle w:val="BodyText"/>
        <w:spacing w:before="179" w:line="343" w:lineRule="auto"/>
        <w:ind w:right="335" w:firstLine="360"/>
        <w:jc w:val="both"/>
      </w:pPr>
      <w:r>
        <w:rPr>
          <w:rFonts w:ascii="Times New Roman" w:eastAsia="Times New Roman" w:hAnsi="Times New Roman"/>
          <w:spacing w:val="-4"/>
        </w:rPr>
        <w:t>ILs</w:t>
      </w:r>
      <w:r>
        <w:rPr>
          <w:rFonts w:ascii="Times New Roman" w:eastAsia="Times New Roman" w:hAnsi="Times New Roman"/>
          <w:spacing w:val="-11"/>
        </w:rPr>
        <w:t xml:space="preserve"> </w:t>
      </w:r>
      <w:r>
        <w:rPr>
          <w:spacing w:val="-7"/>
        </w:rPr>
        <w:t xml:space="preserve">的发展最早是在 </w:t>
      </w:r>
      <w:r>
        <w:rPr>
          <w:rFonts w:ascii="Times New Roman" w:eastAsia="Times New Roman" w:hAnsi="Times New Roman"/>
          <w:spacing w:val="-4"/>
        </w:rPr>
        <w:t>19</w:t>
      </w:r>
      <w:r>
        <w:rPr>
          <w:spacing w:val="-10"/>
        </w:rPr>
        <w:t xml:space="preserve">，当时 </w:t>
      </w:r>
      <w:r>
        <w:rPr>
          <w:rFonts w:ascii="Times New Roman" w:eastAsia="Times New Roman" w:hAnsi="Times New Roman"/>
          <w:spacing w:val="-4"/>
        </w:rPr>
        <w:t>Walden</w:t>
      </w:r>
      <w:r>
        <w:rPr>
          <w:rFonts w:ascii="Times New Roman" w:eastAsia="Times New Roman" w:hAnsi="Times New Roman"/>
          <w:spacing w:val="-10"/>
        </w:rPr>
        <w:t xml:space="preserve"> </w:t>
      </w:r>
      <w:r>
        <w:rPr>
          <w:spacing w:val="-4"/>
        </w:rPr>
        <w:t>等报道了第一种在室温下呈液态的有机熔融</w:t>
      </w:r>
      <w:r>
        <w:rPr>
          <w:spacing w:val="11"/>
        </w:rPr>
        <w:t>盐——硝酸乙基胺</w:t>
      </w:r>
      <w:r>
        <w:rPr>
          <w:rFonts w:ascii="Times New Roman" w:eastAsia="Times New Roman" w:hAnsi="Times New Roman"/>
        </w:rPr>
        <w:t>([EtNH</w:t>
      </w:r>
      <w:r>
        <w:rPr>
          <w:rFonts w:ascii="Times New Roman" w:eastAsia="Times New Roman" w:hAnsi="Times New Roman"/>
          <w:vertAlign w:val="subscript"/>
        </w:rPr>
        <w:t>3</w:t>
      </w:r>
      <w:r>
        <w:rPr>
          <w:rFonts w:ascii="Times New Roman" w:eastAsia="Times New Roman" w:hAnsi="Times New Roman"/>
          <w:vertAlign w:val="baseline"/>
        </w:rPr>
        <w:t>][NO])</w:t>
      </w:r>
      <w:r>
        <w:rPr>
          <w:rFonts w:ascii="Times New Roman" w:eastAsia="Times New Roman" w:hAnsi="Times New Roman"/>
          <w:vertAlign w:val="subscript"/>
        </w:rPr>
        <w:t>3</w:t>
      </w:r>
      <w:r>
        <w:rPr>
          <w:spacing w:val="9"/>
          <w:vertAlign w:val="baseline"/>
        </w:rPr>
        <w:t xml:space="preserve">，但它并没有引发人们的关注。到了 </w:t>
      </w:r>
      <w:r>
        <w:rPr>
          <w:rFonts w:ascii="Times New Roman" w:eastAsia="Times New Roman" w:hAnsi="Times New Roman"/>
          <w:vertAlign w:val="baseline"/>
        </w:rPr>
        <w:t>1929</w:t>
      </w:r>
      <w:r>
        <w:rPr>
          <w:rFonts w:ascii="Times New Roman" w:eastAsia="Times New Roman" w:hAnsi="Times New Roman"/>
          <w:spacing w:val="-15"/>
          <w:vertAlign w:val="baseline"/>
        </w:rPr>
        <w:t xml:space="preserve"> </w:t>
      </w:r>
      <w:r>
        <w:rPr>
          <w:spacing w:val="8"/>
          <w:vertAlign w:val="baseline"/>
        </w:rPr>
        <w:t>年，</w:t>
      </w:r>
      <w:r>
        <w:rPr>
          <w:vertAlign w:val="baseline"/>
        </w:rPr>
        <w:t xml:space="preserve"> </w:t>
      </w:r>
      <w:r>
        <w:rPr>
          <w:rFonts w:ascii="Times New Roman" w:eastAsia="Times New Roman" w:hAnsi="Times New Roman"/>
          <w:spacing w:val="-4"/>
          <w:vertAlign w:val="baseline"/>
        </w:rPr>
        <w:t>Sugden</w:t>
      </w:r>
      <w:r>
        <w:rPr>
          <w:rFonts w:ascii="Times New Roman" w:eastAsia="Times New Roman" w:hAnsi="Times New Roman"/>
          <w:spacing w:val="-4"/>
          <w:position w:val="7"/>
          <w:sz w:val="16"/>
          <w:vertAlign w:val="baseline"/>
        </w:rPr>
        <w:t>[5]</w:t>
      </w:r>
      <w:r>
        <w:rPr>
          <w:spacing w:val="-4"/>
          <w:vertAlign w:val="baseline"/>
        </w:rPr>
        <w:t xml:space="preserve">报道了将乙胺与 </w:t>
      </w:r>
      <w:r>
        <w:rPr>
          <w:rFonts w:ascii="Times New Roman" w:eastAsia="Times New Roman" w:hAnsi="Times New Roman"/>
          <w:spacing w:val="-4"/>
          <w:vertAlign w:val="baseline"/>
        </w:rPr>
        <w:t>20%</w:t>
      </w:r>
      <w:r>
        <w:rPr>
          <w:spacing w:val="-4"/>
          <w:vertAlign w:val="baseline"/>
        </w:rPr>
        <w:t>的硝酸混合后，减压除去水分，得到的油状液体的熔点</w:t>
      </w:r>
      <w:r>
        <w:rPr>
          <w:spacing w:val="-12"/>
          <w:vertAlign w:val="baseline"/>
        </w:rPr>
        <w:t xml:space="preserve">为 </w:t>
      </w:r>
      <w:r>
        <w:rPr>
          <w:rFonts w:ascii="Times New Roman" w:eastAsia="Times New Roman" w:hAnsi="Times New Roman"/>
          <w:vertAlign w:val="baseline"/>
        </w:rPr>
        <w:t>8</w:t>
      </w:r>
      <w:r>
        <w:rPr>
          <w:spacing w:val="-2"/>
          <w:vertAlign w:val="baseline"/>
        </w:rPr>
        <w:t xml:space="preserve">℃，元素分析的成果表明：其构成为 </w:t>
      </w:r>
      <w:r>
        <w:rPr>
          <w:rFonts w:ascii="Times New Roman" w:eastAsia="Times New Roman" w:hAnsi="Times New Roman"/>
          <w:vertAlign w:val="baseline"/>
        </w:rPr>
        <w:t>C</w:t>
      </w:r>
      <w:r>
        <w:rPr>
          <w:rFonts w:ascii="Times New Roman" w:eastAsia="Times New Roman" w:hAnsi="Times New Roman"/>
          <w:vertAlign w:val="subscript"/>
        </w:rPr>
        <w:t>2</w:t>
      </w:r>
      <w:r>
        <w:rPr>
          <w:rFonts w:ascii="Times New Roman" w:eastAsia="Times New Roman" w:hAnsi="Times New Roman"/>
          <w:vertAlign w:val="baseline"/>
        </w:rPr>
        <w:t>H</w:t>
      </w:r>
      <w:r>
        <w:rPr>
          <w:rFonts w:ascii="Times New Roman" w:eastAsia="Times New Roman" w:hAnsi="Times New Roman"/>
          <w:vertAlign w:val="subscript"/>
        </w:rPr>
        <w:t>8</w:t>
      </w:r>
      <w:r>
        <w:rPr>
          <w:rFonts w:ascii="Times New Roman" w:eastAsia="Times New Roman" w:hAnsi="Times New Roman"/>
          <w:vertAlign w:val="baseline"/>
        </w:rPr>
        <w:t>N</w:t>
      </w:r>
      <w:r>
        <w:rPr>
          <w:rFonts w:ascii="Times New Roman" w:eastAsia="Times New Roman" w:hAnsi="Times New Roman"/>
          <w:vertAlign w:val="subscript"/>
        </w:rPr>
        <w:t>2</w:t>
      </w:r>
      <w:r>
        <w:rPr>
          <w:rFonts w:ascii="Times New Roman" w:eastAsia="Times New Roman" w:hAnsi="Times New Roman"/>
          <w:vertAlign w:val="baseline"/>
        </w:rPr>
        <w:t>O</w:t>
      </w:r>
      <w:r>
        <w:rPr>
          <w:rFonts w:ascii="Times New Roman" w:eastAsia="Times New Roman" w:hAnsi="Times New Roman"/>
          <w:vertAlign w:val="subscript"/>
        </w:rPr>
        <w:t>3</w:t>
      </w:r>
      <w:r>
        <w:rPr>
          <w:vertAlign w:val="baseline"/>
        </w:rPr>
        <w:t>，阐明得到的是一种液态盐。直</w:t>
      </w:r>
      <w:r>
        <w:rPr>
          <w:spacing w:val="-15"/>
          <w:vertAlign w:val="baseline"/>
        </w:rPr>
        <w:t xml:space="preserve">到 </w:t>
      </w:r>
      <w:r>
        <w:rPr>
          <w:rFonts w:ascii="Times New Roman" w:eastAsia="Times New Roman" w:hAnsi="Times New Roman"/>
          <w:vertAlign w:val="baseline"/>
        </w:rPr>
        <w:t>1948</w:t>
      </w:r>
      <w:r>
        <w:rPr>
          <w:rFonts w:ascii="Times New Roman" w:eastAsia="Times New Roman" w:hAnsi="Times New Roman"/>
          <w:spacing w:val="-15"/>
          <w:vertAlign w:val="baseline"/>
        </w:rPr>
        <w:t xml:space="preserve"> </w:t>
      </w:r>
      <w:r>
        <w:rPr>
          <w:spacing w:val="-5"/>
          <w:vertAlign w:val="baseline"/>
        </w:rPr>
        <w:t xml:space="preserve">年，美国的 </w:t>
      </w:r>
      <w:r>
        <w:rPr>
          <w:rFonts w:ascii="Times New Roman" w:eastAsia="Times New Roman" w:hAnsi="Times New Roman"/>
          <w:vertAlign w:val="baseline"/>
        </w:rPr>
        <w:t>Frank</w:t>
      </w:r>
      <w:r>
        <w:rPr>
          <w:rFonts w:ascii="Times New Roman" w:eastAsia="Times New Roman" w:hAnsi="Times New Roman"/>
          <w:spacing w:val="-15"/>
          <w:vertAlign w:val="baseline"/>
        </w:rPr>
        <w:t xml:space="preserve"> </w:t>
      </w:r>
      <w:r>
        <w:rPr>
          <w:rFonts w:ascii="Times New Roman" w:eastAsia="Times New Roman" w:hAnsi="Times New Roman"/>
          <w:vertAlign w:val="baseline"/>
        </w:rPr>
        <w:t>Hurley</w:t>
      </w:r>
      <w:r>
        <w:rPr>
          <w:rFonts w:ascii="Times New Roman" w:eastAsia="Times New Roman" w:hAnsi="Times New Roman"/>
          <w:spacing w:val="-15"/>
          <w:vertAlign w:val="baseline"/>
        </w:rPr>
        <w:t xml:space="preserve"> </w:t>
      </w:r>
      <w:r>
        <w:rPr>
          <w:spacing w:val="-15"/>
          <w:vertAlign w:val="baseline"/>
        </w:rPr>
        <w:t xml:space="preserve">和 </w:t>
      </w:r>
      <w:r>
        <w:rPr>
          <w:rFonts w:ascii="Times New Roman" w:eastAsia="Times New Roman" w:hAnsi="Times New Roman"/>
          <w:vertAlign w:val="baseline"/>
        </w:rPr>
        <w:t>Tom</w:t>
      </w:r>
      <w:r>
        <w:rPr>
          <w:rFonts w:ascii="Times New Roman" w:eastAsia="Times New Roman" w:hAnsi="Times New Roman"/>
          <w:spacing w:val="-14"/>
          <w:vertAlign w:val="baseline"/>
        </w:rPr>
        <w:t xml:space="preserve"> </w:t>
      </w:r>
      <w:r>
        <w:rPr>
          <w:rFonts w:ascii="Times New Roman" w:eastAsia="Times New Roman" w:hAnsi="Times New Roman"/>
          <w:vertAlign w:val="baseline"/>
        </w:rPr>
        <w:t>wierr</w:t>
      </w:r>
      <w:r>
        <w:rPr>
          <w:rFonts w:ascii="Times New Roman" w:eastAsia="Times New Roman" w:hAnsi="Times New Roman"/>
          <w:position w:val="7"/>
          <w:sz w:val="16"/>
          <w:vertAlign w:val="baseline"/>
        </w:rPr>
        <w:t>[6]</w:t>
      </w:r>
      <w:r>
        <w:rPr>
          <w:spacing w:val="-3"/>
          <w:vertAlign w:val="baseline"/>
        </w:rPr>
        <w:t xml:space="preserve">初次合成了第一代的 </w:t>
      </w:r>
      <w:r>
        <w:rPr>
          <w:rFonts w:ascii="Times New Roman" w:eastAsia="Times New Roman" w:hAnsi="Times New Roman"/>
          <w:vertAlign w:val="baseline"/>
        </w:rPr>
        <w:t>ILs</w:t>
      </w:r>
      <w:r>
        <w:rPr>
          <w:vertAlign w:val="baseline"/>
        </w:rPr>
        <w:t>，他们在寻</w:t>
      </w:r>
      <w:r>
        <w:rPr>
          <w:spacing w:val="-2"/>
          <w:vertAlign w:val="baseline"/>
        </w:rPr>
        <w:t xml:space="preserve">找一种温和条件电解的同时，尝试把 </w:t>
      </w:r>
      <w:r>
        <w:rPr>
          <w:rFonts w:ascii="Times New Roman" w:eastAsia="Times New Roman" w:hAnsi="Times New Roman"/>
          <w:vertAlign w:val="baseline"/>
        </w:rPr>
        <w:t>N-</w:t>
      </w:r>
      <w:r>
        <w:rPr>
          <w:spacing w:val="-4"/>
          <w:vertAlign w:val="baseline"/>
        </w:rPr>
        <w:t xml:space="preserve">烷基吡啶加入到 </w:t>
      </w:r>
      <w:r>
        <w:rPr>
          <w:rFonts w:ascii="Times New Roman" w:eastAsia="Times New Roman" w:hAnsi="Times New Roman"/>
          <w:vertAlign w:val="baseline"/>
        </w:rPr>
        <w:t>AlC1</w:t>
      </w:r>
      <w:r>
        <w:rPr>
          <w:rFonts w:ascii="Times New Roman" w:eastAsia="Times New Roman" w:hAnsi="Times New Roman"/>
          <w:vertAlign w:val="subscript"/>
        </w:rPr>
        <w:t>3</w:t>
      </w:r>
      <w:r>
        <w:rPr>
          <w:rFonts w:ascii="Times New Roman" w:eastAsia="Times New Roman" w:hAnsi="Times New Roman"/>
          <w:spacing w:val="-15"/>
          <w:vertAlign w:val="baseline"/>
        </w:rPr>
        <w:t xml:space="preserve"> </w:t>
      </w:r>
      <w:r>
        <w:rPr>
          <w:vertAlign w:val="baseline"/>
        </w:rPr>
        <w:t>中，加热试管后，却</w:t>
      </w:r>
      <w:r>
        <w:rPr>
          <w:spacing w:val="-3"/>
          <w:vertAlign w:val="baseline"/>
        </w:rPr>
        <w:t xml:space="preserve">发现两固体混合物能自发的形成澄清透明的均相液体，这就是我们今天所说的 </w:t>
      </w:r>
      <w:r>
        <w:rPr>
          <w:rFonts w:ascii="Times New Roman" w:eastAsia="Times New Roman" w:hAnsi="Times New Roman"/>
          <w:spacing w:val="-2"/>
          <w:vertAlign w:val="baseline"/>
        </w:rPr>
        <w:t>ILs</w:t>
      </w:r>
      <w:r>
        <w:rPr>
          <w:spacing w:val="-2"/>
          <w:vertAlign w:val="baseline"/>
        </w:rPr>
        <w:t>，</w:t>
      </w:r>
      <w:r>
        <w:rPr>
          <w:spacing w:val="-9"/>
          <w:vertAlign w:val="baseline"/>
        </w:rPr>
        <w:t xml:space="preserve">即氯铝酸 </w:t>
      </w:r>
      <w:r>
        <w:rPr>
          <w:rFonts w:ascii="Times New Roman" w:eastAsia="Times New Roman" w:hAnsi="Times New Roman"/>
          <w:vertAlign w:val="baseline"/>
        </w:rPr>
        <w:t>N-</w:t>
      </w:r>
      <w:r>
        <w:rPr>
          <w:vertAlign w:val="baseline"/>
        </w:rPr>
        <w:t>烷基吡啶盐。</w:t>
      </w:r>
    </w:p>
    <w:p>
      <w:pPr>
        <w:pStyle w:val="BodyText"/>
        <w:spacing w:before="2" w:line="343" w:lineRule="auto"/>
        <w:ind w:right="336" w:firstLine="360"/>
      </w:pPr>
      <w:r>
        <w:rPr>
          <w:rFonts w:ascii="Times New Roman" w:eastAsia="Times New Roman"/>
        </w:rPr>
        <w:t xml:space="preserve">20 </w:t>
      </w:r>
      <w:r>
        <w:rPr>
          <w:spacing w:val="-19"/>
        </w:rPr>
        <w:t xml:space="preserve">世纪 </w:t>
      </w:r>
      <w:r>
        <w:rPr>
          <w:rFonts w:ascii="Times New Roman" w:eastAsia="Times New Roman"/>
        </w:rPr>
        <w:t xml:space="preserve">70 </w:t>
      </w:r>
      <w:r>
        <w:rPr>
          <w:spacing w:val="-19"/>
        </w:rPr>
        <w:t xml:space="preserve">年代 </w:t>
      </w:r>
      <w:r>
        <w:rPr>
          <w:rFonts w:ascii="Times New Roman" w:eastAsia="Times New Roman"/>
        </w:rPr>
        <w:t xml:space="preserve">Osteryaung </w:t>
      </w:r>
      <w:r>
        <w:rPr>
          <w:spacing w:val="-28"/>
        </w:rPr>
        <w:t xml:space="preserve">和 </w:t>
      </w:r>
      <w:r>
        <w:rPr>
          <w:rFonts w:ascii="Times New Roman" w:eastAsia="Times New Roman"/>
        </w:rPr>
        <w:t>Wilke</w:t>
      </w:r>
      <w:r>
        <w:rPr>
          <w:rFonts w:ascii="Times New Roman" w:eastAsia="Times New Roman"/>
          <w:position w:val="7"/>
          <w:sz w:val="16"/>
        </w:rPr>
        <w:t>s[7]</w:t>
      </w:r>
      <w:r>
        <w:rPr>
          <w:spacing w:val="-4"/>
        </w:rPr>
        <w:t xml:space="preserve">等人在研究有机电化学时，运用 </w:t>
      </w:r>
      <w:r>
        <w:rPr>
          <w:rFonts w:ascii="Times New Roman" w:eastAsia="Times New Roman"/>
        </w:rPr>
        <w:t xml:space="preserve">Hurley </w:t>
      </w:r>
      <w:r>
        <w:t>报</w:t>
      </w:r>
      <w:r>
        <w:rPr>
          <w:spacing w:val="-17"/>
        </w:rPr>
        <w:t xml:space="preserve">道的 </w:t>
      </w:r>
      <w:r>
        <w:rPr>
          <w:rFonts w:ascii="Times New Roman" w:eastAsia="Times New Roman"/>
        </w:rPr>
        <w:t>ILs([N-EtPy]AlC</w:t>
      </w:r>
      <w:r>
        <w:rPr>
          <w:rFonts w:ascii="Times New Roman" w:eastAsia="Times New Roman"/>
          <w:vertAlign w:val="subscript"/>
        </w:rPr>
        <w:t>4</w:t>
      </w:r>
      <w:r>
        <w:rPr>
          <w:rFonts w:ascii="Times New Roman" w:eastAsia="Times New Roman"/>
          <w:vertAlign w:val="baseline"/>
        </w:rPr>
        <w:t>)</w:t>
      </w:r>
      <w:r>
        <w:rPr>
          <w:spacing w:val="-3"/>
          <w:vertAlign w:val="baseline"/>
        </w:rPr>
        <w:t xml:space="preserve">作电解液，重新合成了吡啶基铝酸 </w:t>
      </w:r>
      <w:r>
        <w:rPr>
          <w:rFonts w:ascii="Times New Roman" w:eastAsia="Times New Roman"/>
          <w:vertAlign w:val="baseline"/>
        </w:rPr>
        <w:t>ILs</w:t>
      </w:r>
      <w:r>
        <w:rPr>
          <w:spacing w:val="-10"/>
          <w:vertAlign w:val="baseline"/>
        </w:rPr>
        <w:t xml:space="preserve">，并且该 </w:t>
      </w:r>
      <w:r>
        <w:rPr>
          <w:rFonts w:ascii="Times New Roman" w:eastAsia="Times New Roman"/>
          <w:vertAlign w:val="baseline"/>
        </w:rPr>
        <w:t>ILs</w:t>
      </w:r>
      <w:r>
        <w:rPr>
          <w:rFonts w:ascii="Times New Roman" w:eastAsia="Times New Roman"/>
          <w:spacing w:val="10"/>
          <w:vertAlign w:val="baseline"/>
        </w:rPr>
        <w:t xml:space="preserve"> </w:t>
      </w:r>
      <w:r>
        <w:rPr>
          <w:spacing w:val="-3"/>
          <w:vertAlign w:val="baseline"/>
        </w:rPr>
        <w:t>能作用于</w:t>
      </w:r>
    </w:p>
    <w:p>
      <w:pPr>
        <w:spacing w:after="0" w:line="343" w:lineRule="auto"/>
        <w:sectPr>
          <w:pgSz w:w="11910" w:h="16840"/>
          <w:pgMar w:top="1400" w:right="1080" w:bottom="280" w:left="1560" w:header="708" w:footer="708"/>
          <w:pgNumType w:start="9"/>
          <w:cols w:space="708"/>
        </w:sectPr>
      </w:pPr>
    </w:p>
    <w:p>
      <w:pPr>
        <w:pStyle w:val="BodyText"/>
        <w:spacing w:before="52" w:line="343" w:lineRule="auto"/>
        <w:ind w:right="335"/>
        <w:jc w:val="both"/>
      </w:pPr>
      <w:r>
        <w:pict>
          <v:shape id="_x0000_s1038" type="#_x0000_t202" style="width:309.3pt;height:8.9pt;margin-top:141.27pt;margin-left:157.8pt;mso-position-horizontal-relative:page;position:absolute;z-index:-251655168" filled="f" stroked="f">
            <v:textbox inset="0,0,0,0">
              <w:txbxContent>
                <w:p>
                  <w:pPr>
                    <w:tabs>
                      <w:tab w:val="left" w:pos="6105"/>
                    </w:tabs>
                    <w:spacing w:before="0" w:line="177" w:lineRule="exact"/>
                    <w:ind w:left="0" w:right="0" w:firstLine="0"/>
                    <w:jc w:val="left"/>
                    <w:rPr>
                      <w:rFonts w:ascii="Times New Roman"/>
                      <w:sz w:val="16"/>
                    </w:rPr>
                  </w:pPr>
                  <w:r>
                    <w:rPr>
                      <w:rFonts w:ascii="Times New Roman"/>
                      <w:spacing w:val="-10"/>
                      <w:sz w:val="16"/>
                    </w:rPr>
                    <w:t>4</w:t>
                  </w:r>
                  <w:r>
                    <w:rPr>
                      <w:rFonts w:ascii="Times New Roman"/>
                      <w:sz w:val="16"/>
                    </w:rPr>
                    <w:tab/>
                  </w:r>
                  <w:r>
                    <w:rPr>
                      <w:rFonts w:ascii="Times New Roman"/>
                      <w:spacing w:val="-10"/>
                      <w:sz w:val="16"/>
                    </w:rPr>
                    <w:t>4</w:t>
                  </w:r>
                </w:p>
              </w:txbxContent>
            </v:textbox>
          </v:shape>
        </w:pict>
      </w:r>
      <w:r>
        <w:t>有</w:t>
      </w:r>
      <w:r>
        <w:t>机</w:t>
      </w:r>
      <w:r>
        <w:t>合</w:t>
      </w:r>
      <w:r>
        <w:t>成</w:t>
      </w:r>
      <w:r>
        <w:t>中</w:t>
      </w:r>
      <w:r>
        <w:t>的</w:t>
      </w:r>
      <w:r>
        <w:rPr>
          <w:position w:val="-2"/>
        </w:rPr>
        <w:drawing>
          <wp:inline distT="0" distB="0" distL="0" distR="0">
            <wp:extent cx="142875" cy="14287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t>化</w:t>
      </w:r>
      <w:r>
        <w:t>剂</w:t>
      </w:r>
      <w:r>
        <w:t>和</w:t>
      </w:r>
      <w:r>
        <w:t>反</w:t>
      </w:r>
      <w:r>
        <w:t>映</w:t>
      </w:r>
      <w:r>
        <w:t>介</w:t>
      </w:r>
      <w:r>
        <w:t>质</w:t>
      </w:r>
      <w:r>
        <w:t>。</w:t>
      </w:r>
      <w:r>
        <w:rPr>
          <w:rFonts w:ascii="Times New Roman" w:eastAsia="Times New Roman"/>
        </w:rPr>
        <w:t>Sedden</w:t>
      </w:r>
      <w:r>
        <w:rPr>
          <w:rFonts w:ascii="Times New Roman" w:eastAsia="Times New Roman"/>
          <w:spacing w:val="-15"/>
        </w:rPr>
        <w:t xml:space="preserve"> </w:t>
      </w:r>
      <w:r>
        <w:t>和</w:t>
      </w:r>
      <w:r>
        <w:rPr>
          <w:spacing w:val="-30"/>
        </w:rPr>
        <w:t xml:space="preserve"> </w:t>
      </w:r>
      <w:r>
        <w:rPr>
          <w:rFonts w:ascii="Times New Roman" w:eastAsia="Times New Roman"/>
        </w:rPr>
        <w:t>Hussey</w:t>
      </w:r>
      <w:r>
        <w:rPr>
          <w:rFonts w:ascii="Times New Roman" w:eastAsia="Times New Roman"/>
          <w:spacing w:val="-15"/>
        </w:rPr>
        <w:t xml:space="preserve"> </w:t>
      </w:r>
      <w:r>
        <w:t>等</w:t>
      </w:r>
      <w:r>
        <w:t>第</w:t>
      </w:r>
      <w:r>
        <w:t>一</w:t>
      </w:r>
      <w:r>
        <w:t>次</w:t>
      </w:r>
      <w:r>
        <w:t>报</w:t>
      </w:r>
      <w:r>
        <w:t>导</w:t>
      </w:r>
      <w:r>
        <w:t>用</w:t>
      </w:r>
      <w:r>
        <w:t>氯</w:t>
      </w:r>
      <w:r>
        <w:t>铝</w:t>
      </w:r>
      <w:r>
        <w:t>酸</w:t>
      </w:r>
      <w:r>
        <w:t>盐</w:t>
      </w:r>
      <w:r>
        <w:rPr>
          <w:spacing w:val="-30"/>
        </w:rPr>
        <w:t xml:space="preserve"> </w:t>
      </w:r>
      <w:r>
        <w:rPr>
          <w:rFonts w:ascii="Times New Roman" w:eastAsia="Times New Roman"/>
        </w:rPr>
        <w:t>ILs</w:t>
      </w:r>
      <w:r>
        <w:rPr>
          <w:rFonts w:ascii="Times New Roman" w:eastAsia="Times New Roman"/>
          <w:spacing w:val="-15"/>
        </w:rPr>
        <w:t xml:space="preserve"> </w:t>
      </w:r>
      <w:r>
        <w:t>作</w:t>
      </w:r>
      <w:r>
        <w:rPr>
          <w:spacing w:val="-4"/>
        </w:rPr>
        <w:t>为</w:t>
      </w:r>
      <w:r>
        <w:rPr>
          <w:spacing w:val="-4"/>
        </w:rPr>
        <w:t>非</w:t>
      </w:r>
      <w:r>
        <w:rPr>
          <w:spacing w:val="-4"/>
        </w:rPr>
        <w:t>水</w:t>
      </w:r>
      <w:r>
        <w:rPr>
          <w:spacing w:val="-4"/>
        </w:rPr>
        <w:t>的</w:t>
      </w:r>
      <w:r>
        <w:rPr>
          <w:spacing w:val="-4"/>
        </w:rPr>
        <w:t>极</w:t>
      </w:r>
      <w:r>
        <w:rPr>
          <w:spacing w:val="-4"/>
        </w:rPr>
        <w:t>性</w:t>
      </w:r>
      <w:r>
        <w:rPr>
          <w:spacing w:val="-4"/>
        </w:rPr>
        <w:t>溶</w:t>
      </w:r>
      <w:r>
        <w:rPr>
          <w:spacing w:val="-4"/>
        </w:rPr>
        <w:t>剂</w:t>
      </w:r>
      <w:r>
        <w:rPr>
          <w:spacing w:val="-4"/>
        </w:rPr>
        <w:t>介</w:t>
      </w:r>
      <w:r>
        <w:rPr>
          <w:spacing w:val="-4"/>
        </w:rPr>
        <w:t>质</w:t>
      </w:r>
      <w:r>
        <w:rPr>
          <w:spacing w:val="-4"/>
        </w:rPr>
        <w:t>，</w:t>
      </w:r>
      <w:r>
        <w:rPr>
          <w:spacing w:val="-4"/>
        </w:rPr>
        <w:t>考</w:t>
      </w:r>
      <w:r>
        <w:rPr>
          <w:spacing w:val="-4"/>
        </w:rPr>
        <w:t>察</w:t>
      </w:r>
      <w:r>
        <w:rPr>
          <w:spacing w:val="-4"/>
        </w:rPr>
        <w:t>了</w:t>
      </w:r>
      <w:r>
        <w:rPr>
          <w:spacing w:val="-4"/>
        </w:rPr>
        <w:t>不</w:t>
      </w:r>
      <w:r>
        <w:rPr>
          <w:spacing w:val="-4"/>
        </w:rPr>
        <w:t>同</w:t>
      </w:r>
      <w:r>
        <w:rPr>
          <w:spacing w:val="-4"/>
        </w:rPr>
        <w:t>过</w:t>
      </w:r>
      <w:r>
        <w:rPr>
          <w:spacing w:val="-4"/>
        </w:rPr>
        <w:t>渡</w:t>
      </w:r>
      <w:r>
        <w:rPr>
          <w:spacing w:val="-4"/>
        </w:rPr>
        <w:t>金</w:t>
      </w:r>
      <w:r>
        <w:rPr>
          <w:spacing w:val="-4"/>
        </w:rPr>
        <w:t>属</w:t>
      </w:r>
      <w:r>
        <w:rPr>
          <w:spacing w:val="-4"/>
        </w:rPr>
        <w:t>络</w:t>
      </w:r>
      <w:r>
        <w:rPr>
          <w:spacing w:val="-4"/>
        </w:rPr>
        <w:t>合</w:t>
      </w:r>
      <w:r>
        <w:rPr>
          <w:spacing w:val="-4"/>
        </w:rPr>
        <w:t>物</w:t>
      </w:r>
      <w:r>
        <w:rPr>
          <w:spacing w:val="-4"/>
        </w:rPr>
        <w:t>的</w:t>
      </w:r>
      <w:r>
        <w:rPr>
          <w:spacing w:val="-4"/>
        </w:rPr>
        <w:t>合</w:t>
      </w:r>
      <w:r>
        <w:rPr>
          <w:spacing w:val="-4"/>
        </w:rPr>
        <w:t>成</w:t>
      </w:r>
      <w:r>
        <w:rPr>
          <w:spacing w:val="-4"/>
        </w:rPr>
        <w:t>和</w:t>
      </w:r>
      <w:r>
        <w:rPr>
          <w:spacing w:val="-4"/>
        </w:rPr>
        <w:t>有</w:t>
      </w:r>
      <w:r>
        <w:rPr>
          <w:spacing w:val="-4"/>
        </w:rPr>
        <w:t>机</w:t>
      </w:r>
      <w:r>
        <w:rPr>
          <w:position w:val="-2"/>
        </w:rPr>
        <w:drawing>
          <wp:inline distT="0" distB="0" distL="0" distR="0">
            <wp:extent cx="142875" cy="142875"/>
            <wp:effectExtent l="0" t="0" r="0" b="0"/>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4"/>
        </w:rPr>
        <w:t>化</w:t>
      </w:r>
      <w:r>
        <w:rPr>
          <w:spacing w:val="-4"/>
        </w:rPr>
        <w:t>反</w:t>
      </w:r>
      <w:r>
        <w:rPr>
          <w:spacing w:val="-4"/>
        </w:rPr>
        <w:t>映</w:t>
      </w:r>
      <w:r>
        <w:rPr>
          <w:spacing w:val="-4"/>
        </w:rPr>
        <w:t>，</w:t>
      </w:r>
      <w:r>
        <w:rPr>
          <w:spacing w:val="-4"/>
        </w:rPr>
        <w:t>以</w:t>
      </w:r>
      <w:r>
        <w:rPr>
          <w:spacing w:val="-4"/>
        </w:rPr>
        <w:t>及</w:t>
      </w:r>
      <w:r>
        <w:rPr>
          <w:spacing w:val="-4"/>
        </w:rPr>
        <w:t>在</w:t>
      </w:r>
      <w:r>
        <w:rPr>
          <w:spacing w:val="-4"/>
        </w:rPr>
        <w:t xml:space="preserve"> </w:t>
      </w:r>
      <w:r>
        <w:rPr>
          <w:rFonts w:ascii="Times New Roman" w:eastAsia="Times New Roman"/>
        </w:rPr>
        <w:t>ILs</w:t>
      </w:r>
      <w:r>
        <w:rPr>
          <w:rFonts w:ascii="Times New Roman" w:eastAsia="Times New Roman"/>
          <w:spacing w:val="-15"/>
        </w:rPr>
        <w:t xml:space="preserve"> </w:t>
      </w:r>
      <w:r>
        <w:rPr>
          <w:spacing w:val="-2"/>
        </w:rPr>
        <w:t xml:space="preserve">中的电化学行为、谱学性质以及化学反映等等，这些都为 </w:t>
      </w:r>
      <w:r>
        <w:rPr>
          <w:rFonts w:ascii="Times New Roman" w:eastAsia="Times New Roman"/>
        </w:rPr>
        <w:t>ILs</w:t>
      </w:r>
      <w:r>
        <w:rPr>
          <w:rFonts w:ascii="Times New Roman" w:eastAsia="Times New Roman"/>
          <w:spacing w:val="-2"/>
        </w:rPr>
        <w:t xml:space="preserve"> </w:t>
      </w:r>
      <w:r>
        <w:t>在电化学、有机合</w:t>
      </w:r>
      <w:r>
        <w:rPr>
          <w:spacing w:val="-6"/>
        </w:rPr>
        <w:t>成</w:t>
      </w:r>
      <w:r>
        <w:rPr>
          <w:spacing w:val="-6"/>
        </w:rPr>
        <w:t>、工业</w:t>
      </w:r>
      <w:r>
        <w:rPr>
          <w:position w:val="-2"/>
        </w:rPr>
        <w:drawing>
          <wp:inline distT="0" distB="0" distL="0" distR="0">
            <wp:extent cx="142875" cy="142875"/>
            <wp:effectExtent l="0" t="0" r="0" b="0"/>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6"/>
        </w:rPr>
        <w:t>化</w:t>
      </w:r>
      <w:r>
        <w:rPr>
          <w:spacing w:val="-6"/>
        </w:rPr>
        <w:t>等</w:t>
      </w:r>
      <w:r>
        <w:rPr>
          <w:spacing w:val="-6"/>
        </w:rPr>
        <w:t>方</w:t>
      </w:r>
      <w:r>
        <w:rPr>
          <w:spacing w:val="-6"/>
        </w:rPr>
        <w:t>面</w:t>
      </w:r>
      <w:r>
        <w:rPr>
          <w:spacing w:val="-6"/>
        </w:rPr>
        <w:t>的</w:t>
      </w:r>
      <w:r>
        <w:rPr>
          <w:spacing w:val="-6"/>
        </w:rPr>
        <w:t>应</w:t>
      </w:r>
      <w:r>
        <w:rPr>
          <w:spacing w:val="-6"/>
        </w:rPr>
        <w:t>用</w:t>
      </w:r>
      <w:r>
        <w:rPr>
          <w:spacing w:val="-6"/>
        </w:rPr>
        <w:t>奠</w:t>
      </w:r>
      <w:r>
        <w:rPr>
          <w:spacing w:val="-6"/>
        </w:rPr>
        <w:t>定</w:t>
      </w:r>
      <w:r>
        <w:rPr>
          <w:spacing w:val="-6"/>
        </w:rPr>
        <w:t>了</w:t>
      </w:r>
      <w:r>
        <w:rPr>
          <w:spacing w:val="-6"/>
        </w:rPr>
        <w:t>初</w:t>
      </w:r>
      <w:r>
        <w:rPr>
          <w:spacing w:val="-6"/>
        </w:rPr>
        <w:t>步</w:t>
      </w:r>
      <w:r>
        <w:rPr>
          <w:spacing w:val="-6"/>
        </w:rPr>
        <w:t>基</w:t>
      </w:r>
      <w:r>
        <w:rPr>
          <w:spacing w:val="-6"/>
        </w:rPr>
        <w:t>础</w:t>
      </w:r>
      <w:r>
        <w:rPr>
          <w:spacing w:val="-6"/>
        </w:rPr>
        <w:t>。</w:t>
      </w:r>
      <w:r>
        <w:rPr>
          <w:rFonts w:ascii="Times New Roman" w:eastAsia="Times New Roman"/>
          <w:spacing w:val="-6"/>
        </w:rPr>
        <w:t>20</w:t>
      </w:r>
      <w:r>
        <w:rPr>
          <w:rFonts w:ascii="Times New Roman" w:eastAsia="Times New Roman"/>
          <w:spacing w:val="-9"/>
        </w:rPr>
        <w:t xml:space="preserve"> </w:t>
      </w:r>
      <w:r>
        <w:rPr>
          <w:spacing w:val="-6"/>
        </w:rPr>
        <w:t>世</w:t>
      </w:r>
      <w:r>
        <w:rPr>
          <w:spacing w:val="-6"/>
        </w:rPr>
        <w:t>纪</w:t>
      </w:r>
      <w:r>
        <w:rPr>
          <w:spacing w:val="-24"/>
        </w:rPr>
        <w:t xml:space="preserve"> </w:t>
      </w:r>
      <w:r>
        <w:rPr>
          <w:rFonts w:ascii="Times New Roman" w:eastAsia="Times New Roman"/>
          <w:spacing w:val="-6"/>
        </w:rPr>
        <w:t>80</w:t>
      </w:r>
      <w:r>
        <w:rPr>
          <w:rFonts w:ascii="Times New Roman" w:eastAsia="Times New Roman"/>
          <w:spacing w:val="18"/>
        </w:rPr>
        <w:t xml:space="preserve"> </w:t>
      </w:r>
      <w:r>
        <w:rPr>
          <w:spacing w:val="-6"/>
        </w:rPr>
        <w:t>年</w:t>
      </w:r>
      <w:r>
        <w:rPr>
          <w:spacing w:val="-6"/>
        </w:rPr>
        <w:t>代</w:t>
      </w:r>
      <w:r>
        <w:rPr>
          <w:spacing w:val="-6"/>
        </w:rPr>
        <w:t>早</w:t>
      </w:r>
      <w:r>
        <w:rPr>
          <w:spacing w:val="-6"/>
        </w:rPr>
        <w:t>期</w:t>
      </w:r>
      <w:r>
        <w:rPr>
          <w:spacing w:val="-6"/>
        </w:rPr>
        <w:t>，</w:t>
      </w:r>
      <w:r>
        <w:rPr>
          <w:rFonts w:ascii="Times New Roman" w:eastAsia="Times New Roman"/>
          <w:spacing w:val="-6"/>
        </w:rPr>
        <w:t>Seddon</w:t>
      </w:r>
      <w:r>
        <w:rPr>
          <w:spacing w:val="-6"/>
        </w:rPr>
        <w:t>、</w:t>
      </w:r>
      <w:r>
        <w:rPr>
          <w:spacing w:val="-6"/>
        </w:rPr>
        <w:t>英</w:t>
      </w:r>
      <w:r>
        <w:rPr>
          <w:spacing w:val="-6"/>
        </w:rPr>
        <w:t>国</w:t>
      </w:r>
      <w:r>
        <w:rPr>
          <w:spacing w:val="-24"/>
        </w:rPr>
        <w:t xml:space="preserve"> </w:t>
      </w:r>
      <w:r>
        <w:rPr>
          <w:rFonts w:ascii="Times New Roman" w:eastAsia="Times New Roman"/>
          <w:spacing w:val="-6"/>
        </w:rPr>
        <w:t>BP</w:t>
      </w:r>
      <w:r>
        <w:rPr>
          <w:spacing w:val="-2"/>
        </w:rPr>
        <w:t>公</w:t>
      </w:r>
      <w:r>
        <w:rPr>
          <w:spacing w:val="-2"/>
        </w:rPr>
        <w:t>司</w:t>
      </w:r>
      <w:r>
        <w:rPr>
          <w:spacing w:val="-2"/>
        </w:rPr>
        <w:t>和</w:t>
      </w:r>
      <w:r>
        <w:rPr>
          <w:spacing w:val="-2"/>
        </w:rPr>
        <w:t>法</w:t>
      </w:r>
      <w:r>
        <w:rPr>
          <w:spacing w:val="-2"/>
        </w:rPr>
        <w:t>国</w:t>
      </w:r>
      <w:r>
        <w:rPr>
          <w:spacing w:val="-28"/>
        </w:rPr>
        <w:t xml:space="preserve"> </w:t>
      </w:r>
      <w:r>
        <w:rPr>
          <w:rFonts w:ascii="Times New Roman" w:eastAsia="Times New Roman"/>
          <w:spacing w:val="-2"/>
        </w:rPr>
        <w:t>FIP</w:t>
      </w:r>
      <w:r>
        <w:rPr>
          <w:rFonts w:ascii="Times New Roman" w:eastAsia="Times New Roman"/>
          <w:spacing w:val="-13"/>
        </w:rPr>
        <w:t xml:space="preserve"> </w:t>
      </w:r>
      <w:r>
        <w:rPr>
          <w:spacing w:val="-2"/>
        </w:rPr>
        <w:t>等</w:t>
      </w:r>
      <w:r>
        <w:rPr>
          <w:spacing w:val="-2"/>
        </w:rPr>
        <w:t>较</w:t>
      </w:r>
      <w:r>
        <w:rPr>
          <w:spacing w:val="-2"/>
        </w:rPr>
        <w:t>系</w:t>
      </w:r>
      <w:r>
        <w:rPr>
          <w:spacing w:val="-2"/>
        </w:rPr>
        <w:t>统</w:t>
      </w:r>
      <w:r>
        <w:rPr>
          <w:spacing w:val="-2"/>
        </w:rPr>
        <w:t>地</w:t>
      </w:r>
      <w:r>
        <w:rPr>
          <w:spacing w:val="-2"/>
        </w:rPr>
        <w:t>探</w:t>
      </w:r>
      <w:r>
        <w:rPr>
          <w:spacing w:val="-2"/>
        </w:rPr>
        <w:t>索</w:t>
      </w:r>
      <w:r>
        <w:rPr>
          <w:spacing w:val="-2"/>
        </w:rPr>
        <w:t>了</w:t>
      </w:r>
      <w:r>
        <w:rPr>
          <w:spacing w:val="-28"/>
        </w:rPr>
        <w:t xml:space="preserve"> </w:t>
      </w:r>
      <w:r>
        <w:rPr>
          <w:rFonts w:ascii="Times New Roman" w:eastAsia="Times New Roman"/>
          <w:spacing w:val="-2"/>
        </w:rPr>
        <w:t>ILs</w:t>
      </w:r>
      <w:r>
        <w:rPr>
          <w:rFonts w:ascii="Times New Roman" w:eastAsia="Times New Roman"/>
          <w:spacing w:val="-13"/>
        </w:rPr>
        <w:t xml:space="preserve"> </w:t>
      </w:r>
      <w:r>
        <w:rPr>
          <w:spacing w:val="-2"/>
        </w:rPr>
        <w:t>作</w:t>
      </w:r>
      <w:r>
        <w:rPr>
          <w:spacing w:val="-2"/>
        </w:rPr>
        <w:t>为</w:t>
      </w:r>
      <w:r>
        <w:rPr>
          <w:spacing w:val="-2"/>
        </w:rPr>
        <w:t>溶</w:t>
      </w:r>
      <w:r>
        <w:rPr>
          <w:spacing w:val="-2"/>
        </w:rPr>
        <w:t>剂</w:t>
      </w:r>
      <w:r>
        <w:rPr>
          <w:spacing w:val="-2"/>
        </w:rPr>
        <w:t>和</w:t>
      </w:r>
      <w:r>
        <w:rPr>
          <w:position w:val="-2"/>
        </w:rPr>
        <w:drawing>
          <wp:inline distT="0" distB="0" distL="0" distR="0">
            <wp:extent cx="142875" cy="142875"/>
            <wp:effectExtent l="0" t="0" r="0" b="0"/>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2"/>
        </w:rPr>
        <w:t>化</w:t>
      </w:r>
      <w:r>
        <w:rPr>
          <w:spacing w:val="-2"/>
        </w:rPr>
        <w:t>剂</w:t>
      </w:r>
      <w:r>
        <w:rPr>
          <w:spacing w:val="-2"/>
        </w:rPr>
        <w:t>的</w:t>
      </w:r>
      <w:r>
        <w:rPr>
          <w:spacing w:val="-2"/>
        </w:rPr>
        <w:t>可</w:t>
      </w:r>
      <w:r>
        <w:rPr>
          <w:spacing w:val="-2"/>
        </w:rPr>
        <w:t>能</w:t>
      </w:r>
      <w:r>
        <w:rPr>
          <w:spacing w:val="-2"/>
        </w:rPr>
        <w:t>性</w:t>
      </w:r>
      <w:r>
        <w:rPr>
          <w:spacing w:val="-2"/>
        </w:rPr>
        <w:t>。</w:t>
      </w:r>
      <w:r>
        <w:rPr>
          <w:rFonts w:ascii="Times New Roman" w:eastAsia="Times New Roman"/>
          <w:spacing w:val="-2"/>
        </w:rPr>
        <w:t>1992</w:t>
      </w:r>
      <w:r>
        <w:rPr>
          <w:rFonts w:ascii="Times New Roman" w:eastAsia="Times New Roman"/>
          <w:spacing w:val="-13"/>
        </w:rPr>
        <w:t xml:space="preserve"> </w:t>
      </w:r>
      <w:r>
        <w:rPr>
          <w:spacing w:val="-2"/>
        </w:rPr>
        <w:t>年，</w:t>
      </w:r>
      <w:r>
        <w:rPr>
          <w:rFonts w:ascii="Times New Roman" w:eastAsia="Times New Roman"/>
          <w:spacing w:val="-2"/>
        </w:rPr>
        <w:t>Wilkes</w:t>
      </w:r>
      <w:r>
        <w:rPr>
          <w:spacing w:val="-8"/>
        </w:rPr>
        <w:t xml:space="preserve">等人在 </w:t>
      </w:r>
      <w:r>
        <w:rPr>
          <w:rFonts w:ascii="Times New Roman" w:eastAsia="Times New Roman"/>
        </w:rPr>
        <w:t>1</w:t>
      </w:r>
      <w:r>
        <w:t>，</w:t>
      </w:r>
      <w:r>
        <w:rPr>
          <w:rFonts w:ascii="Times New Roman" w:eastAsia="Times New Roman"/>
        </w:rPr>
        <w:t>3-</w:t>
      </w:r>
      <w:r>
        <w:rPr>
          <w:spacing w:val="-4"/>
        </w:rPr>
        <w:t xml:space="preserve">二烷基咪唑盐类 </w:t>
      </w:r>
      <w:r>
        <w:rPr>
          <w:rFonts w:ascii="Times New Roman" w:eastAsia="Times New Roman"/>
        </w:rPr>
        <w:t>ILs</w:t>
      </w:r>
      <w:r>
        <w:rPr>
          <w:rFonts w:ascii="Times New Roman" w:eastAsia="Times New Roman"/>
          <w:spacing w:val="-15"/>
        </w:rPr>
        <w:t xml:space="preserve"> </w:t>
      </w:r>
      <w:r>
        <w:rPr>
          <w:spacing w:val="-3"/>
        </w:rPr>
        <w:t xml:space="preserve">合成的基础上，把该 </w:t>
      </w:r>
      <w:r>
        <w:rPr>
          <w:rFonts w:ascii="Times New Roman" w:eastAsia="Times New Roman"/>
        </w:rPr>
        <w:t>ILs</w:t>
      </w:r>
      <w:r>
        <w:rPr>
          <w:rFonts w:ascii="Times New Roman" w:eastAsia="Times New Roman"/>
          <w:spacing w:val="-15"/>
        </w:rPr>
        <w:t xml:space="preserve"> </w:t>
      </w:r>
      <w:r>
        <w:t>中对水和空气敏感的铝酸</w:t>
      </w:r>
      <w:r>
        <w:rPr>
          <w:spacing w:val="14"/>
        </w:rPr>
        <w:t xml:space="preserve">根置换成 </w:t>
      </w:r>
      <w:r>
        <w:rPr>
          <w:rFonts w:ascii="Times New Roman" w:eastAsia="Times New Roman"/>
        </w:rPr>
        <w:t>BF</w:t>
      </w:r>
      <w:r>
        <w:rPr>
          <w:rFonts w:ascii="Times New Roman" w:eastAsia="Times New Roman"/>
          <w:spacing w:val="-15"/>
        </w:rPr>
        <w:t xml:space="preserve"> </w:t>
      </w:r>
      <w:r>
        <w:rPr>
          <w:rFonts w:ascii="Times New Roman" w:eastAsia="Times New Roman"/>
          <w:position w:val="7"/>
          <w:sz w:val="16"/>
        </w:rPr>
        <w:t>-</w:t>
      </w:r>
      <w:r>
        <w:rPr>
          <w:spacing w:val="19"/>
        </w:rPr>
        <w:t xml:space="preserve">， 合成了第一种对水和空气都稳定的 </w:t>
      </w:r>
      <w:r>
        <w:rPr>
          <w:rFonts w:ascii="Times New Roman" w:eastAsia="Times New Roman"/>
        </w:rPr>
        <w:t>ILs[EMIM][BF</w:t>
      </w:r>
      <w:r>
        <w:rPr>
          <w:rFonts w:ascii="Times New Roman" w:eastAsia="Times New Roman"/>
          <w:spacing w:val="-8"/>
        </w:rPr>
        <w:t xml:space="preserve"> ]</w:t>
      </w:r>
      <w:r>
        <w:rPr>
          <w:spacing w:val="26"/>
        </w:rPr>
        <w:t>。此后，</w:t>
      </w:r>
      <w:r>
        <w:t xml:space="preserve"> </w:t>
      </w:r>
      <w:r>
        <w:rPr>
          <w:rFonts w:ascii="Times New Roman" w:eastAsia="Times New Roman"/>
        </w:rPr>
        <w:t>[EMIM][PF</w:t>
      </w:r>
      <w:r>
        <w:rPr>
          <w:rFonts w:ascii="Times New Roman" w:eastAsia="Times New Roman"/>
          <w:vertAlign w:val="subscript"/>
        </w:rPr>
        <w:t>6</w:t>
      </w:r>
      <w:r>
        <w:rPr>
          <w:rFonts w:ascii="Times New Roman" w:eastAsia="Times New Roman"/>
          <w:vertAlign w:val="baseline"/>
        </w:rPr>
        <w:t>]</w:t>
      </w:r>
      <w:r>
        <w:rPr>
          <w:spacing w:val="-3"/>
          <w:vertAlign w:val="baseline"/>
        </w:rPr>
        <w:t xml:space="preserve">也相继问世了。这种类型的 </w:t>
      </w:r>
      <w:r>
        <w:rPr>
          <w:rFonts w:ascii="Times New Roman" w:eastAsia="Times New Roman"/>
          <w:vertAlign w:val="baseline"/>
        </w:rPr>
        <w:t>ILs</w:t>
      </w:r>
      <w:r>
        <w:rPr>
          <w:rFonts w:ascii="Times New Roman" w:eastAsia="Times New Roman"/>
          <w:spacing w:val="3"/>
          <w:vertAlign w:val="baseline"/>
        </w:rPr>
        <w:t xml:space="preserve"> </w:t>
      </w:r>
      <w:r>
        <w:rPr>
          <w:vertAlign w:val="baseline"/>
        </w:rPr>
        <w:t>含有对水和空气都稳定的特性，非常合</w:t>
      </w:r>
      <w:r>
        <w:rPr>
          <w:spacing w:val="-2"/>
          <w:vertAlign w:val="baseline"/>
        </w:rPr>
        <w:t>用</w:t>
      </w:r>
      <w:r>
        <w:rPr>
          <w:spacing w:val="-2"/>
          <w:vertAlign w:val="baseline"/>
        </w:rPr>
        <w:t>于</w:t>
      </w:r>
      <w:r>
        <w:rPr>
          <w:spacing w:val="-2"/>
          <w:vertAlign w:val="baseline"/>
        </w:rPr>
        <w:t>萃</w:t>
      </w:r>
      <w:r>
        <w:rPr>
          <w:spacing w:val="-2"/>
          <w:vertAlign w:val="baseline"/>
        </w:rPr>
        <w:t>取</w:t>
      </w:r>
      <w:r>
        <w:rPr>
          <w:spacing w:val="-2"/>
          <w:vertAlign w:val="baseline"/>
        </w:rPr>
        <w:t>操</w:t>
      </w:r>
      <w:r>
        <w:rPr>
          <w:spacing w:val="-2"/>
          <w:vertAlign w:val="baseline"/>
        </w:rPr>
        <w:t>作</w:t>
      </w:r>
      <w:r>
        <w:rPr>
          <w:spacing w:val="-2"/>
          <w:vertAlign w:val="baseline"/>
        </w:rPr>
        <w:t>和</w:t>
      </w:r>
      <w:r>
        <w:rPr>
          <w:spacing w:val="-2"/>
          <w:vertAlign w:val="baseline"/>
        </w:rPr>
        <w:t>作</w:t>
      </w:r>
      <w:r>
        <w:rPr>
          <w:spacing w:val="-2"/>
          <w:vertAlign w:val="baseline"/>
        </w:rPr>
        <w:t>为</w:t>
      </w:r>
      <w:r>
        <w:rPr>
          <w:spacing w:val="-2"/>
          <w:vertAlign w:val="baseline"/>
        </w:rPr>
        <w:t>均</w:t>
      </w:r>
      <w:r>
        <w:rPr>
          <w:spacing w:val="-2"/>
          <w:vertAlign w:val="baseline"/>
        </w:rPr>
        <w:t>相</w:t>
      </w:r>
      <w:r>
        <w:rPr>
          <w:spacing w:val="-2"/>
          <w:vertAlign w:val="baseline"/>
        </w:rPr>
        <w:t>过</w:t>
      </w:r>
      <w:r>
        <w:rPr>
          <w:spacing w:val="-2"/>
          <w:vertAlign w:val="baseline"/>
        </w:rPr>
        <w:t>渡</w:t>
      </w:r>
      <w:r>
        <w:rPr>
          <w:spacing w:val="-2"/>
          <w:vertAlign w:val="baseline"/>
        </w:rPr>
        <w:t>金</w:t>
      </w:r>
      <w:r>
        <w:rPr>
          <w:spacing w:val="-2"/>
          <w:vertAlign w:val="baseline"/>
        </w:rPr>
        <w:t>属</w:t>
      </w:r>
      <w:r>
        <w:rPr>
          <w:position w:val="-2"/>
          <w:vertAlign w:val="baseline"/>
        </w:rPr>
        <w:drawing>
          <wp:inline distT="0" distB="0" distL="0" distR="0">
            <wp:extent cx="142875" cy="142875"/>
            <wp:effectExtent l="0" t="0" r="0" b="0"/>
            <wp:docPr id="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2"/>
          <w:vertAlign w:val="baseline"/>
        </w:rPr>
        <w:t>化</w:t>
      </w:r>
      <w:r>
        <w:rPr>
          <w:spacing w:val="-2"/>
          <w:vertAlign w:val="baseline"/>
        </w:rPr>
        <w:t>反</w:t>
      </w:r>
      <w:r>
        <w:rPr>
          <w:spacing w:val="-2"/>
          <w:vertAlign w:val="baseline"/>
        </w:rPr>
        <w:t>映</w:t>
      </w:r>
      <w:r>
        <w:rPr>
          <w:spacing w:val="-2"/>
          <w:vertAlign w:val="baseline"/>
        </w:rPr>
        <w:t>的</w:t>
      </w:r>
      <w:r>
        <w:rPr>
          <w:spacing w:val="-2"/>
          <w:vertAlign w:val="baseline"/>
        </w:rPr>
        <w:t>介</w:t>
      </w:r>
      <w:r>
        <w:rPr>
          <w:spacing w:val="-2"/>
          <w:vertAlign w:val="baseline"/>
        </w:rPr>
        <w:t>质</w:t>
      </w:r>
      <w:r>
        <w:rPr>
          <w:spacing w:val="-2"/>
          <w:vertAlign w:val="baseline"/>
        </w:rPr>
        <w:t>。</w:t>
      </w:r>
      <w:r>
        <w:rPr>
          <w:rFonts w:ascii="Times New Roman" w:eastAsia="Times New Roman"/>
          <w:spacing w:val="-2"/>
          <w:vertAlign w:val="baseline"/>
        </w:rPr>
        <w:t>Wilkes</w:t>
      </w:r>
      <w:r>
        <w:rPr>
          <w:rFonts w:ascii="Times New Roman" w:eastAsia="Times New Roman"/>
          <w:spacing w:val="17"/>
          <w:vertAlign w:val="baseline"/>
        </w:rPr>
        <w:t xml:space="preserve"> </w:t>
      </w:r>
      <w:r>
        <w:rPr>
          <w:spacing w:val="-2"/>
          <w:vertAlign w:val="baseline"/>
        </w:rPr>
        <w:t>等</w:t>
      </w:r>
      <w:r>
        <w:rPr>
          <w:spacing w:val="-2"/>
          <w:vertAlign w:val="baseline"/>
        </w:rPr>
        <w:t>人</w:t>
      </w:r>
      <w:r>
        <w:rPr>
          <w:spacing w:val="-2"/>
          <w:vertAlign w:val="baseline"/>
        </w:rPr>
        <w:t>的</w:t>
      </w:r>
      <w:r>
        <w:rPr>
          <w:spacing w:val="-2"/>
          <w:vertAlign w:val="baseline"/>
        </w:rPr>
        <w:t>探</w:t>
      </w:r>
      <w:r>
        <w:rPr>
          <w:spacing w:val="-2"/>
          <w:vertAlign w:val="baseline"/>
        </w:rPr>
        <w:t>索</w:t>
      </w:r>
      <w:r>
        <w:rPr>
          <w:spacing w:val="-2"/>
          <w:vertAlign w:val="baseline"/>
        </w:rPr>
        <w:t>性</w:t>
      </w:r>
      <w:r>
        <w:rPr>
          <w:spacing w:val="-2"/>
          <w:vertAlign w:val="baseline"/>
        </w:rPr>
        <w:t>研</w:t>
      </w:r>
      <w:r>
        <w:rPr>
          <w:spacing w:val="-2"/>
          <w:vertAlign w:val="baseline"/>
        </w:rPr>
        <w:t>究</w:t>
      </w:r>
      <w:r>
        <w:rPr>
          <w:spacing w:val="-2"/>
          <w:vertAlign w:val="baseline"/>
        </w:rPr>
        <w:t>使</w:t>
      </w:r>
      <w:r>
        <w:rPr>
          <w:spacing w:val="-28"/>
          <w:vertAlign w:val="baseline"/>
        </w:rPr>
        <w:t xml:space="preserve"> </w:t>
      </w:r>
      <w:r>
        <w:rPr>
          <w:rFonts w:ascii="Times New Roman" w:eastAsia="Times New Roman"/>
          <w:spacing w:val="-2"/>
          <w:vertAlign w:val="baseline"/>
        </w:rPr>
        <w:t>ILs</w:t>
      </w:r>
      <w:r>
        <w:rPr>
          <w:vertAlign w:val="baseline"/>
        </w:rPr>
        <w:t>得到了快速的发展，其种类和数量急剧增加。现在，</w:t>
      </w:r>
      <w:r>
        <w:rPr>
          <w:rFonts w:ascii="Times New Roman" w:eastAsia="Times New Roman"/>
          <w:vertAlign w:val="baseline"/>
        </w:rPr>
        <w:t>ILs</w:t>
      </w:r>
      <w:r>
        <w:rPr>
          <w:rFonts w:ascii="Times New Roman" w:eastAsia="Times New Roman"/>
          <w:spacing w:val="-15"/>
          <w:vertAlign w:val="baseline"/>
        </w:rPr>
        <w:t xml:space="preserve"> </w:t>
      </w:r>
      <w:r>
        <w:rPr>
          <w:vertAlign w:val="baseline"/>
        </w:rPr>
        <w:t>潜在的研究价值已经得到了</w:t>
      </w:r>
      <w:r>
        <w:rPr>
          <w:spacing w:val="-9"/>
          <w:vertAlign w:val="baseline"/>
        </w:rPr>
        <w:t xml:space="preserve">国内外学者的广泛承认，新型 </w:t>
      </w:r>
      <w:r>
        <w:rPr>
          <w:rFonts w:ascii="Times New Roman" w:eastAsia="Times New Roman"/>
          <w:spacing w:val="-2"/>
          <w:vertAlign w:val="baseline"/>
        </w:rPr>
        <w:t>ILs</w:t>
      </w:r>
      <w:r>
        <w:rPr>
          <w:rFonts w:ascii="Times New Roman" w:eastAsia="Times New Roman"/>
          <w:spacing w:val="8"/>
          <w:vertAlign w:val="baseline"/>
        </w:rPr>
        <w:t xml:space="preserve"> </w:t>
      </w:r>
      <w:r>
        <w:rPr>
          <w:spacing w:val="-2"/>
          <w:vertAlign w:val="baseline"/>
        </w:rPr>
        <w:t>的合成及其物化性质等方面的研究工作也在世界范</w:t>
      </w:r>
      <w:r>
        <w:rPr>
          <w:spacing w:val="-2"/>
          <w:vertAlign w:val="baseline"/>
        </w:rPr>
        <w:t>畴内快速开展。</w:t>
      </w:r>
    </w:p>
    <w:p>
      <w:pPr>
        <w:pStyle w:val="BodyText"/>
        <w:spacing w:before="3" w:line="343" w:lineRule="auto"/>
        <w:ind w:right="335" w:firstLine="360"/>
        <w:jc w:val="both"/>
      </w:pPr>
      <w:r>
        <w:rPr>
          <w:spacing w:val="-2"/>
        </w:rPr>
        <w:t>特</w:t>
      </w:r>
      <w:r>
        <w:rPr>
          <w:spacing w:val="-2"/>
        </w:rPr>
        <w:t>别</w:t>
      </w:r>
      <w:r>
        <w:rPr>
          <w:spacing w:val="-2"/>
        </w:rPr>
        <w:t>是</w:t>
      </w:r>
      <w:r>
        <w:rPr>
          <w:spacing w:val="-2"/>
        </w:rPr>
        <w:t>近</w:t>
      </w:r>
      <w:r>
        <w:rPr>
          <w:spacing w:val="-2"/>
        </w:rPr>
        <w:t>几</w:t>
      </w:r>
      <w:r>
        <w:rPr>
          <w:spacing w:val="-2"/>
        </w:rPr>
        <w:t>年</w:t>
      </w:r>
      <w:r>
        <w:rPr>
          <w:spacing w:val="-2"/>
        </w:rPr>
        <w:t>来</w:t>
      </w:r>
      <w:r>
        <w:rPr>
          <w:spacing w:val="-2"/>
        </w:rPr>
        <w:t>，</w:t>
      </w:r>
      <w:r>
        <w:rPr>
          <w:rFonts w:ascii="Times New Roman" w:eastAsia="Times New Roman"/>
          <w:spacing w:val="-2"/>
        </w:rPr>
        <w:t xml:space="preserve">ILs </w:t>
      </w:r>
      <w:r>
        <w:rPr>
          <w:spacing w:val="-2"/>
        </w:rPr>
        <w:t>作</w:t>
      </w:r>
      <w:r>
        <w:rPr>
          <w:spacing w:val="-2"/>
        </w:rPr>
        <w:t>为</w:t>
      </w:r>
      <w:r>
        <w:rPr>
          <w:spacing w:val="-2"/>
        </w:rPr>
        <w:t>一</w:t>
      </w:r>
      <w:r>
        <w:rPr>
          <w:spacing w:val="-2"/>
        </w:rPr>
        <w:t>种</w:t>
      </w:r>
      <w:r>
        <w:rPr>
          <w:spacing w:val="-2"/>
        </w:rPr>
        <w:t>绿</w:t>
      </w:r>
      <w:r>
        <w:rPr>
          <w:spacing w:val="-2"/>
        </w:rPr>
        <w:t>色</w:t>
      </w:r>
      <w:r>
        <w:rPr>
          <w:spacing w:val="-2"/>
        </w:rPr>
        <w:t>溶</w:t>
      </w:r>
      <w:r>
        <w:rPr>
          <w:spacing w:val="-2"/>
        </w:rPr>
        <w:t>剂</w:t>
      </w:r>
      <w:r>
        <w:rPr>
          <w:spacing w:val="-2"/>
        </w:rPr>
        <w:t>或</w:t>
      </w:r>
      <w:r>
        <w:rPr>
          <w:position w:val="-2"/>
        </w:rPr>
        <w:drawing>
          <wp:inline distT="0" distB="0" distL="0" distR="0">
            <wp:extent cx="142875" cy="142875"/>
            <wp:effectExtent l="0" t="0" r="0" b="0"/>
            <wp:docPr id="1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2"/>
        </w:rPr>
        <w:t>化</w:t>
      </w:r>
      <w:r>
        <w:rPr>
          <w:spacing w:val="-2"/>
        </w:rPr>
        <w:t>剂</w:t>
      </w:r>
      <w:r>
        <w:rPr>
          <w:spacing w:val="-57"/>
        </w:rPr>
        <w:t>，</w:t>
      </w:r>
      <w:r>
        <w:rPr>
          <w:spacing w:val="-2"/>
        </w:rPr>
        <w:t>在</w:t>
      </w:r>
      <w:r>
        <w:rPr>
          <w:position w:val="-2"/>
        </w:rPr>
        <w:drawing>
          <wp:inline distT="0" distB="0" distL="0" distR="0">
            <wp:extent cx="142875" cy="142875"/>
            <wp:effectExtent l="0" t="0" r="0" b="0"/>
            <wp:docPr id="1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2"/>
        </w:rPr>
        <w:t>化</w:t>
      </w:r>
      <w:r>
        <w:rPr>
          <w:spacing w:val="-2"/>
        </w:rPr>
        <w:t>和</w:t>
      </w:r>
      <w:r>
        <w:rPr>
          <w:spacing w:val="-2"/>
        </w:rPr>
        <w:t>有</w:t>
      </w:r>
      <w:r>
        <w:rPr>
          <w:spacing w:val="-2"/>
        </w:rPr>
        <w:t>机</w:t>
      </w:r>
      <w:r>
        <w:rPr>
          <w:spacing w:val="-2"/>
        </w:rPr>
        <w:t>反</w:t>
      </w:r>
      <w:r>
        <w:rPr>
          <w:spacing w:val="-2"/>
        </w:rPr>
        <w:t>映</w:t>
      </w:r>
      <w:r>
        <w:rPr>
          <w:spacing w:val="-2"/>
        </w:rPr>
        <w:t>中</w:t>
      </w:r>
      <w:r>
        <w:rPr>
          <w:spacing w:val="-2"/>
        </w:rPr>
        <w:t>发</w:t>
      </w:r>
      <w:r>
        <w:rPr>
          <w:spacing w:val="-2"/>
        </w:rPr>
        <w:t>挥</w:t>
      </w:r>
      <w:r>
        <w:rPr>
          <w:spacing w:val="-2"/>
        </w:rPr>
        <w:t>了</w:t>
      </w:r>
      <w:r>
        <w:rPr>
          <w:spacing w:val="-2"/>
        </w:rPr>
        <w:t>独</w:t>
      </w:r>
      <w:r>
        <w:rPr>
          <w:spacing w:val="-4"/>
        </w:rPr>
        <w:t>特</w:t>
      </w:r>
      <w:r>
        <w:rPr>
          <w:spacing w:val="-4"/>
        </w:rPr>
        <w:t>的</w:t>
      </w:r>
      <w:r>
        <w:rPr>
          <w:spacing w:val="-4"/>
        </w:rPr>
        <w:t>作</w:t>
      </w:r>
      <w:r>
        <w:rPr>
          <w:spacing w:val="-4"/>
        </w:rPr>
        <w:t>用</w:t>
      </w:r>
      <w:r>
        <w:rPr>
          <w:spacing w:val="-4"/>
        </w:rPr>
        <w:t>，</w:t>
      </w:r>
      <w:r>
        <w:rPr>
          <w:spacing w:val="-4"/>
        </w:rPr>
        <w:t>引</w:t>
      </w:r>
      <w:r>
        <w:rPr>
          <w:spacing w:val="-4"/>
        </w:rPr>
        <w:t>发</w:t>
      </w:r>
      <w:r>
        <w:rPr>
          <w:spacing w:val="-4"/>
        </w:rPr>
        <w:t>世</w:t>
      </w:r>
      <w:r>
        <w:rPr>
          <w:spacing w:val="-4"/>
        </w:rPr>
        <w:t>界</w:t>
      </w:r>
      <w:r>
        <w:rPr>
          <w:spacing w:val="-4"/>
        </w:rPr>
        <w:t>各</w:t>
      </w:r>
      <w:r>
        <w:rPr>
          <w:spacing w:val="-4"/>
        </w:rPr>
        <w:t>国</w:t>
      </w:r>
      <w:r>
        <w:rPr>
          <w:position w:val="-2"/>
        </w:rPr>
        <w:drawing>
          <wp:inline distT="0" distB="0" distL="0" distR="0">
            <wp:extent cx="142875" cy="142875"/>
            <wp:effectExtent l="0" t="0" r="0" b="0"/>
            <wp:docPr id="2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4.png"/>
                    <pic:cNvPicPr/>
                  </pic:nvPicPr>
                  <pic:blipFill>
                    <a:blip xmlns:r="http://schemas.openxmlformats.org/officeDocument/2006/relationships" r:embed="rId7" cstate="print"/>
                    <a:stretch>
                      <a:fillRect/>
                    </a:stretch>
                  </pic:blipFill>
                  <pic:spPr>
                    <a:xfrm>
                      <a:off x="0" y="0"/>
                      <a:ext cx="142875" cy="142875"/>
                    </a:xfrm>
                    <a:prstGeom prst="rect">
                      <a:avLst/>
                    </a:prstGeom>
                  </pic:spPr>
                </pic:pic>
              </a:graphicData>
            </a:graphic>
          </wp:inline>
        </w:drawing>
      </w:r>
      <w:r>
        <w:rPr>
          <w:spacing w:val="-4"/>
        </w:rPr>
        <w:t>化</w:t>
      </w:r>
      <w:r>
        <w:rPr>
          <w:spacing w:val="-4"/>
        </w:rPr>
        <w:t>界</w:t>
      </w:r>
      <w:r>
        <w:rPr>
          <w:spacing w:val="-4"/>
        </w:rPr>
        <w:t>与</w:t>
      </w:r>
      <w:r>
        <w:rPr>
          <w:spacing w:val="-4"/>
        </w:rPr>
        <w:t>石</w:t>
      </w:r>
      <w:r>
        <w:rPr>
          <w:spacing w:val="-4"/>
        </w:rPr>
        <w:t>化</w:t>
      </w:r>
      <w:r>
        <w:rPr>
          <w:spacing w:val="-4"/>
        </w:rPr>
        <w:t>公</w:t>
      </w:r>
      <w:r>
        <w:rPr>
          <w:spacing w:val="-4"/>
        </w:rPr>
        <w:t>司</w:t>
      </w:r>
      <w:r>
        <w:rPr>
          <w:spacing w:val="-4"/>
        </w:rPr>
        <w:t>界</w:t>
      </w:r>
      <w:r>
        <w:rPr>
          <w:spacing w:val="-4"/>
        </w:rPr>
        <w:t>的</w:t>
      </w:r>
      <w:r>
        <w:rPr>
          <w:spacing w:val="-4"/>
        </w:rPr>
        <w:t>广</w:t>
      </w:r>
      <w:r>
        <w:rPr>
          <w:spacing w:val="-4"/>
        </w:rPr>
        <w:t>泛</w:t>
      </w:r>
      <w:r>
        <w:rPr>
          <w:spacing w:val="-4"/>
        </w:rPr>
        <w:t>关</w:t>
      </w:r>
      <w:r>
        <w:rPr>
          <w:spacing w:val="-4"/>
        </w:rPr>
        <w:t>注</w:t>
      </w:r>
      <w:r>
        <w:rPr>
          <w:spacing w:val="-4"/>
        </w:rPr>
        <w:t>。</w:t>
      </w:r>
      <w:r>
        <w:rPr>
          <w:spacing w:val="-4"/>
        </w:rPr>
        <w:t>到</w:t>
      </w:r>
      <w:r>
        <w:rPr>
          <w:spacing w:val="-4"/>
        </w:rPr>
        <w:t>本</w:t>
      </w:r>
      <w:r>
        <w:rPr>
          <w:spacing w:val="-4"/>
        </w:rPr>
        <w:t>世</w:t>
      </w:r>
      <w:r>
        <w:rPr>
          <w:spacing w:val="-4"/>
        </w:rPr>
        <w:t>纪</w:t>
      </w:r>
      <w:r>
        <w:rPr>
          <w:spacing w:val="-4"/>
        </w:rPr>
        <w:t>早</w:t>
      </w:r>
      <w:r>
        <w:rPr>
          <w:spacing w:val="-4"/>
        </w:rPr>
        <w:t>期</w:t>
      </w:r>
      <w:r>
        <w:rPr>
          <w:spacing w:val="-4"/>
        </w:rPr>
        <w:t>开</w:t>
      </w:r>
      <w:r>
        <w:rPr>
          <w:spacing w:val="-4"/>
        </w:rPr>
        <w:t>始</w:t>
      </w:r>
      <w:r>
        <w:rPr>
          <w:spacing w:val="-4"/>
        </w:rPr>
        <w:t>，</w:t>
      </w:r>
      <w:r>
        <w:rPr>
          <w:spacing w:val="-4"/>
        </w:rPr>
        <w:t>有</w:t>
      </w:r>
      <w:r>
        <w:rPr>
          <w:spacing w:val="-4"/>
        </w:rPr>
        <w:t>关</w:t>
      </w:r>
      <w:r>
        <w:rPr>
          <w:spacing w:val="-4"/>
        </w:rPr>
        <w:t xml:space="preserve">吡啶类、咪唑类、多胺类甚至双咪唑类 </w:t>
      </w:r>
      <w:r>
        <w:rPr>
          <w:rFonts w:ascii="Times New Roman" w:eastAsia="Times New Roman"/>
          <w:spacing w:val="-2"/>
        </w:rPr>
        <w:t>ILs</w:t>
      </w:r>
      <w:r>
        <w:rPr>
          <w:rFonts w:ascii="Times New Roman" w:eastAsia="Times New Roman"/>
          <w:spacing w:val="-13"/>
        </w:rPr>
        <w:t xml:space="preserve"> </w:t>
      </w:r>
      <w:r>
        <w:rPr>
          <w:spacing w:val="-2"/>
        </w:rPr>
        <w:t>的合成和性质等被陆续被报道，极大地扩</w:t>
      </w:r>
      <w:r>
        <w:rPr>
          <w:spacing w:val="-8"/>
        </w:rPr>
        <w:t xml:space="preserve">展了 </w:t>
      </w:r>
      <w:r>
        <w:rPr>
          <w:rFonts w:ascii="Times New Roman" w:eastAsia="Times New Roman"/>
        </w:rPr>
        <w:t xml:space="preserve">ILs </w:t>
      </w:r>
      <w:r>
        <w:t>在生物分离、有机反映、材料及石油化工等领域的应用。</w:t>
      </w:r>
    </w:p>
    <w:p>
      <w:pPr>
        <w:pStyle w:val="Heading2"/>
        <w:numPr>
          <w:ilvl w:val="1"/>
          <w:numId w:val="8"/>
        </w:numPr>
        <w:tabs>
          <w:tab w:val="left" w:pos="591"/>
        </w:tabs>
        <w:spacing w:before="212" w:after="0" w:line="240" w:lineRule="auto"/>
        <w:ind w:left="591" w:right="0" w:hanging="450"/>
        <w:jc w:val="left"/>
      </w:pPr>
      <w:bookmarkStart w:id="6" w:name="_TOC_250034"/>
      <w:bookmarkEnd w:id="6"/>
      <w:r>
        <w:rPr>
          <w:spacing w:val="-1"/>
        </w:rPr>
        <w:t>离子液体的物理化学性质</w:t>
      </w:r>
    </w:p>
    <w:p>
      <w:pPr>
        <w:pStyle w:val="BodyText"/>
        <w:spacing w:before="1"/>
        <w:ind w:left="0"/>
        <w:rPr>
          <w:rFonts w:ascii="Microsoft JhengHei"/>
          <w:b/>
          <w:sz w:val="18"/>
        </w:rPr>
      </w:pPr>
    </w:p>
    <w:p>
      <w:pPr>
        <w:pStyle w:val="Heading3"/>
        <w:numPr>
          <w:ilvl w:val="2"/>
          <w:numId w:val="8"/>
        </w:numPr>
        <w:tabs>
          <w:tab w:val="left" w:pos="771"/>
        </w:tabs>
        <w:spacing w:before="0" w:after="0" w:line="240" w:lineRule="auto"/>
        <w:ind w:left="771" w:right="0" w:hanging="630"/>
        <w:jc w:val="left"/>
      </w:pPr>
      <w:bookmarkStart w:id="7" w:name="_TOC_250033"/>
      <w:bookmarkEnd w:id="7"/>
      <w:r>
        <w:rPr>
          <w:spacing w:val="-2"/>
        </w:rPr>
        <w:t>离子液体的熔点</w:t>
      </w:r>
    </w:p>
    <w:p>
      <w:pPr>
        <w:pStyle w:val="BodyText"/>
        <w:spacing w:before="179" w:line="343" w:lineRule="auto"/>
        <w:ind w:right="215" w:firstLine="480"/>
      </w:pPr>
      <w:r>
        <w:rPr>
          <w:spacing w:val="-5"/>
        </w:rPr>
        <w:t xml:space="preserve">评价 </w:t>
      </w:r>
      <w:r>
        <w:rPr>
          <w:rFonts w:ascii="Times New Roman" w:eastAsia="Times New Roman" w:hAnsi="Times New Roman"/>
        </w:rPr>
        <w:t xml:space="preserve">ILs </w:t>
      </w:r>
      <w:r>
        <w:t>实用性的一种核心参数是其熔点，普通状况下，</w:t>
      </w:r>
      <w:r>
        <w:rPr>
          <w:rFonts w:ascii="Times New Roman" w:eastAsia="Times New Roman" w:hAnsi="Times New Roman"/>
        </w:rPr>
        <w:t xml:space="preserve">ILs </w:t>
      </w:r>
      <w:r>
        <w:t>在室温下是液态，</w:t>
      </w:r>
      <w:r>
        <w:rPr>
          <w:spacing w:val="-15"/>
        </w:rPr>
        <w:t xml:space="preserve">即其熔点低于室温，普通在 </w:t>
      </w:r>
      <w:r>
        <w:rPr>
          <w:rFonts w:ascii="Times New Roman" w:eastAsia="Times New Roman" w:hAnsi="Times New Roman"/>
          <w:spacing w:val="-2"/>
        </w:rPr>
        <w:t>0</w:t>
      </w:r>
      <w:r>
        <w:rPr>
          <w:spacing w:val="-2"/>
        </w:rPr>
        <w:t>～</w:t>
      </w:r>
      <w:r>
        <w:rPr>
          <w:rFonts w:ascii="Times New Roman" w:eastAsia="Times New Roman" w:hAnsi="Times New Roman"/>
          <w:spacing w:val="-2"/>
        </w:rPr>
        <w:t>100</w:t>
      </w:r>
      <w:r>
        <w:rPr>
          <w:spacing w:val="-14"/>
        </w:rPr>
        <w:t xml:space="preserve">℃，少数 </w:t>
      </w:r>
      <w:r>
        <w:rPr>
          <w:rFonts w:ascii="Times New Roman" w:eastAsia="Times New Roman" w:hAnsi="Times New Roman"/>
          <w:spacing w:val="-2"/>
        </w:rPr>
        <w:t>ILs</w:t>
      </w:r>
      <w:r>
        <w:rPr>
          <w:rFonts w:ascii="Times New Roman" w:eastAsia="Times New Roman" w:hAnsi="Times New Roman"/>
          <w:spacing w:val="-13"/>
        </w:rPr>
        <w:t xml:space="preserve"> </w:t>
      </w:r>
      <w:r>
        <w:rPr>
          <w:spacing w:val="-11"/>
        </w:rPr>
        <w:t>的熔点要高某些，但是并无严格界限。</w:t>
      </w:r>
      <w:r>
        <w:rPr>
          <w:spacing w:val="-2"/>
        </w:rPr>
        <w:t xml:space="preserve"> </w:t>
      </w:r>
      <w:r>
        <w:rPr>
          <w:rFonts w:ascii="Times New Roman" w:eastAsia="Times New Roman" w:hAnsi="Times New Roman"/>
        </w:rPr>
        <w:t xml:space="preserve">ILs </w:t>
      </w:r>
      <w:r>
        <w:rPr>
          <w:spacing w:val="-1"/>
        </w:rPr>
        <w:t xml:space="preserve">的熔点重要受到两方面因素的影响：首先是离子的电荷分布；另首先是 </w:t>
      </w:r>
      <w:r>
        <w:rPr>
          <w:rFonts w:ascii="Times New Roman" w:eastAsia="Times New Roman" w:hAnsi="Times New Roman"/>
        </w:rPr>
        <w:t xml:space="preserve">ILs </w:t>
      </w:r>
      <w:r>
        <w:t>阴、</w:t>
      </w:r>
      <w:r>
        <w:rPr>
          <w:spacing w:val="-2"/>
        </w:rPr>
        <w:t>阳离子的对称性。</w:t>
      </w:r>
    </w:p>
    <w:p>
      <w:pPr>
        <w:pStyle w:val="BodyText"/>
        <w:spacing w:before="1" w:line="343" w:lineRule="auto"/>
        <w:ind w:right="216" w:firstLine="480"/>
        <w:jc w:val="both"/>
      </w:pPr>
      <w:r>
        <w:rPr>
          <w:spacing w:val="-2"/>
        </w:rPr>
        <w:t>普通而言，物质的熔点与其晶体构造之间有着亲密的关系，能直接影响到物质的</w:t>
      </w:r>
      <w:r>
        <w:t xml:space="preserve">使用温度范畴。现在研究最多的是阳离子取代基为咪唑类的 </w:t>
      </w:r>
      <w:r>
        <w:rPr>
          <w:rFonts w:ascii="Times New Roman" w:eastAsia="Times New Roman"/>
        </w:rPr>
        <w:t>ILs</w:t>
      </w:r>
      <w:r>
        <w:t>，并且阳离子中离子</w:t>
      </w:r>
      <w:r>
        <w:rPr>
          <w:spacing w:val="-2"/>
        </w:rPr>
        <w:t>的电荷越分散，分子的对称性越低，生成的化合物熔点就越低。离子为非对称的比对</w:t>
      </w:r>
      <w:r>
        <w:rPr>
          <w:spacing w:val="-12"/>
        </w:rPr>
        <w:t>称的盐熔点要低，这是由于取代基的非对称性使得离子难以规则地堆积而不能形成晶</w:t>
      </w:r>
      <w:r>
        <w:rPr>
          <w:spacing w:val="-2"/>
        </w:rPr>
        <w:t>体</w:t>
      </w:r>
      <w:r>
        <w:rPr>
          <w:rFonts w:ascii="Times New Roman" w:eastAsia="Times New Roman"/>
          <w:spacing w:val="-2"/>
          <w:vertAlign w:val="superscript"/>
        </w:rPr>
        <w:t>[8]</w:t>
      </w:r>
      <w:r>
        <w:rPr>
          <w:spacing w:val="-2"/>
          <w:vertAlign w:val="baseline"/>
        </w:rPr>
        <w:t>。这与李汝雄</w:t>
      </w:r>
      <w:r>
        <w:rPr>
          <w:rFonts w:ascii="Times New Roman" w:eastAsia="Times New Roman"/>
          <w:spacing w:val="-2"/>
          <w:vertAlign w:val="superscript"/>
        </w:rPr>
        <w:t>[9]</w:t>
      </w:r>
      <w:r>
        <w:rPr>
          <w:spacing w:val="-2"/>
          <w:vertAlign w:val="baseline"/>
        </w:rPr>
        <w:t>等所报道的一致，即阳离子对称的盐</w:t>
      </w:r>
      <w:r>
        <w:rPr>
          <w:rFonts w:ascii="Times New Roman" w:eastAsia="Times New Roman"/>
          <w:spacing w:val="-2"/>
          <w:vertAlign w:val="baseline"/>
        </w:rPr>
        <w:t>[C</w:t>
      </w:r>
      <w:r>
        <w:rPr>
          <w:rFonts w:ascii="Times New Roman" w:eastAsia="Times New Roman"/>
          <w:spacing w:val="-2"/>
          <w:vertAlign w:val="subscript"/>
        </w:rPr>
        <w:t>n</w:t>
      </w:r>
      <w:r>
        <w:rPr>
          <w:rFonts w:ascii="Times New Roman" w:eastAsia="Times New Roman"/>
          <w:spacing w:val="-2"/>
          <w:vertAlign w:val="baseline"/>
        </w:rPr>
        <w:t>C</w:t>
      </w:r>
      <w:r>
        <w:rPr>
          <w:rFonts w:ascii="Times New Roman" w:eastAsia="Times New Roman"/>
          <w:spacing w:val="-2"/>
          <w:vertAlign w:val="subscript"/>
        </w:rPr>
        <w:t>n</w:t>
      </w:r>
      <w:r>
        <w:rPr>
          <w:rFonts w:ascii="Times New Roman" w:eastAsia="Times New Roman"/>
          <w:spacing w:val="-2"/>
          <w:vertAlign w:val="baseline"/>
        </w:rPr>
        <w:t>im]BF</w:t>
      </w:r>
      <w:r>
        <w:rPr>
          <w:rFonts w:ascii="Times New Roman" w:eastAsia="Times New Roman"/>
          <w:spacing w:val="-2"/>
          <w:vertAlign w:val="subscript"/>
        </w:rPr>
        <w:t>4</w:t>
      </w:r>
      <w:r>
        <w:rPr>
          <w:rFonts w:ascii="Times New Roman" w:eastAsia="Times New Roman"/>
          <w:spacing w:val="-2"/>
          <w:vertAlign w:val="baseline"/>
        </w:rPr>
        <w:t>(n=1</w:t>
      </w:r>
      <w:r>
        <w:rPr>
          <w:spacing w:val="-2"/>
          <w:vertAlign w:val="baseline"/>
        </w:rPr>
        <w:t>～</w:t>
      </w:r>
      <w:r>
        <w:rPr>
          <w:rFonts w:ascii="Times New Roman" w:eastAsia="Times New Roman"/>
          <w:spacing w:val="-2"/>
          <w:vertAlign w:val="baseline"/>
        </w:rPr>
        <w:t>10)</w:t>
      </w:r>
      <w:r>
        <w:rPr>
          <w:spacing w:val="-2"/>
          <w:vertAlign w:val="baseline"/>
        </w:rPr>
        <w:t>中，只</w:t>
      </w:r>
      <w:r>
        <w:rPr>
          <w:spacing w:val="-13"/>
          <w:vertAlign w:val="baseline"/>
        </w:rPr>
        <w:t xml:space="preserve">有 </w:t>
      </w:r>
      <w:r>
        <w:rPr>
          <w:rFonts w:ascii="Times New Roman" w:eastAsia="Times New Roman"/>
          <w:vertAlign w:val="baseline"/>
        </w:rPr>
        <w:t xml:space="preserve">5 </w:t>
      </w:r>
      <w:r>
        <w:rPr>
          <w:vertAlign w:val="baseline"/>
        </w:rPr>
        <w:t>个常温下为液体；而阳离子为非对称的盐</w:t>
      </w:r>
      <w:r>
        <w:rPr>
          <w:rFonts w:ascii="Times New Roman" w:eastAsia="Times New Roman"/>
          <w:vertAlign w:val="baseline"/>
        </w:rPr>
        <w:t>[C</w:t>
      </w:r>
      <w:r>
        <w:rPr>
          <w:rFonts w:ascii="Times New Roman" w:eastAsia="Times New Roman"/>
          <w:vertAlign w:val="subscript"/>
        </w:rPr>
        <w:t>n</w:t>
      </w:r>
      <w:r>
        <w:rPr>
          <w:rFonts w:ascii="Times New Roman" w:eastAsia="Times New Roman"/>
          <w:vertAlign w:val="baseline"/>
        </w:rPr>
        <w:t xml:space="preserve"> mim]BF</w:t>
      </w:r>
      <w:r>
        <w:rPr>
          <w:rFonts w:ascii="Times New Roman" w:eastAsia="Times New Roman"/>
          <w:vertAlign w:val="subscript"/>
        </w:rPr>
        <w:t>4</w:t>
      </w:r>
      <w:r>
        <w:rPr>
          <w:rFonts w:ascii="Times New Roman" w:eastAsia="Times New Roman"/>
          <w:vertAlign w:val="baseline"/>
        </w:rPr>
        <w:t>(n=2</w:t>
      </w:r>
      <w:r>
        <w:rPr>
          <w:vertAlign w:val="baseline"/>
        </w:rPr>
        <w:t>～</w:t>
      </w:r>
      <w:r>
        <w:rPr>
          <w:rFonts w:ascii="Times New Roman" w:eastAsia="Times New Roman"/>
          <w:vertAlign w:val="baseline"/>
        </w:rPr>
        <w:t>11)</w:t>
      </w:r>
      <w:r>
        <w:rPr>
          <w:vertAlign w:val="baseline"/>
        </w:rPr>
        <w:t>，常温下均为液</w:t>
      </w:r>
      <w:r>
        <w:rPr>
          <w:spacing w:val="-4"/>
          <w:vertAlign w:val="baseline"/>
        </w:rPr>
        <w:t xml:space="preserve">体；另外，对于烷基咪唑类和烷基吡啶类 </w:t>
      </w:r>
      <w:r>
        <w:rPr>
          <w:rFonts w:ascii="Times New Roman" w:eastAsia="Times New Roman"/>
          <w:spacing w:val="-2"/>
          <w:vertAlign w:val="baseline"/>
        </w:rPr>
        <w:t>ILs</w:t>
      </w:r>
      <w:r>
        <w:rPr>
          <w:spacing w:val="-2"/>
          <w:vertAlign w:val="baseline"/>
        </w:rPr>
        <w:t>，侧链碳分子数越多，</w:t>
      </w:r>
      <w:r>
        <w:rPr>
          <w:rFonts w:ascii="Times New Roman" w:eastAsia="Times New Roman"/>
          <w:spacing w:val="-2"/>
          <w:vertAlign w:val="baseline"/>
        </w:rPr>
        <w:t>ILs</w:t>
      </w:r>
      <w:r>
        <w:rPr>
          <w:rFonts w:ascii="Times New Roman" w:eastAsia="Times New Roman"/>
          <w:spacing w:val="30"/>
          <w:vertAlign w:val="baseline"/>
        </w:rPr>
        <w:t xml:space="preserve"> </w:t>
      </w:r>
      <w:r>
        <w:rPr>
          <w:spacing w:val="-4"/>
          <w:vertAlign w:val="baseline"/>
        </w:rPr>
        <w:t>的熔点越低。</w:t>
      </w:r>
    </w:p>
    <w:p>
      <w:pPr>
        <w:spacing w:after="0" w:line="343" w:lineRule="auto"/>
        <w:jc w:val="both"/>
        <w:sectPr>
          <w:pgSz w:w="11910" w:h="16840"/>
          <w:pgMar w:top="1400" w:right="1080" w:bottom="280" w:left="1560" w:header="708" w:footer="708"/>
          <w:pgNumType w:start="10"/>
          <w:cols w:space="708"/>
        </w:sectPr>
      </w:pPr>
    </w:p>
    <w:p>
      <w:pPr>
        <w:pStyle w:val="BodyText"/>
        <w:spacing w:before="52" w:line="343" w:lineRule="auto"/>
        <w:ind w:right="337"/>
        <w:jc w:val="both"/>
      </w:pPr>
      <w:r>
        <w:t>但当侧链碳分子数增大到一定程度时，</w:t>
      </w:r>
      <w:r>
        <w:rPr>
          <w:rFonts w:ascii="Times New Roman" w:eastAsia="Times New Roman"/>
        </w:rPr>
        <w:t>ILs</w:t>
      </w:r>
      <w:r>
        <w:rPr>
          <w:rFonts w:ascii="Times New Roman" w:eastAsia="Times New Roman"/>
          <w:spacing w:val="-15"/>
        </w:rPr>
        <w:t xml:space="preserve"> </w:t>
      </w:r>
      <w:r>
        <w:t>的熔点会快速增高。这个现象可解释为阳</w:t>
      </w:r>
      <w:r>
        <w:rPr>
          <w:spacing w:val="-4"/>
        </w:rPr>
        <w:t xml:space="preserve">离子的非对称性和分子间互相作用力的共同作用影响了 </w:t>
      </w:r>
      <w:r>
        <w:rPr>
          <w:rFonts w:ascii="Times New Roman" w:eastAsia="Times New Roman"/>
          <w:spacing w:val="-2"/>
        </w:rPr>
        <w:t>ILs</w:t>
      </w:r>
      <w:r>
        <w:rPr>
          <w:rFonts w:ascii="Times New Roman" w:eastAsia="Times New Roman"/>
          <w:spacing w:val="13"/>
        </w:rPr>
        <w:t xml:space="preserve"> </w:t>
      </w:r>
      <w:r>
        <w:rPr>
          <w:spacing w:val="-14"/>
        </w:rPr>
        <w:t>的熔点。郭文希</w:t>
      </w:r>
      <w:r>
        <w:rPr>
          <w:rFonts w:ascii="Times New Roman" w:eastAsia="Times New Roman"/>
          <w:spacing w:val="-2"/>
          <w:vertAlign w:val="superscript"/>
        </w:rPr>
        <w:t>[10]</w:t>
      </w:r>
      <w:r>
        <w:rPr>
          <w:spacing w:val="-2"/>
          <w:vertAlign w:val="baseline"/>
        </w:rPr>
        <w:t>等的报</w:t>
      </w:r>
      <w:r>
        <w:rPr>
          <w:spacing w:val="-4"/>
          <w:vertAlign w:val="baseline"/>
        </w:rPr>
        <w:t xml:space="preserve">道证明了侧链碳分子数的增多使得 </w:t>
      </w:r>
      <w:r>
        <w:rPr>
          <w:rFonts w:ascii="Times New Roman" w:eastAsia="Times New Roman"/>
          <w:spacing w:val="-2"/>
          <w:vertAlign w:val="baseline"/>
        </w:rPr>
        <w:t>ILs</w:t>
      </w:r>
      <w:r>
        <w:rPr>
          <w:rFonts w:ascii="Times New Roman" w:eastAsia="Times New Roman"/>
          <w:spacing w:val="-13"/>
          <w:vertAlign w:val="baseline"/>
        </w:rPr>
        <w:t xml:space="preserve"> </w:t>
      </w:r>
      <w:r>
        <w:rPr>
          <w:spacing w:val="-5"/>
          <w:vertAlign w:val="baseline"/>
        </w:rPr>
        <w:t xml:space="preserve">熔点减少，如六氟磷酸类 </w:t>
      </w:r>
      <w:r>
        <w:rPr>
          <w:rFonts w:ascii="Times New Roman" w:eastAsia="Times New Roman"/>
          <w:spacing w:val="-2"/>
          <w:vertAlign w:val="baseline"/>
        </w:rPr>
        <w:t>ILs[Rmim][PF</w:t>
      </w:r>
      <w:r>
        <w:rPr>
          <w:rFonts w:ascii="Times New Roman" w:eastAsia="Times New Roman"/>
          <w:spacing w:val="-2"/>
          <w:vertAlign w:val="subscript"/>
        </w:rPr>
        <w:t>6</w:t>
      </w:r>
      <w:r>
        <w:rPr>
          <w:rFonts w:ascii="Times New Roman" w:eastAsia="Times New Roman"/>
          <w:spacing w:val="-2"/>
          <w:vertAlign w:val="baseline"/>
        </w:rPr>
        <w:t>]</w:t>
      </w:r>
      <w:r>
        <w:rPr>
          <w:spacing w:val="-2"/>
          <w:vertAlign w:val="baseline"/>
        </w:rPr>
        <w:t xml:space="preserve">，当 </w:t>
      </w:r>
      <w:r>
        <w:rPr>
          <w:rFonts w:ascii="Times New Roman" w:eastAsia="Times New Roman"/>
          <w:vertAlign w:val="baseline"/>
        </w:rPr>
        <w:t>R=6</w:t>
      </w:r>
      <w:r>
        <w:rPr>
          <w:vertAlign w:val="baseline"/>
        </w:rPr>
        <w:t>～</w:t>
      </w:r>
      <w:r>
        <w:rPr>
          <w:rFonts w:ascii="Times New Roman" w:eastAsia="Times New Roman"/>
          <w:vertAlign w:val="baseline"/>
        </w:rPr>
        <w:t>8</w:t>
      </w:r>
      <w:r>
        <w:rPr>
          <w:rFonts w:ascii="Times New Roman" w:eastAsia="Times New Roman"/>
          <w:spacing w:val="-8"/>
          <w:vertAlign w:val="baseline"/>
        </w:rPr>
        <w:t xml:space="preserve"> </w:t>
      </w:r>
      <w:r>
        <w:rPr>
          <w:spacing w:val="-2"/>
          <w:vertAlign w:val="baseline"/>
        </w:rPr>
        <w:t xml:space="preserve">时，其熔点降到最低；氟硼酸类 </w:t>
      </w:r>
      <w:r>
        <w:rPr>
          <w:rFonts w:ascii="Times New Roman" w:eastAsia="Times New Roman"/>
          <w:vertAlign w:val="baseline"/>
        </w:rPr>
        <w:t>ILs[Rmim][BF</w:t>
      </w:r>
      <w:r>
        <w:rPr>
          <w:rFonts w:ascii="Times New Roman" w:eastAsia="Times New Roman"/>
          <w:vertAlign w:val="subscript"/>
        </w:rPr>
        <w:t>4</w:t>
      </w:r>
      <w:r>
        <w:rPr>
          <w:rFonts w:ascii="Times New Roman" w:eastAsia="Times New Roman"/>
          <w:vertAlign w:val="baseline"/>
        </w:rPr>
        <w:t>]</w:t>
      </w:r>
      <w:r>
        <w:rPr>
          <w:spacing w:val="-10"/>
          <w:vertAlign w:val="baseline"/>
        </w:rPr>
        <w:t xml:space="preserve">，当 </w:t>
      </w:r>
      <w:r>
        <w:rPr>
          <w:rFonts w:ascii="Times New Roman" w:eastAsia="Times New Roman"/>
          <w:vertAlign w:val="baseline"/>
        </w:rPr>
        <w:t>R=4</w:t>
      </w:r>
      <w:r>
        <w:rPr>
          <w:vertAlign w:val="baseline"/>
        </w:rPr>
        <w:t>～</w:t>
      </w:r>
      <w:r>
        <w:rPr>
          <w:rFonts w:ascii="Times New Roman" w:eastAsia="Times New Roman"/>
          <w:vertAlign w:val="baseline"/>
        </w:rPr>
        <w:t>9</w:t>
      </w:r>
      <w:r>
        <w:rPr>
          <w:rFonts w:ascii="Times New Roman" w:eastAsia="Times New Roman"/>
          <w:spacing w:val="15"/>
          <w:vertAlign w:val="baseline"/>
        </w:rPr>
        <w:t xml:space="preserve"> </w:t>
      </w:r>
      <w:r>
        <w:rPr>
          <w:vertAlign w:val="baseline"/>
        </w:rPr>
        <w:t>时，其熔点为最低。然而崔锐博</w:t>
      </w:r>
      <w:r>
        <w:rPr>
          <w:rFonts w:ascii="Times New Roman" w:eastAsia="Times New Roman"/>
          <w:vertAlign w:val="superscript"/>
        </w:rPr>
        <w:t>[11]</w:t>
      </w:r>
      <w:r>
        <w:rPr>
          <w:spacing w:val="-3"/>
          <w:vertAlign w:val="baseline"/>
        </w:rPr>
        <w:t xml:space="preserve">等合成的含有相似阴离子的 </w:t>
      </w:r>
      <w:r>
        <w:rPr>
          <w:rFonts w:ascii="Times New Roman" w:eastAsia="Times New Roman"/>
          <w:vertAlign w:val="baseline"/>
        </w:rPr>
        <w:t>ILs[C</w:t>
      </w:r>
      <w:r>
        <w:rPr>
          <w:rFonts w:ascii="Times New Roman" w:eastAsia="Times New Roman"/>
          <w:vertAlign w:val="subscript"/>
        </w:rPr>
        <w:t>n</w:t>
      </w:r>
      <w:r>
        <w:rPr>
          <w:rFonts w:ascii="Times New Roman" w:eastAsia="Times New Roman"/>
          <w:vertAlign w:val="baseline"/>
        </w:rPr>
        <w:t>mim]Br</w:t>
      </w:r>
      <w:r>
        <w:rPr>
          <w:rFonts w:ascii="Times New Roman" w:eastAsia="Times New Roman"/>
          <w:spacing w:val="-15"/>
          <w:vertAlign w:val="baseline"/>
        </w:rPr>
        <w:t xml:space="preserve"> </w:t>
      </w:r>
      <w:r>
        <w:rPr>
          <w:vertAlign w:val="baseline"/>
        </w:rPr>
        <w:t>的熔点却随着其烷基</w:t>
      </w:r>
      <w:r>
        <w:rPr>
          <w:spacing w:val="-2"/>
          <w:vertAlign w:val="baseline"/>
        </w:rPr>
        <w:t>取代基链长的增加而升高。</w:t>
      </w:r>
    </w:p>
    <w:p>
      <w:pPr>
        <w:pStyle w:val="BodyText"/>
        <w:spacing w:before="1" w:line="343" w:lineRule="auto"/>
        <w:ind w:right="244" w:firstLine="480"/>
      </w:pPr>
      <w:r>
        <w:pict>
          <v:shape id="_x0000_s1039" type="#_x0000_t202" style="width:225.25pt;height:8.9pt;margin-top:138.72pt;margin-left:128.49pt;mso-position-horizontal-relative:page;position:absolute;z-index:-251654144" filled="f" stroked="f">
            <v:textbox inset="0,0,0,0">
              <w:txbxContent>
                <w:p>
                  <w:pPr>
                    <w:tabs>
                      <w:tab w:val="left" w:pos="721"/>
                      <w:tab w:val="left" w:pos="1617"/>
                      <w:tab w:val="left" w:pos="2286"/>
                      <w:tab w:val="left" w:pos="2955"/>
                      <w:tab w:val="left" w:pos="3341"/>
                      <w:tab w:val="left" w:pos="4010"/>
                      <w:tab w:val="left" w:pos="4424"/>
                    </w:tabs>
                    <w:spacing w:before="0" w:line="177" w:lineRule="exact"/>
                    <w:ind w:left="0" w:right="0" w:firstLine="0"/>
                    <w:jc w:val="left"/>
                    <w:rPr>
                      <w:rFonts w:ascii="Times New Roman"/>
                      <w:sz w:val="16"/>
                    </w:rPr>
                  </w:pPr>
                  <w:r>
                    <w:rPr>
                      <w:rFonts w:ascii="Times New Roman"/>
                      <w:spacing w:val="-10"/>
                      <w:sz w:val="16"/>
                    </w:rPr>
                    <w:t>2</w:t>
                  </w:r>
                  <w:r>
                    <w:rPr>
                      <w:rFonts w:ascii="Times New Roman"/>
                      <w:sz w:val="16"/>
                    </w:rPr>
                    <w:tab/>
                  </w:r>
                  <w:r>
                    <w:rPr>
                      <w:rFonts w:ascii="Times New Roman"/>
                      <w:spacing w:val="-10"/>
                      <w:sz w:val="16"/>
                    </w:rPr>
                    <w:t>3</w:t>
                  </w:r>
                  <w:r>
                    <w:rPr>
                      <w:rFonts w:ascii="Times New Roman"/>
                      <w:sz w:val="16"/>
                    </w:rPr>
                    <w:tab/>
                  </w:r>
                  <w:r>
                    <w:rPr>
                      <w:rFonts w:ascii="Times New Roman"/>
                      <w:spacing w:val="-10"/>
                      <w:sz w:val="16"/>
                    </w:rPr>
                    <w:t>4</w:t>
                  </w:r>
                  <w:r>
                    <w:rPr>
                      <w:rFonts w:ascii="Times New Roman"/>
                      <w:sz w:val="16"/>
                    </w:rPr>
                    <w:tab/>
                  </w:r>
                  <w:r>
                    <w:rPr>
                      <w:rFonts w:ascii="Times New Roman"/>
                      <w:spacing w:val="-10"/>
                      <w:sz w:val="16"/>
                    </w:rPr>
                    <w:t>4</w:t>
                  </w:r>
                  <w:r>
                    <w:rPr>
                      <w:rFonts w:ascii="Times New Roman"/>
                      <w:sz w:val="16"/>
                    </w:rPr>
                    <w:tab/>
                  </w:r>
                  <w:r>
                    <w:rPr>
                      <w:rFonts w:ascii="Times New Roman"/>
                      <w:spacing w:val="-10"/>
                      <w:sz w:val="16"/>
                    </w:rPr>
                    <w:t>3</w:t>
                  </w:r>
                  <w:r>
                    <w:rPr>
                      <w:rFonts w:ascii="Times New Roman"/>
                      <w:sz w:val="16"/>
                    </w:rPr>
                    <w:tab/>
                  </w:r>
                  <w:r>
                    <w:rPr>
                      <w:rFonts w:ascii="Times New Roman"/>
                      <w:spacing w:val="-10"/>
                      <w:sz w:val="16"/>
                    </w:rPr>
                    <w:t>3</w:t>
                  </w:r>
                  <w:r>
                    <w:rPr>
                      <w:rFonts w:ascii="Times New Roman"/>
                      <w:sz w:val="16"/>
                    </w:rPr>
                    <w:tab/>
                  </w:r>
                  <w:r>
                    <w:rPr>
                      <w:rFonts w:ascii="Times New Roman"/>
                      <w:spacing w:val="-10"/>
                      <w:sz w:val="16"/>
                    </w:rPr>
                    <w:t>3</w:t>
                  </w:r>
                  <w:r>
                    <w:rPr>
                      <w:rFonts w:ascii="Times New Roman"/>
                      <w:sz w:val="16"/>
                    </w:rPr>
                    <w:tab/>
                  </w:r>
                  <w:r>
                    <w:rPr>
                      <w:rFonts w:ascii="Times New Roman"/>
                      <w:spacing w:val="-10"/>
                      <w:sz w:val="16"/>
                    </w:rPr>
                    <w:t>2</w:t>
                  </w:r>
                </w:p>
              </w:txbxContent>
            </v:textbox>
          </v:shape>
        </w:pict>
      </w:r>
      <w:r>
        <w:t>普通状况下，</w:t>
      </w:r>
      <w:r>
        <w:rPr>
          <w:rFonts w:ascii="Times New Roman" w:eastAsia="Times New Roman" w:hAnsi="Times New Roman"/>
        </w:rPr>
        <w:t xml:space="preserve">ILs </w:t>
      </w:r>
      <w:r>
        <w:t>的熔点随着其阳离子对称性程度的提高而增大，能够通过比较</w:t>
      </w:r>
      <w:r>
        <w:rPr>
          <w:spacing w:val="-4"/>
        </w:rPr>
        <w:t xml:space="preserve">不同氯化物的熔点理解阳离子的体积对 </w:t>
      </w:r>
      <w:r>
        <w:rPr>
          <w:rFonts w:ascii="Times New Roman" w:eastAsia="Times New Roman" w:hAnsi="Times New Roman"/>
        </w:rPr>
        <w:t xml:space="preserve">ILs </w:t>
      </w:r>
      <w:r>
        <w:t>熔点的影响</w:t>
      </w:r>
      <w:r>
        <w:rPr>
          <w:rFonts w:ascii="Times New Roman" w:eastAsia="Times New Roman" w:hAnsi="Times New Roman"/>
          <w:vertAlign w:val="superscript"/>
        </w:rPr>
        <w:t>[12]</w:t>
      </w:r>
      <w:r>
        <w:rPr>
          <w:spacing w:val="-19"/>
          <w:vertAlign w:val="baseline"/>
        </w:rPr>
        <w:t xml:space="preserve">，在 </w:t>
      </w:r>
      <w:r>
        <w:rPr>
          <w:rFonts w:ascii="Times New Roman" w:eastAsia="Times New Roman" w:hAnsi="Times New Roman"/>
          <w:vertAlign w:val="baseline"/>
        </w:rPr>
        <w:t xml:space="preserve">ILs </w:t>
      </w:r>
      <w:r>
        <w:rPr>
          <w:vertAlign w:val="baseline"/>
        </w:rPr>
        <w:t>阴离子相似的状况</w:t>
      </w:r>
      <w:r>
        <w:rPr>
          <w:spacing w:val="-2"/>
          <w:vertAlign w:val="baseline"/>
        </w:rPr>
        <w:t xml:space="preserve">下，其熔点是随着阳离子体积的增大而逐步减少的。并且，为了在室温下保持液态， </w:t>
      </w:r>
      <w:r>
        <w:rPr>
          <w:rFonts w:ascii="Times New Roman" w:eastAsia="Times New Roman" w:hAnsi="Times New Roman"/>
          <w:vertAlign w:val="baseline"/>
        </w:rPr>
        <w:t xml:space="preserve">ILs </w:t>
      </w:r>
      <w:r>
        <w:rPr>
          <w:spacing w:val="-2"/>
          <w:vertAlign w:val="baseline"/>
        </w:rPr>
        <w:t xml:space="preserve">的阳离子最佳是非对称的。阴离子的体积对 </w:t>
      </w:r>
      <w:r>
        <w:rPr>
          <w:rFonts w:ascii="Times New Roman" w:eastAsia="Times New Roman" w:hAnsi="Times New Roman"/>
          <w:vertAlign w:val="baseline"/>
        </w:rPr>
        <w:t xml:space="preserve">ILs </w:t>
      </w:r>
      <w:r>
        <w:rPr>
          <w:vertAlign w:val="baseline"/>
        </w:rPr>
        <w:t>的熔点也有较大的影响，这是由</w:t>
      </w:r>
      <w:r>
        <w:rPr>
          <w:spacing w:val="-2"/>
          <w:vertAlign w:val="baseline"/>
        </w:rPr>
        <w:t>于体积越大的阴离子，与阳离子的作用力越小，晶体中的晶格能越小。因此，阴离子</w:t>
      </w:r>
      <w:r>
        <w:rPr>
          <w:spacing w:val="-2"/>
          <w:vertAlign w:val="baseline"/>
        </w:rPr>
        <w:t xml:space="preserve">体积越大，越易生成熔点低的化合物。阴离子生成合物的熔点由大到小的次序为： </w:t>
      </w:r>
      <w:r>
        <w:rPr>
          <w:rFonts w:ascii="Times New Roman" w:eastAsia="Times New Roman" w:hAnsi="Times New Roman"/>
          <w:vertAlign w:val="baseline"/>
        </w:rPr>
        <w:t>Cl</w:t>
      </w:r>
      <w:r>
        <w:rPr>
          <w:position w:val="7"/>
          <w:sz w:val="16"/>
          <w:vertAlign w:val="baseline"/>
        </w:rPr>
        <w:t>—</w:t>
      </w:r>
      <w:r>
        <w:rPr>
          <w:rFonts w:ascii="Times New Roman" w:eastAsia="Times New Roman" w:hAnsi="Times New Roman"/>
          <w:vertAlign w:val="baseline"/>
        </w:rPr>
        <w:t>&gt;NO</w:t>
      </w:r>
      <w:r>
        <w:rPr>
          <w:rFonts w:ascii="Times New Roman" w:eastAsia="Times New Roman" w:hAnsi="Times New Roman"/>
          <w:spacing w:val="27"/>
          <w:vertAlign w:val="baseline"/>
        </w:rPr>
        <w:t xml:space="preserve"> </w:t>
      </w:r>
      <w:r>
        <w:rPr>
          <w:position w:val="7"/>
          <w:sz w:val="16"/>
          <w:vertAlign w:val="baseline"/>
        </w:rPr>
        <w:t>—</w:t>
      </w:r>
      <w:r>
        <w:rPr>
          <w:rFonts w:ascii="Times New Roman" w:eastAsia="Times New Roman" w:hAnsi="Times New Roman"/>
          <w:vertAlign w:val="baseline"/>
        </w:rPr>
        <w:t>&gt;NO</w:t>
      </w:r>
      <w:r>
        <w:rPr>
          <w:rFonts w:ascii="Times New Roman" w:eastAsia="Times New Roman" w:hAnsi="Times New Roman"/>
          <w:spacing w:val="27"/>
          <w:vertAlign w:val="baseline"/>
        </w:rPr>
        <w:t xml:space="preserve"> </w:t>
      </w:r>
      <w:r>
        <w:rPr>
          <w:position w:val="7"/>
          <w:sz w:val="16"/>
          <w:vertAlign w:val="baseline"/>
        </w:rPr>
        <w:t>—</w:t>
      </w:r>
      <w:r>
        <w:rPr>
          <w:rFonts w:ascii="Times New Roman" w:eastAsia="Times New Roman" w:hAnsi="Times New Roman"/>
          <w:vertAlign w:val="baseline"/>
        </w:rPr>
        <w:t>&gt;AlC1</w:t>
      </w:r>
      <w:r>
        <w:rPr>
          <w:rFonts w:ascii="Times New Roman" w:eastAsia="Times New Roman" w:hAnsi="Times New Roman"/>
          <w:spacing w:val="26"/>
          <w:vertAlign w:val="baseline"/>
        </w:rPr>
        <w:t xml:space="preserve"> </w:t>
      </w:r>
      <w:r>
        <w:rPr>
          <w:position w:val="7"/>
          <w:sz w:val="16"/>
          <w:vertAlign w:val="baseline"/>
        </w:rPr>
        <w:t>—</w:t>
      </w:r>
      <w:r>
        <w:rPr>
          <w:rFonts w:ascii="Times New Roman" w:eastAsia="Times New Roman" w:hAnsi="Times New Roman"/>
          <w:vertAlign w:val="baseline"/>
        </w:rPr>
        <w:t>&gt;BF</w:t>
      </w:r>
      <w:r>
        <w:rPr>
          <w:rFonts w:ascii="Times New Roman" w:eastAsia="Times New Roman" w:hAnsi="Times New Roman"/>
          <w:spacing w:val="26"/>
          <w:vertAlign w:val="baseline"/>
        </w:rPr>
        <w:t xml:space="preserve"> </w:t>
      </w:r>
      <w:r>
        <w:rPr>
          <w:position w:val="7"/>
          <w:sz w:val="16"/>
          <w:vertAlign w:val="baseline"/>
        </w:rPr>
        <w:t>—</w:t>
      </w:r>
      <w:r>
        <w:rPr>
          <w:rFonts w:ascii="Times New Roman" w:eastAsia="Times New Roman" w:hAnsi="Times New Roman"/>
          <w:vertAlign w:val="baseline"/>
        </w:rPr>
        <w:t>&gt;CF</w:t>
      </w:r>
      <w:r>
        <w:rPr>
          <w:rFonts w:ascii="Times New Roman" w:eastAsia="Times New Roman" w:hAnsi="Times New Roman"/>
          <w:spacing w:val="26"/>
          <w:vertAlign w:val="baseline"/>
        </w:rPr>
        <w:t xml:space="preserve"> </w:t>
      </w:r>
      <w:r>
        <w:rPr>
          <w:rFonts w:ascii="Times New Roman" w:eastAsia="Times New Roman" w:hAnsi="Times New Roman"/>
          <w:vertAlign w:val="baseline"/>
        </w:rPr>
        <w:t>SO</w:t>
      </w:r>
      <w:r>
        <w:rPr>
          <w:rFonts w:ascii="Times New Roman" w:eastAsia="Times New Roman" w:hAnsi="Times New Roman"/>
          <w:spacing w:val="27"/>
          <w:vertAlign w:val="baseline"/>
        </w:rPr>
        <w:t xml:space="preserve"> </w:t>
      </w:r>
      <w:r>
        <w:rPr>
          <w:position w:val="7"/>
          <w:sz w:val="16"/>
          <w:vertAlign w:val="baseline"/>
        </w:rPr>
        <w:t>—</w:t>
      </w:r>
      <w:r>
        <w:rPr>
          <w:rFonts w:ascii="Times New Roman" w:eastAsia="Times New Roman" w:hAnsi="Times New Roman"/>
          <w:vertAlign w:val="baseline"/>
        </w:rPr>
        <w:t>&gt;CF</w:t>
      </w:r>
      <w:r>
        <w:rPr>
          <w:rFonts w:ascii="Times New Roman" w:eastAsia="Times New Roman" w:hAnsi="Times New Roman"/>
          <w:spacing w:val="26"/>
          <w:vertAlign w:val="baseline"/>
        </w:rPr>
        <w:t xml:space="preserve"> </w:t>
      </w:r>
      <w:r>
        <w:rPr>
          <w:rFonts w:ascii="Times New Roman" w:eastAsia="Times New Roman" w:hAnsi="Times New Roman"/>
          <w:vertAlign w:val="baseline"/>
        </w:rPr>
        <w:t>CO</w:t>
      </w:r>
      <w:r>
        <w:rPr>
          <w:rFonts w:ascii="Times New Roman" w:eastAsia="Times New Roman" w:hAnsi="Times New Roman"/>
          <w:spacing w:val="27"/>
          <w:vertAlign w:val="baseline"/>
        </w:rPr>
        <w:t xml:space="preserve"> </w:t>
      </w:r>
      <w:r>
        <w:rPr>
          <w:position w:val="7"/>
          <w:sz w:val="16"/>
          <w:vertAlign w:val="baseline"/>
        </w:rPr>
        <w:t>—</w:t>
      </w:r>
      <w:r>
        <w:rPr>
          <w:spacing w:val="-18"/>
          <w:vertAlign w:val="baseline"/>
        </w:rPr>
        <w:t xml:space="preserve">。但 </w:t>
      </w:r>
      <w:r>
        <w:rPr>
          <w:rFonts w:ascii="Times New Roman" w:eastAsia="Times New Roman" w:hAnsi="Times New Roman"/>
          <w:vertAlign w:val="baseline"/>
        </w:rPr>
        <w:t xml:space="preserve">Bowlas </w:t>
      </w:r>
      <w:r>
        <w:rPr>
          <w:vertAlign w:val="baseline"/>
        </w:rPr>
        <w:t>等人在研究正烷基</w:t>
      </w:r>
      <w:r>
        <w:rPr>
          <w:spacing w:val="-13"/>
          <w:vertAlign w:val="baseline"/>
        </w:rPr>
        <w:t xml:space="preserve">吡啶类 </w:t>
      </w:r>
      <w:r>
        <w:rPr>
          <w:rFonts w:ascii="Times New Roman" w:eastAsia="Times New Roman" w:hAnsi="Times New Roman"/>
          <w:vertAlign w:val="baseline"/>
        </w:rPr>
        <w:t xml:space="preserve">ILs </w:t>
      </w:r>
      <w:r>
        <w:rPr>
          <w:spacing w:val="8"/>
          <w:vertAlign w:val="baseline"/>
        </w:rPr>
        <w:t>时发现：如果用</w:t>
      </w:r>
      <w:r>
        <w:rPr>
          <w:rFonts w:ascii="Times New Roman" w:eastAsia="Times New Roman" w:hAnsi="Times New Roman"/>
          <w:vertAlign w:val="baseline"/>
        </w:rPr>
        <w:t>NiC1</w:t>
      </w:r>
      <w:r>
        <w:rPr>
          <w:rFonts w:ascii="Times New Roman" w:eastAsia="Times New Roman" w:hAnsi="Times New Roman"/>
          <w:vertAlign w:val="subscript"/>
        </w:rPr>
        <w:t>4</w:t>
      </w:r>
      <w:r>
        <w:rPr>
          <w:rFonts w:ascii="Times New Roman" w:eastAsia="Times New Roman" w:hAnsi="Times New Roman"/>
          <w:spacing w:val="-14"/>
          <w:vertAlign w:val="baseline"/>
        </w:rPr>
        <w:t xml:space="preserve"> </w:t>
      </w:r>
      <w:r>
        <w:rPr>
          <w:vertAlign w:val="baseline"/>
        </w:rPr>
        <w:t>替代氯离子，熔点反而升高，这阐明除了阴离子大</w:t>
      </w:r>
      <w:r>
        <w:rPr>
          <w:spacing w:val="-6"/>
          <w:vertAlign w:val="baseline"/>
        </w:rPr>
        <w:t xml:space="preserve">小影响 </w:t>
      </w:r>
      <w:r>
        <w:rPr>
          <w:rFonts w:ascii="Times New Roman" w:eastAsia="Times New Roman" w:hAnsi="Times New Roman"/>
          <w:vertAlign w:val="baseline"/>
        </w:rPr>
        <w:t xml:space="preserve">ILs </w:t>
      </w:r>
      <w:r>
        <w:rPr>
          <w:vertAlign w:val="baseline"/>
        </w:rPr>
        <w:t>的熔点外尚有其它决定因素，尚有待进一步的研究。</w:t>
      </w:r>
    </w:p>
    <w:p>
      <w:pPr>
        <w:pStyle w:val="Heading3"/>
        <w:numPr>
          <w:ilvl w:val="2"/>
          <w:numId w:val="8"/>
        </w:numPr>
        <w:tabs>
          <w:tab w:val="left" w:pos="771"/>
        </w:tabs>
        <w:spacing w:before="233" w:after="0" w:line="240" w:lineRule="auto"/>
        <w:ind w:left="771" w:right="0" w:hanging="630"/>
        <w:jc w:val="left"/>
      </w:pPr>
      <w:bookmarkStart w:id="8" w:name="_TOC_250032"/>
      <w:bookmarkEnd w:id="8"/>
      <w:r>
        <w:rPr>
          <w:spacing w:val="-2"/>
        </w:rPr>
        <w:t>离子液体的密度</w:t>
      </w:r>
    </w:p>
    <w:p>
      <w:pPr>
        <w:pStyle w:val="BodyText"/>
        <w:spacing w:before="179" w:line="343" w:lineRule="auto"/>
        <w:ind w:right="215" w:firstLine="360"/>
      </w:pPr>
      <w:r>
        <w:rPr>
          <w:spacing w:val="-8"/>
        </w:rPr>
        <w:t xml:space="preserve">至今所测试过的大部分 </w:t>
      </w:r>
      <w:r>
        <w:rPr>
          <w:rFonts w:ascii="Times New Roman" w:eastAsia="Times New Roman"/>
          <w:spacing w:val="-2"/>
        </w:rPr>
        <w:t xml:space="preserve">ILs </w:t>
      </w:r>
      <w:r>
        <w:rPr>
          <w:spacing w:val="-2"/>
        </w:rPr>
        <w:t>的密度都超出了水</w:t>
      </w:r>
      <w:r>
        <w:rPr>
          <w:rFonts w:ascii="Times New Roman" w:eastAsia="Times New Roman"/>
          <w:spacing w:val="-2"/>
          <w:vertAlign w:val="superscript"/>
        </w:rPr>
        <w:t>[13]</w:t>
      </w:r>
      <w:r>
        <w:rPr>
          <w:spacing w:val="-10"/>
          <w:vertAlign w:val="baseline"/>
        </w:rPr>
        <w:t xml:space="preserve">，且普遍认为 </w:t>
      </w:r>
      <w:r>
        <w:rPr>
          <w:rFonts w:ascii="Times New Roman" w:eastAsia="Times New Roman"/>
          <w:spacing w:val="-2"/>
          <w:vertAlign w:val="baseline"/>
        </w:rPr>
        <w:t xml:space="preserve">ILs </w:t>
      </w:r>
      <w:r>
        <w:rPr>
          <w:spacing w:val="-2"/>
          <w:vertAlign w:val="baseline"/>
        </w:rPr>
        <w:t>的密度与其阴、</w:t>
      </w:r>
      <w:r>
        <w:rPr>
          <w:vertAlign w:val="baseline"/>
        </w:rPr>
        <w:t>阳离子有很大关系。普通，</w:t>
      </w:r>
      <w:r>
        <w:rPr>
          <w:rFonts w:ascii="Times New Roman" w:eastAsia="Times New Roman"/>
          <w:vertAlign w:val="baseline"/>
        </w:rPr>
        <w:t xml:space="preserve">ILs </w:t>
      </w:r>
      <w:r>
        <w:rPr>
          <w:vertAlign w:val="baseline"/>
        </w:rPr>
        <w:t>的密度会随着其阴离子变大，而明显增大；同时，会</w:t>
      </w:r>
      <w:r>
        <w:rPr>
          <w:spacing w:val="-9"/>
          <w:vertAlign w:val="baseline"/>
        </w:rPr>
        <w:t>随着其有机阳离子的变大而变小。通过比较含不同烷基取代基咪唑阳离子的氯铝酸盐</w:t>
      </w:r>
      <w:r>
        <w:rPr>
          <w:spacing w:val="-2"/>
          <w:vertAlign w:val="baseline"/>
        </w:rPr>
        <w:t>的密度可知</w:t>
      </w:r>
      <w:r>
        <w:rPr>
          <w:rFonts w:ascii="Times New Roman" w:eastAsia="Times New Roman"/>
          <w:spacing w:val="-2"/>
          <w:vertAlign w:val="superscript"/>
        </w:rPr>
        <w:t>[14]</w:t>
      </w:r>
      <w:r>
        <w:rPr>
          <w:spacing w:val="-5"/>
          <w:vertAlign w:val="baseline"/>
        </w:rPr>
        <w:t>，氯铝酸盐的密度与其阳离子上烷基链长呈线性关系，即氯铝酸盐的密</w:t>
      </w:r>
      <w:r>
        <w:rPr>
          <w:spacing w:val="9"/>
          <w:vertAlign w:val="baseline"/>
        </w:rPr>
        <w:t>度随着烷基取代基的增大而减小； 随着氯化铝摩尔比例的增加而增加； 这与</w:t>
      </w:r>
      <w:r>
        <w:rPr>
          <w:vertAlign w:val="baseline"/>
        </w:rPr>
        <w:t xml:space="preserve"> </w:t>
      </w:r>
      <w:r>
        <w:rPr>
          <w:rFonts w:ascii="Times New Roman" w:eastAsia="Times New Roman"/>
          <w:vertAlign w:val="baseline"/>
        </w:rPr>
        <w:t xml:space="preserve">C.P.Fredlake </w:t>
      </w:r>
      <w:r>
        <w:rPr>
          <w:vertAlign w:val="baseline"/>
        </w:rPr>
        <w:t>等的研究成果一致，</w:t>
      </w:r>
      <w:r>
        <w:rPr>
          <w:rFonts w:ascii="Times New Roman" w:eastAsia="Times New Roman"/>
          <w:vertAlign w:val="baseline"/>
        </w:rPr>
        <w:t xml:space="preserve">ILs </w:t>
      </w:r>
      <w:r>
        <w:rPr>
          <w:vertAlign w:val="baseline"/>
        </w:rPr>
        <w:t>的密度也与温度有关，且与温度呈线性关系。</w:t>
      </w:r>
    </w:p>
    <w:p>
      <w:pPr>
        <w:pStyle w:val="Heading3"/>
        <w:numPr>
          <w:ilvl w:val="2"/>
          <w:numId w:val="8"/>
        </w:numPr>
        <w:tabs>
          <w:tab w:val="left" w:pos="771"/>
        </w:tabs>
        <w:spacing w:before="232" w:after="0" w:line="240" w:lineRule="auto"/>
        <w:ind w:left="771" w:right="0" w:hanging="630"/>
        <w:jc w:val="left"/>
      </w:pPr>
      <w:bookmarkStart w:id="9" w:name="_TOC_250031"/>
      <w:bookmarkEnd w:id="9"/>
      <w:r>
        <w:rPr>
          <w:spacing w:val="-2"/>
        </w:rPr>
        <w:t>离子液体的溶解性</w:t>
      </w:r>
    </w:p>
    <w:p>
      <w:pPr>
        <w:pStyle w:val="BodyText"/>
        <w:spacing w:before="179" w:line="343" w:lineRule="auto"/>
        <w:ind w:right="335" w:firstLine="360"/>
        <w:jc w:val="both"/>
      </w:pPr>
      <w:r>
        <w:rPr>
          <w:spacing w:val="-6"/>
        </w:rPr>
        <w:t xml:space="preserve">有机阳离子和无机阴离子构成的 </w:t>
      </w:r>
      <w:r>
        <w:rPr>
          <w:rFonts w:ascii="Times New Roman" w:eastAsia="Times New Roman"/>
          <w:spacing w:val="-6"/>
        </w:rPr>
        <w:t>ILs</w:t>
      </w:r>
      <w:r>
        <w:rPr>
          <w:spacing w:val="-6"/>
        </w:rPr>
        <w:t>，兼含有机物和无机物的某些性质，因此，含</w:t>
      </w:r>
      <w:r>
        <w:rPr>
          <w:spacing w:val="-4"/>
        </w:rPr>
        <w:t>有极佳的溶解性，能够溶解部分有机物、无机物以及聚合物等，是诸多化学反映的优</w:t>
      </w:r>
      <w:r>
        <w:t>良绿色溶剂。这重要是由于与其它溶剂相比，</w:t>
      </w:r>
      <w:r>
        <w:rPr>
          <w:rFonts w:ascii="Times New Roman" w:eastAsia="Times New Roman"/>
        </w:rPr>
        <w:t>ILs</w:t>
      </w:r>
      <w:r>
        <w:rPr>
          <w:rFonts w:ascii="Times New Roman" w:eastAsia="Times New Roman"/>
          <w:spacing w:val="-15"/>
        </w:rPr>
        <w:t xml:space="preserve"> </w:t>
      </w:r>
      <w:r>
        <w:t>的内部存在相称大的库仑力，使其</w:t>
      </w:r>
      <w:r>
        <w:rPr>
          <w:spacing w:val="-2"/>
        </w:rPr>
        <w:t>含有很强的极性。</w:t>
      </w:r>
    </w:p>
    <w:p>
      <w:pPr>
        <w:pStyle w:val="BodyText"/>
        <w:spacing w:before="1" w:line="343" w:lineRule="auto"/>
        <w:ind w:right="215" w:firstLine="360"/>
        <w:jc w:val="both"/>
        <w:rPr>
          <w:rFonts w:ascii="Times New Roman" w:eastAsia="Times New Roman"/>
          <w:sz w:val="16"/>
        </w:rPr>
      </w:pPr>
      <w:r>
        <w:rPr>
          <w:spacing w:val="-2"/>
        </w:rPr>
        <w:t>不难看出，</w:t>
      </w:r>
      <w:r>
        <w:rPr>
          <w:rFonts w:ascii="Times New Roman" w:eastAsia="Times New Roman"/>
          <w:spacing w:val="-2"/>
        </w:rPr>
        <w:t xml:space="preserve">ILs </w:t>
      </w:r>
      <w:r>
        <w:rPr>
          <w:spacing w:val="-2"/>
        </w:rPr>
        <w:t>的溶解性与其阴、阳离子之间有紧密联系。</w:t>
      </w:r>
      <w:r>
        <w:rPr>
          <w:rFonts w:ascii="Times New Roman" w:eastAsia="Times New Roman"/>
          <w:spacing w:val="-2"/>
        </w:rPr>
        <w:t>Keim</w:t>
      </w:r>
      <w:r>
        <w:rPr>
          <w:rFonts w:ascii="Times New Roman" w:eastAsia="Times New Roman"/>
          <w:spacing w:val="-2"/>
          <w:position w:val="7"/>
          <w:sz w:val="16"/>
        </w:rPr>
        <w:t>[15]</w:t>
      </w:r>
      <w:r>
        <w:rPr>
          <w:spacing w:val="-11"/>
        </w:rPr>
        <w:t>等人研究发现：</w:t>
      </w:r>
      <w:r>
        <w:rPr>
          <w:spacing w:val="-1"/>
        </w:rPr>
        <w:t xml:space="preserve">通过调节阳离子的烷基取代基链长能够优化 </w:t>
      </w:r>
      <w:r>
        <w:rPr>
          <w:rFonts w:ascii="Times New Roman" w:eastAsia="Times New Roman"/>
        </w:rPr>
        <w:t xml:space="preserve">ILs </w:t>
      </w:r>
      <w:r>
        <w:t>的溶解性，如：正辛烯在</w:t>
      </w:r>
      <w:r>
        <w:rPr>
          <w:rFonts w:ascii="Times New Roman" w:eastAsia="Times New Roman"/>
        </w:rPr>
        <w:t>(MeEt</w:t>
      </w:r>
      <w:r>
        <w:rPr>
          <w:rFonts w:ascii="Times New Roman" w:eastAsia="Times New Roman"/>
          <w:vertAlign w:val="subscript"/>
        </w:rPr>
        <w:t>3</w:t>
      </w:r>
      <w:r>
        <w:rPr>
          <w:rFonts w:ascii="Times New Roman" w:eastAsia="Times New Roman"/>
          <w:vertAlign w:val="baseline"/>
        </w:rPr>
        <w:t>N)</w:t>
      </w:r>
      <w:r>
        <w:rPr>
          <w:rFonts w:ascii="Times New Roman" w:eastAsia="Times New Roman"/>
          <w:position w:val="7"/>
          <w:sz w:val="16"/>
          <w:vertAlign w:val="baseline"/>
        </w:rPr>
        <w:t>+</w:t>
      </w:r>
    </w:p>
    <w:p>
      <w:pPr>
        <w:spacing w:after="0" w:line="343" w:lineRule="auto"/>
        <w:jc w:val="both"/>
        <w:rPr>
          <w:rFonts w:ascii="Times New Roman" w:eastAsia="Times New Roman"/>
          <w:sz w:val="16"/>
        </w:rPr>
        <w:sectPr>
          <w:pgSz w:w="11910" w:h="16840"/>
          <w:pgMar w:top="1400" w:right="1080" w:bottom="280" w:left="1560" w:header="708" w:footer="708"/>
          <w:pgNumType w:start="11"/>
          <w:cols w:space="708"/>
        </w:sectPr>
      </w:pPr>
    </w:p>
    <w:p>
      <w:pPr>
        <w:pStyle w:val="BodyText"/>
        <w:spacing w:before="52" w:line="343" w:lineRule="auto"/>
        <w:ind w:right="335"/>
        <w:jc w:val="both"/>
      </w:pPr>
      <w:r>
        <w:pict>
          <v:shape id="_x0000_s1040" type="#_x0000_t202" style="width:4pt;height:8.9pt;margin-top:75.27pt;margin-left:512.4pt;mso-position-horizontal-relative:page;position:absolute;z-index:-251653120" filled="f" stroked="f">
            <v:textbox inset="0,0,0,0">
              <w:txbxContent>
                <w:p>
                  <w:pPr>
                    <w:spacing w:before="0" w:line="177" w:lineRule="exact"/>
                    <w:ind w:left="0" w:right="0" w:firstLine="0"/>
                    <w:jc w:val="left"/>
                    <w:rPr>
                      <w:rFonts w:ascii="Times New Roman"/>
                      <w:sz w:val="16"/>
                    </w:rPr>
                  </w:pPr>
                  <w:r>
                    <w:rPr>
                      <w:rFonts w:ascii="Times New Roman"/>
                      <w:sz w:val="16"/>
                    </w:rPr>
                    <w:t>3</w:t>
                  </w:r>
                </w:p>
              </w:txbxContent>
            </v:textbox>
          </v:shape>
        </w:pict>
      </w:r>
      <w:r>
        <w:pict>
          <v:shape id="_x0000_s1041" type="#_x0000_t202" style="width:65.05pt;height:8.9pt;margin-top:97.27pt;margin-left:207.06pt;mso-position-horizontal-relative:page;position:absolute;z-index:-251652096" filled="f" stroked="f">
            <v:textbox inset="0,0,0,0">
              <w:txbxContent>
                <w:p>
                  <w:pPr>
                    <w:tabs>
                      <w:tab w:val="left" w:pos="833"/>
                      <w:tab w:val="left" w:pos="1220"/>
                    </w:tabs>
                    <w:spacing w:before="0" w:line="177" w:lineRule="exact"/>
                    <w:ind w:left="0" w:right="0" w:firstLine="0"/>
                    <w:jc w:val="left"/>
                    <w:rPr>
                      <w:rFonts w:ascii="Times New Roman"/>
                      <w:sz w:val="16"/>
                    </w:rPr>
                  </w:pPr>
                  <w:r>
                    <w:rPr>
                      <w:rFonts w:ascii="Times New Roman"/>
                      <w:spacing w:val="-10"/>
                      <w:sz w:val="16"/>
                    </w:rPr>
                    <w:t>6</w:t>
                  </w:r>
                  <w:r>
                    <w:rPr>
                      <w:rFonts w:ascii="Times New Roman"/>
                      <w:sz w:val="16"/>
                    </w:rPr>
                    <w:tab/>
                  </w:r>
                  <w:r>
                    <w:rPr>
                      <w:rFonts w:ascii="Times New Roman"/>
                      <w:spacing w:val="-10"/>
                      <w:sz w:val="16"/>
                    </w:rPr>
                    <w:t>3</w:t>
                  </w:r>
                  <w:r>
                    <w:rPr>
                      <w:rFonts w:ascii="Times New Roman"/>
                      <w:sz w:val="16"/>
                    </w:rPr>
                    <w:tab/>
                  </w:r>
                  <w:r>
                    <w:rPr>
                      <w:rFonts w:ascii="Times New Roman"/>
                      <w:spacing w:val="-10"/>
                      <w:sz w:val="16"/>
                    </w:rPr>
                    <w:t>2</w:t>
                  </w:r>
                </w:p>
              </w:txbxContent>
            </v:textbox>
          </v:shape>
        </w:pict>
      </w:r>
      <w:r>
        <w:rPr>
          <w:spacing w:val="-2"/>
        </w:rPr>
        <w:t>（</w:t>
      </w:r>
      <w:r>
        <w:rPr>
          <w:rFonts w:ascii="Times New Roman" w:eastAsia="Times New Roman" w:hAnsi="Times New Roman"/>
          <w:spacing w:val="-2"/>
        </w:rPr>
        <w:t>p-MePhSO</w:t>
      </w:r>
      <w:r>
        <w:rPr>
          <w:rFonts w:ascii="Times New Roman" w:eastAsia="Times New Roman" w:hAnsi="Times New Roman"/>
          <w:spacing w:val="-2"/>
          <w:vertAlign w:val="subscript"/>
        </w:rPr>
        <w:t>3</w:t>
      </w:r>
      <w:r>
        <w:rPr>
          <w:rFonts w:ascii="Times New Roman" w:eastAsia="Times New Roman" w:hAnsi="Times New Roman"/>
          <w:spacing w:val="-2"/>
          <w:vertAlign w:val="baseline"/>
        </w:rPr>
        <w:t>)</w:t>
      </w:r>
      <w:r>
        <w:rPr>
          <w:spacing w:val="-2"/>
          <w:position w:val="7"/>
          <w:sz w:val="16"/>
          <w:vertAlign w:val="baseline"/>
        </w:rPr>
        <w:t>—</w:t>
      </w:r>
      <w:r>
        <w:rPr>
          <w:spacing w:val="-2"/>
          <w:vertAlign w:val="baseline"/>
        </w:rPr>
        <w:t>中不溶，但在</w:t>
      </w:r>
      <w:r>
        <w:rPr>
          <w:rFonts w:ascii="Times New Roman" w:eastAsia="Times New Roman" w:hAnsi="Times New Roman"/>
          <w:spacing w:val="-2"/>
          <w:vertAlign w:val="baseline"/>
        </w:rPr>
        <w:t>[Me(n-e6H</w:t>
      </w:r>
      <w:r>
        <w:rPr>
          <w:rFonts w:ascii="Times New Roman" w:eastAsia="Times New Roman" w:hAnsi="Times New Roman"/>
          <w:spacing w:val="-2"/>
          <w:vertAlign w:val="subscript"/>
        </w:rPr>
        <w:t>ll</w:t>
      </w:r>
      <w:r>
        <w:rPr>
          <w:rFonts w:ascii="Times New Roman" w:eastAsia="Times New Roman" w:hAnsi="Times New Roman"/>
          <w:spacing w:val="-2"/>
          <w:vertAlign w:val="baseline"/>
        </w:rPr>
        <w:t>)</w:t>
      </w:r>
      <w:r>
        <w:rPr>
          <w:rFonts w:ascii="Times New Roman" w:eastAsia="Times New Roman" w:hAnsi="Times New Roman"/>
          <w:spacing w:val="-2"/>
          <w:vertAlign w:val="subscript"/>
        </w:rPr>
        <w:t>3</w:t>
      </w:r>
      <w:r>
        <w:rPr>
          <w:rFonts w:ascii="Times New Roman" w:eastAsia="Times New Roman" w:hAnsi="Times New Roman"/>
          <w:spacing w:val="-2"/>
          <w:vertAlign w:val="baseline"/>
        </w:rPr>
        <w:t>N</w:t>
      </w:r>
      <w:r>
        <w:rPr>
          <w:rFonts w:ascii="Times New Roman" w:eastAsia="Times New Roman" w:hAnsi="Times New Roman"/>
          <w:spacing w:val="-5"/>
          <w:vertAlign w:val="baseline"/>
        </w:rPr>
        <w:t xml:space="preserve">] </w:t>
      </w:r>
      <w:r>
        <w:rPr>
          <w:rFonts w:ascii="Times New Roman" w:eastAsia="Times New Roman" w:hAnsi="Times New Roman"/>
          <w:spacing w:val="-2"/>
          <w:position w:val="7"/>
          <w:sz w:val="16"/>
          <w:vertAlign w:val="baseline"/>
        </w:rPr>
        <w:t>+</w:t>
      </w:r>
      <w:r>
        <w:rPr>
          <w:spacing w:val="-2"/>
          <w:vertAlign w:val="baseline"/>
        </w:rPr>
        <w:t>（</w:t>
      </w:r>
      <w:r>
        <w:rPr>
          <w:rFonts w:ascii="Times New Roman" w:eastAsia="Times New Roman" w:hAnsi="Times New Roman"/>
          <w:spacing w:val="-2"/>
          <w:vertAlign w:val="baseline"/>
        </w:rPr>
        <w:t>p-MePhSO</w:t>
      </w:r>
      <w:r>
        <w:rPr>
          <w:rFonts w:ascii="Times New Roman" w:eastAsia="Times New Roman" w:hAnsi="Times New Roman"/>
          <w:spacing w:val="-2"/>
          <w:vertAlign w:val="subscript"/>
        </w:rPr>
        <w:t>3</w:t>
      </w:r>
      <w:r>
        <w:rPr>
          <w:rFonts w:ascii="Times New Roman" w:eastAsia="Times New Roman" w:hAnsi="Times New Roman"/>
          <w:spacing w:val="-2"/>
          <w:vertAlign w:val="baseline"/>
        </w:rPr>
        <w:t>)</w:t>
      </w:r>
      <w:r>
        <w:rPr>
          <w:spacing w:val="-2"/>
          <w:position w:val="7"/>
          <w:sz w:val="16"/>
          <w:vertAlign w:val="baseline"/>
        </w:rPr>
        <w:t>—</w:t>
      </w:r>
      <w:r>
        <w:rPr>
          <w:spacing w:val="-2"/>
          <w:vertAlign w:val="baseline"/>
        </w:rPr>
        <w:t>中能溶解，由正辛烯在</w:t>
      </w:r>
      <w:r>
        <w:rPr>
          <w:spacing w:val="-4"/>
          <w:vertAlign w:val="baseline"/>
        </w:rPr>
        <w:t xml:space="preserve">含相似甲苯磺酸根阴离子季按盐 </w:t>
      </w:r>
      <w:r>
        <w:rPr>
          <w:rFonts w:ascii="Times New Roman" w:eastAsia="Times New Roman" w:hAnsi="Times New Roman"/>
          <w:spacing w:val="-2"/>
          <w:vertAlign w:val="baseline"/>
        </w:rPr>
        <w:t>ILs</w:t>
      </w:r>
      <w:r>
        <w:rPr>
          <w:rFonts w:ascii="Times New Roman" w:eastAsia="Times New Roman" w:hAnsi="Times New Roman"/>
          <w:spacing w:val="-13"/>
          <w:vertAlign w:val="baseline"/>
        </w:rPr>
        <w:t xml:space="preserve"> </w:t>
      </w:r>
      <w:r>
        <w:rPr>
          <w:spacing w:val="-4"/>
          <w:vertAlign w:val="baseline"/>
        </w:rPr>
        <w:t xml:space="preserve">中的溶解性能够看出，随着 </w:t>
      </w:r>
      <w:r>
        <w:rPr>
          <w:rFonts w:ascii="Times New Roman" w:eastAsia="Times New Roman" w:hAnsi="Times New Roman"/>
          <w:spacing w:val="-2"/>
          <w:vertAlign w:val="baseline"/>
        </w:rPr>
        <w:t>ILs</w:t>
      </w:r>
      <w:r>
        <w:rPr>
          <w:rFonts w:ascii="Times New Roman" w:eastAsia="Times New Roman" w:hAnsi="Times New Roman"/>
          <w:spacing w:val="-13"/>
          <w:vertAlign w:val="baseline"/>
        </w:rPr>
        <w:t xml:space="preserve"> </w:t>
      </w:r>
      <w:r>
        <w:rPr>
          <w:spacing w:val="-2"/>
          <w:vertAlign w:val="baseline"/>
        </w:rPr>
        <w:t>阳离子取代基侧</w:t>
      </w:r>
      <w:r>
        <w:rPr>
          <w:spacing w:val="-4"/>
          <w:vertAlign w:val="baseline"/>
        </w:rPr>
        <w:t>链链长的增加，即非极性特性增加，正辛烯的溶解性是变大的；同样，含有相似阳离</w:t>
      </w:r>
      <w:r>
        <w:rPr>
          <w:spacing w:val="-7"/>
          <w:vertAlign w:val="baseline"/>
        </w:rPr>
        <w:t xml:space="preserve">子、不同阴离子的 </w:t>
      </w:r>
      <w:r>
        <w:rPr>
          <w:rFonts w:ascii="Times New Roman" w:eastAsia="Times New Roman" w:hAnsi="Times New Roman"/>
          <w:spacing w:val="-4"/>
          <w:vertAlign w:val="baseline"/>
        </w:rPr>
        <w:t>ILs</w:t>
      </w:r>
      <w:r>
        <w:rPr>
          <w:rFonts w:ascii="Times New Roman" w:eastAsia="Times New Roman" w:hAnsi="Times New Roman"/>
          <w:spacing w:val="-11"/>
          <w:vertAlign w:val="baseline"/>
        </w:rPr>
        <w:t xml:space="preserve"> </w:t>
      </w:r>
      <w:r>
        <w:rPr>
          <w:spacing w:val="-6"/>
          <w:vertAlign w:val="baseline"/>
        </w:rPr>
        <w:t xml:space="preserve">的溶解性也有明显差别，如 </w:t>
      </w:r>
      <w:r>
        <w:rPr>
          <w:rFonts w:ascii="Times New Roman" w:eastAsia="Times New Roman" w:hAnsi="Times New Roman"/>
          <w:spacing w:val="-4"/>
          <w:vertAlign w:val="baseline"/>
        </w:rPr>
        <w:t>C</w:t>
      </w:r>
      <w:r>
        <w:rPr>
          <w:rFonts w:ascii="Times New Roman" w:eastAsia="Times New Roman" w:hAnsi="Times New Roman"/>
          <w:spacing w:val="-4"/>
          <w:vertAlign w:val="subscript"/>
        </w:rPr>
        <w:t>3</w:t>
      </w:r>
      <w:r>
        <w:rPr>
          <w:rFonts w:ascii="Times New Roman" w:eastAsia="Times New Roman" w:hAnsi="Times New Roman"/>
          <w:spacing w:val="-4"/>
          <w:vertAlign w:val="baseline"/>
        </w:rPr>
        <w:t>F</w:t>
      </w:r>
      <w:r>
        <w:rPr>
          <w:rFonts w:ascii="Times New Roman" w:eastAsia="Times New Roman" w:hAnsi="Times New Roman"/>
          <w:spacing w:val="-4"/>
          <w:vertAlign w:val="subscript"/>
        </w:rPr>
        <w:t>7</w:t>
      </w:r>
      <w:r>
        <w:rPr>
          <w:rFonts w:ascii="Times New Roman" w:eastAsia="Times New Roman" w:hAnsi="Times New Roman"/>
          <w:spacing w:val="-4"/>
          <w:vertAlign w:val="baseline"/>
        </w:rPr>
        <w:t>COO</w:t>
      </w:r>
      <w:r>
        <w:rPr>
          <w:spacing w:val="-4"/>
          <w:position w:val="7"/>
          <w:sz w:val="16"/>
          <w:vertAlign w:val="baseline"/>
        </w:rPr>
        <w:t>—</w:t>
      </w:r>
      <w:r>
        <w:rPr>
          <w:spacing w:val="-4"/>
          <w:vertAlign w:val="baseline"/>
        </w:rPr>
        <w:t>，</w:t>
      </w:r>
      <w:r>
        <w:rPr>
          <w:rFonts w:ascii="Times New Roman" w:eastAsia="Times New Roman" w:hAnsi="Times New Roman"/>
          <w:spacing w:val="-4"/>
          <w:vertAlign w:val="baseline"/>
        </w:rPr>
        <w:t>CF</w:t>
      </w:r>
      <w:r>
        <w:rPr>
          <w:rFonts w:ascii="Times New Roman" w:eastAsia="Times New Roman" w:hAnsi="Times New Roman"/>
          <w:spacing w:val="-4"/>
          <w:vertAlign w:val="subscript"/>
        </w:rPr>
        <w:t>3</w:t>
      </w:r>
      <w:r>
        <w:rPr>
          <w:rFonts w:ascii="Times New Roman" w:eastAsia="Times New Roman" w:hAnsi="Times New Roman"/>
          <w:spacing w:val="-4"/>
          <w:vertAlign w:val="baseline"/>
        </w:rPr>
        <w:t>COO</w:t>
      </w:r>
      <w:r>
        <w:rPr>
          <w:spacing w:val="-4"/>
          <w:position w:val="7"/>
          <w:sz w:val="16"/>
          <w:vertAlign w:val="baseline"/>
        </w:rPr>
        <w:t>—</w:t>
      </w:r>
      <w:r>
        <w:rPr>
          <w:spacing w:val="-15"/>
          <w:vertAlign w:val="baseline"/>
        </w:rPr>
        <w:t xml:space="preserve">和 </w:t>
      </w:r>
      <w:r>
        <w:rPr>
          <w:rFonts w:ascii="Times New Roman" w:eastAsia="Times New Roman" w:hAnsi="Times New Roman"/>
          <w:spacing w:val="-4"/>
          <w:vertAlign w:val="baseline"/>
        </w:rPr>
        <w:t>CF</w:t>
      </w:r>
      <w:r>
        <w:rPr>
          <w:rFonts w:ascii="Times New Roman" w:eastAsia="Times New Roman" w:hAnsi="Times New Roman"/>
          <w:spacing w:val="-4"/>
          <w:vertAlign w:val="subscript"/>
        </w:rPr>
        <w:t>3</w:t>
      </w:r>
      <w:r>
        <w:rPr>
          <w:rFonts w:ascii="Times New Roman" w:eastAsia="Times New Roman" w:hAnsi="Times New Roman"/>
          <w:spacing w:val="-4"/>
          <w:vertAlign w:val="baseline"/>
        </w:rPr>
        <w:t>S0</w:t>
      </w:r>
      <w:r>
        <w:rPr>
          <w:rFonts w:ascii="Times New Roman" w:eastAsia="Times New Roman" w:hAnsi="Times New Roman"/>
          <w:spacing w:val="-1"/>
          <w:vertAlign w:val="baseline"/>
        </w:rPr>
        <w:t xml:space="preserve"> </w:t>
      </w:r>
      <w:r>
        <w:rPr>
          <w:spacing w:val="-4"/>
          <w:position w:val="7"/>
          <w:sz w:val="16"/>
          <w:vertAlign w:val="baseline"/>
        </w:rPr>
        <w:t>—</w:t>
      </w:r>
      <w:r>
        <w:rPr>
          <w:spacing w:val="-7"/>
          <w:vertAlign w:val="baseline"/>
        </w:rPr>
        <w:t xml:space="preserve">都是高水溶性的，但 </w:t>
      </w:r>
      <w:r>
        <w:rPr>
          <w:rFonts w:ascii="Times New Roman" w:eastAsia="Times New Roman" w:hAnsi="Times New Roman"/>
          <w:spacing w:val="-4"/>
          <w:vertAlign w:val="baseline"/>
        </w:rPr>
        <w:t>PF</w:t>
      </w:r>
      <w:r>
        <w:rPr>
          <w:rFonts w:ascii="Times New Roman" w:eastAsia="Times New Roman" w:hAnsi="Times New Roman"/>
          <w:spacing w:val="-11"/>
          <w:vertAlign w:val="baseline"/>
        </w:rPr>
        <w:t xml:space="preserve"> </w:t>
      </w:r>
      <w:r>
        <w:rPr>
          <w:spacing w:val="-4"/>
          <w:position w:val="7"/>
          <w:sz w:val="16"/>
          <w:vertAlign w:val="baseline"/>
        </w:rPr>
        <w:t>—</w:t>
      </w:r>
      <w:r>
        <w:rPr>
          <w:spacing w:val="-15"/>
          <w:vertAlign w:val="baseline"/>
        </w:rPr>
        <w:t xml:space="preserve">和 </w:t>
      </w:r>
      <w:r>
        <w:rPr>
          <w:rFonts w:ascii="Times New Roman" w:eastAsia="Times New Roman" w:hAnsi="Times New Roman"/>
          <w:spacing w:val="-4"/>
          <w:vertAlign w:val="baseline"/>
        </w:rPr>
        <w:t>CF</w:t>
      </w:r>
      <w:r>
        <w:rPr>
          <w:rFonts w:ascii="Times New Roman" w:eastAsia="Times New Roman" w:hAnsi="Times New Roman"/>
          <w:spacing w:val="-11"/>
          <w:vertAlign w:val="baseline"/>
        </w:rPr>
        <w:t xml:space="preserve"> </w:t>
      </w:r>
      <w:r>
        <w:rPr>
          <w:rFonts w:ascii="Times New Roman" w:eastAsia="Times New Roman" w:hAnsi="Times New Roman"/>
          <w:spacing w:val="-4"/>
          <w:vertAlign w:val="baseline"/>
        </w:rPr>
        <w:t>SO</w:t>
      </w:r>
      <w:r>
        <w:rPr>
          <w:rFonts w:ascii="Times New Roman" w:eastAsia="Times New Roman" w:hAnsi="Times New Roman"/>
          <w:spacing w:val="9"/>
          <w:vertAlign w:val="baseline"/>
        </w:rPr>
        <w:t xml:space="preserve"> </w:t>
      </w:r>
      <w:r>
        <w:rPr>
          <w:rFonts w:ascii="Times New Roman" w:eastAsia="Times New Roman" w:hAnsi="Times New Roman"/>
          <w:spacing w:val="-4"/>
          <w:vertAlign w:val="baseline"/>
        </w:rPr>
        <w:t>N</w:t>
      </w:r>
      <w:r>
        <w:rPr>
          <w:spacing w:val="-4"/>
          <w:position w:val="7"/>
          <w:sz w:val="16"/>
          <w:vertAlign w:val="baseline"/>
        </w:rPr>
        <w:t>—</w:t>
      </w:r>
      <w:r>
        <w:rPr>
          <w:spacing w:val="-6"/>
          <w:vertAlign w:val="baseline"/>
        </w:rPr>
        <w:t xml:space="preserve">的离子与水只能形成两相混合物。基于 </w:t>
      </w:r>
      <w:r>
        <w:rPr>
          <w:rFonts w:ascii="Times New Roman" w:eastAsia="Times New Roman" w:hAnsi="Times New Roman"/>
          <w:spacing w:val="-4"/>
          <w:vertAlign w:val="baseline"/>
        </w:rPr>
        <w:t>ILs</w:t>
      </w:r>
      <w:r>
        <w:rPr>
          <w:rFonts w:ascii="Times New Roman" w:eastAsia="Times New Roman" w:hAnsi="Times New Roman"/>
          <w:vertAlign w:val="baseline"/>
        </w:rPr>
        <w:t xml:space="preserve"> </w:t>
      </w:r>
      <w:r>
        <w:rPr>
          <w:spacing w:val="-4"/>
          <w:vertAlign w:val="baseline"/>
        </w:rPr>
        <w:t>有</w:t>
      </w:r>
      <w:r>
        <w:rPr>
          <w:spacing w:val="-4"/>
          <w:vertAlign w:val="baseline"/>
        </w:rPr>
        <w:t xml:space="preserve">良好的溶解性，能够用于萃取及分离工艺。表 </w:t>
      </w:r>
      <w:r>
        <w:rPr>
          <w:rFonts w:ascii="Times New Roman" w:eastAsia="Times New Roman" w:hAnsi="Times New Roman"/>
          <w:spacing w:val="-2"/>
          <w:vertAlign w:val="baseline"/>
        </w:rPr>
        <w:t>1.1</w:t>
      </w:r>
      <w:r>
        <w:rPr>
          <w:rFonts w:ascii="Times New Roman" w:eastAsia="Times New Roman" w:hAnsi="Times New Roman"/>
          <w:spacing w:val="-13"/>
          <w:vertAlign w:val="baseline"/>
        </w:rPr>
        <w:t xml:space="preserve"> </w:t>
      </w:r>
      <w:r>
        <w:rPr>
          <w:spacing w:val="-2"/>
          <w:vertAlign w:val="baseline"/>
        </w:rPr>
        <w:t>列出了部分有机溶剂在离子液体中</w:t>
      </w:r>
      <w:r>
        <w:rPr>
          <w:spacing w:val="-2"/>
          <w:vertAlign w:val="baseline"/>
        </w:rPr>
        <w:t>的溶解性。</w:t>
      </w:r>
    </w:p>
    <w:p>
      <w:pPr>
        <w:pStyle w:val="BodyText"/>
        <w:spacing w:before="12"/>
        <w:ind w:left="0"/>
        <w:rPr>
          <w:sz w:val="32"/>
        </w:rPr>
      </w:pPr>
    </w:p>
    <w:p>
      <w:pPr>
        <w:spacing w:before="0"/>
        <w:ind w:left="0" w:right="196" w:firstLine="0"/>
        <w:jc w:val="center"/>
        <w:rPr>
          <w:rFonts w:ascii="Microsoft JhengHei" w:eastAsia="Microsoft JhengHei"/>
          <w:b/>
          <w:sz w:val="24"/>
        </w:rPr>
      </w:pPr>
      <w:r>
        <w:rPr>
          <w:rFonts w:ascii="Microsoft JhengHei" w:eastAsia="Microsoft JhengHei"/>
          <w:b/>
          <w:spacing w:val="-1"/>
          <w:sz w:val="24"/>
        </w:rPr>
        <w:t xml:space="preserve">表 </w:t>
      </w:r>
      <w:r>
        <w:rPr>
          <w:rFonts w:ascii="Times New Roman" w:eastAsia="Times New Roman"/>
          <w:b/>
          <w:sz w:val="24"/>
        </w:rPr>
        <w:t xml:space="preserve">1.1 </w:t>
      </w:r>
      <w:r>
        <w:rPr>
          <w:rFonts w:ascii="Microsoft JhengHei" w:eastAsia="Microsoft JhengHei"/>
          <w:b/>
          <w:spacing w:val="-1"/>
          <w:sz w:val="24"/>
        </w:rPr>
        <w:t xml:space="preserve">有机溶剂在 </w:t>
      </w:r>
      <w:r>
        <w:rPr>
          <w:rFonts w:ascii="Times New Roman" w:eastAsia="Times New Roman"/>
          <w:b/>
          <w:sz w:val="24"/>
        </w:rPr>
        <w:t>ILs</w:t>
      </w:r>
      <w:r>
        <w:rPr>
          <w:rFonts w:ascii="Times New Roman" w:eastAsia="Times New Roman"/>
          <w:b/>
          <w:spacing w:val="-1"/>
          <w:sz w:val="24"/>
        </w:rPr>
        <w:t xml:space="preserve"> </w:t>
      </w:r>
      <w:r>
        <w:rPr>
          <w:rFonts w:ascii="Microsoft JhengHei" w:eastAsia="Microsoft JhengHei"/>
          <w:b/>
          <w:spacing w:val="-2"/>
          <w:sz w:val="24"/>
        </w:rPr>
        <w:t>中的溶解性</w:t>
      </w:r>
    </w:p>
    <w:p>
      <w:pPr>
        <w:tabs>
          <w:tab w:val="left" w:pos="1186"/>
        </w:tabs>
        <w:spacing w:before="94" w:after="59"/>
        <w:ind w:left="0" w:right="195" w:firstLine="0"/>
        <w:jc w:val="center"/>
        <w:rPr>
          <w:rFonts w:ascii="Times New Roman"/>
          <w:b/>
          <w:sz w:val="24"/>
        </w:rPr>
      </w:pPr>
      <w:r>
        <w:rPr>
          <w:rFonts w:ascii="Times New Roman"/>
          <w:b/>
          <w:sz w:val="24"/>
        </w:rPr>
        <w:t xml:space="preserve">Table </w:t>
      </w:r>
      <w:r>
        <w:rPr>
          <w:rFonts w:ascii="Times New Roman"/>
          <w:b/>
          <w:spacing w:val="-5"/>
          <w:sz w:val="24"/>
        </w:rPr>
        <w:t>1.1</w:t>
      </w:r>
      <w:r>
        <w:rPr>
          <w:rFonts w:ascii="Times New Roman"/>
          <w:b/>
          <w:sz w:val="24"/>
        </w:rPr>
        <w:tab/>
        <w:t>Solubility</w:t>
      </w:r>
      <w:r>
        <w:rPr>
          <w:rFonts w:ascii="Times New Roman"/>
          <w:b/>
          <w:spacing w:val="-6"/>
          <w:sz w:val="24"/>
        </w:rPr>
        <w:t xml:space="preserve"> </w:t>
      </w:r>
      <w:r>
        <w:rPr>
          <w:rFonts w:ascii="Times New Roman"/>
          <w:b/>
          <w:sz w:val="24"/>
        </w:rPr>
        <w:t>of</w:t>
      </w:r>
      <w:r>
        <w:rPr>
          <w:rFonts w:ascii="Times New Roman"/>
          <w:b/>
          <w:spacing w:val="-3"/>
          <w:sz w:val="24"/>
        </w:rPr>
        <w:t xml:space="preserve"> </w:t>
      </w:r>
      <w:r>
        <w:rPr>
          <w:rFonts w:ascii="Times New Roman"/>
          <w:b/>
          <w:sz w:val="24"/>
        </w:rPr>
        <w:t>organic</w:t>
      </w:r>
      <w:r>
        <w:rPr>
          <w:rFonts w:ascii="Times New Roman"/>
          <w:b/>
          <w:spacing w:val="-2"/>
          <w:sz w:val="24"/>
        </w:rPr>
        <w:t xml:space="preserve"> </w:t>
      </w:r>
      <w:r>
        <w:rPr>
          <w:rFonts w:ascii="Times New Roman"/>
          <w:b/>
          <w:sz w:val="24"/>
        </w:rPr>
        <w:t>solvent</w:t>
      </w:r>
      <w:r>
        <w:rPr>
          <w:rFonts w:ascii="Times New Roman"/>
          <w:b/>
          <w:spacing w:val="-4"/>
          <w:sz w:val="24"/>
        </w:rPr>
        <w:t xml:space="preserve"> </w:t>
      </w:r>
      <w:r>
        <w:rPr>
          <w:rFonts w:ascii="Times New Roman"/>
          <w:b/>
          <w:sz w:val="24"/>
        </w:rPr>
        <w:t>in</w:t>
      </w:r>
      <w:r>
        <w:rPr>
          <w:rFonts w:ascii="Times New Roman"/>
          <w:b/>
          <w:spacing w:val="-3"/>
          <w:sz w:val="24"/>
        </w:rPr>
        <w:t xml:space="preserve"> </w:t>
      </w:r>
      <w:r>
        <w:rPr>
          <w:rFonts w:ascii="Times New Roman"/>
          <w:b/>
          <w:sz w:val="24"/>
        </w:rPr>
        <w:t>ionic</w:t>
      </w:r>
      <w:r>
        <w:rPr>
          <w:rFonts w:ascii="Times New Roman"/>
          <w:b/>
          <w:spacing w:val="-2"/>
          <w:sz w:val="24"/>
        </w:rPr>
        <w:t xml:space="preserve"> liquids</w:t>
      </w:r>
    </w:p>
    <w:tbl>
      <w:tblPr>
        <w:tblStyle w:val="TableNormal0"/>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09"/>
        <w:gridCol w:w="620"/>
        <w:gridCol w:w="1573"/>
        <w:gridCol w:w="1676"/>
        <w:gridCol w:w="1593"/>
        <w:gridCol w:w="1972"/>
      </w:tblGrid>
      <w:tr>
        <w:tblPrEx>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00"/>
          <w:jc w:val="left"/>
        </w:trPr>
        <w:tc>
          <w:tcPr>
            <w:tcW w:w="1409" w:type="dxa"/>
            <w:tcBorders>
              <w:top w:val="single" w:sz="18" w:space="0" w:color="000000"/>
              <w:bottom w:val="single" w:sz="12" w:space="0" w:color="000000"/>
            </w:tcBorders>
          </w:tcPr>
          <w:p>
            <w:pPr>
              <w:pStyle w:val="TableParagraph"/>
              <w:spacing w:before="132"/>
              <w:rPr>
                <w:rFonts w:ascii="宋体" w:eastAsia="宋体"/>
                <w:sz w:val="24"/>
              </w:rPr>
            </w:pPr>
            <w:r>
              <w:rPr>
                <w:rFonts w:ascii="宋体" w:eastAsia="宋体"/>
                <w:spacing w:val="-5"/>
                <w:sz w:val="24"/>
              </w:rPr>
              <w:t>溶剂</w:t>
            </w:r>
          </w:p>
        </w:tc>
        <w:tc>
          <w:tcPr>
            <w:tcW w:w="620" w:type="dxa"/>
            <w:tcBorders>
              <w:top w:val="single" w:sz="18" w:space="0" w:color="000000"/>
              <w:bottom w:val="single" w:sz="12" w:space="0" w:color="000000"/>
            </w:tcBorders>
          </w:tcPr>
          <w:p>
            <w:pPr>
              <w:pStyle w:val="TableParagraph"/>
              <w:spacing w:before="148"/>
              <w:ind w:left="180"/>
              <w:rPr>
                <w:sz w:val="24"/>
              </w:rPr>
            </w:pPr>
            <w:r>
              <w:rPr>
                <w:sz w:val="24"/>
              </w:rPr>
              <w:t>ɛ</w:t>
            </w:r>
          </w:p>
        </w:tc>
        <w:tc>
          <w:tcPr>
            <w:tcW w:w="1573" w:type="dxa"/>
            <w:tcBorders>
              <w:top w:val="single" w:sz="18" w:space="0" w:color="000000"/>
              <w:bottom w:val="single" w:sz="12" w:space="0" w:color="000000"/>
            </w:tcBorders>
          </w:tcPr>
          <w:p>
            <w:pPr>
              <w:pStyle w:val="TableParagraph"/>
              <w:spacing w:before="148"/>
              <w:ind w:left="20"/>
              <w:rPr>
                <w:sz w:val="24"/>
              </w:rPr>
            </w:pPr>
            <w:r>
              <w:rPr>
                <w:spacing w:val="-2"/>
                <w:sz w:val="24"/>
              </w:rPr>
              <w:t>[C</w:t>
            </w:r>
            <w:r>
              <w:rPr>
                <w:spacing w:val="-2"/>
                <w:sz w:val="24"/>
                <w:vertAlign w:val="subscript"/>
              </w:rPr>
              <w:t>4</w:t>
            </w:r>
            <w:r>
              <w:rPr>
                <w:spacing w:val="-2"/>
                <w:sz w:val="24"/>
                <w:vertAlign w:val="baseline"/>
              </w:rPr>
              <w:t>mim][BF</w:t>
            </w:r>
            <w:r>
              <w:rPr>
                <w:spacing w:val="-2"/>
                <w:sz w:val="24"/>
                <w:vertAlign w:val="subscript"/>
              </w:rPr>
              <w:t>4</w:t>
            </w:r>
            <w:r>
              <w:rPr>
                <w:spacing w:val="-2"/>
                <w:sz w:val="24"/>
                <w:vertAlign w:val="baseline"/>
              </w:rPr>
              <w:t>]</w:t>
            </w:r>
          </w:p>
        </w:tc>
        <w:tc>
          <w:tcPr>
            <w:tcW w:w="1676" w:type="dxa"/>
            <w:tcBorders>
              <w:top w:val="single" w:sz="18" w:space="0" w:color="000000"/>
              <w:bottom w:val="single" w:sz="12" w:space="0" w:color="000000"/>
            </w:tcBorders>
          </w:tcPr>
          <w:p>
            <w:pPr>
              <w:pStyle w:val="TableParagraph"/>
              <w:spacing w:before="148"/>
              <w:ind w:left="181"/>
              <w:rPr>
                <w:sz w:val="24"/>
              </w:rPr>
            </w:pPr>
            <w:r>
              <w:rPr>
                <w:spacing w:val="-2"/>
                <w:sz w:val="24"/>
              </w:rPr>
              <w:t>[C</w:t>
            </w:r>
            <w:r>
              <w:rPr>
                <w:spacing w:val="-2"/>
                <w:sz w:val="24"/>
                <w:vertAlign w:val="subscript"/>
              </w:rPr>
              <w:t>4</w:t>
            </w:r>
            <w:r>
              <w:rPr>
                <w:spacing w:val="-2"/>
                <w:sz w:val="24"/>
                <w:vertAlign w:val="baseline"/>
              </w:rPr>
              <w:t>mim][PF</w:t>
            </w:r>
            <w:r>
              <w:rPr>
                <w:spacing w:val="-2"/>
                <w:sz w:val="24"/>
                <w:vertAlign w:val="subscript"/>
              </w:rPr>
              <w:t>6</w:t>
            </w:r>
            <w:r>
              <w:rPr>
                <w:spacing w:val="-2"/>
                <w:sz w:val="24"/>
                <w:vertAlign w:val="baseline"/>
              </w:rPr>
              <w:t>]</w:t>
            </w:r>
          </w:p>
        </w:tc>
        <w:tc>
          <w:tcPr>
            <w:tcW w:w="1593" w:type="dxa"/>
            <w:tcBorders>
              <w:top w:val="single" w:sz="18" w:space="0" w:color="000000"/>
              <w:bottom w:val="single" w:sz="12" w:space="0" w:color="000000"/>
            </w:tcBorders>
          </w:tcPr>
          <w:p>
            <w:pPr>
              <w:pStyle w:val="TableParagraph"/>
              <w:spacing w:before="0" w:line="440" w:lineRule="exact"/>
              <w:ind w:left="151" w:firstLine="60"/>
              <w:rPr>
                <w:sz w:val="24"/>
              </w:rPr>
            </w:pPr>
            <w:r>
              <w:rPr>
                <w:spacing w:val="-2"/>
                <w:sz w:val="24"/>
              </w:rPr>
              <w:t>[C</w:t>
            </w:r>
            <w:r>
              <w:rPr>
                <w:spacing w:val="-2"/>
                <w:sz w:val="24"/>
                <w:vertAlign w:val="subscript"/>
              </w:rPr>
              <w:t>4</w:t>
            </w:r>
            <w:r>
              <w:rPr>
                <w:spacing w:val="-2"/>
                <w:sz w:val="24"/>
                <w:vertAlign w:val="baseline"/>
              </w:rPr>
              <w:t>mim][Cl] AlC1</w:t>
            </w:r>
            <w:r>
              <w:rPr>
                <w:spacing w:val="-2"/>
                <w:sz w:val="24"/>
                <w:vertAlign w:val="subscript"/>
              </w:rPr>
              <w:t>3</w:t>
            </w:r>
            <w:r>
              <w:rPr>
                <w:spacing w:val="-2"/>
                <w:sz w:val="24"/>
                <w:vertAlign w:val="baseline"/>
              </w:rPr>
              <w:t>(</w:t>
            </w:r>
            <w:r>
              <w:rPr>
                <w:rFonts w:ascii="宋体" w:eastAsia="宋体"/>
                <w:spacing w:val="-2"/>
                <w:sz w:val="24"/>
                <w:vertAlign w:val="baseline"/>
              </w:rPr>
              <w:t>碱性</w:t>
            </w:r>
            <w:r>
              <w:rPr>
                <w:spacing w:val="-2"/>
                <w:sz w:val="24"/>
                <w:vertAlign w:val="baseline"/>
              </w:rPr>
              <w:t>)</w:t>
            </w:r>
          </w:p>
        </w:tc>
        <w:tc>
          <w:tcPr>
            <w:tcW w:w="1972" w:type="dxa"/>
            <w:tcBorders>
              <w:top w:val="single" w:sz="18" w:space="0" w:color="000000"/>
              <w:bottom w:val="single" w:sz="12" w:space="0" w:color="000000"/>
            </w:tcBorders>
          </w:tcPr>
          <w:p>
            <w:pPr>
              <w:pStyle w:val="TableParagraph"/>
              <w:spacing w:before="0" w:line="440" w:lineRule="exact"/>
              <w:ind w:left="157" w:firstLine="47"/>
              <w:rPr>
                <w:sz w:val="24"/>
              </w:rPr>
            </w:pPr>
            <w:r>
              <w:rPr>
                <w:spacing w:val="-2"/>
                <w:sz w:val="24"/>
              </w:rPr>
              <w:t>[C</w:t>
            </w:r>
            <w:r>
              <w:rPr>
                <w:spacing w:val="-2"/>
                <w:sz w:val="24"/>
                <w:vertAlign w:val="subscript"/>
              </w:rPr>
              <w:t>4</w:t>
            </w:r>
            <w:r>
              <w:rPr>
                <w:spacing w:val="-2"/>
                <w:sz w:val="24"/>
                <w:vertAlign w:val="baseline"/>
              </w:rPr>
              <w:t>mim][Cl] AlC1</w:t>
            </w:r>
            <w:r>
              <w:rPr>
                <w:spacing w:val="-2"/>
                <w:sz w:val="24"/>
                <w:vertAlign w:val="subscript"/>
              </w:rPr>
              <w:t>3</w:t>
            </w:r>
            <w:r>
              <w:rPr>
                <w:spacing w:val="-2"/>
                <w:sz w:val="24"/>
                <w:vertAlign w:val="baseline"/>
              </w:rPr>
              <w:t>(</w:t>
            </w:r>
            <w:r>
              <w:rPr>
                <w:rFonts w:ascii="宋体" w:eastAsia="宋体"/>
                <w:spacing w:val="-2"/>
                <w:sz w:val="24"/>
                <w:vertAlign w:val="baseline"/>
              </w:rPr>
              <w:t>酸性</w:t>
            </w:r>
            <w:r>
              <w:rPr>
                <w:spacing w:val="-10"/>
                <w:sz w:val="24"/>
                <w:vertAlign w:val="baseline"/>
              </w:rPr>
              <w:t>)</w:t>
            </w:r>
          </w:p>
        </w:tc>
      </w:tr>
      <w:tr>
        <w:tblPrEx>
          <w:tblW w:w="0" w:type="auto"/>
          <w:jc w:val="left"/>
          <w:tblInd w:w="119" w:type="dxa"/>
          <w:tblLayout w:type="fixed"/>
          <w:tblCellMar>
            <w:top w:w="0" w:type="dxa"/>
            <w:left w:w="0" w:type="dxa"/>
            <w:bottom w:w="0" w:type="dxa"/>
            <w:right w:w="0" w:type="dxa"/>
          </w:tblCellMar>
          <w:tblLook w:val="01E0"/>
        </w:tblPrEx>
        <w:trPr>
          <w:trHeight w:val="511"/>
          <w:jc w:val="left"/>
        </w:trPr>
        <w:tc>
          <w:tcPr>
            <w:tcW w:w="1409" w:type="dxa"/>
            <w:tcBorders>
              <w:top w:val="single" w:sz="12" w:space="0" w:color="000000"/>
            </w:tcBorders>
          </w:tcPr>
          <w:p>
            <w:pPr>
              <w:pStyle w:val="TableParagraph"/>
              <w:spacing w:before="132"/>
              <w:rPr>
                <w:rFonts w:ascii="宋体" w:eastAsia="宋体"/>
                <w:sz w:val="24"/>
              </w:rPr>
            </w:pPr>
            <w:r>
              <w:rPr>
                <w:rFonts w:ascii="宋体" w:eastAsia="宋体"/>
                <w:sz w:val="24"/>
              </w:rPr>
              <w:t>水</w:t>
            </w:r>
          </w:p>
        </w:tc>
        <w:tc>
          <w:tcPr>
            <w:tcW w:w="620" w:type="dxa"/>
            <w:tcBorders>
              <w:top w:val="single" w:sz="12" w:space="0" w:color="000000"/>
            </w:tcBorders>
          </w:tcPr>
          <w:p>
            <w:pPr>
              <w:pStyle w:val="TableParagraph"/>
              <w:spacing w:before="148"/>
              <w:ind w:left="180"/>
              <w:rPr>
                <w:sz w:val="24"/>
              </w:rPr>
            </w:pPr>
            <w:r>
              <w:rPr>
                <w:spacing w:val="-4"/>
                <w:sz w:val="24"/>
              </w:rPr>
              <w:t>80.1</w:t>
            </w:r>
          </w:p>
        </w:tc>
        <w:tc>
          <w:tcPr>
            <w:tcW w:w="1573" w:type="dxa"/>
            <w:tcBorders>
              <w:top w:val="single" w:sz="12" w:space="0" w:color="000000"/>
            </w:tcBorders>
          </w:tcPr>
          <w:p>
            <w:pPr>
              <w:pStyle w:val="TableParagraph"/>
              <w:spacing w:before="132"/>
              <w:ind w:left="340"/>
              <w:rPr>
                <w:rFonts w:ascii="宋体" w:eastAsia="宋体"/>
                <w:sz w:val="24"/>
              </w:rPr>
            </w:pPr>
            <w:r>
              <w:rPr>
                <w:rFonts w:ascii="宋体" w:eastAsia="宋体"/>
                <w:spacing w:val="-5"/>
                <w:sz w:val="24"/>
              </w:rPr>
              <w:t>溶解</w:t>
            </w:r>
          </w:p>
        </w:tc>
        <w:tc>
          <w:tcPr>
            <w:tcW w:w="1676" w:type="dxa"/>
            <w:tcBorders>
              <w:top w:val="single" w:sz="12" w:space="0" w:color="000000"/>
            </w:tcBorders>
          </w:tcPr>
          <w:p>
            <w:pPr>
              <w:pStyle w:val="TableParagraph"/>
              <w:spacing w:before="132"/>
              <w:ind w:left="327"/>
              <w:rPr>
                <w:rFonts w:ascii="宋体" w:eastAsia="宋体"/>
                <w:sz w:val="24"/>
              </w:rPr>
            </w:pPr>
            <w:r>
              <w:rPr>
                <w:rFonts w:ascii="宋体" w:eastAsia="宋体"/>
                <w:spacing w:val="-5"/>
                <w:sz w:val="24"/>
              </w:rPr>
              <w:t>不溶</w:t>
            </w:r>
          </w:p>
        </w:tc>
        <w:tc>
          <w:tcPr>
            <w:tcW w:w="1593" w:type="dxa"/>
            <w:tcBorders>
              <w:top w:val="single" w:sz="12" w:space="0" w:color="000000"/>
            </w:tcBorders>
          </w:tcPr>
          <w:p>
            <w:pPr>
              <w:pStyle w:val="TableParagraph"/>
              <w:spacing w:before="132"/>
              <w:ind w:left="556" w:right="527"/>
              <w:jc w:val="center"/>
              <w:rPr>
                <w:rFonts w:ascii="宋体" w:eastAsia="宋体"/>
                <w:sz w:val="24"/>
              </w:rPr>
            </w:pPr>
            <w:r>
              <w:rPr>
                <w:rFonts w:ascii="宋体" w:eastAsia="宋体"/>
                <w:spacing w:val="-5"/>
                <w:sz w:val="24"/>
              </w:rPr>
              <w:t>反映</w:t>
            </w:r>
          </w:p>
        </w:tc>
        <w:tc>
          <w:tcPr>
            <w:tcW w:w="1972" w:type="dxa"/>
            <w:tcBorders>
              <w:top w:val="single" w:sz="12" w:space="0" w:color="000000"/>
            </w:tcBorders>
          </w:tcPr>
          <w:p>
            <w:pPr>
              <w:pStyle w:val="TableParagraph"/>
              <w:spacing w:before="132"/>
              <w:ind w:left="0" w:right="593"/>
              <w:jc w:val="right"/>
              <w:rPr>
                <w:rFonts w:ascii="宋体" w:eastAsia="宋体"/>
                <w:sz w:val="24"/>
              </w:rPr>
            </w:pPr>
            <w:r>
              <w:rPr>
                <w:rFonts w:ascii="宋体" w:eastAsia="宋体"/>
                <w:spacing w:val="-5"/>
                <w:sz w:val="24"/>
              </w:rPr>
              <w:t>反映</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2"/>
                <w:sz w:val="24"/>
              </w:rPr>
              <w:t>丙烯碳酸酯</w:t>
            </w:r>
          </w:p>
        </w:tc>
        <w:tc>
          <w:tcPr>
            <w:tcW w:w="620" w:type="dxa"/>
          </w:tcPr>
          <w:p>
            <w:pPr>
              <w:pStyle w:val="TableParagraph"/>
              <w:spacing w:before="77"/>
              <w:ind w:left="180"/>
              <w:rPr>
                <w:sz w:val="24"/>
              </w:rPr>
            </w:pPr>
            <w:r>
              <w:rPr>
                <w:spacing w:val="-4"/>
                <w:sz w:val="24"/>
              </w:rPr>
              <w:t>64.4</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溶解</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5"/>
                <w:sz w:val="24"/>
              </w:rPr>
              <w:t>甲醇</w:t>
            </w:r>
          </w:p>
        </w:tc>
        <w:tc>
          <w:tcPr>
            <w:tcW w:w="620" w:type="dxa"/>
          </w:tcPr>
          <w:p>
            <w:pPr>
              <w:pStyle w:val="TableParagraph"/>
              <w:spacing w:before="77"/>
              <w:ind w:left="180"/>
              <w:rPr>
                <w:sz w:val="24"/>
              </w:rPr>
            </w:pPr>
            <w:r>
              <w:rPr>
                <w:spacing w:val="-4"/>
                <w:sz w:val="24"/>
              </w:rPr>
              <w:t>33.0</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反映</w:t>
            </w:r>
          </w:p>
        </w:tc>
        <w:tc>
          <w:tcPr>
            <w:tcW w:w="1972" w:type="dxa"/>
          </w:tcPr>
          <w:p>
            <w:pPr>
              <w:pStyle w:val="TableParagraph"/>
              <w:ind w:left="0" w:right="593"/>
              <w:jc w:val="right"/>
              <w:rPr>
                <w:rFonts w:ascii="宋体" w:eastAsia="宋体"/>
                <w:sz w:val="24"/>
              </w:rPr>
            </w:pPr>
            <w:r>
              <w:rPr>
                <w:rFonts w:ascii="宋体" w:eastAsia="宋体"/>
                <w:spacing w:val="-5"/>
                <w:sz w:val="24"/>
              </w:rPr>
              <w:t>反映</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5"/>
                <w:sz w:val="24"/>
              </w:rPr>
              <w:t>乙腈</w:t>
            </w:r>
          </w:p>
        </w:tc>
        <w:tc>
          <w:tcPr>
            <w:tcW w:w="620" w:type="dxa"/>
          </w:tcPr>
          <w:p>
            <w:pPr>
              <w:pStyle w:val="TableParagraph"/>
              <w:spacing w:before="77"/>
              <w:ind w:left="180"/>
              <w:rPr>
                <w:sz w:val="24"/>
              </w:rPr>
            </w:pPr>
            <w:r>
              <w:rPr>
                <w:spacing w:val="-4"/>
                <w:sz w:val="24"/>
              </w:rPr>
              <w:t>26.6</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溶解</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5"/>
                <w:sz w:val="24"/>
              </w:rPr>
              <w:t>丙酮</w:t>
            </w:r>
          </w:p>
        </w:tc>
        <w:tc>
          <w:tcPr>
            <w:tcW w:w="620" w:type="dxa"/>
          </w:tcPr>
          <w:p>
            <w:pPr>
              <w:pStyle w:val="TableParagraph"/>
              <w:spacing w:before="77"/>
              <w:ind w:left="180"/>
              <w:rPr>
                <w:sz w:val="24"/>
              </w:rPr>
            </w:pPr>
            <w:r>
              <w:rPr>
                <w:spacing w:val="-4"/>
                <w:sz w:val="24"/>
              </w:rPr>
              <w:t>20.7</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反映</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3"/>
                <w:sz w:val="24"/>
              </w:rPr>
              <w:t>二氯甲烷</w:t>
            </w:r>
          </w:p>
        </w:tc>
        <w:tc>
          <w:tcPr>
            <w:tcW w:w="620" w:type="dxa"/>
          </w:tcPr>
          <w:p>
            <w:pPr>
              <w:pStyle w:val="TableParagraph"/>
              <w:spacing w:before="77"/>
              <w:ind w:left="180"/>
              <w:rPr>
                <w:sz w:val="24"/>
              </w:rPr>
            </w:pPr>
            <w:r>
              <w:rPr>
                <w:spacing w:val="-4"/>
                <w:sz w:val="24"/>
              </w:rPr>
              <w:t>8.93</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溶解</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3"/>
                <w:sz w:val="24"/>
              </w:rPr>
              <w:t>四氢呋喃</w:t>
            </w:r>
          </w:p>
        </w:tc>
        <w:tc>
          <w:tcPr>
            <w:tcW w:w="620" w:type="dxa"/>
          </w:tcPr>
          <w:p>
            <w:pPr>
              <w:pStyle w:val="TableParagraph"/>
              <w:spacing w:before="77"/>
              <w:ind w:left="180"/>
              <w:rPr>
                <w:sz w:val="24"/>
              </w:rPr>
            </w:pPr>
            <w:r>
              <w:rPr>
                <w:spacing w:val="-4"/>
                <w:sz w:val="24"/>
              </w:rPr>
              <w:t>7.58</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反映</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3"/>
                <w:sz w:val="24"/>
              </w:rPr>
              <w:t>二甲基苯</w:t>
            </w:r>
          </w:p>
        </w:tc>
        <w:tc>
          <w:tcPr>
            <w:tcW w:w="620" w:type="dxa"/>
          </w:tcPr>
          <w:p>
            <w:pPr>
              <w:pStyle w:val="TableParagraph"/>
              <w:spacing w:before="77"/>
              <w:ind w:left="180"/>
              <w:rPr>
                <w:sz w:val="24"/>
              </w:rPr>
            </w:pPr>
            <w:r>
              <w:rPr>
                <w:spacing w:val="-4"/>
                <w:sz w:val="24"/>
              </w:rPr>
              <w:t>7.20</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溶解</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反映</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3"/>
                <w:sz w:val="24"/>
              </w:rPr>
              <w:t>三氯乙烯</w:t>
            </w:r>
          </w:p>
        </w:tc>
        <w:tc>
          <w:tcPr>
            <w:tcW w:w="620" w:type="dxa"/>
          </w:tcPr>
          <w:p>
            <w:pPr>
              <w:pStyle w:val="TableParagraph"/>
              <w:spacing w:before="77"/>
              <w:ind w:left="180"/>
              <w:rPr>
                <w:sz w:val="24"/>
              </w:rPr>
            </w:pPr>
            <w:r>
              <w:rPr>
                <w:spacing w:val="-4"/>
                <w:sz w:val="24"/>
              </w:rPr>
              <w:t>3.39</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不溶</w:t>
            </w:r>
          </w:p>
        </w:tc>
        <w:tc>
          <w:tcPr>
            <w:tcW w:w="1593" w:type="dxa"/>
          </w:tcPr>
          <w:p>
            <w:pPr>
              <w:pStyle w:val="TableParagraph"/>
              <w:ind w:left="556" w:right="527"/>
              <w:jc w:val="center"/>
              <w:rPr>
                <w:rFonts w:ascii="宋体" w:eastAsia="宋体"/>
                <w:sz w:val="24"/>
              </w:rPr>
            </w:pPr>
            <w:r>
              <w:rPr>
                <w:rFonts w:ascii="宋体" w:eastAsia="宋体"/>
                <w:spacing w:val="-5"/>
                <w:sz w:val="24"/>
              </w:rPr>
              <w:t>不溶</w:t>
            </w:r>
          </w:p>
        </w:tc>
        <w:tc>
          <w:tcPr>
            <w:tcW w:w="1972" w:type="dxa"/>
          </w:tcPr>
          <w:p>
            <w:pPr>
              <w:pStyle w:val="TableParagraph"/>
              <w:ind w:left="0" w:right="593"/>
              <w:jc w:val="right"/>
              <w:rPr>
                <w:rFonts w:ascii="宋体" w:eastAsia="宋体"/>
                <w:sz w:val="24"/>
              </w:rPr>
            </w:pPr>
            <w:r>
              <w:rPr>
                <w:rFonts w:ascii="宋体" w:eastAsia="宋体"/>
                <w:spacing w:val="-5"/>
                <w:sz w:val="24"/>
              </w:rPr>
              <w:t>不溶</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3"/>
                <w:sz w:val="24"/>
              </w:rPr>
              <w:t>二硫化碳</w:t>
            </w:r>
          </w:p>
        </w:tc>
        <w:tc>
          <w:tcPr>
            <w:tcW w:w="620" w:type="dxa"/>
          </w:tcPr>
          <w:p>
            <w:pPr>
              <w:pStyle w:val="TableParagraph"/>
              <w:spacing w:before="77"/>
              <w:ind w:left="180"/>
              <w:rPr>
                <w:sz w:val="24"/>
              </w:rPr>
            </w:pPr>
            <w:r>
              <w:rPr>
                <w:spacing w:val="-4"/>
                <w:sz w:val="24"/>
              </w:rPr>
              <w:t>2.67</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不溶</w:t>
            </w:r>
          </w:p>
        </w:tc>
        <w:tc>
          <w:tcPr>
            <w:tcW w:w="1593" w:type="dxa"/>
          </w:tcPr>
          <w:p>
            <w:pPr>
              <w:pStyle w:val="TableParagraph"/>
              <w:ind w:left="556" w:right="527"/>
              <w:jc w:val="center"/>
              <w:rPr>
                <w:rFonts w:ascii="宋体" w:eastAsia="宋体"/>
                <w:sz w:val="24"/>
              </w:rPr>
            </w:pPr>
            <w:r>
              <w:rPr>
                <w:rFonts w:ascii="宋体" w:eastAsia="宋体"/>
                <w:spacing w:val="-5"/>
                <w:sz w:val="24"/>
              </w:rPr>
              <w:t>不溶</w:t>
            </w:r>
          </w:p>
        </w:tc>
        <w:tc>
          <w:tcPr>
            <w:tcW w:w="1972" w:type="dxa"/>
          </w:tcPr>
          <w:p>
            <w:pPr>
              <w:pStyle w:val="TableParagraph"/>
              <w:ind w:left="0" w:right="593"/>
              <w:jc w:val="right"/>
              <w:rPr>
                <w:rFonts w:ascii="宋体" w:eastAsia="宋体"/>
                <w:sz w:val="24"/>
              </w:rPr>
            </w:pPr>
            <w:r>
              <w:rPr>
                <w:rFonts w:ascii="宋体" w:eastAsia="宋体"/>
                <w:spacing w:val="-5"/>
                <w:sz w:val="24"/>
              </w:rPr>
              <w:t>不溶</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409" w:type="dxa"/>
          </w:tcPr>
          <w:p>
            <w:pPr>
              <w:pStyle w:val="TableParagraph"/>
              <w:rPr>
                <w:rFonts w:ascii="宋体" w:eastAsia="宋体"/>
                <w:sz w:val="24"/>
              </w:rPr>
            </w:pPr>
            <w:r>
              <w:rPr>
                <w:rFonts w:ascii="宋体" w:eastAsia="宋体"/>
                <w:spacing w:val="-5"/>
                <w:sz w:val="24"/>
              </w:rPr>
              <w:t>甲苯</w:t>
            </w:r>
          </w:p>
        </w:tc>
        <w:tc>
          <w:tcPr>
            <w:tcW w:w="620" w:type="dxa"/>
          </w:tcPr>
          <w:p>
            <w:pPr>
              <w:pStyle w:val="TableParagraph"/>
              <w:spacing w:before="77"/>
              <w:ind w:left="180"/>
              <w:rPr>
                <w:sz w:val="24"/>
              </w:rPr>
            </w:pPr>
            <w:r>
              <w:rPr>
                <w:spacing w:val="-4"/>
                <w:sz w:val="24"/>
              </w:rPr>
              <w:t>2.38</w:t>
            </w:r>
          </w:p>
        </w:tc>
        <w:tc>
          <w:tcPr>
            <w:tcW w:w="1573" w:type="dxa"/>
          </w:tcPr>
          <w:p>
            <w:pPr>
              <w:pStyle w:val="TableParagraph"/>
              <w:ind w:left="340"/>
              <w:rPr>
                <w:rFonts w:ascii="宋体" w:eastAsia="宋体"/>
                <w:sz w:val="24"/>
              </w:rPr>
            </w:pPr>
            <w:r>
              <w:rPr>
                <w:rFonts w:ascii="宋体" w:eastAsia="宋体"/>
                <w:spacing w:val="-5"/>
                <w:sz w:val="24"/>
              </w:rPr>
              <w:t>溶解</w:t>
            </w:r>
          </w:p>
        </w:tc>
        <w:tc>
          <w:tcPr>
            <w:tcW w:w="1676" w:type="dxa"/>
          </w:tcPr>
          <w:p>
            <w:pPr>
              <w:pStyle w:val="TableParagraph"/>
              <w:ind w:left="327"/>
              <w:rPr>
                <w:rFonts w:ascii="宋体" w:eastAsia="宋体"/>
                <w:sz w:val="24"/>
              </w:rPr>
            </w:pPr>
            <w:r>
              <w:rPr>
                <w:rFonts w:ascii="宋体" w:eastAsia="宋体"/>
                <w:spacing w:val="-5"/>
                <w:sz w:val="24"/>
              </w:rPr>
              <w:t>不溶</w:t>
            </w:r>
          </w:p>
        </w:tc>
        <w:tc>
          <w:tcPr>
            <w:tcW w:w="1593" w:type="dxa"/>
          </w:tcPr>
          <w:p>
            <w:pPr>
              <w:pStyle w:val="TableParagraph"/>
              <w:ind w:left="556" w:right="527"/>
              <w:jc w:val="center"/>
              <w:rPr>
                <w:rFonts w:ascii="宋体" w:eastAsia="宋体"/>
                <w:sz w:val="24"/>
              </w:rPr>
            </w:pPr>
            <w:r>
              <w:rPr>
                <w:rFonts w:ascii="宋体" w:eastAsia="宋体"/>
                <w:spacing w:val="-5"/>
                <w:sz w:val="24"/>
              </w:rPr>
              <w:t>溶解</w:t>
            </w:r>
          </w:p>
        </w:tc>
        <w:tc>
          <w:tcPr>
            <w:tcW w:w="1972" w:type="dxa"/>
          </w:tcPr>
          <w:p>
            <w:pPr>
              <w:pStyle w:val="TableParagraph"/>
              <w:ind w:left="0" w:right="593"/>
              <w:jc w:val="right"/>
              <w:rPr>
                <w:rFonts w:ascii="宋体" w:eastAsia="宋体"/>
                <w:sz w:val="24"/>
              </w:rPr>
            </w:pPr>
            <w:r>
              <w:rPr>
                <w:rFonts w:ascii="宋体" w:eastAsia="宋体"/>
                <w:spacing w:val="-5"/>
                <w:sz w:val="24"/>
              </w:rPr>
              <w:t>反映</w:t>
            </w:r>
          </w:p>
        </w:tc>
      </w:tr>
      <w:tr>
        <w:tblPrEx>
          <w:tblW w:w="0" w:type="auto"/>
          <w:jc w:val="left"/>
          <w:tblInd w:w="119" w:type="dxa"/>
          <w:tblLayout w:type="fixed"/>
          <w:tblCellMar>
            <w:top w:w="0" w:type="dxa"/>
            <w:left w:w="0" w:type="dxa"/>
            <w:bottom w:w="0" w:type="dxa"/>
            <w:right w:w="0" w:type="dxa"/>
          </w:tblCellMar>
          <w:tblLook w:val="01E0"/>
        </w:tblPrEx>
        <w:trPr>
          <w:trHeight w:val="408"/>
          <w:jc w:val="left"/>
        </w:trPr>
        <w:tc>
          <w:tcPr>
            <w:tcW w:w="1409" w:type="dxa"/>
            <w:tcBorders>
              <w:bottom w:val="single" w:sz="18" w:space="0" w:color="000000"/>
            </w:tcBorders>
          </w:tcPr>
          <w:p>
            <w:pPr>
              <w:pStyle w:val="TableParagraph"/>
              <w:rPr>
                <w:rFonts w:ascii="宋体" w:eastAsia="宋体"/>
                <w:sz w:val="24"/>
              </w:rPr>
            </w:pPr>
            <w:r>
              <w:rPr>
                <w:rFonts w:ascii="宋体" w:eastAsia="宋体"/>
                <w:spacing w:val="-5"/>
                <w:sz w:val="24"/>
              </w:rPr>
              <w:t>己烷</w:t>
            </w:r>
          </w:p>
        </w:tc>
        <w:tc>
          <w:tcPr>
            <w:tcW w:w="620" w:type="dxa"/>
            <w:tcBorders>
              <w:bottom w:val="single" w:sz="18" w:space="0" w:color="000000"/>
            </w:tcBorders>
          </w:tcPr>
          <w:p>
            <w:pPr>
              <w:pStyle w:val="TableParagraph"/>
              <w:spacing w:before="77"/>
              <w:ind w:left="180"/>
              <w:rPr>
                <w:sz w:val="24"/>
              </w:rPr>
            </w:pPr>
            <w:r>
              <w:rPr>
                <w:spacing w:val="-4"/>
                <w:sz w:val="24"/>
              </w:rPr>
              <w:t>1.90</w:t>
            </w:r>
          </w:p>
        </w:tc>
        <w:tc>
          <w:tcPr>
            <w:tcW w:w="1573" w:type="dxa"/>
            <w:tcBorders>
              <w:bottom w:val="single" w:sz="18" w:space="0" w:color="000000"/>
            </w:tcBorders>
          </w:tcPr>
          <w:p>
            <w:pPr>
              <w:pStyle w:val="TableParagraph"/>
              <w:ind w:left="340"/>
              <w:rPr>
                <w:rFonts w:ascii="宋体" w:eastAsia="宋体"/>
                <w:sz w:val="24"/>
              </w:rPr>
            </w:pPr>
            <w:r>
              <w:rPr>
                <w:rFonts w:ascii="宋体" w:eastAsia="宋体"/>
                <w:spacing w:val="-5"/>
                <w:sz w:val="24"/>
              </w:rPr>
              <w:t>溶解</w:t>
            </w:r>
          </w:p>
        </w:tc>
        <w:tc>
          <w:tcPr>
            <w:tcW w:w="1676" w:type="dxa"/>
            <w:tcBorders>
              <w:bottom w:val="single" w:sz="18" w:space="0" w:color="000000"/>
            </w:tcBorders>
          </w:tcPr>
          <w:p>
            <w:pPr>
              <w:pStyle w:val="TableParagraph"/>
              <w:ind w:left="327"/>
              <w:rPr>
                <w:rFonts w:ascii="宋体" w:eastAsia="宋体"/>
                <w:sz w:val="24"/>
              </w:rPr>
            </w:pPr>
            <w:r>
              <w:rPr>
                <w:rFonts w:ascii="宋体" w:eastAsia="宋体"/>
                <w:spacing w:val="-5"/>
                <w:sz w:val="24"/>
              </w:rPr>
              <w:t>不溶</w:t>
            </w:r>
          </w:p>
        </w:tc>
        <w:tc>
          <w:tcPr>
            <w:tcW w:w="1593" w:type="dxa"/>
            <w:tcBorders>
              <w:bottom w:val="single" w:sz="18" w:space="0" w:color="000000"/>
            </w:tcBorders>
          </w:tcPr>
          <w:p>
            <w:pPr>
              <w:pStyle w:val="TableParagraph"/>
              <w:ind w:left="556" w:right="527"/>
              <w:jc w:val="center"/>
              <w:rPr>
                <w:rFonts w:ascii="宋体" w:eastAsia="宋体"/>
                <w:sz w:val="24"/>
              </w:rPr>
            </w:pPr>
            <w:r>
              <w:rPr>
                <w:rFonts w:ascii="宋体" w:eastAsia="宋体"/>
                <w:spacing w:val="-5"/>
                <w:sz w:val="24"/>
              </w:rPr>
              <w:t>不溶</w:t>
            </w:r>
          </w:p>
        </w:tc>
        <w:tc>
          <w:tcPr>
            <w:tcW w:w="1972" w:type="dxa"/>
            <w:tcBorders>
              <w:bottom w:val="single" w:sz="18" w:space="0" w:color="000000"/>
            </w:tcBorders>
          </w:tcPr>
          <w:p>
            <w:pPr>
              <w:pStyle w:val="TableParagraph"/>
              <w:ind w:left="0" w:right="593"/>
              <w:jc w:val="right"/>
              <w:rPr>
                <w:rFonts w:ascii="宋体" w:eastAsia="宋体"/>
                <w:sz w:val="24"/>
              </w:rPr>
            </w:pPr>
            <w:r>
              <w:rPr>
                <w:rFonts w:ascii="宋体" w:eastAsia="宋体"/>
                <w:spacing w:val="-5"/>
                <w:sz w:val="24"/>
              </w:rPr>
              <w:t>不溶</w:t>
            </w:r>
          </w:p>
        </w:tc>
      </w:tr>
    </w:tbl>
    <w:p>
      <w:pPr>
        <w:pStyle w:val="BodyText"/>
        <w:spacing w:before="7"/>
        <w:ind w:left="0"/>
        <w:rPr>
          <w:rFonts w:ascii="Times New Roman"/>
          <w:b/>
          <w:sz w:val="22"/>
        </w:rPr>
      </w:pPr>
    </w:p>
    <w:p>
      <w:pPr>
        <w:pStyle w:val="Heading3"/>
        <w:numPr>
          <w:ilvl w:val="2"/>
          <w:numId w:val="10"/>
        </w:numPr>
        <w:tabs>
          <w:tab w:val="left" w:pos="771"/>
        </w:tabs>
        <w:spacing w:before="1" w:after="0" w:line="240" w:lineRule="auto"/>
        <w:ind w:left="771" w:right="0" w:hanging="630"/>
        <w:jc w:val="left"/>
      </w:pPr>
      <w:bookmarkStart w:id="10" w:name="_TOC_250030"/>
      <w:bookmarkEnd w:id="10"/>
      <w:r>
        <w:rPr>
          <w:spacing w:val="-2"/>
        </w:rPr>
        <w:t>离子液体的热稳定性</w:t>
      </w:r>
    </w:p>
    <w:p>
      <w:pPr>
        <w:pStyle w:val="BodyText"/>
        <w:spacing w:before="178" w:line="343" w:lineRule="auto"/>
        <w:ind w:right="335" w:firstLine="360"/>
        <w:jc w:val="both"/>
      </w:pPr>
      <w:r>
        <w:rPr>
          <w:rFonts w:ascii="Times New Roman" w:eastAsia="Times New Roman" w:hAnsi="Times New Roman"/>
          <w:spacing w:val="-2"/>
        </w:rPr>
        <w:t xml:space="preserve">ILs </w:t>
      </w:r>
      <w:r>
        <w:rPr>
          <w:spacing w:val="-2"/>
        </w:rPr>
        <w:t>对热是稳定的，影响其热稳定性重要有两个因素，即杂原子</w:t>
      </w:r>
      <w:r>
        <w:rPr>
          <w:rFonts w:ascii="Times New Roman" w:eastAsia="Times New Roman" w:hAnsi="Times New Roman"/>
          <w:spacing w:val="-2"/>
        </w:rPr>
        <w:t>-</w:t>
      </w:r>
      <w:r>
        <w:rPr>
          <w:spacing w:val="-2"/>
        </w:rPr>
        <w:t>碳原子和杂原子</w:t>
      </w:r>
      <w:r>
        <w:rPr>
          <w:rFonts w:ascii="Times New Roman" w:eastAsia="Times New Roman" w:hAnsi="Times New Roman"/>
          <w:spacing w:val="-2"/>
        </w:rPr>
        <w:t>-</w:t>
      </w:r>
      <w:r>
        <w:rPr>
          <w:spacing w:val="-4"/>
        </w:rPr>
        <w:t xml:space="preserve">氢键之间的互相作用力大小，即 </w:t>
      </w:r>
      <w:r>
        <w:rPr>
          <w:rFonts w:ascii="Times New Roman" w:eastAsia="Times New Roman" w:hAnsi="Times New Roman"/>
          <w:spacing w:val="-2"/>
        </w:rPr>
        <w:t>ILs</w:t>
      </w:r>
      <w:r>
        <w:rPr>
          <w:rFonts w:ascii="Times New Roman" w:eastAsia="Times New Roman" w:hAnsi="Times New Roman"/>
          <w:spacing w:val="-13"/>
        </w:rPr>
        <w:t xml:space="preserve"> </w:t>
      </w:r>
      <w:r>
        <w:rPr>
          <w:spacing w:val="-2"/>
        </w:rPr>
        <w:t>的热稳定性与其阴、阳离子的构造和性质亲密有</w:t>
      </w:r>
      <w:r>
        <w:rPr>
          <w:spacing w:val="-4"/>
        </w:rPr>
        <w:t xml:space="preserve">关的。例如，胺或磷直接质子化合成的 </w:t>
      </w:r>
      <w:r>
        <w:rPr>
          <w:rFonts w:ascii="Times New Roman" w:eastAsia="Times New Roman" w:hAnsi="Times New Roman"/>
          <w:spacing w:val="-2"/>
        </w:rPr>
        <w:t>ILs</w:t>
      </w:r>
      <w:r>
        <w:rPr>
          <w:rFonts w:ascii="Times New Roman" w:eastAsia="Times New Roman" w:hAnsi="Times New Roman"/>
          <w:spacing w:val="-13"/>
        </w:rPr>
        <w:t xml:space="preserve"> </w:t>
      </w:r>
      <w:r>
        <w:rPr>
          <w:spacing w:val="-17"/>
        </w:rPr>
        <w:t xml:space="preserve">的热稳定性差；在真空 </w:t>
      </w:r>
      <w:r>
        <w:rPr>
          <w:rFonts w:ascii="Times New Roman" w:eastAsia="Times New Roman" w:hAnsi="Times New Roman"/>
          <w:spacing w:val="-2"/>
        </w:rPr>
        <w:t>80</w:t>
      </w:r>
      <w:r>
        <w:rPr>
          <w:spacing w:val="-2"/>
        </w:rPr>
        <w:t>℃的条件下，诸</w:t>
      </w:r>
      <w:r>
        <w:rPr>
          <w:spacing w:val="-5"/>
        </w:rPr>
        <w:t xml:space="preserve">多含三烷基按离子的 </w:t>
      </w:r>
      <w:r>
        <w:rPr>
          <w:rFonts w:ascii="Times New Roman" w:eastAsia="Times New Roman" w:hAnsi="Times New Roman"/>
          <w:spacing w:val="-2"/>
        </w:rPr>
        <w:t>ILs</w:t>
      </w:r>
      <w:r>
        <w:rPr>
          <w:rFonts w:ascii="Times New Roman" w:eastAsia="Times New Roman" w:hAnsi="Times New Roman"/>
          <w:spacing w:val="-13"/>
        </w:rPr>
        <w:t xml:space="preserve"> </w:t>
      </w:r>
      <w:r>
        <w:rPr>
          <w:spacing w:val="-4"/>
        </w:rPr>
        <w:t xml:space="preserve">就会分解；季铵盐由于易发生 </w:t>
      </w:r>
      <w:r>
        <w:rPr>
          <w:rFonts w:ascii="Times New Roman" w:eastAsia="Times New Roman" w:hAnsi="Times New Roman"/>
          <w:spacing w:val="-2"/>
        </w:rPr>
        <w:t>Hofman</w:t>
      </w:r>
      <w:r>
        <w:rPr>
          <w:rFonts w:ascii="Times New Roman" w:eastAsia="Times New Roman" w:hAnsi="Times New Roman"/>
          <w:spacing w:val="-4"/>
        </w:rPr>
        <w:t xml:space="preserve"> </w:t>
      </w:r>
      <w:r>
        <w:rPr>
          <w:spacing w:val="-2"/>
        </w:rPr>
        <w:t>消除反映，会发生热</w:t>
      </w:r>
      <w:r>
        <w:rPr>
          <w:spacing w:val="-2"/>
        </w:rPr>
        <w:t>诱导的去烷基化</w:t>
      </w:r>
      <w:r>
        <w:rPr>
          <w:rFonts w:ascii="Times New Roman" w:eastAsia="Times New Roman" w:hAnsi="Times New Roman"/>
          <w:spacing w:val="-2"/>
        </w:rPr>
        <w:t>(</w:t>
      </w:r>
      <w:r>
        <w:rPr>
          <w:spacing w:val="-2"/>
        </w:rPr>
        <w:t>逆季铵化</w:t>
      </w:r>
      <w:r>
        <w:rPr>
          <w:rFonts w:ascii="Times New Roman" w:eastAsia="Times New Roman" w:hAnsi="Times New Roman"/>
          <w:spacing w:val="-2"/>
        </w:rPr>
        <w:t>)</w:t>
      </w:r>
      <w:r>
        <w:rPr>
          <w:spacing w:val="-3"/>
        </w:rPr>
        <w:t>反映，且其热分解温度与阴离子的亲水性有很大关系；另</w:t>
      </w:r>
    </w:p>
    <w:p>
      <w:pPr>
        <w:spacing w:after="0" w:line="343" w:lineRule="auto"/>
        <w:jc w:val="both"/>
        <w:sectPr>
          <w:pgSz w:w="11910" w:h="16840"/>
          <w:pgMar w:top="1400" w:right="1080" w:bottom="280" w:left="1560" w:header="708" w:footer="708"/>
          <w:pgNumType w:start="12"/>
          <w:cols w:space="708"/>
        </w:sectPr>
      </w:pPr>
    </w:p>
    <w:p>
      <w:pPr>
        <w:pStyle w:val="BodyText"/>
        <w:spacing w:before="52" w:line="343" w:lineRule="auto"/>
        <w:ind w:right="337"/>
        <w:jc w:val="both"/>
      </w:pPr>
      <w:r>
        <w:pict>
          <v:shape id="_x0000_s1042" type="#_x0000_t202" style="width:4pt;height:8.9pt;margin-top:31.27pt;margin-left:301.98pt;mso-position-horizontal-relative:page;position:absolute;z-index:-251650048" filled="f" stroked="f">
            <v:textbox inset="0,0,0,0">
              <w:txbxContent>
                <w:p>
                  <w:pPr>
                    <w:spacing w:before="0" w:line="177" w:lineRule="exact"/>
                    <w:ind w:left="0" w:right="0" w:firstLine="0"/>
                    <w:jc w:val="left"/>
                    <w:rPr>
                      <w:rFonts w:ascii="Times New Roman"/>
                      <w:sz w:val="16"/>
                    </w:rPr>
                  </w:pPr>
                  <w:r>
                    <w:rPr>
                      <w:rFonts w:ascii="Times New Roman"/>
                      <w:sz w:val="16"/>
                    </w:rPr>
                    <w:t>4</w:t>
                  </w:r>
                </w:p>
              </w:txbxContent>
            </v:textbox>
          </v:shape>
        </w:pict>
      </w:r>
      <w:r>
        <w:pict>
          <v:shape id="_x0000_s1043" type="#_x0000_t202" style="width:114pt;height:8.9pt;margin-top:53.27pt;margin-left:241.25pt;mso-position-horizontal-relative:page;position:absolute;z-index:-251649024" filled="f" stroked="f">
            <v:textbox inset="0,0,0,0">
              <w:txbxContent>
                <w:p>
                  <w:pPr>
                    <w:tabs>
                      <w:tab w:val="left" w:pos="1652"/>
                      <w:tab w:val="left" w:pos="2039"/>
                    </w:tabs>
                    <w:spacing w:before="0" w:line="177" w:lineRule="exact"/>
                    <w:ind w:left="0" w:right="0" w:firstLine="0"/>
                    <w:jc w:val="left"/>
                    <w:rPr>
                      <w:rFonts w:ascii="Times New Roman"/>
                      <w:sz w:val="16"/>
                    </w:rPr>
                  </w:pPr>
                  <w:r>
                    <w:rPr>
                      <w:rFonts w:ascii="Times New Roman"/>
                      <w:spacing w:val="-10"/>
                      <w:sz w:val="16"/>
                    </w:rPr>
                    <w:t>3</w:t>
                  </w:r>
                  <w:r>
                    <w:rPr>
                      <w:rFonts w:ascii="Times New Roman"/>
                      <w:sz w:val="16"/>
                    </w:rPr>
                    <w:tab/>
                  </w:r>
                  <w:r>
                    <w:rPr>
                      <w:rFonts w:ascii="Times New Roman"/>
                      <w:spacing w:val="-10"/>
                      <w:sz w:val="16"/>
                    </w:rPr>
                    <w:t>3</w:t>
                  </w:r>
                  <w:r>
                    <w:rPr>
                      <w:rFonts w:ascii="Times New Roman"/>
                      <w:sz w:val="16"/>
                    </w:rPr>
                    <w:tab/>
                    <w:t>2</w:t>
                  </w:r>
                  <w:r>
                    <w:rPr>
                      <w:rFonts w:ascii="Times New Roman"/>
                      <w:spacing w:val="39"/>
                      <w:sz w:val="16"/>
                    </w:rPr>
                    <w:t xml:space="preserve"> </w:t>
                  </w:r>
                  <w:r>
                    <w:rPr>
                      <w:rFonts w:ascii="Times New Roman"/>
                      <w:spacing w:val="-10"/>
                      <w:sz w:val="16"/>
                    </w:rPr>
                    <w:t>2</w:t>
                  </w:r>
                </w:p>
              </w:txbxContent>
            </v:textbox>
          </v:shape>
        </w:pict>
      </w:r>
      <w:r>
        <w:t>外，</w:t>
      </w:r>
      <w:r>
        <w:rPr>
          <w:rFonts w:ascii="Times New Roman" w:eastAsia="Times New Roman" w:hAnsi="Times New Roman"/>
        </w:rPr>
        <w:t>ILs</w:t>
      </w:r>
      <w:r>
        <w:rPr>
          <w:rFonts w:ascii="Times New Roman" w:eastAsia="Times New Roman" w:hAnsi="Times New Roman"/>
          <w:spacing w:val="-15"/>
        </w:rPr>
        <w:t xml:space="preserve"> </w:t>
      </w:r>
      <w:r>
        <w:rPr>
          <w:spacing w:val="-1"/>
        </w:rPr>
        <w:t xml:space="preserve">比水和多数有机溶剂含有更宽更稳定的液态温度范畴：普通季铵氯盐 </w:t>
      </w:r>
      <w:r>
        <w:rPr>
          <w:rFonts w:ascii="Times New Roman" w:eastAsia="Times New Roman" w:hAnsi="Times New Roman"/>
        </w:rPr>
        <w:t>ILs</w:t>
      </w:r>
      <w:r>
        <w:rPr>
          <w:rFonts w:ascii="Times New Roman" w:eastAsia="Times New Roman" w:hAnsi="Times New Roman"/>
          <w:spacing w:val="-4"/>
        </w:rPr>
        <w:t xml:space="preserve"> </w:t>
      </w:r>
      <w:r>
        <w:t>的</w:t>
      </w:r>
      <w:r>
        <w:rPr>
          <w:spacing w:val="-6"/>
        </w:rPr>
        <w:t xml:space="preserve">最高工作温度在 </w:t>
      </w:r>
      <w:r>
        <w:rPr>
          <w:rFonts w:ascii="Times New Roman" w:eastAsia="Times New Roman" w:hAnsi="Times New Roman"/>
          <w:spacing w:val="-2"/>
        </w:rPr>
        <w:t>150</w:t>
      </w:r>
      <w:r>
        <w:rPr>
          <w:spacing w:val="-13"/>
        </w:rPr>
        <w:t>℃左右，而</w:t>
      </w:r>
      <w:r>
        <w:rPr>
          <w:rFonts w:ascii="Times New Roman" w:eastAsia="Times New Roman" w:hAnsi="Times New Roman"/>
          <w:spacing w:val="-2"/>
        </w:rPr>
        <w:t>[emim]</w:t>
      </w:r>
      <w:r>
        <w:rPr>
          <w:rFonts w:ascii="Times New Roman" w:eastAsia="Times New Roman" w:hAnsi="Times New Roman"/>
          <w:spacing w:val="-2"/>
          <w:position w:val="7"/>
          <w:sz w:val="16"/>
        </w:rPr>
        <w:t>+</w:t>
      </w:r>
      <w:r>
        <w:rPr>
          <w:rFonts w:ascii="Times New Roman" w:eastAsia="Times New Roman" w:hAnsi="Times New Roman"/>
          <w:spacing w:val="-2"/>
        </w:rPr>
        <w:t>BF</w:t>
      </w:r>
      <w:r>
        <w:rPr>
          <w:rFonts w:ascii="Times New Roman" w:eastAsia="Times New Roman" w:hAnsi="Times New Roman"/>
          <w:spacing w:val="5"/>
        </w:rPr>
        <w:t xml:space="preserve"> </w:t>
      </w:r>
      <w:r>
        <w:rPr>
          <w:spacing w:val="-2"/>
          <w:position w:val="7"/>
          <w:sz w:val="16"/>
        </w:rPr>
        <w:t>—</w:t>
      </w:r>
      <w:r>
        <w:rPr>
          <w:spacing w:val="-9"/>
        </w:rPr>
        <w:t xml:space="preserve">却能在 </w:t>
      </w:r>
      <w:r>
        <w:rPr>
          <w:rFonts w:ascii="Times New Roman" w:eastAsia="Times New Roman" w:hAnsi="Times New Roman"/>
          <w:spacing w:val="-2"/>
        </w:rPr>
        <w:t>300</w:t>
      </w:r>
      <w:r>
        <w:rPr>
          <w:spacing w:val="-8"/>
        </w:rPr>
        <w:t>℃时仍然保持稳定，并且在温</w:t>
      </w:r>
      <w:r>
        <w:rPr>
          <w:spacing w:val="-8"/>
        </w:rPr>
        <w:t xml:space="preserve">度达成 </w:t>
      </w:r>
      <w:r>
        <w:rPr>
          <w:rFonts w:ascii="Times New Roman" w:eastAsia="Times New Roman" w:hAnsi="Times New Roman"/>
        </w:rPr>
        <w:t>400</w:t>
      </w:r>
      <w:r>
        <w:t>℃时</w:t>
      </w:r>
      <w:r>
        <w:rPr>
          <w:rFonts w:ascii="Times New Roman" w:eastAsia="Times New Roman" w:hAnsi="Times New Roman"/>
        </w:rPr>
        <w:t>[bmim]</w:t>
      </w:r>
      <w:r>
        <w:rPr>
          <w:rFonts w:ascii="Times New Roman" w:eastAsia="Times New Roman" w:hAnsi="Times New Roman"/>
          <w:position w:val="7"/>
          <w:sz w:val="16"/>
        </w:rPr>
        <w:t>+</w:t>
      </w:r>
      <w:r>
        <w:rPr>
          <w:rFonts w:ascii="Times New Roman" w:eastAsia="Times New Roman" w:hAnsi="Times New Roman"/>
        </w:rPr>
        <w:t>CF</w:t>
      </w:r>
      <w:r>
        <w:rPr>
          <w:rFonts w:ascii="Times New Roman" w:eastAsia="Times New Roman" w:hAnsi="Times New Roman"/>
          <w:vertAlign w:val="subscript"/>
        </w:rPr>
        <w:t>3</w:t>
      </w:r>
      <w:r>
        <w:rPr>
          <w:rFonts w:ascii="Times New Roman" w:eastAsia="Times New Roman" w:hAnsi="Times New Roman"/>
          <w:vertAlign w:val="baseline"/>
        </w:rPr>
        <w:t xml:space="preserve">SO </w:t>
      </w:r>
      <w:r>
        <w:rPr>
          <w:position w:val="7"/>
          <w:sz w:val="16"/>
          <w:vertAlign w:val="baseline"/>
        </w:rPr>
        <w:t>—</w:t>
      </w:r>
      <w:r>
        <w:rPr>
          <w:vertAlign w:val="baseline"/>
        </w:rPr>
        <w:t>和</w:t>
      </w:r>
      <w:r>
        <w:rPr>
          <w:rFonts w:ascii="Times New Roman" w:eastAsia="Times New Roman" w:hAnsi="Times New Roman"/>
          <w:vertAlign w:val="baseline"/>
        </w:rPr>
        <w:t>[emim]</w:t>
      </w:r>
      <w:r>
        <w:rPr>
          <w:rFonts w:ascii="Times New Roman" w:eastAsia="Times New Roman" w:hAnsi="Times New Roman"/>
          <w:position w:val="7"/>
          <w:sz w:val="16"/>
          <w:vertAlign w:val="baseline"/>
        </w:rPr>
        <w:t>+</w:t>
      </w:r>
      <w:r>
        <w:rPr>
          <w:rFonts w:ascii="Times New Roman" w:eastAsia="Times New Roman" w:hAnsi="Times New Roman"/>
          <w:vertAlign w:val="baseline"/>
        </w:rPr>
        <w:t>(CF SO ) N]</w:t>
      </w:r>
      <w:r>
        <w:rPr>
          <w:position w:val="7"/>
          <w:sz w:val="16"/>
          <w:vertAlign w:val="baseline"/>
        </w:rPr>
        <w:t>—</w:t>
      </w:r>
      <w:r>
        <w:rPr>
          <w:vertAlign w:val="baseline"/>
        </w:rPr>
        <w:t xml:space="preserve">也不会分解，由此能够看出 </w:t>
      </w:r>
      <w:r>
        <w:rPr>
          <w:rFonts w:ascii="Times New Roman" w:eastAsia="Times New Roman" w:hAnsi="Times New Roman"/>
          <w:vertAlign w:val="baseline"/>
        </w:rPr>
        <w:t xml:space="preserve">ILs </w:t>
      </w:r>
      <w:r>
        <w:rPr>
          <w:vertAlign w:val="baseline"/>
        </w:rPr>
        <w:t>的应用领域更加阔。</w:t>
      </w:r>
    </w:p>
    <w:p>
      <w:pPr>
        <w:pStyle w:val="Heading3"/>
        <w:numPr>
          <w:ilvl w:val="2"/>
          <w:numId w:val="8"/>
        </w:numPr>
        <w:tabs>
          <w:tab w:val="left" w:pos="771"/>
        </w:tabs>
        <w:spacing w:before="231" w:after="0" w:line="240" w:lineRule="auto"/>
        <w:ind w:left="771" w:right="0" w:hanging="630"/>
        <w:jc w:val="left"/>
      </w:pPr>
      <w:bookmarkStart w:id="11" w:name="_TOC_250029"/>
      <w:bookmarkEnd w:id="11"/>
      <w:r>
        <w:rPr>
          <w:spacing w:val="-2"/>
        </w:rPr>
        <w:t>离子液体的粘度</w:t>
      </w:r>
    </w:p>
    <w:p>
      <w:pPr>
        <w:pStyle w:val="BodyText"/>
        <w:spacing w:before="179" w:line="343" w:lineRule="auto"/>
        <w:ind w:right="335" w:firstLine="484"/>
        <w:jc w:val="both"/>
      </w:pPr>
      <w:r>
        <w:rPr>
          <w:rFonts w:ascii="Times New Roman" w:eastAsia="Times New Roman" w:hAnsi="Times New Roman"/>
          <w:spacing w:val="-4"/>
        </w:rPr>
        <w:t>ILs</w:t>
      </w:r>
      <w:r>
        <w:rPr>
          <w:rFonts w:ascii="Times New Roman" w:eastAsia="Times New Roman" w:hAnsi="Times New Roman"/>
          <w:spacing w:val="-11"/>
        </w:rPr>
        <w:t xml:space="preserve"> </w:t>
      </w:r>
      <w:r>
        <w:rPr>
          <w:spacing w:val="-6"/>
        </w:rPr>
        <w:t xml:space="preserve">是粘性流体，在室温下它的粘度普通从 </w:t>
      </w:r>
      <w:r>
        <w:rPr>
          <w:rFonts w:ascii="Times New Roman" w:eastAsia="Times New Roman" w:hAnsi="Times New Roman"/>
          <w:spacing w:val="-4"/>
        </w:rPr>
        <w:t>35cp</w:t>
      </w:r>
      <w:r>
        <w:rPr>
          <w:rFonts w:ascii="Times New Roman" w:eastAsia="Times New Roman" w:hAnsi="Times New Roman"/>
          <w:spacing w:val="-11"/>
        </w:rPr>
        <w:t xml:space="preserve"> </w:t>
      </w:r>
      <w:r>
        <w:rPr>
          <w:spacing w:val="-15"/>
        </w:rPr>
        <w:t xml:space="preserve">到 </w:t>
      </w:r>
      <w:r>
        <w:rPr>
          <w:rFonts w:ascii="Times New Roman" w:eastAsia="Times New Roman" w:hAnsi="Times New Roman"/>
          <w:spacing w:val="-4"/>
        </w:rPr>
        <w:t>500cp</w:t>
      </w:r>
      <w:r>
        <w:rPr>
          <w:rFonts w:ascii="Times New Roman" w:eastAsia="Times New Roman" w:hAnsi="Times New Roman"/>
          <w:spacing w:val="-10"/>
        </w:rPr>
        <w:t xml:space="preserve"> </w:t>
      </w:r>
      <w:r>
        <w:rPr>
          <w:spacing w:val="-4"/>
        </w:rPr>
        <w:t>不等，比传统有机溶剂</w:t>
      </w:r>
      <w:r>
        <w:rPr>
          <w:spacing w:val="-9"/>
        </w:rPr>
        <w:t xml:space="preserve">的黏度高 </w:t>
      </w:r>
      <w:r>
        <w:rPr>
          <w:rFonts w:ascii="Times New Roman" w:eastAsia="Times New Roman" w:hAnsi="Times New Roman"/>
          <w:spacing w:val="-4"/>
        </w:rPr>
        <w:t>1</w:t>
      </w:r>
      <w:r>
        <w:rPr>
          <w:spacing w:val="-4"/>
        </w:rPr>
        <w:t>～</w:t>
      </w:r>
      <w:r>
        <w:rPr>
          <w:rFonts w:ascii="Times New Roman" w:eastAsia="Times New Roman" w:hAnsi="Times New Roman"/>
          <w:spacing w:val="-4"/>
        </w:rPr>
        <w:t>2</w:t>
      </w:r>
      <w:r>
        <w:rPr>
          <w:rFonts w:ascii="Times New Roman" w:eastAsia="Times New Roman" w:hAnsi="Times New Roman"/>
          <w:spacing w:val="-11"/>
        </w:rPr>
        <w:t xml:space="preserve"> </w:t>
      </w:r>
      <w:r>
        <w:rPr>
          <w:spacing w:val="-6"/>
        </w:rPr>
        <w:t xml:space="preserve">个数量级，并且不同种类的 </w:t>
      </w:r>
      <w:r>
        <w:rPr>
          <w:rFonts w:ascii="Times New Roman" w:eastAsia="Times New Roman" w:hAnsi="Times New Roman"/>
          <w:spacing w:val="-4"/>
        </w:rPr>
        <w:t>ILs</w:t>
      </w:r>
      <w:r>
        <w:rPr>
          <w:rFonts w:ascii="Times New Roman" w:eastAsia="Times New Roman" w:hAnsi="Times New Roman"/>
          <w:spacing w:val="-11"/>
        </w:rPr>
        <w:t xml:space="preserve"> </w:t>
      </w:r>
      <w:r>
        <w:rPr>
          <w:spacing w:val="-4"/>
        </w:rPr>
        <w:t>的粘度差别较大。</w:t>
      </w:r>
      <w:r>
        <w:rPr>
          <w:rFonts w:ascii="Times New Roman" w:eastAsia="Times New Roman" w:hAnsi="Times New Roman"/>
          <w:spacing w:val="-4"/>
        </w:rPr>
        <w:t>ILs</w:t>
      </w:r>
      <w:r>
        <w:rPr>
          <w:rFonts w:ascii="Times New Roman" w:eastAsia="Times New Roman" w:hAnsi="Times New Roman"/>
          <w:spacing w:val="7"/>
        </w:rPr>
        <w:t xml:space="preserve"> </w:t>
      </w:r>
      <w:r>
        <w:rPr>
          <w:spacing w:val="-4"/>
        </w:rPr>
        <w:t>的粘度重要取决</w:t>
      </w:r>
      <w:r>
        <w:rPr>
          <w:spacing w:val="-2"/>
        </w:rPr>
        <w:t>于其氢键和内部范德华力的互相作用</w:t>
      </w:r>
      <w:r>
        <w:rPr>
          <w:rFonts w:ascii="Times New Roman" w:eastAsia="Times New Roman" w:hAnsi="Times New Roman"/>
          <w:spacing w:val="-2"/>
          <w:vertAlign w:val="superscript"/>
        </w:rPr>
        <w:t>[16]</w:t>
      </w:r>
      <w:r>
        <w:rPr>
          <w:spacing w:val="-12"/>
          <w:vertAlign w:val="baseline"/>
        </w:rPr>
        <w:t>，且随着温度的升高而减少；随着阳离子取代</w:t>
      </w:r>
      <w:r>
        <w:rPr>
          <w:vertAlign w:val="baseline"/>
        </w:rPr>
        <w:t>基碳链长的增大而增加。</w:t>
      </w:r>
      <w:r>
        <w:rPr>
          <w:rFonts w:ascii="Times New Roman" w:eastAsia="Times New Roman" w:hAnsi="Times New Roman"/>
          <w:vertAlign w:val="baseline"/>
        </w:rPr>
        <w:t>Kimizuka</w:t>
      </w:r>
      <w:r>
        <w:rPr>
          <w:rFonts w:ascii="Times New Roman" w:eastAsia="Times New Roman" w:hAnsi="Times New Roman"/>
          <w:position w:val="7"/>
          <w:sz w:val="16"/>
          <w:vertAlign w:val="baseline"/>
        </w:rPr>
        <w:t>[17]</w:t>
      </w:r>
      <w:r>
        <w:rPr>
          <w:vertAlign w:val="baseline"/>
        </w:rPr>
        <w:t>等报道阴离子为</w:t>
      </w:r>
      <w:r>
        <w:rPr>
          <w:rFonts w:ascii="Times New Roman" w:eastAsia="Times New Roman" w:hAnsi="Times New Roman"/>
          <w:vertAlign w:val="baseline"/>
        </w:rPr>
        <w:t>[N(CN)</w:t>
      </w:r>
      <w:r>
        <w:rPr>
          <w:rFonts w:ascii="Times New Roman" w:eastAsia="Times New Roman" w:hAnsi="Times New Roman"/>
          <w:vertAlign w:val="subscript"/>
        </w:rPr>
        <w:t>2</w:t>
      </w:r>
      <w:r>
        <w:rPr>
          <w:rFonts w:ascii="Times New Roman" w:eastAsia="Times New Roman" w:hAnsi="Times New Roman"/>
          <w:vertAlign w:val="baseline"/>
        </w:rPr>
        <w:t>]</w:t>
      </w:r>
      <w:r>
        <w:rPr>
          <w:position w:val="7"/>
          <w:sz w:val="16"/>
          <w:vertAlign w:val="baseline"/>
        </w:rPr>
        <w:t>—</w:t>
      </w:r>
      <w:r>
        <w:rPr>
          <w:spacing w:val="-15"/>
          <w:vertAlign w:val="baseline"/>
        </w:rPr>
        <w:t xml:space="preserve">的 </w:t>
      </w:r>
      <w:r>
        <w:rPr>
          <w:rFonts w:ascii="Times New Roman" w:eastAsia="Times New Roman" w:hAnsi="Times New Roman"/>
          <w:vertAlign w:val="baseline"/>
        </w:rPr>
        <w:t>ILs</w:t>
      </w:r>
      <w:r>
        <w:rPr>
          <w:rFonts w:ascii="Times New Roman" w:eastAsia="Times New Roman" w:hAnsi="Times New Roman"/>
          <w:spacing w:val="4"/>
          <w:vertAlign w:val="baseline"/>
        </w:rPr>
        <w:t xml:space="preserve"> </w:t>
      </w:r>
      <w:r>
        <w:rPr>
          <w:vertAlign w:val="baseline"/>
        </w:rPr>
        <w:t>的粘度普遍偏</w:t>
      </w:r>
      <w:r>
        <w:rPr>
          <w:spacing w:val="-6"/>
          <w:vertAlign w:val="baseline"/>
        </w:rPr>
        <w:t>低。</w:t>
      </w:r>
    </w:p>
    <w:p>
      <w:pPr>
        <w:pStyle w:val="BodyText"/>
        <w:spacing w:before="1"/>
        <w:ind w:left="621"/>
        <w:jc w:val="both"/>
      </w:pPr>
      <w:r>
        <w:rPr>
          <w:spacing w:val="-15"/>
        </w:rPr>
        <w:t xml:space="preserve">氢键对 </w:t>
      </w:r>
      <w:r>
        <w:rPr>
          <w:rFonts w:ascii="Times New Roman" w:eastAsia="Times New Roman"/>
          <w:spacing w:val="-2"/>
        </w:rPr>
        <w:t>ILs</w:t>
      </w:r>
      <w:r>
        <w:rPr>
          <w:rFonts w:ascii="Times New Roman" w:eastAsia="Times New Roman"/>
          <w:spacing w:val="8"/>
        </w:rPr>
        <w:t xml:space="preserve"> </w:t>
      </w:r>
      <w:r>
        <w:rPr>
          <w:spacing w:val="-3"/>
        </w:rPr>
        <w:t>粘度的影响非常明显，如：比较含不同组分的氯铝酸盐的粘度会发现</w:t>
      </w:r>
    </w:p>
    <w:p>
      <w:pPr>
        <w:pStyle w:val="BodyText"/>
        <w:spacing w:before="133" w:line="343" w:lineRule="auto"/>
        <w:ind w:right="124"/>
      </w:pPr>
      <w:r>
        <w:rPr>
          <w:rFonts w:ascii="Times New Roman" w:eastAsia="Times New Roman" w:hAnsi="Times New Roman"/>
          <w:position w:val="7"/>
          <w:sz w:val="16"/>
        </w:rPr>
        <w:t>[18]</w:t>
      </w:r>
      <w:r>
        <w:rPr>
          <w:rFonts w:ascii="Times New Roman" w:eastAsia="Times New Roman" w:hAnsi="Times New Roman"/>
        </w:rPr>
        <w:t>,</w:t>
      </w:r>
      <w:r>
        <w:rPr>
          <w:spacing w:val="-24"/>
        </w:rPr>
        <w:t xml:space="preserve">当 </w:t>
      </w:r>
      <w:r>
        <w:rPr>
          <w:rFonts w:ascii="Times New Roman" w:eastAsia="Times New Roman" w:hAnsi="Times New Roman"/>
        </w:rPr>
        <w:t xml:space="preserve">ILs </w:t>
      </w:r>
      <w:r>
        <w:rPr>
          <w:spacing w:val="-6"/>
        </w:rPr>
        <w:t xml:space="preserve">为碱性的时候，即 </w:t>
      </w:r>
      <w:r>
        <w:rPr>
          <w:rFonts w:ascii="Times New Roman" w:eastAsia="Times New Roman" w:hAnsi="Times New Roman"/>
        </w:rPr>
        <w:t>x(A1C1</w:t>
      </w:r>
      <w:r>
        <w:rPr>
          <w:rFonts w:ascii="Times New Roman" w:eastAsia="Times New Roman" w:hAnsi="Times New Roman"/>
          <w:vertAlign w:val="subscript"/>
        </w:rPr>
        <w:t>3</w:t>
      </w:r>
      <w:r>
        <w:rPr>
          <w:rFonts w:ascii="Times New Roman" w:eastAsia="Times New Roman" w:hAnsi="Times New Roman"/>
          <w:vertAlign w:val="baseline"/>
        </w:rPr>
        <w:t xml:space="preserve">)&gt;0.5 </w:t>
      </w:r>
      <w:r>
        <w:rPr>
          <w:vertAlign w:val="baseline"/>
        </w:rPr>
        <w:t>时，</w:t>
      </w:r>
      <w:r>
        <w:rPr>
          <w:rFonts w:ascii="Times New Roman" w:eastAsia="Times New Roman" w:hAnsi="Times New Roman"/>
          <w:vertAlign w:val="baseline"/>
        </w:rPr>
        <w:t xml:space="preserve">ILs </w:t>
      </w:r>
      <w:r>
        <w:rPr>
          <w:vertAlign w:val="baseline"/>
        </w:rPr>
        <w:t>的粘度会增加，这是由于咪唑类阳</w:t>
      </w:r>
      <w:r>
        <w:rPr>
          <w:spacing w:val="-9"/>
          <w:vertAlign w:val="baseline"/>
        </w:rPr>
        <w:t>离子氢原子和碱性氯原子之间形成了氢键，而存在的大量氯离子使得其氢键作用加强，</w:t>
      </w:r>
      <w:r>
        <w:rPr>
          <w:spacing w:val="-17"/>
          <w:vertAlign w:val="baseline"/>
        </w:rPr>
        <w:t xml:space="preserve">导 </w:t>
      </w:r>
      <w:r>
        <w:rPr>
          <w:rFonts w:ascii="Times New Roman" w:eastAsia="Times New Roman" w:hAnsi="Times New Roman"/>
          <w:vertAlign w:val="baseline"/>
        </w:rPr>
        <w:t>ILs</w:t>
      </w:r>
      <w:r>
        <w:rPr>
          <w:rFonts w:ascii="Times New Roman" w:eastAsia="Times New Roman" w:hAnsi="Times New Roman"/>
          <w:spacing w:val="25"/>
          <w:vertAlign w:val="baseline"/>
        </w:rPr>
        <w:t xml:space="preserve"> </w:t>
      </w:r>
      <w:r>
        <w:rPr>
          <w:spacing w:val="-5"/>
          <w:vertAlign w:val="baseline"/>
        </w:rPr>
        <w:t xml:space="preserve">的粘度增加；当 </w:t>
      </w:r>
      <w:r>
        <w:rPr>
          <w:rFonts w:ascii="Times New Roman" w:eastAsia="Times New Roman" w:hAnsi="Times New Roman"/>
          <w:vertAlign w:val="baseline"/>
        </w:rPr>
        <w:t>ILs</w:t>
      </w:r>
      <w:r>
        <w:rPr>
          <w:rFonts w:ascii="Times New Roman" w:eastAsia="Times New Roman" w:hAnsi="Times New Roman"/>
          <w:spacing w:val="25"/>
          <w:vertAlign w:val="baseline"/>
        </w:rPr>
        <w:t xml:space="preserve"> </w:t>
      </w:r>
      <w:r>
        <w:rPr>
          <w:spacing w:val="-5"/>
          <w:vertAlign w:val="baseline"/>
        </w:rPr>
        <w:t xml:space="preserve">为酸性时，即 </w:t>
      </w:r>
      <w:r>
        <w:rPr>
          <w:rFonts w:ascii="Times New Roman" w:eastAsia="Times New Roman" w:hAnsi="Times New Roman"/>
          <w:vertAlign w:val="baseline"/>
        </w:rPr>
        <w:t>x(A1C1</w:t>
      </w:r>
      <w:r>
        <w:rPr>
          <w:rFonts w:ascii="Times New Roman" w:eastAsia="Times New Roman" w:hAnsi="Times New Roman"/>
          <w:vertAlign w:val="subscript"/>
        </w:rPr>
        <w:t>3</w:t>
      </w:r>
      <w:r>
        <w:rPr>
          <w:rFonts w:ascii="Times New Roman" w:eastAsia="Times New Roman" w:hAnsi="Times New Roman"/>
          <w:vertAlign w:val="baseline"/>
        </w:rPr>
        <w:t>)&gt;0.5</w:t>
      </w:r>
      <w:r>
        <w:rPr>
          <w:rFonts w:ascii="Times New Roman" w:eastAsia="Times New Roman" w:hAnsi="Times New Roman"/>
          <w:spacing w:val="25"/>
          <w:vertAlign w:val="baseline"/>
        </w:rPr>
        <w:t xml:space="preserve"> </w:t>
      </w:r>
      <w:r>
        <w:rPr>
          <w:vertAlign w:val="baseline"/>
        </w:rPr>
        <w:t>时，</w:t>
      </w:r>
      <w:r>
        <w:rPr>
          <w:rFonts w:ascii="Times New Roman" w:eastAsia="Times New Roman" w:hAnsi="Times New Roman"/>
          <w:vertAlign w:val="baseline"/>
        </w:rPr>
        <w:t>ILs</w:t>
      </w:r>
      <w:r>
        <w:rPr>
          <w:rFonts w:ascii="Times New Roman" w:eastAsia="Times New Roman" w:hAnsi="Times New Roman"/>
          <w:spacing w:val="25"/>
          <w:vertAlign w:val="baseline"/>
        </w:rPr>
        <w:t xml:space="preserve"> </w:t>
      </w:r>
      <w:r>
        <w:rPr>
          <w:vertAlign w:val="baseline"/>
        </w:rPr>
        <w:t>粘度较低，这是由于</w:t>
      </w:r>
      <w:r>
        <w:rPr>
          <w:spacing w:val="-7"/>
          <w:vertAlign w:val="baseline"/>
        </w:rPr>
        <w:t xml:space="preserve">较大的离子 </w:t>
      </w:r>
      <w:r>
        <w:rPr>
          <w:rFonts w:ascii="Times New Roman" w:eastAsia="Times New Roman" w:hAnsi="Times New Roman"/>
          <w:vertAlign w:val="baseline"/>
        </w:rPr>
        <w:t>AlC1</w:t>
      </w:r>
      <w:r>
        <w:rPr>
          <w:rFonts w:ascii="Times New Roman" w:eastAsia="Times New Roman" w:hAnsi="Times New Roman"/>
          <w:vertAlign w:val="subscript"/>
        </w:rPr>
        <w:t>4</w:t>
      </w:r>
      <w:r>
        <w:rPr>
          <w:position w:val="7"/>
          <w:sz w:val="16"/>
          <w:vertAlign w:val="baseline"/>
        </w:rPr>
        <w:t>—</w:t>
      </w:r>
      <w:r>
        <w:rPr>
          <w:spacing w:val="-19"/>
          <w:vertAlign w:val="baseline"/>
        </w:rPr>
        <w:t xml:space="preserve">和 </w:t>
      </w:r>
      <w:r>
        <w:rPr>
          <w:rFonts w:ascii="Times New Roman" w:eastAsia="Times New Roman" w:hAnsi="Times New Roman"/>
          <w:vertAlign w:val="baseline"/>
        </w:rPr>
        <w:t>A1</w:t>
      </w:r>
      <w:r>
        <w:rPr>
          <w:rFonts w:ascii="Times New Roman" w:eastAsia="Times New Roman" w:hAnsi="Times New Roman"/>
          <w:vertAlign w:val="subscript"/>
        </w:rPr>
        <w:t>2</w:t>
      </w:r>
      <w:r>
        <w:rPr>
          <w:rFonts w:ascii="Times New Roman" w:eastAsia="Times New Roman" w:hAnsi="Times New Roman"/>
          <w:vertAlign w:val="baseline"/>
        </w:rPr>
        <w:t>C1</w:t>
      </w:r>
      <w:r>
        <w:rPr>
          <w:rFonts w:ascii="Times New Roman" w:eastAsia="Times New Roman" w:hAnsi="Times New Roman"/>
          <w:vertAlign w:val="subscript"/>
        </w:rPr>
        <w:t>7</w:t>
      </w:r>
      <w:r>
        <w:rPr>
          <w:position w:val="7"/>
          <w:sz w:val="16"/>
          <w:vertAlign w:val="baseline"/>
        </w:rPr>
        <w:t>—</w:t>
      </w:r>
      <w:r>
        <w:rPr>
          <w:spacing w:val="-2"/>
          <w:vertAlign w:val="baseline"/>
        </w:rPr>
        <w:t xml:space="preserve">的存在，使体系内形成的氢键作用较弱，自然造成 </w:t>
      </w:r>
      <w:r>
        <w:rPr>
          <w:rFonts w:ascii="Times New Roman" w:eastAsia="Times New Roman" w:hAnsi="Times New Roman"/>
          <w:vertAlign w:val="baseline"/>
        </w:rPr>
        <w:t>ILs</w:t>
      </w:r>
      <w:r>
        <w:rPr>
          <w:spacing w:val="-2"/>
          <w:vertAlign w:val="baseline"/>
        </w:rPr>
        <w:t>的粘度较低</w:t>
      </w:r>
    </w:p>
    <w:p>
      <w:pPr>
        <w:pStyle w:val="BodyText"/>
        <w:spacing w:before="1" w:line="343" w:lineRule="auto"/>
        <w:ind w:right="336" w:firstLine="480"/>
        <w:jc w:val="both"/>
      </w:pPr>
      <w:r>
        <w:t>分子间范德华力对离子液体的粘度也有较大影响</w:t>
      </w:r>
      <w:r>
        <w:rPr>
          <w:rFonts w:ascii="Times New Roman" w:eastAsia="Times New Roman" w:hAnsi="Times New Roman"/>
          <w:vertAlign w:val="superscript"/>
        </w:rPr>
        <w:t>[19]</w:t>
      </w:r>
      <w:r>
        <w:rPr>
          <w:spacing w:val="-10"/>
          <w:vertAlign w:val="baseline"/>
        </w:rPr>
        <w:t xml:space="preserve">，表 </w:t>
      </w:r>
      <w:r>
        <w:rPr>
          <w:rFonts w:ascii="Times New Roman" w:eastAsia="Times New Roman" w:hAnsi="Times New Roman"/>
          <w:vertAlign w:val="baseline"/>
        </w:rPr>
        <w:t>1.2</w:t>
      </w:r>
      <w:r>
        <w:rPr>
          <w:rFonts w:ascii="Times New Roman" w:eastAsia="Times New Roman" w:hAnsi="Times New Roman"/>
          <w:spacing w:val="-15"/>
          <w:vertAlign w:val="baseline"/>
        </w:rPr>
        <w:t xml:space="preserve"> </w:t>
      </w:r>
      <w:r>
        <w:rPr>
          <w:vertAlign w:val="baseline"/>
        </w:rPr>
        <w:t>给出了含</w:t>
      </w:r>
      <w:r>
        <w:rPr>
          <w:rFonts w:ascii="Times New Roman" w:eastAsia="Times New Roman" w:hAnsi="Times New Roman"/>
          <w:vertAlign w:val="baseline"/>
        </w:rPr>
        <w:t>[bmim]+</w:t>
      </w:r>
      <w:r>
        <w:rPr>
          <w:vertAlign w:val="baseline"/>
        </w:rPr>
        <w:t>阳</w:t>
      </w:r>
      <w:r>
        <w:rPr>
          <w:spacing w:val="13"/>
          <w:vertAlign w:val="baseline"/>
        </w:rPr>
        <w:t>离的不同离子液体的粘度。由表可知从</w:t>
      </w:r>
      <w:r>
        <w:rPr>
          <w:rFonts w:ascii="Times New Roman" w:eastAsia="Times New Roman" w:hAnsi="Times New Roman"/>
          <w:vertAlign w:val="baseline"/>
        </w:rPr>
        <w:t>[CF3</w:t>
      </w:r>
      <w:r>
        <w:rPr>
          <w:rFonts w:ascii="Times New Roman" w:eastAsia="Times New Roman" w:hAnsi="Times New Roman"/>
          <w:vertAlign w:val="subscript"/>
        </w:rPr>
        <w:t>S</w:t>
      </w:r>
      <w:r>
        <w:rPr>
          <w:rFonts w:ascii="Times New Roman" w:eastAsia="Times New Roman" w:hAnsi="Times New Roman"/>
          <w:vertAlign w:val="baseline"/>
        </w:rPr>
        <w:t>O</w:t>
      </w:r>
      <w:r>
        <w:rPr>
          <w:rFonts w:ascii="Times New Roman" w:eastAsia="Times New Roman" w:hAnsi="Times New Roman"/>
          <w:vertAlign w:val="subscript"/>
        </w:rPr>
        <w:t>3</w:t>
      </w:r>
      <w:r>
        <w:rPr>
          <w:rFonts w:ascii="Times New Roman" w:eastAsia="Times New Roman" w:hAnsi="Times New Roman"/>
          <w:vertAlign w:val="baseline"/>
        </w:rPr>
        <w:t>]</w:t>
      </w:r>
      <w:r>
        <w:rPr>
          <w:position w:val="7"/>
          <w:sz w:val="16"/>
          <w:vertAlign w:val="baseline"/>
        </w:rPr>
        <w:t>—</w:t>
      </w:r>
      <w:r>
        <w:rPr>
          <w:spacing w:val="13"/>
          <w:vertAlign w:val="baseline"/>
        </w:rPr>
        <w:t>到</w:t>
      </w:r>
      <w:r>
        <w:rPr>
          <w:rFonts w:ascii="Times New Roman" w:eastAsia="Times New Roman" w:hAnsi="Times New Roman"/>
          <w:vertAlign w:val="baseline"/>
        </w:rPr>
        <w:t>[C</w:t>
      </w:r>
      <w:r>
        <w:rPr>
          <w:rFonts w:ascii="Times New Roman" w:eastAsia="Times New Roman" w:hAnsi="Times New Roman"/>
          <w:vertAlign w:val="subscript"/>
        </w:rPr>
        <w:t>4</w:t>
      </w:r>
      <w:r>
        <w:rPr>
          <w:rFonts w:ascii="Times New Roman" w:eastAsia="Times New Roman" w:hAnsi="Times New Roman"/>
          <w:vertAlign w:val="baseline"/>
        </w:rPr>
        <w:t>F</w:t>
      </w:r>
      <w:r>
        <w:rPr>
          <w:rFonts w:ascii="Times New Roman" w:eastAsia="Times New Roman" w:hAnsi="Times New Roman"/>
          <w:vertAlign w:val="subscript"/>
        </w:rPr>
        <w:t>9</w:t>
      </w:r>
      <w:r>
        <w:rPr>
          <w:rFonts w:ascii="Times New Roman" w:eastAsia="Times New Roman" w:hAnsi="Times New Roman"/>
          <w:vertAlign w:val="baseline"/>
        </w:rPr>
        <w:t>SO</w:t>
      </w:r>
      <w:r>
        <w:rPr>
          <w:rFonts w:ascii="Times New Roman" w:eastAsia="Times New Roman" w:hAnsi="Times New Roman"/>
          <w:vertAlign w:val="subscript"/>
        </w:rPr>
        <w:t>3</w:t>
      </w:r>
      <w:r>
        <w:rPr>
          <w:rFonts w:ascii="Times New Roman" w:eastAsia="Times New Roman" w:hAnsi="Times New Roman"/>
          <w:vertAlign w:val="baseline"/>
        </w:rPr>
        <w:t>]</w:t>
      </w:r>
      <w:r>
        <w:rPr>
          <w:position w:val="7"/>
          <w:sz w:val="16"/>
          <w:vertAlign w:val="baseline"/>
        </w:rPr>
        <w:t>—</w:t>
      </w:r>
      <w:r>
        <w:rPr>
          <w:spacing w:val="13"/>
          <w:vertAlign w:val="baseline"/>
        </w:rPr>
        <w:t>、从</w:t>
      </w:r>
      <w:r>
        <w:rPr>
          <w:rFonts w:ascii="Times New Roman" w:eastAsia="Times New Roman" w:hAnsi="Times New Roman"/>
          <w:vertAlign w:val="baseline"/>
        </w:rPr>
        <w:t>[CF</w:t>
      </w:r>
      <w:r>
        <w:rPr>
          <w:rFonts w:ascii="Times New Roman" w:eastAsia="Times New Roman" w:hAnsi="Times New Roman"/>
          <w:vertAlign w:val="subscript"/>
        </w:rPr>
        <w:t>3</w:t>
      </w:r>
      <w:r>
        <w:rPr>
          <w:rFonts w:ascii="Times New Roman" w:eastAsia="Times New Roman" w:hAnsi="Times New Roman"/>
          <w:vertAlign w:val="baseline"/>
        </w:rPr>
        <w:t>COO]</w:t>
      </w:r>
      <w:r>
        <w:rPr>
          <w:position w:val="7"/>
          <w:sz w:val="16"/>
          <w:vertAlign w:val="baseline"/>
        </w:rPr>
        <w:t>—</w:t>
      </w:r>
      <w:r>
        <w:rPr>
          <w:vertAlign w:val="baseline"/>
        </w:rPr>
        <w:t xml:space="preserve">到 </w:t>
      </w:r>
      <w:r>
        <w:rPr>
          <w:rFonts w:ascii="Times New Roman" w:eastAsia="Times New Roman" w:hAnsi="Times New Roman"/>
          <w:vertAlign w:val="baseline"/>
        </w:rPr>
        <w:t>[C</w:t>
      </w:r>
      <w:r>
        <w:rPr>
          <w:rFonts w:ascii="Times New Roman" w:eastAsia="Times New Roman" w:hAnsi="Times New Roman"/>
          <w:vertAlign w:val="subscript"/>
        </w:rPr>
        <w:t>3</w:t>
      </w:r>
      <w:r>
        <w:rPr>
          <w:rFonts w:ascii="Times New Roman" w:eastAsia="Times New Roman" w:hAnsi="Times New Roman"/>
          <w:vertAlign w:val="baseline"/>
        </w:rPr>
        <w:t>F</w:t>
      </w:r>
      <w:r>
        <w:rPr>
          <w:rFonts w:ascii="Times New Roman" w:eastAsia="Times New Roman" w:hAnsi="Times New Roman"/>
          <w:vertAlign w:val="subscript"/>
        </w:rPr>
        <w:t>7</w:t>
      </w:r>
      <w:r>
        <w:rPr>
          <w:rFonts w:ascii="Times New Roman" w:eastAsia="Times New Roman" w:hAnsi="Times New Roman"/>
          <w:vertAlign w:val="baseline"/>
        </w:rPr>
        <w:t>COO]</w:t>
      </w:r>
      <w:r>
        <w:rPr>
          <w:position w:val="7"/>
          <w:sz w:val="16"/>
          <w:vertAlign w:val="baseline"/>
        </w:rPr>
        <w:t>—</w:t>
      </w:r>
      <w:r>
        <w:rPr>
          <w:rFonts w:ascii="Times New Roman" w:eastAsia="Times New Roman" w:hAnsi="Times New Roman"/>
          <w:vertAlign w:val="baseline"/>
        </w:rPr>
        <w:t xml:space="preserve">ILs </w:t>
      </w:r>
      <w:r>
        <w:rPr>
          <w:vertAlign w:val="baseline"/>
        </w:rPr>
        <w:t>的粘度明显增加，这是由于含</w:t>
      </w:r>
      <w:r>
        <w:rPr>
          <w:rFonts w:ascii="Times New Roman" w:eastAsia="Times New Roman" w:hAnsi="Times New Roman"/>
          <w:vertAlign w:val="baseline"/>
        </w:rPr>
        <w:t>[C4FgsO3]</w:t>
      </w:r>
      <w:r>
        <w:rPr>
          <w:position w:val="7"/>
          <w:sz w:val="16"/>
          <w:vertAlign w:val="baseline"/>
        </w:rPr>
        <w:t>—</w:t>
      </w:r>
      <w:r>
        <w:rPr>
          <w:vertAlign w:val="baseline"/>
        </w:rPr>
        <w:t>和</w:t>
      </w:r>
      <w:r>
        <w:rPr>
          <w:rFonts w:ascii="Times New Roman" w:eastAsia="Times New Roman" w:hAnsi="Times New Roman"/>
          <w:vertAlign w:val="baseline"/>
        </w:rPr>
        <w:t>[C</w:t>
      </w:r>
      <w:r>
        <w:rPr>
          <w:rFonts w:ascii="Times New Roman" w:eastAsia="Times New Roman" w:hAnsi="Times New Roman"/>
          <w:vertAlign w:val="subscript"/>
        </w:rPr>
        <w:t>3</w:t>
      </w:r>
      <w:r>
        <w:rPr>
          <w:rFonts w:ascii="Times New Roman" w:eastAsia="Times New Roman" w:hAnsi="Times New Roman"/>
          <w:vertAlign w:val="baseline"/>
        </w:rPr>
        <w:t>F</w:t>
      </w:r>
      <w:r>
        <w:rPr>
          <w:rFonts w:ascii="Times New Roman" w:eastAsia="Times New Roman" w:hAnsi="Times New Roman"/>
          <w:vertAlign w:val="subscript"/>
        </w:rPr>
        <w:t>7</w:t>
      </w:r>
      <w:r>
        <w:rPr>
          <w:rFonts w:ascii="Times New Roman" w:eastAsia="Times New Roman" w:hAnsi="Times New Roman"/>
          <w:vertAlign w:val="baseline"/>
        </w:rPr>
        <w:t>COO]</w:t>
      </w:r>
      <w:r>
        <w:rPr>
          <w:position w:val="7"/>
          <w:sz w:val="16"/>
          <w:vertAlign w:val="baseline"/>
        </w:rPr>
        <w:t>—</w:t>
      </w:r>
      <w:r>
        <w:rPr>
          <w:spacing w:val="-15"/>
          <w:vertAlign w:val="baseline"/>
        </w:rPr>
        <w:t xml:space="preserve">的 </w:t>
      </w:r>
      <w:r>
        <w:rPr>
          <w:rFonts w:ascii="Times New Roman" w:eastAsia="Times New Roman" w:hAnsi="Times New Roman"/>
          <w:vertAlign w:val="baseline"/>
        </w:rPr>
        <w:t xml:space="preserve">ILs </w:t>
      </w:r>
      <w:r>
        <w:rPr>
          <w:vertAlign w:val="baseline"/>
        </w:rPr>
        <w:t>中较</w:t>
      </w:r>
      <w:r>
        <w:rPr>
          <w:spacing w:val="-4"/>
          <w:vertAlign w:val="baseline"/>
        </w:rPr>
        <w:t xml:space="preserve">强的范德华力造成 </w:t>
      </w:r>
      <w:r>
        <w:rPr>
          <w:rFonts w:ascii="Times New Roman" w:eastAsia="Times New Roman" w:hAnsi="Times New Roman"/>
          <w:vertAlign w:val="baseline"/>
        </w:rPr>
        <w:t>ILs</w:t>
      </w:r>
      <w:r>
        <w:rPr>
          <w:rFonts w:ascii="Times New Roman" w:eastAsia="Times New Roman" w:hAnsi="Times New Roman"/>
          <w:spacing w:val="28"/>
          <w:vertAlign w:val="baseline"/>
        </w:rPr>
        <w:t xml:space="preserve"> </w:t>
      </w:r>
      <w:r>
        <w:rPr>
          <w:vertAlign w:val="baseline"/>
        </w:rPr>
        <w:t>较大的粘度。然而，比较</w:t>
      </w:r>
      <w:r>
        <w:rPr>
          <w:rFonts w:ascii="Times New Roman" w:eastAsia="Times New Roman" w:hAnsi="Times New Roman"/>
          <w:vertAlign w:val="baseline"/>
        </w:rPr>
        <w:t>[CF</w:t>
      </w:r>
      <w:r>
        <w:rPr>
          <w:rFonts w:ascii="Times New Roman" w:eastAsia="Times New Roman" w:hAnsi="Times New Roman"/>
          <w:vertAlign w:val="subscript"/>
        </w:rPr>
        <w:t>3</w:t>
      </w:r>
      <w:r>
        <w:rPr>
          <w:rFonts w:ascii="Times New Roman" w:eastAsia="Times New Roman" w:hAnsi="Times New Roman"/>
          <w:vertAlign w:val="baseline"/>
        </w:rPr>
        <w:t>SO</w:t>
      </w:r>
      <w:r>
        <w:rPr>
          <w:rFonts w:ascii="Times New Roman" w:eastAsia="Times New Roman" w:hAnsi="Times New Roman"/>
          <w:vertAlign w:val="subscript"/>
        </w:rPr>
        <w:t>3</w:t>
      </w:r>
      <w:r>
        <w:rPr>
          <w:rFonts w:ascii="Times New Roman" w:eastAsia="Times New Roman" w:hAnsi="Times New Roman"/>
          <w:vertAlign w:val="baseline"/>
        </w:rPr>
        <w:t>]</w:t>
      </w:r>
      <w:r>
        <w:rPr>
          <w:position w:val="7"/>
          <w:sz w:val="16"/>
          <w:vertAlign w:val="baseline"/>
        </w:rPr>
        <w:t>—</w:t>
      </w:r>
      <w:r>
        <w:rPr>
          <w:vertAlign w:val="baseline"/>
        </w:rPr>
        <w:t>和</w:t>
      </w:r>
      <w:r>
        <w:rPr>
          <w:rFonts w:ascii="Times New Roman" w:eastAsia="Times New Roman" w:hAnsi="Times New Roman"/>
          <w:vertAlign w:val="baseline"/>
        </w:rPr>
        <w:t>[(CF3SO</w:t>
      </w:r>
      <w:r>
        <w:rPr>
          <w:rFonts w:ascii="Times New Roman" w:eastAsia="Times New Roman" w:hAnsi="Times New Roman"/>
          <w:vertAlign w:val="subscript"/>
        </w:rPr>
        <w:t>2</w:t>
      </w:r>
      <w:r>
        <w:rPr>
          <w:rFonts w:ascii="Times New Roman" w:eastAsia="Times New Roman" w:hAnsi="Times New Roman"/>
          <w:vertAlign w:val="baseline"/>
        </w:rPr>
        <w:t>)</w:t>
      </w:r>
      <w:r>
        <w:rPr>
          <w:rFonts w:ascii="Times New Roman" w:eastAsia="Times New Roman" w:hAnsi="Times New Roman"/>
          <w:vertAlign w:val="subscript"/>
        </w:rPr>
        <w:t>2</w:t>
      </w:r>
      <w:r>
        <w:rPr>
          <w:rFonts w:ascii="Times New Roman" w:eastAsia="Times New Roman" w:hAnsi="Times New Roman"/>
          <w:vertAlign w:val="baseline"/>
        </w:rPr>
        <w:t>N</w:t>
      </w:r>
      <w:r>
        <w:rPr>
          <w:vertAlign w:val="baseline"/>
        </w:rPr>
        <w:t>」—</w:t>
      </w:r>
      <w:r>
        <w:rPr>
          <w:vertAlign w:val="baseline"/>
        </w:rPr>
        <w:t>的粘度</w:t>
      </w:r>
      <w:r>
        <w:rPr>
          <w:spacing w:val="-2"/>
          <w:vertAlign w:val="baseline"/>
        </w:rPr>
        <w:t>会发现，即使含</w:t>
      </w:r>
      <w:r>
        <w:rPr>
          <w:rFonts w:ascii="Times New Roman" w:eastAsia="Times New Roman" w:hAnsi="Times New Roman"/>
          <w:spacing w:val="-2"/>
          <w:vertAlign w:val="baseline"/>
        </w:rPr>
        <w:t>[(CF</w:t>
      </w:r>
      <w:r>
        <w:rPr>
          <w:rFonts w:ascii="Times New Roman" w:eastAsia="Times New Roman" w:hAnsi="Times New Roman"/>
          <w:spacing w:val="-2"/>
          <w:vertAlign w:val="subscript"/>
        </w:rPr>
        <w:t>3</w:t>
      </w:r>
      <w:r>
        <w:rPr>
          <w:rFonts w:ascii="Times New Roman" w:eastAsia="Times New Roman" w:hAnsi="Times New Roman"/>
          <w:spacing w:val="-2"/>
          <w:vertAlign w:val="baseline"/>
        </w:rPr>
        <w:t>SO</w:t>
      </w:r>
      <w:r>
        <w:rPr>
          <w:rFonts w:ascii="Times New Roman" w:eastAsia="Times New Roman" w:hAnsi="Times New Roman"/>
          <w:spacing w:val="-2"/>
          <w:vertAlign w:val="subscript"/>
        </w:rPr>
        <w:t>2</w:t>
      </w:r>
      <w:r>
        <w:rPr>
          <w:rFonts w:ascii="Times New Roman" w:eastAsia="Times New Roman" w:hAnsi="Times New Roman"/>
          <w:spacing w:val="-2"/>
          <w:vertAlign w:val="baseline"/>
        </w:rPr>
        <w:t>)N]</w:t>
      </w:r>
      <w:r>
        <w:rPr>
          <w:spacing w:val="-2"/>
          <w:position w:val="7"/>
          <w:sz w:val="16"/>
          <w:vertAlign w:val="baseline"/>
        </w:rPr>
        <w:t>—</w:t>
      </w:r>
      <w:r>
        <w:rPr>
          <w:spacing w:val="-15"/>
          <w:vertAlign w:val="baseline"/>
        </w:rPr>
        <w:t xml:space="preserve">的 </w:t>
      </w:r>
      <w:r>
        <w:rPr>
          <w:rFonts w:ascii="Times New Roman" w:eastAsia="Times New Roman" w:hAnsi="Times New Roman"/>
          <w:spacing w:val="-2"/>
          <w:vertAlign w:val="baseline"/>
        </w:rPr>
        <w:t>ILs</w:t>
      </w:r>
      <w:r>
        <w:rPr>
          <w:rFonts w:ascii="Times New Roman" w:eastAsia="Times New Roman" w:hAnsi="Times New Roman"/>
          <w:spacing w:val="-5"/>
          <w:vertAlign w:val="baseline"/>
        </w:rPr>
        <w:t xml:space="preserve"> </w:t>
      </w:r>
      <w:r>
        <w:rPr>
          <w:spacing w:val="-2"/>
          <w:vertAlign w:val="baseline"/>
        </w:rPr>
        <w:t>有更强的范德华力，但其粘度并不大，这是由于</w:t>
      </w:r>
      <w:r>
        <w:rPr>
          <w:spacing w:val="-2"/>
          <w:vertAlign w:val="baseline"/>
        </w:rPr>
        <w:t>由范德华力引发的粘度增加被弱的氢键抵消了。</w:t>
      </w:r>
    </w:p>
    <w:p>
      <w:pPr>
        <w:spacing w:before="0" w:line="424" w:lineRule="exact"/>
        <w:ind w:left="0" w:right="195" w:firstLine="0"/>
        <w:jc w:val="center"/>
        <w:rPr>
          <w:rFonts w:ascii="Microsoft JhengHei" w:eastAsia="Microsoft JhengHei"/>
          <w:b/>
          <w:sz w:val="24"/>
        </w:rPr>
      </w:pPr>
      <w:r>
        <w:rPr>
          <w:rFonts w:ascii="Microsoft JhengHei" w:eastAsia="Microsoft JhengHei"/>
          <w:b/>
          <w:sz w:val="24"/>
        </w:rPr>
        <w:t xml:space="preserve">表 </w:t>
      </w:r>
      <w:r>
        <w:rPr>
          <w:rFonts w:ascii="Times New Roman" w:eastAsia="Times New Roman"/>
          <w:b/>
          <w:sz w:val="24"/>
        </w:rPr>
        <w:t>1.2</w:t>
      </w:r>
      <w:r>
        <w:rPr>
          <w:rFonts w:ascii="Times New Roman" w:eastAsia="Times New Roman"/>
          <w:b/>
          <w:spacing w:val="60"/>
          <w:sz w:val="24"/>
        </w:rPr>
        <w:t xml:space="preserve"> </w:t>
      </w:r>
      <w:r>
        <w:rPr>
          <w:rFonts w:ascii="Microsoft JhengHei" w:eastAsia="Microsoft JhengHei"/>
          <w:b/>
          <w:sz w:val="24"/>
        </w:rPr>
        <w:t>含</w:t>
      </w:r>
      <w:r>
        <w:rPr>
          <w:rFonts w:ascii="Times New Roman" w:eastAsia="Times New Roman"/>
          <w:b/>
          <w:sz w:val="24"/>
        </w:rPr>
        <w:t>[bmim]+</w:t>
      </w:r>
      <w:r>
        <w:rPr>
          <w:rFonts w:ascii="Microsoft JhengHei" w:eastAsia="Microsoft JhengHei"/>
          <w:b/>
          <w:spacing w:val="-1"/>
          <w:sz w:val="24"/>
        </w:rPr>
        <w:t>阳离子的不同离子液体的粘度</w:t>
      </w:r>
    </w:p>
    <w:p>
      <w:pPr>
        <w:tabs>
          <w:tab w:val="left" w:pos="1186"/>
        </w:tabs>
        <w:spacing w:before="94"/>
        <w:ind w:left="0" w:right="194" w:firstLine="0"/>
        <w:jc w:val="center"/>
        <w:rPr>
          <w:rFonts w:ascii="Times New Roman"/>
          <w:b/>
          <w:sz w:val="24"/>
        </w:rPr>
      </w:pPr>
      <w:r>
        <w:pict>
          <v:shape id="_x0000_s1044" style="width:442.25pt;height:0.1pt;margin-top:21.43pt;margin-left:83.6pt;mso-position-horizontal-relative:page;mso-wrap-distance-left:0;mso-wrap-distance-right:0;position:absolute;z-index:-251648000" coordorigin="1672,429" coordsize="8845,0" path="m1672,429l10517,429e" filled="f" stroked="t" strokecolor="black" strokeweight="2.25pt">
            <v:stroke dashstyle="solid"/>
            <v:path arrowok="t"/>
            <w10:wrap type="topAndBottom"/>
          </v:shape>
        </w:pict>
      </w:r>
      <w:r>
        <w:rPr>
          <w:rFonts w:ascii="Times New Roman"/>
          <w:b/>
          <w:sz w:val="24"/>
        </w:rPr>
        <w:t xml:space="preserve">Table </w:t>
      </w:r>
      <w:r>
        <w:rPr>
          <w:rFonts w:ascii="Times New Roman"/>
          <w:b/>
          <w:spacing w:val="-5"/>
          <w:sz w:val="24"/>
        </w:rPr>
        <w:t>1.2</w:t>
      </w:r>
      <w:r>
        <w:rPr>
          <w:rFonts w:ascii="Times New Roman"/>
          <w:b/>
          <w:sz w:val="24"/>
        </w:rPr>
        <w:tab/>
        <w:t>Viscosity</w:t>
      </w:r>
      <w:r>
        <w:rPr>
          <w:rFonts w:ascii="Times New Roman"/>
          <w:b/>
          <w:spacing w:val="-4"/>
          <w:sz w:val="24"/>
        </w:rPr>
        <w:t xml:space="preserve"> </w:t>
      </w:r>
      <w:r>
        <w:rPr>
          <w:rFonts w:ascii="Times New Roman"/>
          <w:b/>
          <w:sz w:val="24"/>
        </w:rPr>
        <w:t>of</w:t>
      </w:r>
      <w:r>
        <w:rPr>
          <w:rFonts w:ascii="Times New Roman"/>
          <w:b/>
          <w:spacing w:val="-2"/>
          <w:sz w:val="24"/>
        </w:rPr>
        <w:t xml:space="preserve"> </w:t>
      </w:r>
      <w:r>
        <w:rPr>
          <w:rFonts w:ascii="Times New Roman"/>
          <w:b/>
          <w:sz w:val="24"/>
        </w:rPr>
        <w:t>different</w:t>
      </w:r>
      <w:r>
        <w:rPr>
          <w:rFonts w:ascii="Times New Roman"/>
          <w:b/>
          <w:spacing w:val="-4"/>
          <w:sz w:val="24"/>
        </w:rPr>
        <w:t xml:space="preserve"> </w:t>
      </w:r>
      <w:r>
        <w:rPr>
          <w:rFonts w:ascii="Times New Roman"/>
          <w:b/>
          <w:sz w:val="24"/>
        </w:rPr>
        <w:t>ionic</w:t>
      </w:r>
      <w:r>
        <w:rPr>
          <w:rFonts w:ascii="Times New Roman"/>
          <w:b/>
          <w:spacing w:val="-2"/>
          <w:sz w:val="24"/>
        </w:rPr>
        <w:t xml:space="preserve"> </w:t>
      </w:r>
      <w:r>
        <w:rPr>
          <w:rFonts w:ascii="Times New Roman"/>
          <w:b/>
          <w:sz w:val="24"/>
        </w:rPr>
        <w:t>liquid</w:t>
      </w:r>
      <w:r>
        <w:rPr>
          <w:rFonts w:ascii="Times New Roman"/>
          <w:b/>
          <w:spacing w:val="-2"/>
          <w:sz w:val="24"/>
        </w:rPr>
        <w:t xml:space="preserve"> </w:t>
      </w:r>
      <w:r>
        <w:rPr>
          <w:rFonts w:ascii="Times New Roman"/>
          <w:b/>
          <w:sz w:val="24"/>
        </w:rPr>
        <w:t>contaiming</w:t>
      </w:r>
      <w:r>
        <w:rPr>
          <w:rFonts w:ascii="Times New Roman"/>
          <w:b/>
          <w:spacing w:val="-3"/>
          <w:sz w:val="24"/>
        </w:rPr>
        <w:t xml:space="preserve"> </w:t>
      </w:r>
      <w:r>
        <w:rPr>
          <w:rFonts w:ascii="Times New Roman"/>
          <w:b/>
          <w:sz w:val="24"/>
        </w:rPr>
        <w:t>[bmim]</w:t>
      </w:r>
      <w:r>
        <w:rPr>
          <w:rFonts w:ascii="Times New Roman"/>
          <w:b/>
          <w:position w:val="7"/>
          <w:sz w:val="16"/>
        </w:rPr>
        <w:t>+</w:t>
      </w:r>
      <w:r>
        <w:rPr>
          <w:rFonts w:ascii="Times New Roman"/>
          <w:b/>
          <w:spacing w:val="-1"/>
          <w:position w:val="7"/>
          <w:sz w:val="16"/>
        </w:rPr>
        <w:t xml:space="preserve"> </w:t>
      </w:r>
      <w:r>
        <w:rPr>
          <w:rFonts w:ascii="Times New Roman"/>
          <w:b/>
          <w:spacing w:val="-2"/>
          <w:sz w:val="24"/>
        </w:rPr>
        <w:t>cation</w:t>
      </w:r>
    </w:p>
    <w:p>
      <w:pPr>
        <w:pStyle w:val="BodyText"/>
        <w:tabs>
          <w:tab w:val="left" w:pos="7100"/>
        </w:tabs>
        <w:spacing w:before="132"/>
        <w:rPr>
          <w:rFonts w:ascii="Times New Roman" w:eastAsia="Times New Roman" w:hAnsi="Times New Roman"/>
        </w:rPr>
      </w:pPr>
      <w:r>
        <w:t>离子液</w:t>
      </w:r>
      <w:r>
        <w:rPr>
          <w:spacing w:val="-10"/>
        </w:rPr>
        <w:t>体</w:t>
      </w:r>
      <w:r>
        <w:tab/>
        <w:t>粘度</w:t>
      </w:r>
      <w:r>
        <w:rPr>
          <w:spacing w:val="-2"/>
        </w:rPr>
        <w:t>×</w:t>
      </w:r>
      <w:r>
        <w:rPr>
          <w:rFonts w:ascii="Times New Roman" w:eastAsia="Times New Roman" w:hAnsi="Times New Roman"/>
          <w:spacing w:val="-2"/>
        </w:rPr>
        <w:t>103pa*s</w:t>
      </w:r>
    </w:p>
    <w:p>
      <w:pPr>
        <w:pStyle w:val="BodyText"/>
        <w:tabs>
          <w:tab w:val="right" w:pos="8220"/>
        </w:tabs>
        <w:spacing w:before="88"/>
        <w:rPr>
          <w:rFonts w:ascii="Times New Roman"/>
        </w:rPr>
      </w:pPr>
      <w:r>
        <w:pict>
          <v:line id="_x0000_s1045" style="mso-position-horizontal-relative:page;position:absolute;z-index:251665408" from="83.6pt,1.75pt" to="525.85pt,1.75pt" stroked="t" strokecolor="black" strokeweight="1.5pt">
            <v:stroke dashstyle="solid"/>
          </v:line>
        </w:pict>
      </w:r>
      <w:r>
        <w:rPr>
          <w:rFonts w:ascii="Times New Roman"/>
          <w:spacing w:val="-2"/>
        </w:rPr>
        <w:t>[bmim][CF3SO3]</w:t>
      </w:r>
      <w:r>
        <w:rPr>
          <w:rFonts w:ascii="Times New Roman"/>
        </w:rPr>
        <w:tab/>
      </w:r>
      <w:r>
        <w:rPr>
          <w:rFonts w:ascii="Times New Roman"/>
          <w:spacing w:val="-5"/>
        </w:rPr>
        <w:t>90</w:t>
      </w:r>
    </w:p>
    <w:p>
      <w:pPr>
        <w:pStyle w:val="BodyText"/>
        <w:spacing w:before="4"/>
        <w:ind w:left="0"/>
        <w:rPr>
          <w:rFonts w:ascii="Times New Roman"/>
          <w:sz w:val="8"/>
        </w:rPr>
      </w:pPr>
    </w:p>
    <w:tbl>
      <w:tblPr>
        <w:tblStyle w:val="TableNormal1"/>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976"/>
        <w:gridCol w:w="3870"/>
      </w:tblGrid>
      <w:tr>
        <w:tblPrEx>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2"/>
          <w:jc w:val="left"/>
        </w:trPr>
        <w:tc>
          <w:tcPr>
            <w:tcW w:w="4976" w:type="dxa"/>
          </w:tcPr>
          <w:p>
            <w:pPr>
              <w:pStyle w:val="TableParagraph"/>
              <w:spacing w:before="0" w:line="266" w:lineRule="exact"/>
              <w:rPr>
                <w:sz w:val="24"/>
              </w:rPr>
            </w:pPr>
            <w:r>
              <w:rPr>
                <w:spacing w:val="-2"/>
                <w:sz w:val="24"/>
              </w:rPr>
              <w:t>[bmim][C</w:t>
            </w:r>
            <w:r>
              <w:rPr>
                <w:spacing w:val="-2"/>
                <w:sz w:val="24"/>
                <w:vertAlign w:val="subscript"/>
              </w:rPr>
              <w:t>4</w:t>
            </w:r>
            <w:r>
              <w:rPr>
                <w:spacing w:val="-2"/>
                <w:sz w:val="24"/>
                <w:vertAlign w:val="baseline"/>
              </w:rPr>
              <w:t>F</w:t>
            </w:r>
            <w:r>
              <w:rPr>
                <w:spacing w:val="-2"/>
                <w:sz w:val="24"/>
                <w:vertAlign w:val="subscript"/>
              </w:rPr>
              <w:t>9</w:t>
            </w:r>
            <w:r>
              <w:rPr>
                <w:spacing w:val="-2"/>
                <w:sz w:val="24"/>
                <w:vertAlign w:val="baseline"/>
              </w:rPr>
              <w:t>SO</w:t>
            </w:r>
            <w:r>
              <w:rPr>
                <w:spacing w:val="-2"/>
                <w:sz w:val="24"/>
                <w:vertAlign w:val="subscript"/>
              </w:rPr>
              <w:t>3</w:t>
            </w:r>
            <w:r>
              <w:rPr>
                <w:spacing w:val="-2"/>
                <w:sz w:val="24"/>
                <w:vertAlign w:val="baseline"/>
              </w:rPr>
              <w:t>]</w:t>
            </w:r>
          </w:p>
        </w:tc>
        <w:tc>
          <w:tcPr>
            <w:tcW w:w="3870" w:type="dxa"/>
          </w:tcPr>
          <w:p>
            <w:pPr>
              <w:pStyle w:val="TableParagraph"/>
              <w:spacing w:before="0" w:line="266" w:lineRule="exact"/>
              <w:ind w:left="0" w:right="734"/>
              <w:jc w:val="right"/>
              <w:rPr>
                <w:sz w:val="24"/>
              </w:rPr>
            </w:pPr>
            <w:r>
              <w:rPr>
                <w:spacing w:val="-5"/>
                <w:sz w:val="24"/>
              </w:rPr>
              <w:t>373</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4976" w:type="dxa"/>
          </w:tcPr>
          <w:p>
            <w:pPr>
              <w:pStyle w:val="TableParagraph"/>
              <w:spacing w:before="67"/>
              <w:rPr>
                <w:sz w:val="24"/>
              </w:rPr>
            </w:pPr>
            <w:r>
              <w:rPr>
                <w:spacing w:val="-2"/>
                <w:sz w:val="24"/>
              </w:rPr>
              <w:t>[bmim][CF</w:t>
            </w:r>
            <w:r>
              <w:rPr>
                <w:spacing w:val="-2"/>
                <w:sz w:val="24"/>
                <w:vertAlign w:val="subscript"/>
              </w:rPr>
              <w:t>3</w:t>
            </w:r>
            <w:r>
              <w:rPr>
                <w:spacing w:val="-2"/>
                <w:sz w:val="24"/>
                <w:vertAlign w:val="baseline"/>
              </w:rPr>
              <w:t>COO]</w:t>
            </w:r>
          </w:p>
        </w:tc>
        <w:tc>
          <w:tcPr>
            <w:tcW w:w="3870" w:type="dxa"/>
          </w:tcPr>
          <w:p>
            <w:pPr>
              <w:pStyle w:val="TableParagraph"/>
              <w:spacing w:before="67"/>
              <w:ind w:left="0" w:right="814"/>
              <w:jc w:val="right"/>
              <w:rPr>
                <w:sz w:val="24"/>
              </w:rPr>
            </w:pPr>
            <w:r>
              <w:rPr>
                <w:spacing w:val="-5"/>
                <w:sz w:val="24"/>
              </w:rPr>
              <w:t>73</w:t>
            </w:r>
          </w:p>
        </w:tc>
      </w:tr>
      <w:tr>
        <w:tblPrEx>
          <w:tblW w:w="0" w:type="auto"/>
          <w:jc w:val="left"/>
          <w:tblInd w:w="119" w:type="dxa"/>
          <w:tblLayout w:type="fixed"/>
          <w:tblCellMar>
            <w:top w:w="0" w:type="dxa"/>
            <w:left w:w="0" w:type="dxa"/>
            <w:bottom w:w="0" w:type="dxa"/>
            <w:right w:w="0" w:type="dxa"/>
          </w:tblCellMar>
          <w:tblLook w:val="01E0"/>
        </w:tblPrEx>
        <w:trPr>
          <w:trHeight w:val="415"/>
          <w:jc w:val="left"/>
        </w:trPr>
        <w:tc>
          <w:tcPr>
            <w:tcW w:w="4976" w:type="dxa"/>
          </w:tcPr>
          <w:p>
            <w:pPr>
              <w:pStyle w:val="TableParagraph"/>
              <w:spacing w:before="67"/>
              <w:rPr>
                <w:sz w:val="24"/>
              </w:rPr>
            </w:pPr>
            <w:r>
              <w:rPr>
                <w:spacing w:val="-2"/>
                <w:sz w:val="24"/>
              </w:rPr>
              <w:t>[bmim][C</w:t>
            </w:r>
            <w:r>
              <w:rPr>
                <w:spacing w:val="-2"/>
                <w:sz w:val="24"/>
                <w:vertAlign w:val="subscript"/>
              </w:rPr>
              <w:t>3</w:t>
            </w:r>
            <w:r>
              <w:rPr>
                <w:spacing w:val="-2"/>
                <w:sz w:val="24"/>
                <w:vertAlign w:val="baseline"/>
              </w:rPr>
              <w:t>F</w:t>
            </w:r>
            <w:r>
              <w:rPr>
                <w:spacing w:val="-2"/>
                <w:sz w:val="24"/>
                <w:vertAlign w:val="subscript"/>
              </w:rPr>
              <w:t>7</w:t>
            </w:r>
            <w:r>
              <w:rPr>
                <w:spacing w:val="-2"/>
                <w:sz w:val="24"/>
                <w:vertAlign w:val="baseline"/>
              </w:rPr>
              <w:t>COO]</w:t>
            </w:r>
          </w:p>
        </w:tc>
        <w:tc>
          <w:tcPr>
            <w:tcW w:w="3870" w:type="dxa"/>
          </w:tcPr>
          <w:p>
            <w:pPr>
              <w:pStyle w:val="TableParagraph"/>
              <w:spacing w:before="67"/>
              <w:ind w:left="0" w:right="734"/>
              <w:jc w:val="right"/>
              <w:rPr>
                <w:sz w:val="24"/>
              </w:rPr>
            </w:pPr>
            <w:r>
              <w:rPr>
                <w:spacing w:val="-5"/>
                <w:sz w:val="24"/>
              </w:rPr>
              <w:t>182</w:t>
            </w:r>
          </w:p>
        </w:tc>
      </w:tr>
      <w:tr>
        <w:tblPrEx>
          <w:tblW w:w="0" w:type="auto"/>
          <w:jc w:val="left"/>
          <w:tblInd w:w="119" w:type="dxa"/>
          <w:tblLayout w:type="fixed"/>
          <w:tblCellMar>
            <w:top w:w="0" w:type="dxa"/>
            <w:left w:w="0" w:type="dxa"/>
            <w:bottom w:w="0" w:type="dxa"/>
            <w:right w:w="0" w:type="dxa"/>
          </w:tblCellMar>
          <w:tblLook w:val="01E0"/>
        </w:tblPrEx>
        <w:trPr>
          <w:trHeight w:val="336"/>
          <w:jc w:val="left"/>
        </w:trPr>
        <w:tc>
          <w:tcPr>
            <w:tcW w:w="4976" w:type="dxa"/>
            <w:tcBorders>
              <w:bottom w:val="single" w:sz="18" w:space="0" w:color="000000"/>
            </w:tcBorders>
          </w:tcPr>
          <w:p>
            <w:pPr>
              <w:pStyle w:val="TableParagraph"/>
              <w:spacing w:before="42" w:line="274" w:lineRule="exact"/>
              <w:rPr>
                <w:sz w:val="24"/>
              </w:rPr>
            </w:pPr>
            <w:r>
              <w:rPr>
                <w:spacing w:val="-2"/>
                <w:sz w:val="24"/>
              </w:rPr>
              <w:t>[bmim][CF3SO2)2N’]</w:t>
            </w:r>
          </w:p>
        </w:tc>
        <w:tc>
          <w:tcPr>
            <w:tcW w:w="3870" w:type="dxa"/>
            <w:tcBorders>
              <w:bottom w:val="single" w:sz="18" w:space="0" w:color="000000"/>
            </w:tcBorders>
          </w:tcPr>
          <w:p>
            <w:pPr>
              <w:pStyle w:val="TableParagraph"/>
              <w:spacing w:before="42" w:line="274" w:lineRule="exact"/>
              <w:ind w:left="0" w:right="761"/>
              <w:jc w:val="right"/>
              <w:rPr>
                <w:sz w:val="24"/>
              </w:rPr>
            </w:pPr>
            <w:r>
              <w:rPr>
                <w:spacing w:val="-5"/>
                <w:sz w:val="24"/>
              </w:rPr>
              <w:t>52</w:t>
            </w:r>
          </w:p>
        </w:tc>
      </w:tr>
    </w:tbl>
    <w:p>
      <w:pPr>
        <w:spacing w:after="0" w:line="274" w:lineRule="exact"/>
        <w:jc w:val="right"/>
        <w:rPr>
          <w:sz w:val="24"/>
        </w:rPr>
        <w:sectPr>
          <w:pgSz w:w="11910" w:h="16840"/>
          <w:pgMar w:top="1400" w:right="1080" w:bottom="280" w:left="1560" w:header="708" w:footer="708"/>
          <w:pgNumType w:start="13"/>
          <w:cols w:space="708"/>
        </w:sectPr>
      </w:pPr>
    </w:p>
    <w:p>
      <w:pPr>
        <w:pStyle w:val="Heading3"/>
        <w:numPr>
          <w:ilvl w:val="2"/>
          <w:numId w:val="8"/>
        </w:numPr>
        <w:tabs>
          <w:tab w:val="left" w:pos="771"/>
        </w:tabs>
        <w:spacing w:before="0" w:after="0" w:line="477" w:lineRule="exact"/>
        <w:ind w:left="771" w:right="0" w:hanging="630"/>
        <w:jc w:val="left"/>
      </w:pPr>
      <w:bookmarkStart w:id="12" w:name="_TOC_250028"/>
      <w:bookmarkEnd w:id="12"/>
      <w:r>
        <w:rPr>
          <w:spacing w:val="-1"/>
        </w:rPr>
        <w:t>离子液体的电化学性能</w:t>
      </w:r>
    </w:p>
    <w:p>
      <w:pPr>
        <w:pStyle w:val="BodyText"/>
        <w:spacing w:before="178" w:line="343" w:lineRule="auto"/>
        <w:ind w:right="335" w:firstLine="480"/>
        <w:jc w:val="both"/>
      </w:pPr>
      <w:r>
        <w:rPr>
          <w:rFonts w:ascii="Times New Roman" w:eastAsia="Times New Roman"/>
        </w:rPr>
        <w:t>ILs</w:t>
      </w:r>
      <w:r>
        <w:rPr>
          <w:rFonts w:ascii="Times New Roman" w:eastAsia="Times New Roman"/>
          <w:spacing w:val="-15"/>
        </w:rPr>
        <w:t xml:space="preserve"> </w:t>
      </w:r>
      <w:r>
        <w:t>含有良好的电化学稳定性和较宽的电化学窗口，优良的导电性能，是较好的</w:t>
      </w:r>
      <w:r>
        <w:rPr>
          <w:spacing w:val="-4"/>
        </w:rPr>
        <w:t>热和传能介质。现在，广大研究者将其作为电解质应用于电池中</w:t>
      </w:r>
      <w:r>
        <w:rPr>
          <w:rFonts w:ascii="Times New Roman" w:eastAsia="Times New Roman"/>
          <w:spacing w:val="-4"/>
          <w:vertAlign w:val="superscript"/>
        </w:rPr>
        <w:t>[20]</w:t>
      </w:r>
      <w:r>
        <w:rPr>
          <w:spacing w:val="-10"/>
          <w:vertAlign w:val="baseline"/>
        </w:rPr>
        <w:t xml:space="preserve">。决定 </w:t>
      </w:r>
      <w:r>
        <w:rPr>
          <w:rFonts w:ascii="Times New Roman" w:eastAsia="Times New Roman"/>
          <w:spacing w:val="-4"/>
          <w:vertAlign w:val="baseline"/>
        </w:rPr>
        <w:t>ILs</w:t>
      </w:r>
      <w:r>
        <w:rPr>
          <w:rFonts w:ascii="Times New Roman" w:eastAsia="Times New Roman"/>
          <w:spacing w:val="17"/>
          <w:vertAlign w:val="baseline"/>
        </w:rPr>
        <w:t xml:space="preserve"> </w:t>
      </w:r>
      <w:r>
        <w:rPr>
          <w:spacing w:val="-4"/>
          <w:vertAlign w:val="baseline"/>
        </w:rPr>
        <w:t>导电的</w:t>
      </w:r>
      <w:r>
        <w:rPr>
          <w:spacing w:val="-4"/>
          <w:vertAlign w:val="baseline"/>
        </w:rPr>
        <w:t xml:space="preserve">因素重要有：密度、分子量、粘度和离子大小。其中 </w:t>
      </w:r>
      <w:r>
        <w:rPr>
          <w:rFonts w:ascii="Times New Roman" w:eastAsia="Times New Roman"/>
          <w:spacing w:val="-2"/>
          <w:vertAlign w:val="baseline"/>
        </w:rPr>
        <w:t>ILs</w:t>
      </w:r>
      <w:r>
        <w:rPr>
          <w:rFonts w:ascii="Times New Roman" w:eastAsia="Times New Roman"/>
          <w:spacing w:val="-13"/>
          <w:vertAlign w:val="baseline"/>
        </w:rPr>
        <w:t xml:space="preserve"> </w:t>
      </w:r>
      <w:r>
        <w:rPr>
          <w:spacing w:val="-2"/>
          <w:vertAlign w:val="baseline"/>
        </w:rPr>
        <w:t>的粘度是影响其导电性首要</w:t>
      </w:r>
      <w:r>
        <w:rPr>
          <w:spacing w:val="-3"/>
          <w:vertAlign w:val="baseline"/>
        </w:rPr>
        <w:t xml:space="preserve">因素，导电性越好规定 </w:t>
      </w:r>
      <w:r>
        <w:rPr>
          <w:rFonts w:ascii="Times New Roman" w:eastAsia="Times New Roman"/>
          <w:vertAlign w:val="baseline"/>
        </w:rPr>
        <w:t>ILs</w:t>
      </w:r>
      <w:r>
        <w:rPr>
          <w:rFonts w:ascii="Times New Roman" w:eastAsia="Times New Roman"/>
          <w:spacing w:val="-15"/>
          <w:vertAlign w:val="baseline"/>
        </w:rPr>
        <w:t xml:space="preserve"> </w:t>
      </w:r>
      <w:r>
        <w:rPr>
          <w:spacing w:val="-3"/>
          <w:vertAlign w:val="baseline"/>
        </w:rPr>
        <w:t xml:space="preserve">的粘度越低；密度对 </w:t>
      </w:r>
      <w:r>
        <w:rPr>
          <w:rFonts w:ascii="Times New Roman" w:eastAsia="Times New Roman"/>
          <w:vertAlign w:val="baseline"/>
        </w:rPr>
        <w:t>ILs</w:t>
      </w:r>
      <w:r>
        <w:rPr>
          <w:rFonts w:ascii="Times New Roman" w:eastAsia="Times New Roman"/>
          <w:spacing w:val="-15"/>
          <w:vertAlign w:val="baseline"/>
        </w:rPr>
        <w:t xml:space="preserve"> </w:t>
      </w:r>
      <w:r>
        <w:rPr>
          <w:spacing w:val="-3"/>
          <w:vertAlign w:val="baseline"/>
        </w:rPr>
        <w:t xml:space="preserve">导电性的影响正好相反；当 </w:t>
      </w:r>
      <w:r>
        <w:rPr>
          <w:rFonts w:ascii="Times New Roman" w:eastAsia="Times New Roman"/>
          <w:vertAlign w:val="baseline"/>
        </w:rPr>
        <w:t>ILs</w:t>
      </w:r>
      <w:r>
        <w:rPr>
          <w:spacing w:val="-4"/>
          <w:vertAlign w:val="baseline"/>
        </w:rPr>
        <w:t>的密度和粘度靠近时，以其分子量和离子大小来鉴定导电性，普通是分子量和离子体</w:t>
      </w:r>
      <w:r>
        <w:rPr>
          <w:spacing w:val="-2"/>
          <w:vertAlign w:val="baseline"/>
        </w:rPr>
        <w:t>越小其导电性越好。</w:t>
      </w:r>
    </w:p>
    <w:p>
      <w:pPr>
        <w:pStyle w:val="BodyText"/>
        <w:spacing w:before="2"/>
        <w:ind w:left="0"/>
        <w:rPr>
          <w:sz w:val="18"/>
        </w:rPr>
      </w:pPr>
    </w:p>
    <w:p>
      <w:pPr>
        <w:pStyle w:val="Heading3"/>
        <w:numPr>
          <w:ilvl w:val="2"/>
          <w:numId w:val="8"/>
        </w:numPr>
        <w:tabs>
          <w:tab w:val="left" w:pos="771"/>
        </w:tabs>
        <w:spacing w:before="0" w:after="0" w:line="240" w:lineRule="auto"/>
        <w:ind w:left="771" w:right="0" w:hanging="630"/>
        <w:jc w:val="left"/>
      </w:pPr>
      <w:bookmarkStart w:id="13" w:name="_TOC_250027"/>
      <w:bookmarkEnd w:id="13"/>
      <w:r>
        <w:rPr>
          <w:spacing w:val="-2"/>
        </w:rPr>
        <w:t>离子液体的表面张力</w:t>
      </w:r>
    </w:p>
    <w:p>
      <w:pPr>
        <w:pStyle w:val="BodyText"/>
        <w:spacing w:before="239" w:line="343" w:lineRule="auto"/>
        <w:ind w:right="236" w:firstLine="480"/>
      </w:pPr>
      <w:r>
        <w:rPr>
          <w:rFonts w:ascii="Times New Roman" w:eastAsia="Times New Roman"/>
        </w:rPr>
        <w:t xml:space="preserve">ILs </w:t>
      </w:r>
      <w:r>
        <w:t>的表面张力是反映其界面性质的重要参数。文献中指出的，</w:t>
      </w:r>
      <w:r>
        <w:rPr>
          <w:rFonts w:ascii="Times New Roman" w:eastAsia="Times New Roman"/>
        </w:rPr>
        <w:t xml:space="preserve">ILs </w:t>
      </w:r>
      <w:r>
        <w:t>的油气表面张力值普通都比传统有机溶剂高（如</w:t>
      </w:r>
      <w:r>
        <w:rPr>
          <w:rFonts w:ascii="Times New Roman" w:eastAsia="Times New Roman"/>
        </w:rPr>
        <w:t>[C</w:t>
      </w:r>
      <w:r>
        <w:rPr>
          <w:rFonts w:ascii="Times New Roman" w:eastAsia="Times New Roman"/>
          <w:vertAlign w:val="subscript"/>
        </w:rPr>
        <w:t>4</w:t>
      </w:r>
      <w:r>
        <w:rPr>
          <w:rFonts w:ascii="Times New Roman" w:eastAsia="Times New Roman"/>
          <w:vertAlign w:val="baseline"/>
        </w:rPr>
        <w:t>mim]I</w:t>
      </w:r>
      <w:r>
        <w:rPr>
          <w:vertAlign w:val="baseline"/>
        </w:rPr>
        <w:t>：</w:t>
      </w:r>
      <w:r>
        <w:rPr>
          <w:rFonts w:ascii="Times New Roman" w:eastAsia="Times New Roman"/>
          <w:vertAlign w:val="baseline"/>
        </w:rPr>
        <w:t>54.7</w:t>
      </w:r>
      <w:r>
        <w:rPr>
          <w:rFonts w:ascii="Times New Roman" w:eastAsia="Times New Roman"/>
          <w:spacing w:val="-15"/>
          <w:vertAlign w:val="baseline"/>
        </w:rPr>
        <w:t xml:space="preserve"> </w:t>
      </w:r>
      <w:r>
        <w:rPr>
          <w:vertAlign w:val="baseline"/>
        </w:rPr>
        <w:t>达因</w:t>
      </w:r>
      <w:r>
        <w:rPr>
          <w:rFonts w:ascii="Times New Roman" w:eastAsia="Times New Roman"/>
          <w:vertAlign w:val="baseline"/>
        </w:rPr>
        <w:t>/</w:t>
      </w:r>
      <w:r>
        <w:rPr>
          <w:vertAlign w:val="baseline"/>
        </w:rPr>
        <w:t>厘米，</w:t>
      </w:r>
      <w:r>
        <w:rPr>
          <w:rFonts w:ascii="Times New Roman" w:eastAsia="Times New Roman"/>
          <w:vertAlign w:val="baseline"/>
        </w:rPr>
        <w:t>[C</w:t>
      </w:r>
      <w:r>
        <w:rPr>
          <w:rFonts w:ascii="Times New Roman" w:eastAsia="Times New Roman"/>
          <w:vertAlign w:val="subscript"/>
        </w:rPr>
        <w:t>4</w:t>
      </w:r>
      <w:r>
        <w:rPr>
          <w:rFonts w:ascii="Times New Roman" w:eastAsia="Times New Roman"/>
          <w:vertAlign w:val="baseline"/>
        </w:rPr>
        <w:t>mim]PF</w:t>
      </w:r>
      <w:r>
        <w:rPr>
          <w:rFonts w:ascii="Times New Roman" w:eastAsia="Times New Roman"/>
          <w:vertAlign w:val="subscript"/>
        </w:rPr>
        <w:t>6</w:t>
      </w:r>
      <w:r>
        <w:rPr>
          <w:vertAlign w:val="baseline"/>
        </w:rPr>
        <w:t>：</w:t>
      </w:r>
      <w:r>
        <w:rPr>
          <w:rFonts w:ascii="Times New Roman" w:eastAsia="Times New Roman"/>
          <w:vertAlign w:val="baseline"/>
        </w:rPr>
        <w:t>48.8</w:t>
      </w:r>
      <w:r>
        <w:rPr>
          <w:rFonts w:ascii="Times New Roman" w:eastAsia="Times New Roman"/>
          <w:spacing w:val="-15"/>
          <w:vertAlign w:val="baseline"/>
        </w:rPr>
        <w:t xml:space="preserve"> </w:t>
      </w:r>
      <w:r>
        <w:rPr>
          <w:vertAlign w:val="baseline"/>
        </w:rPr>
        <w:t>达因</w:t>
      </w:r>
      <w:r>
        <w:rPr>
          <w:rFonts w:ascii="Times New Roman" w:eastAsia="Times New Roman"/>
          <w:vertAlign w:val="baseline"/>
        </w:rPr>
        <w:t>/</w:t>
      </w:r>
      <w:r>
        <w:rPr>
          <w:vertAlign w:val="baseline"/>
        </w:rPr>
        <w:t>厘米，</w:t>
      </w:r>
      <w:r>
        <w:rPr>
          <w:rFonts w:ascii="Times New Roman" w:eastAsia="Times New Roman"/>
          <w:vertAlign w:val="baseline"/>
        </w:rPr>
        <w:t>[C</w:t>
      </w:r>
      <w:r>
        <w:rPr>
          <w:rFonts w:ascii="Times New Roman" w:eastAsia="Times New Roman"/>
          <w:vertAlign w:val="subscript"/>
        </w:rPr>
        <w:t>8</w:t>
      </w:r>
      <w:r>
        <w:rPr>
          <w:rFonts w:ascii="Times New Roman" w:eastAsia="Times New Roman"/>
          <w:vertAlign w:val="baseline"/>
        </w:rPr>
        <w:t>mim]PF</w:t>
      </w:r>
      <w:r>
        <w:rPr>
          <w:rFonts w:ascii="Times New Roman" w:eastAsia="Times New Roman"/>
          <w:vertAlign w:val="subscript"/>
        </w:rPr>
        <w:t>6</w:t>
      </w:r>
      <w:r>
        <w:rPr>
          <w:vertAlign w:val="baseline"/>
        </w:rPr>
        <w:t>：</w:t>
      </w:r>
      <w:r>
        <w:rPr>
          <w:rFonts w:ascii="Times New Roman" w:eastAsia="Times New Roman"/>
          <w:vertAlign w:val="baseline"/>
        </w:rPr>
        <w:t>34.2</w:t>
      </w:r>
      <w:r>
        <w:rPr>
          <w:rFonts w:ascii="Times New Roman" w:eastAsia="Times New Roman"/>
          <w:spacing w:val="-15"/>
          <w:vertAlign w:val="baseline"/>
        </w:rPr>
        <w:t xml:space="preserve"> </w:t>
      </w:r>
      <w:r>
        <w:rPr>
          <w:vertAlign w:val="baseline"/>
        </w:rPr>
        <w:t>达因</w:t>
      </w:r>
      <w:r>
        <w:rPr>
          <w:rFonts w:ascii="Times New Roman" w:eastAsia="Times New Roman"/>
          <w:vertAlign w:val="baseline"/>
        </w:rPr>
        <w:t>/</w:t>
      </w:r>
      <w:r>
        <w:rPr>
          <w:vertAlign w:val="baseline"/>
        </w:rPr>
        <w:t>厘米</w:t>
      </w:r>
      <w:r>
        <w:rPr>
          <w:rFonts w:ascii="Times New Roman" w:eastAsia="Times New Roman"/>
          <w:vertAlign w:val="baseline"/>
        </w:rPr>
        <w:t>)</w:t>
      </w:r>
      <w:r>
        <w:rPr>
          <w:vertAlign w:val="baseline"/>
        </w:rPr>
        <w:t>，但会低于水的表面张力</w:t>
      </w:r>
      <w:r>
        <w:rPr>
          <w:rFonts w:ascii="Times New Roman" w:eastAsia="Times New Roman"/>
          <w:vertAlign w:val="baseline"/>
        </w:rPr>
        <w:t>(</w:t>
      </w:r>
      <w:r>
        <w:rPr>
          <w:vertAlign w:val="baseline"/>
        </w:rPr>
        <w:t>水：</w:t>
      </w:r>
      <w:r>
        <w:rPr>
          <w:rFonts w:ascii="Times New Roman" w:eastAsia="Times New Roman"/>
          <w:vertAlign w:val="baseline"/>
        </w:rPr>
        <w:t>73</w:t>
      </w:r>
      <w:r>
        <w:rPr>
          <w:rFonts w:ascii="Times New Roman" w:eastAsia="Times New Roman"/>
          <w:spacing w:val="-15"/>
          <w:vertAlign w:val="baseline"/>
        </w:rPr>
        <w:t xml:space="preserve"> </w:t>
      </w:r>
      <w:r>
        <w:rPr>
          <w:vertAlign w:val="baseline"/>
        </w:rPr>
        <w:t>达因</w:t>
      </w:r>
      <w:r>
        <w:rPr>
          <w:rFonts w:ascii="Times New Roman" w:eastAsia="Times New Roman"/>
          <w:vertAlign w:val="baseline"/>
        </w:rPr>
        <w:t>/</w:t>
      </w:r>
      <w:r>
        <w:rPr>
          <w:vertAlign w:val="baseline"/>
        </w:rPr>
        <w:t>厘米</w:t>
      </w:r>
      <w:r>
        <w:rPr>
          <w:rFonts w:ascii="Times New Roman" w:eastAsia="Times New Roman"/>
          <w:vertAlign w:val="baseline"/>
        </w:rPr>
        <w:t>)</w:t>
      </w:r>
      <w:r>
        <w:rPr>
          <w:vertAlign w:val="baseline"/>
        </w:rPr>
        <w:t xml:space="preserve">。 </w:t>
      </w:r>
      <w:r>
        <w:rPr>
          <w:rFonts w:ascii="Times New Roman" w:eastAsia="Times New Roman"/>
          <w:vertAlign w:val="baseline"/>
        </w:rPr>
        <w:t xml:space="preserve">ILs </w:t>
      </w:r>
      <w:r>
        <w:rPr>
          <w:spacing w:val="-1"/>
          <w:vertAlign w:val="baseline"/>
        </w:rPr>
        <w:t xml:space="preserve">的表面张力重要受其独特的内部构造影响：普通 </w:t>
      </w:r>
      <w:r>
        <w:rPr>
          <w:rFonts w:ascii="Times New Roman" w:eastAsia="Times New Roman"/>
          <w:vertAlign w:val="baseline"/>
        </w:rPr>
        <w:t xml:space="preserve">ILs </w:t>
      </w:r>
      <w:r>
        <w:rPr>
          <w:vertAlign w:val="baseline"/>
        </w:rPr>
        <w:t>的阳离子相似时，其表面张力会随阴离子体积的增而增大；</w:t>
      </w:r>
      <w:r>
        <w:rPr>
          <w:rFonts w:ascii="Times New Roman" w:eastAsia="Times New Roman"/>
          <w:vertAlign w:val="baseline"/>
        </w:rPr>
        <w:t xml:space="preserve">ILs </w:t>
      </w:r>
      <w:r>
        <w:rPr>
          <w:vertAlign w:val="baseline"/>
        </w:rPr>
        <w:t>的阴离子相似时，其表面张力会随阳离子烷基取</w:t>
      </w:r>
      <w:r>
        <w:rPr>
          <w:spacing w:val="-2"/>
          <w:vertAlign w:val="baseline"/>
        </w:rPr>
        <w:t>代基链长的增加而减小。</w:t>
      </w:r>
    </w:p>
    <w:p>
      <w:pPr>
        <w:spacing w:before="0" w:line="363" w:lineRule="exact"/>
        <w:ind w:left="0" w:right="195" w:firstLine="0"/>
        <w:jc w:val="center"/>
        <w:rPr>
          <w:rFonts w:ascii="Microsoft JhengHei" w:eastAsia="Microsoft JhengHei"/>
          <w:b/>
          <w:sz w:val="24"/>
        </w:rPr>
      </w:pPr>
      <w:r>
        <w:rPr>
          <w:rFonts w:ascii="Microsoft JhengHei" w:eastAsia="Microsoft JhengHei"/>
          <w:b/>
          <w:sz w:val="24"/>
        </w:rPr>
        <w:t xml:space="preserve">表 </w:t>
      </w:r>
      <w:r>
        <w:rPr>
          <w:rFonts w:ascii="Times New Roman" w:eastAsia="Times New Roman"/>
          <w:b/>
          <w:sz w:val="24"/>
        </w:rPr>
        <w:t xml:space="preserve">1.3 336K </w:t>
      </w:r>
      <w:r>
        <w:rPr>
          <w:rFonts w:ascii="Microsoft JhengHei" w:eastAsia="Microsoft JhengHei"/>
          <w:b/>
          <w:spacing w:val="-1"/>
          <w:sz w:val="24"/>
        </w:rPr>
        <w:t>时多种离子液体的表面张力</w:t>
      </w:r>
    </w:p>
    <w:p>
      <w:pPr>
        <w:spacing w:before="0" w:line="290" w:lineRule="auto"/>
        <w:ind w:left="0" w:right="197" w:firstLine="0"/>
        <w:jc w:val="center"/>
        <w:rPr>
          <w:rFonts w:ascii="Times New Roman" w:eastAsia="Times New Roman"/>
          <w:b/>
          <w:sz w:val="24"/>
        </w:rPr>
      </w:pPr>
      <w:r>
        <w:rPr>
          <w:rFonts w:ascii="Times New Roman" w:eastAsia="Times New Roman"/>
          <w:b/>
          <w:sz w:val="24"/>
        </w:rPr>
        <w:t>Table</w:t>
      </w:r>
      <w:r>
        <w:rPr>
          <w:rFonts w:ascii="Times New Roman" w:eastAsia="Times New Roman"/>
          <w:b/>
          <w:spacing w:val="-3"/>
          <w:sz w:val="24"/>
        </w:rPr>
        <w:t xml:space="preserve"> </w:t>
      </w:r>
      <w:r>
        <w:rPr>
          <w:rFonts w:ascii="Times New Roman" w:eastAsia="Times New Roman"/>
          <w:b/>
          <w:sz w:val="24"/>
        </w:rPr>
        <w:t>1.3</w:t>
      </w:r>
      <w:r>
        <w:rPr>
          <w:rFonts w:ascii="Times New Roman" w:eastAsia="Times New Roman"/>
          <w:b/>
          <w:spacing w:val="-3"/>
          <w:sz w:val="24"/>
        </w:rPr>
        <w:t xml:space="preserve"> </w:t>
      </w:r>
      <w:r>
        <w:rPr>
          <w:rFonts w:ascii="Times New Roman" w:eastAsia="Times New Roman"/>
          <w:b/>
          <w:sz w:val="24"/>
        </w:rPr>
        <w:t>The</w:t>
      </w:r>
      <w:r>
        <w:rPr>
          <w:rFonts w:ascii="Times New Roman" w:eastAsia="Times New Roman"/>
          <w:b/>
          <w:spacing w:val="-3"/>
          <w:sz w:val="24"/>
        </w:rPr>
        <w:t xml:space="preserve"> </w:t>
      </w:r>
      <w:r>
        <w:rPr>
          <w:rFonts w:ascii="Times New Roman" w:eastAsia="Times New Roman"/>
          <w:b/>
          <w:sz w:val="24"/>
        </w:rPr>
        <w:t>surface</w:t>
      </w:r>
      <w:r>
        <w:rPr>
          <w:rFonts w:ascii="Times New Roman" w:eastAsia="Times New Roman"/>
          <w:b/>
          <w:spacing w:val="-4"/>
          <w:sz w:val="24"/>
        </w:rPr>
        <w:t xml:space="preserve"> </w:t>
      </w:r>
      <w:r>
        <w:rPr>
          <w:rFonts w:ascii="Times New Roman" w:eastAsia="Times New Roman"/>
          <w:b/>
          <w:sz w:val="24"/>
        </w:rPr>
        <w:t>tension</w:t>
      </w:r>
      <w:r>
        <w:rPr>
          <w:rFonts w:ascii="Microsoft JhengHei" w:eastAsia="Microsoft JhengHei"/>
          <w:b/>
          <w:sz w:val="24"/>
        </w:rPr>
        <w:t>，</w:t>
      </w:r>
      <w:r>
        <w:rPr>
          <w:rFonts w:ascii="Times New Roman" w:eastAsia="Times New Roman"/>
          <w:b/>
          <w:sz w:val="24"/>
        </w:rPr>
        <w:t>surface</w:t>
      </w:r>
      <w:r>
        <w:rPr>
          <w:rFonts w:ascii="Times New Roman" w:eastAsia="Times New Roman"/>
          <w:b/>
          <w:spacing w:val="-4"/>
          <w:sz w:val="24"/>
        </w:rPr>
        <w:t xml:space="preserve"> </w:t>
      </w:r>
      <w:r>
        <w:rPr>
          <w:rFonts w:ascii="Times New Roman" w:eastAsia="Times New Roman"/>
          <w:b/>
          <w:sz w:val="24"/>
        </w:rPr>
        <w:t>Excess</w:t>
      </w:r>
      <w:r>
        <w:rPr>
          <w:rFonts w:ascii="Times New Roman" w:eastAsia="Times New Roman"/>
          <w:b/>
          <w:spacing w:val="-4"/>
          <w:sz w:val="24"/>
        </w:rPr>
        <w:t xml:space="preserve"> </w:t>
      </w:r>
      <w:r>
        <w:rPr>
          <w:rFonts w:ascii="Times New Roman" w:eastAsia="Times New Roman"/>
          <w:b/>
          <w:sz w:val="24"/>
        </w:rPr>
        <w:t>Entropy</w:t>
      </w:r>
      <w:r>
        <w:rPr>
          <w:rFonts w:ascii="Times New Roman" w:eastAsia="Times New Roman"/>
          <w:b/>
          <w:spacing w:val="-3"/>
          <w:sz w:val="24"/>
        </w:rPr>
        <w:t xml:space="preserve"> </w:t>
      </w:r>
      <w:r>
        <w:rPr>
          <w:rFonts w:ascii="Times New Roman" w:eastAsia="Times New Roman"/>
          <w:b/>
          <w:sz w:val="24"/>
        </w:rPr>
        <w:t>and</w:t>
      </w:r>
      <w:r>
        <w:rPr>
          <w:rFonts w:ascii="Times New Roman" w:eastAsia="Times New Roman"/>
          <w:b/>
          <w:spacing w:val="-3"/>
          <w:sz w:val="24"/>
        </w:rPr>
        <w:t xml:space="preserve"> </w:t>
      </w:r>
      <w:r>
        <w:rPr>
          <w:rFonts w:ascii="Times New Roman" w:eastAsia="Times New Roman"/>
          <w:b/>
          <w:sz w:val="24"/>
        </w:rPr>
        <w:t>surface</w:t>
      </w:r>
      <w:r>
        <w:rPr>
          <w:rFonts w:ascii="Times New Roman" w:eastAsia="Times New Roman"/>
          <w:b/>
          <w:spacing w:val="-4"/>
          <w:sz w:val="24"/>
        </w:rPr>
        <w:t xml:space="preserve"> </w:t>
      </w:r>
      <w:r>
        <w:rPr>
          <w:rFonts w:ascii="Times New Roman" w:eastAsia="Times New Roman"/>
          <w:b/>
          <w:sz w:val="24"/>
        </w:rPr>
        <w:t>Excess</w:t>
      </w:r>
      <w:r>
        <w:rPr>
          <w:rFonts w:ascii="Times New Roman" w:eastAsia="Times New Roman"/>
          <w:b/>
          <w:spacing w:val="-3"/>
          <w:sz w:val="24"/>
        </w:rPr>
        <w:t xml:space="preserve"> </w:t>
      </w:r>
      <w:r>
        <w:rPr>
          <w:rFonts w:ascii="Times New Roman" w:eastAsia="Times New Roman"/>
          <w:b/>
          <w:sz w:val="24"/>
        </w:rPr>
        <w:t>Energy</w:t>
      </w:r>
      <w:r>
        <w:rPr>
          <w:rFonts w:ascii="Times New Roman" w:eastAsia="Times New Roman"/>
          <w:b/>
          <w:spacing w:val="-3"/>
          <w:sz w:val="24"/>
        </w:rPr>
        <w:t xml:space="preserve"> </w:t>
      </w:r>
      <w:r>
        <w:rPr>
          <w:rFonts w:ascii="Times New Roman" w:eastAsia="Times New Roman"/>
          <w:b/>
          <w:sz w:val="24"/>
        </w:rPr>
        <w:t xml:space="preserve">at </w:t>
      </w:r>
      <w:r>
        <w:rPr>
          <w:rFonts w:ascii="Times New Roman" w:eastAsia="Times New Roman"/>
          <w:b/>
          <w:spacing w:val="-4"/>
          <w:sz w:val="24"/>
        </w:rPr>
        <w:t>336K</w:t>
      </w:r>
    </w:p>
    <w:tbl>
      <w:tblPr>
        <w:tblStyle w:val="TableNormal2"/>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59"/>
        <w:gridCol w:w="1894"/>
        <w:gridCol w:w="2586"/>
        <w:gridCol w:w="2604"/>
      </w:tblGrid>
      <w:tr>
        <w:tblPrEx>
          <w:tblW w:w="0" w:type="auto"/>
          <w:jc w:val="left"/>
          <w:tblInd w:w="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00"/>
          <w:jc w:val="left"/>
        </w:trPr>
        <w:tc>
          <w:tcPr>
            <w:tcW w:w="1759" w:type="dxa"/>
            <w:tcBorders>
              <w:top w:val="single" w:sz="18" w:space="0" w:color="000000"/>
              <w:bottom w:val="single" w:sz="12" w:space="0" w:color="000000"/>
            </w:tcBorders>
          </w:tcPr>
          <w:p>
            <w:pPr>
              <w:pStyle w:val="TableParagraph"/>
              <w:spacing w:before="88"/>
              <w:rPr>
                <w:sz w:val="24"/>
              </w:rPr>
            </w:pPr>
            <w:r>
              <w:rPr>
                <w:sz w:val="24"/>
              </w:rPr>
              <w:t xml:space="preserve">Ionic </w:t>
            </w:r>
            <w:r>
              <w:rPr>
                <w:spacing w:val="-2"/>
                <w:sz w:val="24"/>
              </w:rPr>
              <w:t>liquid</w:t>
            </w:r>
          </w:p>
        </w:tc>
        <w:tc>
          <w:tcPr>
            <w:tcW w:w="1894" w:type="dxa"/>
            <w:tcBorders>
              <w:top w:val="single" w:sz="18" w:space="0" w:color="000000"/>
              <w:bottom w:val="single" w:sz="12" w:space="0" w:color="000000"/>
            </w:tcBorders>
          </w:tcPr>
          <w:p>
            <w:pPr>
              <w:pStyle w:val="TableParagraph"/>
              <w:spacing w:before="72"/>
              <w:ind w:left="213" w:right="562"/>
              <w:jc w:val="center"/>
              <w:rPr>
                <w:sz w:val="24"/>
              </w:rPr>
            </w:pPr>
            <w:r>
              <w:rPr>
                <w:spacing w:val="-2"/>
                <w:sz w:val="24"/>
              </w:rPr>
              <w:t>Ss=</w:t>
            </w:r>
            <w:r>
              <w:rPr>
                <w:rFonts w:ascii="宋体" w:hAnsi="宋体"/>
                <w:spacing w:val="-2"/>
                <w:sz w:val="24"/>
              </w:rPr>
              <w:t>—</w:t>
            </w:r>
            <w:r>
              <w:rPr>
                <w:spacing w:val="-2"/>
                <w:sz w:val="24"/>
              </w:rPr>
              <w:t>dy/dt</w:t>
            </w:r>
          </w:p>
        </w:tc>
        <w:tc>
          <w:tcPr>
            <w:tcW w:w="2586" w:type="dxa"/>
            <w:tcBorders>
              <w:top w:val="single" w:sz="18" w:space="0" w:color="000000"/>
              <w:bottom w:val="single" w:sz="12" w:space="0" w:color="000000"/>
            </w:tcBorders>
          </w:tcPr>
          <w:p>
            <w:pPr>
              <w:pStyle w:val="TableParagraph"/>
              <w:spacing w:before="88"/>
              <w:ind w:left="851" w:right="1465"/>
              <w:jc w:val="center"/>
              <w:rPr>
                <w:sz w:val="24"/>
              </w:rPr>
            </w:pPr>
            <w:r>
              <w:rPr>
                <w:spacing w:val="-5"/>
                <w:sz w:val="24"/>
              </w:rPr>
              <w:t>Es</w:t>
            </w:r>
          </w:p>
          <w:p>
            <w:pPr>
              <w:pStyle w:val="TableParagraph"/>
              <w:spacing w:before="164"/>
              <w:ind w:left="576"/>
              <w:rPr>
                <w:sz w:val="24"/>
              </w:rPr>
            </w:pPr>
            <w:r>
              <w:rPr>
                <w:spacing w:val="-2"/>
                <w:sz w:val="24"/>
              </w:rPr>
              <w:t>(MJ/m</w:t>
            </w:r>
            <w:r>
              <w:rPr>
                <w:spacing w:val="-2"/>
                <w:position w:val="7"/>
                <w:sz w:val="16"/>
              </w:rPr>
              <w:t>2</w:t>
            </w:r>
            <w:r>
              <w:rPr>
                <w:spacing w:val="-2"/>
                <w:sz w:val="24"/>
              </w:rPr>
              <w:t>)K</w:t>
            </w:r>
          </w:p>
        </w:tc>
        <w:tc>
          <w:tcPr>
            <w:tcW w:w="2604" w:type="dxa"/>
            <w:tcBorders>
              <w:top w:val="single" w:sz="18" w:space="0" w:color="000000"/>
              <w:bottom w:val="single" w:sz="12" w:space="0" w:color="000000"/>
            </w:tcBorders>
          </w:tcPr>
          <w:p>
            <w:pPr>
              <w:pStyle w:val="TableParagraph"/>
              <w:spacing w:before="72"/>
              <w:ind w:left="0" w:right="549"/>
              <w:jc w:val="right"/>
              <w:rPr>
                <w:sz w:val="24"/>
              </w:rPr>
            </w:pPr>
            <w:r>
              <w:rPr>
                <w:rFonts w:ascii="宋体" w:hAnsi="宋体"/>
                <w:spacing w:val="-2"/>
                <w:sz w:val="24"/>
              </w:rPr>
              <w:t>γ</w:t>
            </w:r>
            <w:r>
              <w:rPr>
                <w:spacing w:val="-2"/>
                <w:sz w:val="24"/>
              </w:rPr>
              <w:t>(Mj/m</w:t>
            </w:r>
            <w:r>
              <w:rPr>
                <w:spacing w:val="-2"/>
                <w:position w:val="7"/>
                <w:sz w:val="16"/>
              </w:rPr>
              <w:t>2</w:t>
            </w:r>
            <w:r>
              <w:rPr>
                <w:spacing w:val="-2"/>
                <w:sz w:val="24"/>
              </w:rPr>
              <w:t>)</w:t>
            </w:r>
          </w:p>
          <w:p>
            <w:pPr>
              <w:pStyle w:val="TableParagraph"/>
              <w:spacing w:before="148"/>
              <w:ind w:left="0" w:right="585"/>
              <w:jc w:val="right"/>
              <w:rPr>
                <w:sz w:val="24"/>
              </w:rPr>
            </w:pPr>
            <w:r>
              <w:rPr>
                <w:spacing w:val="-2"/>
                <w:sz w:val="24"/>
              </w:rPr>
              <w:t>(mJ/m</w:t>
            </w:r>
            <w:r>
              <w:rPr>
                <w:spacing w:val="-2"/>
                <w:position w:val="7"/>
                <w:sz w:val="16"/>
              </w:rPr>
              <w:t>2</w:t>
            </w:r>
            <w:r>
              <w:rPr>
                <w:spacing w:val="-2"/>
                <w:sz w:val="24"/>
              </w:rPr>
              <w:t>)</w:t>
            </w:r>
          </w:p>
        </w:tc>
      </w:tr>
      <w:tr>
        <w:tblPrEx>
          <w:tblW w:w="0" w:type="auto"/>
          <w:jc w:val="left"/>
          <w:tblInd w:w="119" w:type="dxa"/>
          <w:tblLayout w:type="fixed"/>
          <w:tblCellMar>
            <w:top w:w="0" w:type="dxa"/>
            <w:left w:w="0" w:type="dxa"/>
            <w:bottom w:w="0" w:type="dxa"/>
            <w:right w:w="0" w:type="dxa"/>
          </w:tblCellMar>
          <w:tblLook w:val="01E0"/>
        </w:tblPrEx>
        <w:trPr>
          <w:trHeight w:val="362"/>
          <w:jc w:val="left"/>
        </w:trPr>
        <w:tc>
          <w:tcPr>
            <w:tcW w:w="1759" w:type="dxa"/>
            <w:tcBorders>
              <w:top w:val="single" w:sz="12" w:space="0" w:color="000000"/>
            </w:tcBorders>
          </w:tcPr>
          <w:p>
            <w:pPr>
              <w:pStyle w:val="TableParagraph"/>
              <w:spacing w:before="38"/>
              <w:rPr>
                <w:sz w:val="24"/>
              </w:rPr>
            </w:pPr>
            <w:r>
              <w:rPr>
                <w:spacing w:val="-2"/>
                <w:sz w:val="24"/>
              </w:rPr>
              <w:t>[Bmim][PF6]</w:t>
            </w:r>
          </w:p>
        </w:tc>
        <w:tc>
          <w:tcPr>
            <w:tcW w:w="1894" w:type="dxa"/>
            <w:tcBorders>
              <w:top w:val="single" w:sz="12" w:space="0" w:color="000000"/>
            </w:tcBorders>
          </w:tcPr>
          <w:p>
            <w:pPr>
              <w:pStyle w:val="TableParagraph"/>
              <w:spacing w:before="38"/>
              <w:ind w:left="213" w:right="371"/>
              <w:jc w:val="center"/>
              <w:rPr>
                <w:sz w:val="24"/>
              </w:rPr>
            </w:pPr>
            <w:r>
              <w:rPr>
                <w:spacing w:val="-2"/>
                <w:sz w:val="24"/>
              </w:rPr>
              <w:t>0.0783</w:t>
            </w:r>
          </w:p>
        </w:tc>
        <w:tc>
          <w:tcPr>
            <w:tcW w:w="2586" w:type="dxa"/>
            <w:tcBorders>
              <w:top w:val="single" w:sz="12" w:space="0" w:color="000000"/>
            </w:tcBorders>
          </w:tcPr>
          <w:p>
            <w:pPr>
              <w:pStyle w:val="TableParagraph"/>
              <w:spacing w:before="38"/>
              <w:ind w:left="1102"/>
              <w:rPr>
                <w:sz w:val="24"/>
              </w:rPr>
            </w:pPr>
            <w:r>
              <w:rPr>
                <w:spacing w:val="-4"/>
                <w:sz w:val="24"/>
              </w:rPr>
              <w:t>69.2</w:t>
            </w:r>
          </w:p>
        </w:tc>
        <w:tc>
          <w:tcPr>
            <w:tcW w:w="2604" w:type="dxa"/>
            <w:tcBorders>
              <w:top w:val="single" w:sz="12" w:space="0" w:color="000000"/>
            </w:tcBorders>
          </w:tcPr>
          <w:p>
            <w:pPr>
              <w:pStyle w:val="TableParagraph"/>
              <w:spacing w:before="38"/>
              <w:ind w:left="0" w:right="725"/>
              <w:jc w:val="right"/>
              <w:rPr>
                <w:sz w:val="24"/>
              </w:rPr>
            </w:pPr>
            <w:r>
              <w:rPr>
                <w:spacing w:val="-4"/>
                <w:sz w:val="24"/>
              </w:rPr>
              <w:t>42.9</w:t>
            </w:r>
          </w:p>
        </w:tc>
      </w:tr>
      <w:tr>
        <w:tblPrEx>
          <w:tblW w:w="0" w:type="auto"/>
          <w:jc w:val="left"/>
          <w:tblInd w:w="119" w:type="dxa"/>
          <w:tblLayout w:type="fixed"/>
          <w:tblCellMar>
            <w:top w:w="0" w:type="dxa"/>
            <w:left w:w="0" w:type="dxa"/>
            <w:bottom w:w="0" w:type="dxa"/>
            <w:right w:w="0" w:type="dxa"/>
          </w:tblCellMar>
          <w:tblLook w:val="01E0"/>
        </w:tblPrEx>
        <w:trPr>
          <w:trHeight w:val="410"/>
          <w:jc w:val="left"/>
        </w:trPr>
        <w:tc>
          <w:tcPr>
            <w:tcW w:w="1759" w:type="dxa"/>
          </w:tcPr>
          <w:p>
            <w:pPr>
              <w:pStyle w:val="TableParagraph"/>
              <w:spacing w:before="38"/>
              <w:rPr>
                <w:sz w:val="24"/>
              </w:rPr>
            </w:pPr>
            <w:r>
              <w:rPr>
                <w:spacing w:val="-2"/>
                <w:sz w:val="24"/>
              </w:rPr>
              <w:t>[Bmim][BF</w:t>
            </w:r>
            <w:r>
              <w:rPr>
                <w:spacing w:val="-2"/>
                <w:sz w:val="24"/>
                <w:vertAlign w:val="subscript"/>
              </w:rPr>
              <w:t>4</w:t>
            </w:r>
            <w:r>
              <w:rPr>
                <w:spacing w:val="-2"/>
                <w:sz w:val="24"/>
                <w:vertAlign w:val="baseline"/>
              </w:rPr>
              <w:t>]</w:t>
            </w:r>
          </w:p>
        </w:tc>
        <w:tc>
          <w:tcPr>
            <w:tcW w:w="1894" w:type="dxa"/>
          </w:tcPr>
          <w:p>
            <w:pPr>
              <w:pStyle w:val="TableParagraph"/>
              <w:spacing w:before="38"/>
              <w:ind w:left="213" w:right="398"/>
              <w:jc w:val="center"/>
              <w:rPr>
                <w:sz w:val="24"/>
              </w:rPr>
            </w:pPr>
            <w:r>
              <w:rPr>
                <w:spacing w:val="-2"/>
                <w:sz w:val="24"/>
              </w:rPr>
              <w:t>0.0572</w:t>
            </w:r>
          </w:p>
        </w:tc>
        <w:tc>
          <w:tcPr>
            <w:tcW w:w="2586" w:type="dxa"/>
          </w:tcPr>
          <w:p>
            <w:pPr>
              <w:pStyle w:val="TableParagraph"/>
              <w:spacing w:before="38"/>
              <w:ind w:left="1089"/>
              <w:rPr>
                <w:sz w:val="24"/>
              </w:rPr>
            </w:pPr>
            <w:r>
              <w:rPr>
                <w:spacing w:val="-4"/>
                <w:sz w:val="24"/>
              </w:rPr>
              <w:t>57.6</w:t>
            </w:r>
          </w:p>
        </w:tc>
        <w:tc>
          <w:tcPr>
            <w:tcW w:w="2604" w:type="dxa"/>
          </w:tcPr>
          <w:p>
            <w:pPr>
              <w:pStyle w:val="TableParagraph"/>
              <w:spacing w:before="38"/>
              <w:ind w:left="0" w:right="738"/>
              <w:jc w:val="right"/>
              <w:rPr>
                <w:sz w:val="24"/>
              </w:rPr>
            </w:pPr>
            <w:r>
              <w:rPr>
                <w:spacing w:val="-4"/>
                <w:sz w:val="24"/>
              </w:rPr>
              <w:t>38.4</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759" w:type="dxa"/>
          </w:tcPr>
          <w:p>
            <w:pPr>
              <w:pStyle w:val="TableParagraph"/>
              <w:spacing w:before="67"/>
              <w:rPr>
                <w:sz w:val="24"/>
              </w:rPr>
            </w:pPr>
            <w:r>
              <w:rPr>
                <w:spacing w:val="-2"/>
                <w:sz w:val="24"/>
              </w:rPr>
              <w:t>[Omim]PF</w:t>
            </w:r>
            <w:r>
              <w:rPr>
                <w:spacing w:val="-2"/>
                <w:sz w:val="24"/>
                <w:vertAlign w:val="subscript"/>
              </w:rPr>
              <w:t>6</w:t>
            </w:r>
            <w:r>
              <w:rPr>
                <w:spacing w:val="-2"/>
                <w:sz w:val="24"/>
                <w:vertAlign w:val="baseline"/>
              </w:rPr>
              <w:t>]</w:t>
            </w:r>
          </w:p>
        </w:tc>
        <w:tc>
          <w:tcPr>
            <w:tcW w:w="1894" w:type="dxa"/>
          </w:tcPr>
          <w:p>
            <w:pPr>
              <w:pStyle w:val="TableParagraph"/>
              <w:spacing w:before="67"/>
              <w:ind w:left="213" w:right="344"/>
              <w:jc w:val="center"/>
              <w:rPr>
                <w:sz w:val="24"/>
              </w:rPr>
            </w:pPr>
            <w:r>
              <w:rPr>
                <w:spacing w:val="-2"/>
                <w:sz w:val="24"/>
              </w:rPr>
              <w:t>0.0634</w:t>
            </w:r>
          </w:p>
        </w:tc>
        <w:tc>
          <w:tcPr>
            <w:tcW w:w="2586" w:type="dxa"/>
          </w:tcPr>
          <w:p>
            <w:pPr>
              <w:pStyle w:val="TableParagraph"/>
              <w:spacing w:before="67"/>
              <w:ind w:left="1116"/>
              <w:rPr>
                <w:sz w:val="24"/>
              </w:rPr>
            </w:pPr>
            <w:r>
              <w:rPr>
                <w:spacing w:val="-4"/>
                <w:sz w:val="24"/>
              </w:rPr>
              <w:t>54.2</w:t>
            </w:r>
          </w:p>
        </w:tc>
        <w:tc>
          <w:tcPr>
            <w:tcW w:w="2604" w:type="dxa"/>
          </w:tcPr>
          <w:p>
            <w:pPr>
              <w:pStyle w:val="TableParagraph"/>
              <w:spacing w:before="67"/>
              <w:ind w:left="0" w:right="711"/>
              <w:jc w:val="right"/>
              <w:rPr>
                <w:sz w:val="24"/>
              </w:rPr>
            </w:pPr>
            <w:r>
              <w:rPr>
                <w:spacing w:val="-4"/>
                <w:sz w:val="24"/>
              </w:rPr>
              <w:t>32.8</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759" w:type="dxa"/>
          </w:tcPr>
          <w:p>
            <w:pPr>
              <w:pStyle w:val="TableParagraph"/>
              <w:spacing w:before="67"/>
              <w:rPr>
                <w:sz w:val="24"/>
              </w:rPr>
            </w:pPr>
            <w:r>
              <w:rPr>
                <w:spacing w:val="-2"/>
                <w:sz w:val="24"/>
              </w:rPr>
              <w:t>[Omim][BF</w:t>
            </w:r>
            <w:r>
              <w:rPr>
                <w:spacing w:val="-2"/>
                <w:sz w:val="24"/>
                <w:vertAlign w:val="subscript"/>
              </w:rPr>
              <w:t>4</w:t>
            </w:r>
            <w:r>
              <w:rPr>
                <w:spacing w:val="-2"/>
                <w:sz w:val="24"/>
                <w:vertAlign w:val="baseline"/>
              </w:rPr>
              <w:t>]</w:t>
            </w:r>
          </w:p>
        </w:tc>
        <w:tc>
          <w:tcPr>
            <w:tcW w:w="1894" w:type="dxa"/>
          </w:tcPr>
          <w:p>
            <w:pPr>
              <w:pStyle w:val="TableParagraph"/>
              <w:spacing w:before="67"/>
              <w:ind w:left="213" w:right="371"/>
              <w:jc w:val="center"/>
              <w:rPr>
                <w:sz w:val="24"/>
              </w:rPr>
            </w:pPr>
            <w:r>
              <w:rPr>
                <w:spacing w:val="-2"/>
                <w:sz w:val="24"/>
              </w:rPr>
              <w:t>0.0551</w:t>
            </w:r>
          </w:p>
        </w:tc>
        <w:tc>
          <w:tcPr>
            <w:tcW w:w="2586" w:type="dxa"/>
          </w:tcPr>
          <w:p>
            <w:pPr>
              <w:pStyle w:val="TableParagraph"/>
              <w:spacing w:before="67"/>
              <w:ind w:left="1102"/>
              <w:rPr>
                <w:sz w:val="24"/>
              </w:rPr>
            </w:pPr>
            <w:r>
              <w:rPr>
                <w:spacing w:val="-4"/>
                <w:sz w:val="24"/>
              </w:rPr>
              <w:t>47.9</w:t>
            </w:r>
          </w:p>
        </w:tc>
        <w:tc>
          <w:tcPr>
            <w:tcW w:w="2604" w:type="dxa"/>
          </w:tcPr>
          <w:p>
            <w:pPr>
              <w:pStyle w:val="TableParagraph"/>
              <w:spacing w:before="67"/>
              <w:ind w:left="0" w:right="725"/>
              <w:jc w:val="right"/>
              <w:rPr>
                <w:sz w:val="24"/>
              </w:rPr>
            </w:pPr>
            <w:r>
              <w:rPr>
                <w:spacing w:val="-4"/>
                <w:sz w:val="24"/>
              </w:rPr>
              <w:t>29.8</w:t>
            </w:r>
          </w:p>
        </w:tc>
      </w:tr>
      <w:tr>
        <w:tblPrEx>
          <w:tblW w:w="0" w:type="auto"/>
          <w:jc w:val="left"/>
          <w:tblInd w:w="119" w:type="dxa"/>
          <w:tblLayout w:type="fixed"/>
          <w:tblCellMar>
            <w:top w:w="0" w:type="dxa"/>
            <w:left w:w="0" w:type="dxa"/>
            <w:bottom w:w="0" w:type="dxa"/>
            <w:right w:w="0" w:type="dxa"/>
          </w:tblCellMar>
          <w:tblLook w:val="01E0"/>
        </w:tblPrEx>
        <w:trPr>
          <w:trHeight w:val="430"/>
          <w:jc w:val="left"/>
        </w:trPr>
        <w:tc>
          <w:tcPr>
            <w:tcW w:w="1759" w:type="dxa"/>
          </w:tcPr>
          <w:p>
            <w:pPr>
              <w:pStyle w:val="TableParagraph"/>
              <w:spacing w:before="67"/>
              <w:rPr>
                <w:sz w:val="24"/>
              </w:rPr>
            </w:pPr>
            <w:r>
              <w:rPr>
                <w:spacing w:val="-2"/>
                <w:sz w:val="24"/>
              </w:rPr>
              <w:t>[Omim][Br]</w:t>
            </w:r>
          </w:p>
        </w:tc>
        <w:tc>
          <w:tcPr>
            <w:tcW w:w="1894" w:type="dxa"/>
          </w:tcPr>
          <w:p>
            <w:pPr>
              <w:pStyle w:val="TableParagraph"/>
              <w:spacing w:before="67"/>
              <w:ind w:left="213" w:right="398"/>
              <w:jc w:val="center"/>
              <w:rPr>
                <w:sz w:val="24"/>
              </w:rPr>
            </w:pPr>
            <w:r>
              <w:rPr>
                <w:spacing w:val="-2"/>
                <w:sz w:val="24"/>
              </w:rPr>
              <w:t>0.0853</w:t>
            </w:r>
          </w:p>
        </w:tc>
        <w:tc>
          <w:tcPr>
            <w:tcW w:w="2586" w:type="dxa"/>
          </w:tcPr>
          <w:p>
            <w:pPr>
              <w:pStyle w:val="TableParagraph"/>
              <w:spacing w:before="67"/>
              <w:ind w:left="1089"/>
              <w:rPr>
                <w:sz w:val="24"/>
              </w:rPr>
            </w:pPr>
            <w:r>
              <w:rPr>
                <w:spacing w:val="-4"/>
                <w:sz w:val="24"/>
              </w:rPr>
              <w:t>60.7</w:t>
            </w:r>
          </w:p>
        </w:tc>
        <w:tc>
          <w:tcPr>
            <w:tcW w:w="2604" w:type="dxa"/>
          </w:tcPr>
          <w:p>
            <w:pPr>
              <w:pStyle w:val="TableParagraph"/>
              <w:spacing w:before="67"/>
              <w:ind w:left="0" w:right="740"/>
              <w:jc w:val="right"/>
              <w:rPr>
                <w:sz w:val="24"/>
              </w:rPr>
            </w:pPr>
            <w:r>
              <w:rPr>
                <w:spacing w:val="-4"/>
                <w:sz w:val="24"/>
              </w:rPr>
              <w:t>32.0</w:t>
            </w:r>
          </w:p>
        </w:tc>
      </w:tr>
      <w:tr>
        <w:tblPrEx>
          <w:tblW w:w="0" w:type="auto"/>
          <w:jc w:val="left"/>
          <w:tblInd w:w="119" w:type="dxa"/>
          <w:tblLayout w:type="fixed"/>
          <w:tblCellMar>
            <w:top w:w="0" w:type="dxa"/>
            <w:left w:w="0" w:type="dxa"/>
            <w:bottom w:w="0" w:type="dxa"/>
            <w:right w:w="0" w:type="dxa"/>
          </w:tblCellMar>
          <w:tblLook w:val="01E0"/>
        </w:tblPrEx>
        <w:trPr>
          <w:trHeight w:val="440"/>
          <w:jc w:val="left"/>
        </w:trPr>
        <w:tc>
          <w:tcPr>
            <w:tcW w:w="1759" w:type="dxa"/>
          </w:tcPr>
          <w:p>
            <w:pPr>
              <w:pStyle w:val="TableParagraph"/>
              <w:spacing w:before="77"/>
              <w:rPr>
                <w:sz w:val="24"/>
              </w:rPr>
            </w:pPr>
            <w:r>
              <w:rPr>
                <w:spacing w:val="-2"/>
                <w:sz w:val="24"/>
              </w:rPr>
              <w:t>[Omim][Cl]</w:t>
            </w:r>
          </w:p>
        </w:tc>
        <w:tc>
          <w:tcPr>
            <w:tcW w:w="1894" w:type="dxa"/>
          </w:tcPr>
          <w:p>
            <w:pPr>
              <w:pStyle w:val="TableParagraph"/>
              <w:spacing w:before="77"/>
              <w:ind w:left="213" w:right="425"/>
              <w:jc w:val="center"/>
              <w:rPr>
                <w:sz w:val="24"/>
              </w:rPr>
            </w:pPr>
            <w:r>
              <w:rPr>
                <w:spacing w:val="-2"/>
                <w:sz w:val="24"/>
              </w:rPr>
              <w:t>0.0592</w:t>
            </w:r>
          </w:p>
        </w:tc>
        <w:tc>
          <w:tcPr>
            <w:tcW w:w="2586" w:type="dxa"/>
          </w:tcPr>
          <w:p>
            <w:pPr>
              <w:pStyle w:val="TableParagraph"/>
              <w:spacing w:before="77"/>
              <w:ind w:left="1075"/>
              <w:rPr>
                <w:sz w:val="24"/>
              </w:rPr>
            </w:pPr>
            <w:r>
              <w:rPr>
                <w:spacing w:val="-4"/>
                <w:sz w:val="24"/>
              </w:rPr>
              <w:t>50.4</w:t>
            </w:r>
          </w:p>
        </w:tc>
        <w:tc>
          <w:tcPr>
            <w:tcW w:w="2604" w:type="dxa"/>
          </w:tcPr>
          <w:p>
            <w:pPr>
              <w:pStyle w:val="TableParagraph"/>
              <w:spacing w:before="77"/>
              <w:ind w:left="0" w:right="752"/>
              <w:jc w:val="right"/>
              <w:rPr>
                <w:sz w:val="24"/>
              </w:rPr>
            </w:pPr>
            <w:r>
              <w:rPr>
                <w:spacing w:val="-4"/>
                <w:sz w:val="24"/>
              </w:rPr>
              <w:t>30.5</w:t>
            </w:r>
          </w:p>
        </w:tc>
      </w:tr>
      <w:tr>
        <w:tblPrEx>
          <w:tblW w:w="0" w:type="auto"/>
          <w:jc w:val="left"/>
          <w:tblInd w:w="119" w:type="dxa"/>
          <w:tblLayout w:type="fixed"/>
          <w:tblCellMar>
            <w:top w:w="0" w:type="dxa"/>
            <w:left w:w="0" w:type="dxa"/>
            <w:bottom w:w="0" w:type="dxa"/>
            <w:right w:w="0" w:type="dxa"/>
          </w:tblCellMar>
          <w:tblLook w:val="01E0"/>
        </w:tblPrEx>
        <w:trPr>
          <w:trHeight w:val="479"/>
          <w:jc w:val="left"/>
        </w:trPr>
        <w:tc>
          <w:tcPr>
            <w:tcW w:w="1759" w:type="dxa"/>
          </w:tcPr>
          <w:p>
            <w:pPr>
              <w:pStyle w:val="TableParagraph"/>
              <w:spacing w:before="77"/>
              <w:rPr>
                <w:sz w:val="24"/>
              </w:rPr>
            </w:pPr>
            <w:r>
              <w:rPr>
                <w:spacing w:val="-2"/>
                <w:sz w:val="24"/>
              </w:rPr>
              <w:t>[C</w:t>
            </w:r>
            <w:r>
              <w:rPr>
                <w:spacing w:val="-2"/>
                <w:sz w:val="24"/>
                <w:vertAlign w:val="subscript"/>
              </w:rPr>
              <w:t>12</w:t>
            </w:r>
            <w:r>
              <w:rPr>
                <w:spacing w:val="-2"/>
                <w:sz w:val="24"/>
                <w:vertAlign w:val="baseline"/>
              </w:rPr>
              <w:t>mimJ[PF</w:t>
            </w:r>
            <w:r>
              <w:rPr>
                <w:spacing w:val="-2"/>
                <w:sz w:val="24"/>
                <w:vertAlign w:val="subscript"/>
              </w:rPr>
              <w:t>6</w:t>
            </w:r>
            <w:r>
              <w:rPr>
                <w:spacing w:val="-2"/>
                <w:sz w:val="24"/>
                <w:vertAlign w:val="baseline"/>
              </w:rPr>
              <w:t>]</w:t>
            </w:r>
          </w:p>
        </w:tc>
        <w:tc>
          <w:tcPr>
            <w:tcW w:w="1894" w:type="dxa"/>
          </w:tcPr>
          <w:p>
            <w:pPr>
              <w:pStyle w:val="TableParagraph"/>
              <w:spacing w:before="77"/>
              <w:ind w:left="213" w:right="344"/>
              <w:jc w:val="center"/>
              <w:rPr>
                <w:sz w:val="24"/>
              </w:rPr>
            </w:pPr>
            <w:r>
              <w:rPr>
                <w:spacing w:val="-2"/>
                <w:sz w:val="24"/>
              </w:rPr>
              <w:t>0.0552</w:t>
            </w:r>
          </w:p>
        </w:tc>
        <w:tc>
          <w:tcPr>
            <w:tcW w:w="2586" w:type="dxa"/>
          </w:tcPr>
          <w:p>
            <w:pPr>
              <w:pStyle w:val="TableParagraph"/>
              <w:spacing w:before="77"/>
              <w:ind w:left="1116"/>
              <w:rPr>
                <w:sz w:val="24"/>
              </w:rPr>
            </w:pPr>
            <w:r>
              <w:rPr>
                <w:spacing w:val="-4"/>
                <w:sz w:val="24"/>
              </w:rPr>
              <w:t>40.0</w:t>
            </w:r>
          </w:p>
        </w:tc>
        <w:tc>
          <w:tcPr>
            <w:tcW w:w="2604" w:type="dxa"/>
          </w:tcPr>
          <w:p>
            <w:pPr>
              <w:pStyle w:val="TableParagraph"/>
              <w:spacing w:before="77"/>
              <w:ind w:left="0" w:right="711"/>
              <w:jc w:val="right"/>
              <w:rPr>
                <w:sz w:val="24"/>
              </w:rPr>
            </w:pPr>
            <w:r>
              <w:rPr>
                <w:spacing w:val="-4"/>
                <w:sz w:val="24"/>
              </w:rPr>
              <w:t>23.6</w:t>
            </w:r>
          </w:p>
        </w:tc>
      </w:tr>
      <w:tr>
        <w:tblPrEx>
          <w:tblW w:w="0" w:type="auto"/>
          <w:jc w:val="left"/>
          <w:tblInd w:w="119" w:type="dxa"/>
          <w:tblLayout w:type="fixed"/>
          <w:tblCellMar>
            <w:top w:w="0" w:type="dxa"/>
            <w:left w:w="0" w:type="dxa"/>
            <w:bottom w:w="0" w:type="dxa"/>
            <w:right w:w="0" w:type="dxa"/>
          </w:tblCellMar>
          <w:tblLook w:val="01E0"/>
        </w:tblPrEx>
        <w:trPr>
          <w:trHeight w:val="429"/>
          <w:jc w:val="left"/>
        </w:trPr>
        <w:tc>
          <w:tcPr>
            <w:tcW w:w="1759" w:type="dxa"/>
            <w:tcBorders>
              <w:bottom w:val="single" w:sz="18" w:space="0" w:color="000000"/>
            </w:tcBorders>
          </w:tcPr>
          <w:p>
            <w:pPr>
              <w:pStyle w:val="TableParagraph"/>
              <w:spacing w:before="97"/>
              <w:rPr>
                <w:sz w:val="24"/>
              </w:rPr>
            </w:pPr>
            <w:r>
              <w:rPr>
                <w:spacing w:val="-2"/>
                <w:sz w:val="24"/>
              </w:rPr>
              <w:t>[C12mim][PF</w:t>
            </w:r>
            <w:r>
              <w:rPr>
                <w:spacing w:val="-2"/>
                <w:sz w:val="24"/>
                <w:vertAlign w:val="subscript"/>
              </w:rPr>
              <w:t>6</w:t>
            </w:r>
            <w:r>
              <w:rPr>
                <w:spacing w:val="-2"/>
                <w:sz w:val="24"/>
                <w:vertAlign w:val="baseline"/>
              </w:rPr>
              <w:t>]</w:t>
            </w:r>
          </w:p>
        </w:tc>
        <w:tc>
          <w:tcPr>
            <w:tcW w:w="1894" w:type="dxa"/>
            <w:tcBorders>
              <w:bottom w:val="single" w:sz="18" w:space="0" w:color="000000"/>
            </w:tcBorders>
          </w:tcPr>
          <w:p>
            <w:pPr>
              <w:pStyle w:val="TableParagraph"/>
              <w:spacing w:before="97"/>
              <w:ind w:left="213" w:right="451"/>
              <w:jc w:val="center"/>
              <w:rPr>
                <w:sz w:val="24"/>
              </w:rPr>
            </w:pPr>
            <w:r>
              <w:rPr>
                <w:spacing w:val="-2"/>
                <w:sz w:val="24"/>
              </w:rPr>
              <w:t>0.0433</w:t>
            </w:r>
          </w:p>
        </w:tc>
        <w:tc>
          <w:tcPr>
            <w:tcW w:w="2586" w:type="dxa"/>
            <w:tcBorders>
              <w:bottom w:val="single" w:sz="18" w:space="0" w:color="000000"/>
            </w:tcBorders>
          </w:tcPr>
          <w:p>
            <w:pPr>
              <w:pStyle w:val="TableParagraph"/>
              <w:spacing w:before="97"/>
              <w:ind w:left="1062"/>
              <w:rPr>
                <w:sz w:val="24"/>
              </w:rPr>
            </w:pPr>
            <w:r>
              <w:rPr>
                <w:spacing w:val="-4"/>
                <w:sz w:val="24"/>
              </w:rPr>
              <w:t>39.8</w:t>
            </w:r>
          </w:p>
        </w:tc>
        <w:tc>
          <w:tcPr>
            <w:tcW w:w="2604" w:type="dxa"/>
            <w:tcBorders>
              <w:bottom w:val="single" w:sz="18" w:space="0" w:color="000000"/>
            </w:tcBorders>
          </w:tcPr>
          <w:p>
            <w:pPr>
              <w:pStyle w:val="TableParagraph"/>
              <w:spacing w:before="97"/>
              <w:ind w:left="0" w:right="765"/>
              <w:jc w:val="right"/>
              <w:rPr>
                <w:sz w:val="24"/>
              </w:rPr>
            </w:pPr>
            <w:r>
              <w:rPr>
                <w:spacing w:val="-4"/>
                <w:sz w:val="24"/>
              </w:rPr>
              <w:t>25.2</w:t>
            </w:r>
          </w:p>
        </w:tc>
      </w:tr>
    </w:tbl>
    <w:p>
      <w:pPr>
        <w:pStyle w:val="BodyText"/>
        <w:spacing w:before="91" w:line="343" w:lineRule="auto"/>
        <w:ind w:right="124" w:firstLine="480"/>
        <w:rPr>
          <w:sz w:val="16"/>
        </w:rPr>
      </w:pPr>
      <w:r>
        <w:rPr>
          <w:rFonts w:ascii="Times New Roman" w:eastAsia="Times New Roman" w:hAnsi="Times New Roman"/>
        </w:rPr>
        <w:t xml:space="preserve">Fredlake </w:t>
      </w:r>
      <w:r>
        <w:t>等考察了</w:t>
      </w:r>
      <w:r>
        <w:rPr>
          <w:rFonts w:ascii="Times New Roman" w:eastAsia="Times New Roman" w:hAnsi="Times New Roman"/>
        </w:rPr>
        <w:t>[Cnmim][PF</w:t>
      </w:r>
      <w:r>
        <w:rPr>
          <w:rFonts w:ascii="Times New Roman" w:eastAsia="Times New Roman" w:hAnsi="Times New Roman"/>
          <w:vertAlign w:val="subscript"/>
        </w:rPr>
        <w:t>6</w:t>
      </w:r>
      <w:r>
        <w:rPr>
          <w:rFonts w:ascii="Times New Roman" w:eastAsia="Times New Roman" w:hAnsi="Times New Roman"/>
          <w:vertAlign w:val="baseline"/>
        </w:rPr>
        <w:t>](n=4</w:t>
      </w:r>
      <w:r>
        <w:rPr>
          <w:vertAlign w:val="baseline"/>
        </w:rPr>
        <w:t>～</w:t>
      </w:r>
      <w:r>
        <w:rPr>
          <w:rFonts w:ascii="Times New Roman" w:eastAsia="Times New Roman" w:hAnsi="Times New Roman"/>
          <w:vertAlign w:val="baseline"/>
        </w:rPr>
        <w:t>9)</w:t>
      </w:r>
      <w:r>
        <w:rPr>
          <w:vertAlign w:val="baseline"/>
        </w:rPr>
        <w:t>和</w:t>
      </w:r>
      <w:r>
        <w:rPr>
          <w:rFonts w:ascii="Times New Roman" w:eastAsia="Times New Roman" w:hAnsi="Times New Roman"/>
          <w:vertAlign w:val="baseline"/>
        </w:rPr>
        <w:t>[Cnmim][Tf</w:t>
      </w:r>
      <w:r>
        <w:rPr>
          <w:rFonts w:ascii="Times New Roman" w:eastAsia="Times New Roman" w:hAnsi="Times New Roman"/>
          <w:vertAlign w:val="subscript"/>
        </w:rPr>
        <w:t>2</w:t>
      </w:r>
      <w:r>
        <w:rPr>
          <w:rFonts w:ascii="Times New Roman" w:eastAsia="Times New Roman" w:hAnsi="Times New Roman"/>
          <w:vertAlign w:val="baseline"/>
        </w:rPr>
        <w:t>N](n=2</w:t>
      </w:r>
      <w:r>
        <w:rPr>
          <w:vertAlign w:val="baseline"/>
        </w:rPr>
        <w:t>～</w:t>
      </w:r>
      <w:r>
        <w:rPr>
          <w:rFonts w:ascii="Times New Roman" w:eastAsia="Times New Roman" w:hAnsi="Times New Roman"/>
          <w:vertAlign w:val="baseline"/>
        </w:rPr>
        <w:t>10)</w:t>
      </w:r>
      <w:r>
        <w:rPr>
          <w:spacing w:val="-7"/>
          <w:vertAlign w:val="baseline"/>
        </w:rPr>
        <w:t xml:space="preserve">两类 </w:t>
      </w:r>
      <w:r>
        <w:rPr>
          <w:rFonts w:ascii="Times New Roman" w:eastAsia="Times New Roman" w:hAnsi="Times New Roman"/>
          <w:vertAlign w:val="baseline"/>
        </w:rPr>
        <w:t xml:space="preserve">ILs </w:t>
      </w:r>
      <w:r>
        <w:rPr>
          <w:vertAlign w:val="baseline"/>
        </w:rPr>
        <w:t>的中</w:t>
      </w:r>
      <w:r>
        <w:rPr>
          <w:spacing w:val="-8"/>
          <w:vertAlign w:val="baseline"/>
        </w:rPr>
        <w:t>烷基取代基侧链碳原子数对其表面张力的影响，研究发现了随着侧链碳原子数的增加，</w:t>
      </w:r>
      <w:r>
        <w:rPr>
          <w:spacing w:val="-2"/>
          <w:vertAlign w:val="baseline"/>
        </w:rPr>
        <w:t xml:space="preserve"> </w:t>
      </w:r>
      <w:r>
        <w:rPr>
          <w:rFonts w:ascii="Times New Roman" w:eastAsia="Times New Roman" w:hAnsi="Times New Roman"/>
          <w:vertAlign w:val="baseline"/>
        </w:rPr>
        <w:t xml:space="preserve">ILs </w:t>
      </w:r>
      <w:r>
        <w:rPr>
          <w:vertAlign w:val="baseline"/>
        </w:rPr>
        <w:t>的表面张力对应减小，并且阴离子为</w:t>
      </w:r>
      <w:r>
        <w:rPr>
          <w:rFonts w:ascii="Times New Roman" w:eastAsia="Times New Roman" w:hAnsi="Times New Roman"/>
          <w:vertAlign w:val="baseline"/>
        </w:rPr>
        <w:t>[PF</w:t>
      </w:r>
      <w:r>
        <w:rPr>
          <w:rFonts w:ascii="Times New Roman" w:eastAsia="Times New Roman" w:hAnsi="Times New Roman"/>
          <w:vertAlign w:val="subscript"/>
        </w:rPr>
        <w:t>6</w:t>
      </w:r>
      <w:r>
        <w:rPr>
          <w:rFonts w:ascii="Times New Roman" w:eastAsia="Times New Roman" w:hAnsi="Times New Roman"/>
          <w:vertAlign w:val="baseline"/>
        </w:rPr>
        <w:t>]</w:t>
      </w:r>
      <w:r>
        <w:rPr>
          <w:spacing w:val="-2"/>
          <w:vertAlign w:val="baseline"/>
        </w:rPr>
        <w:t xml:space="preserve">的 </w:t>
      </w:r>
      <w:r>
        <w:rPr>
          <w:rFonts w:ascii="Times New Roman" w:eastAsia="Times New Roman" w:hAnsi="Times New Roman"/>
          <w:vertAlign w:val="baseline"/>
        </w:rPr>
        <w:t xml:space="preserve">ILs </w:t>
      </w:r>
      <w:r>
        <w:rPr>
          <w:vertAlign w:val="baseline"/>
        </w:rPr>
        <w:t>的表面张力比阴离子为</w:t>
      </w:r>
      <w:r>
        <w:rPr>
          <w:rFonts w:ascii="Times New Roman" w:eastAsia="Times New Roman" w:hAnsi="Times New Roman"/>
          <w:vertAlign w:val="baseline"/>
        </w:rPr>
        <w:t>[Tf</w:t>
      </w:r>
      <w:r>
        <w:rPr>
          <w:rFonts w:ascii="Times New Roman" w:eastAsia="Times New Roman" w:hAnsi="Times New Roman"/>
          <w:vertAlign w:val="subscript"/>
        </w:rPr>
        <w:t>2</w:t>
      </w:r>
      <w:r>
        <w:rPr>
          <w:rFonts w:ascii="Times New Roman" w:eastAsia="Times New Roman" w:hAnsi="Times New Roman"/>
          <w:vertAlign w:val="baseline"/>
        </w:rPr>
        <w:t>N]</w:t>
      </w:r>
      <w:r>
        <w:rPr>
          <w:position w:val="7"/>
          <w:sz w:val="16"/>
          <w:vertAlign w:val="baseline"/>
        </w:rPr>
        <w:t>—</w:t>
      </w:r>
    </w:p>
    <w:p>
      <w:pPr>
        <w:spacing w:after="0" w:line="343" w:lineRule="auto"/>
        <w:rPr>
          <w:sz w:val="16"/>
        </w:rPr>
      </w:pPr>
      <w:r>
        <w:rPr>
          <w:sz w:val="16"/>
        </w:rPr>
        <w:br/>
      </w:r>
      <w:r>
        <w:rPr>
          <w:sz w:val="1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8" w:history="1">
        <w:r>
          <w:rPr>
            <w:rFonts w:ascii="SimSun" w:eastAsia="SimSun" w:hAnsi="SimSun" w:cs="SimSun"/>
            <w:b/>
            <w:bCs/>
            <w:color w:val="0000EE"/>
            <w:sz w:val="30"/>
            <w:szCs w:val="30"/>
            <w:u w:val="single" w:color="0000EE"/>
          </w:rPr>
          <w:t>https://d.book118.com/276003032200010053</w:t>
        </w:r>
      </w:hyperlink>
    </w:p>
    <w:p>
      <w:pPr>
        <w:spacing w:after="0" w:line="343" w:lineRule="auto"/>
        <w:rPr>
          <w:sz w:val="16"/>
        </w:rPr>
      </w:pPr>
    </w:p>
    <w:sectPr>
      <w:pgSz w:w="11910" w:h="16840"/>
      <w:pgMar w:top="1480" w:right="1080" w:bottom="280" w:left="1560" w:header="708" w:footer="708"/>
      <w:pgNumType w:start="1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9E560"/>
    <w:multiLevelType w:val="hybridMultilevel"/>
    <w:tmpl w:val="00000000"/>
    <w:lvl w:ilvl="0">
      <w:start w:val="1"/>
      <w:numFmt w:val="decimal"/>
      <w:lvlText w:val="[%1]"/>
      <w:lvlJc w:val="left"/>
      <w:pPr>
        <w:ind w:left="502"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376" w:hanging="361"/>
      </w:pPr>
      <w:rPr>
        <w:rFonts w:hint="default"/>
        <w:lang w:val="en-US" w:eastAsia="zh-CN" w:bidi="ar-SA"/>
      </w:rPr>
    </w:lvl>
    <w:lvl w:ilvl="2">
      <w:start w:val="0"/>
      <w:numFmt w:val="bullet"/>
      <w:lvlText w:val="•"/>
      <w:lvlJc w:val="left"/>
      <w:pPr>
        <w:ind w:left="2253" w:hanging="361"/>
      </w:pPr>
      <w:rPr>
        <w:rFonts w:hint="default"/>
        <w:lang w:val="en-US" w:eastAsia="zh-CN" w:bidi="ar-SA"/>
      </w:rPr>
    </w:lvl>
    <w:lvl w:ilvl="3">
      <w:start w:val="0"/>
      <w:numFmt w:val="bullet"/>
      <w:lvlText w:val="•"/>
      <w:lvlJc w:val="left"/>
      <w:pPr>
        <w:ind w:left="3129" w:hanging="361"/>
      </w:pPr>
      <w:rPr>
        <w:rFonts w:hint="default"/>
        <w:lang w:val="en-US" w:eastAsia="zh-CN" w:bidi="ar-SA"/>
      </w:rPr>
    </w:lvl>
    <w:lvl w:ilvl="4">
      <w:start w:val="0"/>
      <w:numFmt w:val="bullet"/>
      <w:lvlText w:val="•"/>
      <w:lvlJc w:val="left"/>
      <w:pPr>
        <w:ind w:left="4006" w:hanging="361"/>
      </w:pPr>
      <w:rPr>
        <w:rFonts w:hint="default"/>
        <w:lang w:val="en-US" w:eastAsia="zh-CN" w:bidi="ar-SA"/>
      </w:rPr>
    </w:lvl>
    <w:lvl w:ilvl="5">
      <w:start w:val="0"/>
      <w:numFmt w:val="bullet"/>
      <w:lvlText w:val="•"/>
      <w:lvlJc w:val="left"/>
      <w:pPr>
        <w:ind w:left="4883" w:hanging="361"/>
      </w:pPr>
      <w:rPr>
        <w:rFonts w:hint="default"/>
        <w:lang w:val="en-US" w:eastAsia="zh-CN" w:bidi="ar-SA"/>
      </w:rPr>
    </w:lvl>
    <w:lvl w:ilvl="6">
      <w:start w:val="0"/>
      <w:numFmt w:val="bullet"/>
      <w:lvlText w:val="•"/>
      <w:lvlJc w:val="left"/>
      <w:pPr>
        <w:ind w:left="5759" w:hanging="361"/>
      </w:pPr>
      <w:rPr>
        <w:rFonts w:hint="default"/>
        <w:lang w:val="en-US" w:eastAsia="zh-CN" w:bidi="ar-SA"/>
      </w:rPr>
    </w:lvl>
    <w:lvl w:ilvl="7">
      <w:start w:val="0"/>
      <w:numFmt w:val="bullet"/>
      <w:lvlText w:val="•"/>
      <w:lvlJc w:val="left"/>
      <w:pPr>
        <w:ind w:left="6636" w:hanging="361"/>
      </w:pPr>
      <w:rPr>
        <w:rFonts w:hint="default"/>
        <w:lang w:val="en-US" w:eastAsia="zh-CN" w:bidi="ar-SA"/>
      </w:rPr>
    </w:lvl>
    <w:lvl w:ilvl="8">
      <w:start w:val="0"/>
      <w:numFmt w:val="bullet"/>
      <w:lvlText w:val="•"/>
      <w:lvlJc w:val="left"/>
      <w:pPr>
        <w:ind w:left="7512" w:hanging="361"/>
      </w:pPr>
      <w:rPr>
        <w:rFonts w:hint="default"/>
        <w:lang w:val="en-US" w:eastAsia="zh-CN" w:bidi="ar-SA"/>
      </w:rPr>
    </w:lvl>
  </w:abstractNum>
  <w:abstractNum w:abstractNumId="1">
    <w:nsid w:val="0732C5C7"/>
    <w:multiLevelType w:val="hybridMultilevel"/>
    <w:tmpl w:val="00000000"/>
    <w:lvl w:ilvl="0">
      <w:start w:val="1"/>
      <w:numFmt w:val="decimal"/>
      <w:lvlText w:val="%1."/>
      <w:lvlJc w:val="left"/>
      <w:pPr>
        <w:ind w:left="322" w:hanging="18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1"/>
      <w:numFmt w:val="decimal"/>
      <w:lvlText w:val="%1.%2"/>
      <w:lvlJc w:val="left"/>
      <w:pPr>
        <w:ind w:left="981" w:hanging="420"/>
        <w:jc w:val="right"/>
      </w:pPr>
      <w:rPr>
        <w:rFonts w:hint="default"/>
        <w:w w:val="100"/>
        <w:lang w:val="en-US" w:eastAsia="zh-CN" w:bidi="ar-SA"/>
      </w:rPr>
    </w:lvl>
    <w:lvl w:ilvl="2">
      <w:start w:val="1"/>
      <w:numFmt w:val="decimal"/>
      <w:lvlText w:val="%1.%2.%3"/>
      <w:lvlJc w:val="left"/>
      <w:pPr>
        <w:ind w:left="1521" w:hanging="42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0"/>
      <w:numFmt w:val="bullet"/>
      <w:lvlText w:val="•"/>
      <w:lvlJc w:val="left"/>
      <w:pPr>
        <w:ind w:left="1520" w:hanging="420"/>
      </w:pPr>
      <w:rPr>
        <w:rFonts w:hint="default"/>
        <w:lang w:val="en-US" w:eastAsia="zh-CN" w:bidi="ar-SA"/>
      </w:rPr>
    </w:lvl>
    <w:lvl w:ilvl="4">
      <w:start w:val="0"/>
      <w:numFmt w:val="bullet"/>
      <w:lvlText w:val="•"/>
      <w:lvlJc w:val="left"/>
      <w:pPr>
        <w:ind w:left="2626" w:hanging="420"/>
      </w:pPr>
      <w:rPr>
        <w:rFonts w:hint="default"/>
        <w:lang w:val="en-US" w:eastAsia="zh-CN" w:bidi="ar-SA"/>
      </w:rPr>
    </w:lvl>
    <w:lvl w:ilvl="5">
      <w:start w:val="0"/>
      <w:numFmt w:val="bullet"/>
      <w:lvlText w:val="•"/>
      <w:lvlJc w:val="left"/>
      <w:pPr>
        <w:ind w:left="3733" w:hanging="420"/>
      </w:pPr>
      <w:rPr>
        <w:rFonts w:hint="default"/>
        <w:lang w:val="en-US" w:eastAsia="zh-CN" w:bidi="ar-SA"/>
      </w:rPr>
    </w:lvl>
    <w:lvl w:ilvl="6">
      <w:start w:val="0"/>
      <w:numFmt w:val="bullet"/>
      <w:lvlText w:val="•"/>
      <w:lvlJc w:val="left"/>
      <w:pPr>
        <w:ind w:left="4839" w:hanging="420"/>
      </w:pPr>
      <w:rPr>
        <w:rFonts w:hint="default"/>
        <w:lang w:val="en-US" w:eastAsia="zh-CN" w:bidi="ar-SA"/>
      </w:rPr>
    </w:lvl>
    <w:lvl w:ilvl="7">
      <w:start w:val="0"/>
      <w:numFmt w:val="bullet"/>
      <w:lvlText w:val="•"/>
      <w:lvlJc w:val="left"/>
      <w:pPr>
        <w:ind w:left="5946" w:hanging="420"/>
      </w:pPr>
      <w:rPr>
        <w:rFonts w:hint="default"/>
        <w:lang w:val="en-US" w:eastAsia="zh-CN" w:bidi="ar-SA"/>
      </w:rPr>
    </w:lvl>
    <w:lvl w:ilvl="8">
      <w:start w:val="0"/>
      <w:numFmt w:val="bullet"/>
      <w:lvlText w:val="•"/>
      <w:lvlJc w:val="left"/>
      <w:pPr>
        <w:ind w:left="7052" w:hanging="420"/>
      </w:pPr>
      <w:rPr>
        <w:rFonts w:hint="default"/>
        <w:lang w:val="en-US" w:eastAsia="zh-CN" w:bidi="ar-SA"/>
      </w:rPr>
    </w:lvl>
  </w:abstractNum>
  <w:abstractNum w:abstractNumId="2">
    <w:nsid w:val="1DC9E9A8"/>
    <w:multiLevelType w:val="hybridMultilevel"/>
    <w:tmpl w:val="00000000"/>
    <w:lvl w:ilvl="0">
      <w:start w:val="1"/>
      <w:numFmt w:val="decimal"/>
      <w:lvlText w:val="%1"/>
      <w:lvlJc w:val="left"/>
      <w:pPr>
        <w:ind w:left="461" w:hanging="320"/>
        <w:jc w:val="left"/>
      </w:pPr>
      <w:rPr>
        <w:rFonts w:ascii="Times New Roman" w:eastAsia="Times New Roman" w:hAnsi="Times New Roman" w:cs="Times New Roman" w:hint="default"/>
        <w:b/>
        <w:bCs/>
        <w:i w:val="0"/>
        <w:iCs w:val="0"/>
        <w:w w:val="100"/>
        <w:sz w:val="32"/>
        <w:szCs w:val="32"/>
        <w:lang w:val="en-US" w:eastAsia="zh-CN" w:bidi="ar-SA"/>
      </w:rPr>
    </w:lvl>
    <w:lvl w:ilvl="1">
      <w:start w:val="1"/>
      <w:numFmt w:val="decimal"/>
      <w:lvlText w:val="%1.%2"/>
      <w:lvlJc w:val="left"/>
      <w:pPr>
        <w:ind w:left="816" w:hanging="675"/>
        <w:jc w:val="left"/>
      </w:pPr>
      <w:rPr>
        <w:rFonts w:ascii="Times New Roman" w:eastAsia="Times New Roman" w:hAnsi="Times New Roman" w:cs="Times New Roman" w:hint="default"/>
        <w:b/>
        <w:bCs/>
        <w:i w:val="0"/>
        <w:iCs w:val="0"/>
        <w:w w:val="100"/>
        <w:sz w:val="30"/>
        <w:szCs w:val="30"/>
        <w:lang w:val="en-US" w:eastAsia="zh-CN" w:bidi="ar-SA"/>
      </w:rPr>
    </w:lvl>
    <w:lvl w:ilvl="2">
      <w:start w:val="1"/>
      <w:numFmt w:val="decimal"/>
      <w:lvlText w:val="%1.%2.%3"/>
      <w:lvlJc w:val="left"/>
      <w:pPr>
        <w:ind w:left="771" w:hanging="630"/>
        <w:jc w:val="left"/>
      </w:pPr>
      <w:rPr>
        <w:rFonts w:ascii="Times New Roman" w:eastAsia="Times New Roman" w:hAnsi="Times New Roman" w:cs="Times New Roman" w:hint="default"/>
        <w:b/>
        <w:bCs/>
        <w:i w:val="0"/>
        <w:iCs w:val="0"/>
        <w:w w:val="100"/>
        <w:sz w:val="28"/>
        <w:szCs w:val="28"/>
        <w:lang w:val="en-US" w:eastAsia="zh-CN" w:bidi="ar-SA"/>
      </w:rPr>
    </w:lvl>
    <w:lvl w:ilvl="3">
      <w:start w:val="1"/>
      <w:numFmt w:val="decimal"/>
      <w:lvlText w:val="(%4)"/>
      <w:lvlJc w:val="left"/>
      <w:pPr>
        <w:ind w:left="141" w:hanging="34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2026" w:hanging="340"/>
      </w:pPr>
      <w:rPr>
        <w:rFonts w:hint="default"/>
        <w:lang w:val="en-US" w:eastAsia="zh-CN" w:bidi="ar-SA"/>
      </w:rPr>
    </w:lvl>
    <w:lvl w:ilvl="5">
      <w:start w:val="0"/>
      <w:numFmt w:val="bullet"/>
      <w:lvlText w:val="•"/>
      <w:lvlJc w:val="left"/>
      <w:pPr>
        <w:ind w:left="3233" w:hanging="340"/>
      </w:pPr>
      <w:rPr>
        <w:rFonts w:hint="default"/>
        <w:lang w:val="en-US" w:eastAsia="zh-CN" w:bidi="ar-SA"/>
      </w:rPr>
    </w:lvl>
    <w:lvl w:ilvl="6">
      <w:start w:val="0"/>
      <w:numFmt w:val="bullet"/>
      <w:lvlText w:val="•"/>
      <w:lvlJc w:val="left"/>
      <w:pPr>
        <w:ind w:left="4439" w:hanging="340"/>
      </w:pPr>
      <w:rPr>
        <w:rFonts w:hint="default"/>
        <w:lang w:val="en-US" w:eastAsia="zh-CN" w:bidi="ar-SA"/>
      </w:rPr>
    </w:lvl>
    <w:lvl w:ilvl="7">
      <w:start w:val="0"/>
      <w:numFmt w:val="bullet"/>
      <w:lvlText w:val="•"/>
      <w:lvlJc w:val="left"/>
      <w:pPr>
        <w:ind w:left="5646" w:hanging="340"/>
      </w:pPr>
      <w:rPr>
        <w:rFonts w:hint="default"/>
        <w:lang w:val="en-US" w:eastAsia="zh-CN" w:bidi="ar-SA"/>
      </w:rPr>
    </w:lvl>
    <w:lvl w:ilvl="8">
      <w:start w:val="0"/>
      <w:numFmt w:val="bullet"/>
      <w:lvlText w:val="•"/>
      <w:lvlJc w:val="left"/>
      <w:pPr>
        <w:ind w:left="6852" w:hanging="340"/>
      </w:pPr>
      <w:rPr>
        <w:rFonts w:hint="default"/>
        <w:lang w:val="en-US" w:eastAsia="zh-CN" w:bidi="ar-SA"/>
      </w:rPr>
    </w:lvl>
  </w:abstractNum>
  <w:abstractNum w:abstractNumId="3">
    <w:nsid w:val="3BDAC3DB"/>
    <w:multiLevelType w:val="hybridMultilevel"/>
    <w:tmpl w:val="00000000"/>
    <w:lvl w:ilvl="0">
      <w:start w:val="7"/>
      <w:numFmt w:val="decimal"/>
      <w:lvlText w:val="[%1]"/>
      <w:lvlJc w:val="left"/>
      <w:pPr>
        <w:ind w:left="141" w:hanging="36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052" w:hanging="361"/>
      </w:pPr>
      <w:rPr>
        <w:rFonts w:hint="default"/>
        <w:lang w:val="en-US" w:eastAsia="zh-CN" w:bidi="ar-SA"/>
      </w:rPr>
    </w:lvl>
    <w:lvl w:ilvl="2">
      <w:start w:val="0"/>
      <w:numFmt w:val="bullet"/>
      <w:lvlText w:val="•"/>
      <w:lvlJc w:val="left"/>
      <w:pPr>
        <w:ind w:left="1965" w:hanging="361"/>
      </w:pPr>
      <w:rPr>
        <w:rFonts w:hint="default"/>
        <w:lang w:val="en-US" w:eastAsia="zh-CN" w:bidi="ar-SA"/>
      </w:rPr>
    </w:lvl>
    <w:lvl w:ilvl="3">
      <w:start w:val="0"/>
      <w:numFmt w:val="bullet"/>
      <w:lvlText w:val="•"/>
      <w:lvlJc w:val="left"/>
      <w:pPr>
        <w:ind w:left="2877" w:hanging="361"/>
      </w:pPr>
      <w:rPr>
        <w:rFonts w:hint="default"/>
        <w:lang w:val="en-US" w:eastAsia="zh-CN" w:bidi="ar-SA"/>
      </w:rPr>
    </w:lvl>
    <w:lvl w:ilvl="4">
      <w:start w:val="0"/>
      <w:numFmt w:val="bullet"/>
      <w:lvlText w:val="•"/>
      <w:lvlJc w:val="left"/>
      <w:pPr>
        <w:ind w:left="3790" w:hanging="361"/>
      </w:pPr>
      <w:rPr>
        <w:rFonts w:hint="default"/>
        <w:lang w:val="en-US" w:eastAsia="zh-CN" w:bidi="ar-SA"/>
      </w:rPr>
    </w:lvl>
    <w:lvl w:ilvl="5">
      <w:start w:val="0"/>
      <w:numFmt w:val="bullet"/>
      <w:lvlText w:val="•"/>
      <w:lvlJc w:val="left"/>
      <w:pPr>
        <w:ind w:left="4703" w:hanging="361"/>
      </w:pPr>
      <w:rPr>
        <w:rFonts w:hint="default"/>
        <w:lang w:val="en-US" w:eastAsia="zh-CN" w:bidi="ar-SA"/>
      </w:rPr>
    </w:lvl>
    <w:lvl w:ilvl="6">
      <w:start w:val="0"/>
      <w:numFmt w:val="bullet"/>
      <w:lvlText w:val="•"/>
      <w:lvlJc w:val="left"/>
      <w:pPr>
        <w:ind w:left="5615" w:hanging="361"/>
      </w:pPr>
      <w:rPr>
        <w:rFonts w:hint="default"/>
        <w:lang w:val="en-US" w:eastAsia="zh-CN" w:bidi="ar-SA"/>
      </w:rPr>
    </w:lvl>
    <w:lvl w:ilvl="7">
      <w:start w:val="0"/>
      <w:numFmt w:val="bullet"/>
      <w:lvlText w:val="•"/>
      <w:lvlJc w:val="left"/>
      <w:pPr>
        <w:ind w:left="6528" w:hanging="361"/>
      </w:pPr>
      <w:rPr>
        <w:rFonts w:hint="default"/>
        <w:lang w:val="en-US" w:eastAsia="zh-CN" w:bidi="ar-SA"/>
      </w:rPr>
    </w:lvl>
    <w:lvl w:ilvl="8">
      <w:start w:val="0"/>
      <w:numFmt w:val="bullet"/>
      <w:lvlText w:val="•"/>
      <w:lvlJc w:val="left"/>
      <w:pPr>
        <w:ind w:left="7440" w:hanging="361"/>
      </w:pPr>
      <w:rPr>
        <w:rFonts w:hint="default"/>
        <w:lang w:val="en-US" w:eastAsia="zh-CN" w:bidi="ar-SA"/>
      </w:rPr>
    </w:lvl>
  </w:abstractNum>
  <w:abstractNum w:abstractNumId="4">
    <w:nsid w:val="40463ECB"/>
    <w:multiLevelType w:val="hybridMultilevel"/>
    <w:tmpl w:val="00000000"/>
    <w:lvl w:ilvl="0">
      <w:start w:val="2"/>
      <w:numFmt w:val="decimal"/>
      <w:lvlText w:val="%1"/>
      <w:lvlJc w:val="left"/>
      <w:pPr>
        <w:ind w:left="591" w:hanging="450"/>
        <w:jc w:val="left"/>
      </w:pPr>
      <w:rPr>
        <w:rFonts w:hint="default"/>
        <w:lang w:val="en-US" w:eastAsia="zh-CN" w:bidi="ar-SA"/>
      </w:rPr>
    </w:lvl>
    <w:lvl w:ilvl="1">
      <w:start w:val="7"/>
      <w:numFmt w:val="decimal"/>
      <w:lvlText w:val="%1.%2"/>
      <w:lvlJc w:val="left"/>
      <w:pPr>
        <w:ind w:left="591" w:hanging="450"/>
        <w:jc w:val="left"/>
      </w:pPr>
      <w:rPr>
        <w:rFonts w:ascii="Times New Roman" w:eastAsia="Times New Roman" w:hAnsi="Times New Roman" w:cs="Times New Roman" w:hint="default"/>
        <w:b/>
        <w:bCs/>
        <w:i w:val="0"/>
        <w:iCs w:val="0"/>
        <w:w w:val="100"/>
        <w:sz w:val="30"/>
        <w:szCs w:val="30"/>
        <w:lang w:val="en-US" w:eastAsia="zh-CN" w:bidi="ar-SA"/>
      </w:rPr>
    </w:lvl>
    <w:lvl w:ilvl="2">
      <w:start w:val="1"/>
      <w:numFmt w:val="decimal"/>
      <w:lvlText w:val="%1.%2.%3"/>
      <w:lvlJc w:val="left"/>
      <w:pPr>
        <w:ind w:left="771" w:hanging="630"/>
        <w:jc w:val="left"/>
      </w:pPr>
      <w:rPr>
        <w:rFonts w:ascii="Times New Roman" w:eastAsia="Times New Roman" w:hAnsi="Times New Roman" w:cs="Times New Roman" w:hint="default"/>
        <w:b/>
        <w:bCs/>
        <w:i w:val="0"/>
        <w:iCs w:val="0"/>
        <w:w w:val="100"/>
        <w:sz w:val="28"/>
        <w:szCs w:val="28"/>
        <w:lang w:val="en-US" w:eastAsia="zh-CN" w:bidi="ar-SA"/>
      </w:rPr>
    </w:lvl>
    <w:lvl w:ilvl="3">
      <w:start w:val="0"/>
      <w:numFmt w:val="bullet"/>
      <w:lvlText w:val="•"/>
      <w:lvlJc w:val="left"/>
      <w:pPr>
        <w:ind w:left="2665" w:hanging="630"/>
      </w:pPr>
      <w:rPr>
        <w:rFonts w:hint="default"/>
        <w:lang w:val="en-US" w:eastAsia="zh-CN" w:bidi="ar-SA"/>
      </w:rPr>
    </w:lvl>
    <w:lvl w:ilvl="4">
      <w:start w:val="0"/>
      <w:numFmt w:val="bullet"/>
      <w:lvlText w:val="•"/>
      <w:lvlJc w:val="left"/>
      <w:pPr>
        <w:ind w:left="3608" w:hanging="630"/>
      </w:pPr>
      <w:rPr>
        <w:rFonts w:hint="default"/>
        <w:lang w:val="en-US" w:eastAsia="zh-CN" w:bidi="ar-SA"/>
      </w:rPr>
    </w:lvl>
    <w:lvl w:ilvl="5">
      <w:start w:val="0"/>
      <w:numFmt w:val="bullet"/>
      <w:lvlText w:val="•"/>
      <w:lvlJc w:val="left"/>
      <w:pPr>
        <w:ind w:left="4551" w:hanging="630"/>
      </w:pPr>
      <w:rPr>
        <w:rFonts w:hint="default"/>
        <w:lang w:val="en-US" w:eastAsia="zh-CN" w:bidi="ar-SA"/>
      </w:rPr>
    </w:lvl>
    <w:lvl w:ilvl="6">
      <w:start w:val="0"/>
      <w:numFmt w:val="bullet"/>
      <w:lvlText w:val="•"/>
      <w:lvlJc w:val="left"/>
      <w:pPr>
        <w:ind w:left="5494" w:hanging="630"/>
      </w:pPr>
      <w:rPr>
        <w:rFonts w:hint="default"/>
        <w:lang w:val="en-US" w:eastAsia="zh-CN" w:bidi="ar-SA"/>
      </w:rPr>
    </w:lvl>
    <w:lvl w:ilvl="7">
      <w:start w:val="0"/>
      <w:numFmt w:val="bullet"/>
      <w:lvlText w:val="•"/>
      <w:lvlJc w:val="left"/>
      <w:pPr>
        <w:ind w:left="6437" w:hanging="630"/>
      </w:pPr>
      <w:rPr>
        <w:rFonts w:hint="default"/>
        <w:lang w:val="en-US" w:eastAsia="zh-CN" w:bidi="ar-SA"/>
      </w:rPr>
    </w:lvl>
    <w:lvl w:ilvl="8">
      <w:start w:val="0"/>
      <w:numFmt w:val="bullet"/>
      <w:lvlText w:val="•"/>
      <w:lvlJc w:val="left"/>
      <w:pPr>
        <w:ind w:left="7380" w:hanging="630"/>
      </w:pPr>
      <w:rPr>
        <w:rFonts w:hint="default"/>
        <w:lang w:val="en-US" w:eastAsia="zh-CN" w:bidi="ar-SA"/>
      </w:rPr>
    </w:lvl>
  </w:abstractNum>
  <w:abstractNum w:abstractNumId="5">
    <w:nsid w:val="5055F070"/>
    <w:multiLevelType w:val="hybridMultilevel"/>
    <w:tmpl w:val="00000000"/>
    <w:lvl w:ilvl="0">
      <w:start w:val="2"/>
      <w:numFmt w:val="decimal"/>
      <w:lvlText w:val="%1"/>
      <w:lvlJc w:val="left"/>
      <w:pPr>
        <w:ind w:left="771" w:hanging="630"/>
        <w:jc w:val="left"/>
      </w:pPr>
      <w:rPr>
        <w:rFonts w:hint="default"/>
        <w:lang w:val="en-US" w:eastAsia="zh-CN" w:bidi="ar-SA"/>
      </w:rPr>
    </w:lvl>
    <w:lvl w:ilvl="1">
      <w:start w:val="6"/>
      <w:numFmt w:val="decimal"/>
      <w:lvlText w:val="%1.%2"/>
      <w:lvlJc w:val="left"/>
      <w:pPr>
        <w:ind w:left="771" w:hanging="630"/>
        <w:jc w:val="left"/>
      </w:pPr>
      <w:rPr>
        <w:rFonts w:hint="default"/>
        <w:lang w:val="en-US" w:eastAsia="zh-CN" w:bidi="ar-SA"/>
      </w:rPr>
    </w:lvl>
    <w:lvl w:ilvl="2">
      <w:start w:val="1"/>
      <w:numFmt w:val="decimal"/>
      <w:lvlText w:val="%1.%2.%3"/>
      <w:lvlJc w:val="left"/>
      <w:pPr>
        <w:ind w:left="771" w:hanging="630"/>
        <w:jc w:val="left"/>
      </w:pPr>
      <w:rPr>
        <w:rFonts w:ascii="Times New Roman" w:eastAsia="Times New Roman" w:hAnsi="Times New Roman" w:cs="Times New Roman" w:hint="default"/>
        <w:b/>
        <w:bCs/>
        <w:i w:val="0"/>
        <w:iCs w:val="0"/>
        <w:w w:val="100"/>
        <w:sz w:val="28"/>
        <w:szCs w:val="28"/>
        <w:lang w:val="en-US" w:eastAsia="zh-CN" w:bidi="ar-SA"/>
      </w:rPr>
    </w:lvl>
    <w:lvl w:ilvl="3">
      <w:start w:val="0"/>
      <w:numFmt w:val="bullet"/>
      <w:lvlText w:val="•"/>
      <w:lvlJc w:val="left"/>
      <w:pPr>
        <w:ind w:left="3325" w:hanging="630"/>
      </w:pPr>
      <w:rPr>
        <w:rFonts w:hint="default"/>
        <w:lang w:val="en-US" w:eastAsia="zh-CN" w:bidi="ar-SA"/>
      </w:rPr>
    </w:lvl>
    <w:lvl w:ilvl="4">
      <w:start w:val="0"/>
      <w:numFmt w:val="bullet"/>
      <w:lvlText w:val="•"/>
      <w:lvlJc w:val="left"/>
      <w:pPr>
        <w:ind w:left="4174" w:hanging="630"/>
      </w:pPr>
      <w:rPr>
        <w:rFonts w:hint="default"/>
        <w:lang w:val="en-US" w:eastAsia="zh-CN" w:bidi="ar-SA"/>
      </w:rPr>
    </w:lvl>
    <w:lvl w:ilvl="5">
      <w:start w:val="0"/>
      <w:numFmt w:val="bullet"/>
      <w:lvlText w:val="•"/>
      <w:lvlJc w:val="left"/>
      <w:pPr>
        <w:ind w:left="5023" w:hanging="630"/>
      </w:pPr>
      <w:rPr>
        <w:rFonts w:hint="default"/>
        <w:lang w:val="en-US" w:eastAsia="zh-CN" w:bidi="ar-SA"/>
      </w:rPr>
    </w:lvl>
    <w:lvl w:ilvl="6">
      <w:start w:val="0"/>
      <w:numFmt w:val="bullet"/>
      <w:lvlText w:val="•"/>
      <w:lvlJc w:val="left"/>
      <w:pPr>
        <w:ind w:left="5871" w:hanging="630"/>
      </w:pPr>
      <w:rPr>
        <w:rFonts w:hint="default"/>
        <w:lang w:val="en-US" w:eastAsia="zh-CN" w:bidi="ar-SA"/>
      </w:rPr>
    </w:lvl>
    <w:lvl w:ilvl="7">
      <w:start w:val="0"/>
      <w:numFmt w:val="bullet"/>
      <w:lvlText w:val="•"/>
      <w:lvlJc w:val="left"/>
      <w:pPr>
        <w:ind w:left="6720" w:hanging="630"/>
      </w:pPr>
      <w:rPr>
        <w:rFonts w:hint="default"/>
        <w:lang w:val="en-US" w:eastAsia="zh-CN" w:bidi="ar-SA"/>
      </w:rPr>
    </w:lvl>
    <w:lvl w:ilvl="8">
      <w:start w:val="0"/>
      <w:numFmt w:val="bullet"/>
      <w:lvlText w:val="•"/>
      <w:lvlJc w:val="left"/>
      <w:pPr>
        <w:ind w:left="7568" w:hanging="630"/>
      </w:pPr>
      <w:rPr>
        <w:rFonts w:hint="default"/>
        <w:lang w:val="en-US" w:eastAsia="zh-CN" w:bidi="ar-SA"/>
      </w:rPr>
    </w:lvl>
  </w:abstractNum>
  <w:abstractNum w:abstractNumId="6">
    <w:nsid w:val="5D33B8F0"/>
    <w:multiLevelType w:val="hybridMultilevel"/>
    <w:tmpl w:val="00000000"/>
    <w:lvl w:ilvl="0">
      <w:start w:val="1"/>
      <w:numFmt w:val="decimal"/>
      <w:lvlText w:val="%1"/>
      <w:lvlJc w:val="left"/>
      <w:pPr>
        <w:ind w:left="461" w:hanging="320"/>
        <w:jc w:val="left"/>
      </w:pPr>
      <w:rPr>
        <w:rFonts w:ascii="Times New Roman" w:eastAsia="Times New Roman" w:hAnsi="Times New Roman" w:cs="Times New Roman" w:hint="default"/>
        <w:b/>
        <w:bCs/>
        <w:i w:val="0"/>
        <w:iCs w:val="0"/>
        <w:w w:val="100"/>
        <w:sz w:val="32"/>
        <w:szCs w:val="32"/>
        <w:lang w:val="en-US" w:eastAsia="zh-CN" w:bidi="ar-SA"/>
      </w:rPr>
    </w:lvl>
    <w:lvl w:ilvl="1">
      <w:start w:val="1"/>
      <w:numFmt w:val="decimal"/>
      <w:lvlText w:val="%1.%2"/>
      <w:lvlJc w:val="left"/>
      <w:pPr>
        <w:ind w:left="816" w:hanging="675"/>
        <w:jc w:val="left"/>
      </w:pPr>
      <w:rPr>
        <w:rFonts w:ascii="Times New Roman" w:eastAsia="Times New Roman" w:hAnsi="Times New Roman" w:cs="Times New Roman" w:hint="default"/>
        <w:b/>
        <w:bCs/>
        <w:i w:val="0"/>
        <w:iCs w:val="0"/>
        <w:w w:val="100"/>
        <w:sz w:val="30"/>
        <w:szCs w:val="30"/>
        <w:lang w:val="en-US" w:eastAsia="zh-CN" w:bidi="ar-SA"/>
      </w:rPr>
    </w:lvl>
    <w:lvl w:ilvl="2">
      <w:start w:val="1"/>
      <w:numFmt w:val="decimal"/>
      <w:lvlText w:val="%1.%2.%3"/>
      <w:lvlJc w:val="left"/>
      <w:pPr>
        <w:ind w:left="771" w:hanging="630"/>
        <w:jc w:val="left"/>
      </w:pPr>
      <w:rPr>
        <w:rFonts w:ascii="Times New Roman" w:eastAsia="Times New Roman" w:hAnsi="Times New Roman" w:cs="Times New Roman" w:hint="default"/>
        <w:b/>
        <w:bCs/>
        <w:i w:val="0"/>
        <w:iCs w:val="0"/>
        <w:w w:val="100"/>
        <w:sz w:val="28"/>
        <w:szCs w:val="28"/>
        <w:lang w:val="en-US" w:eastAsia="zh-CN" w:bidi="ar-SA"/>
      </w:rPr>
    </w:lvl>
    <w:lvl w:ilvl="3">
      <w:start w:val="1"/>
      <w:numFmt w:val="decimal"/>
      <w:lvlText w:val="(%4)"/>
      <w:lvlJc w:val="left"/>
      <w:pPr>
        <w:ind w:left="141" w:hanging="340"/>
        <w:jc w:val="left"/>
      </w:pPr>
      <w:rPr>
        <w:rFonts w:ascii="Times New Roman" w:eastAsia="Times New Roman" w:hAnsi="Times New Roman" w:cs="Times New Roman" w:hint="default"/>
        <w:b w:val="0"/>
        <w:bCs w:val="0"/>
        <w:i w:val="0"/>
        <w:iCs w:val="0"/>
        <w:w w:val="100"/>
        <w:sz w:val="24"/>
        <w:szCs w:val="24"/>
        <w:lang w:val="en-US" w:eastAsia="zh-CN" w:bidi="ar-SA"/>
      </w:rPr>
    </w:lvl>
    <w:lvl w:ilvl="4">
      <w:start w:val="0"/>
      <w:numFmt w:val="bullet"/>
      <w:lvlText w:val="•"/>
      <w:lvlJc w:val="left"/>
      <w:pPr>
        <w:ind w:left="2026" w:hanging="340"/>
      </w:pPr>
      <w:rPr>
        <w:rFonts w:hint="default"/>
        <w:lang w:val="en-US" w:eastAsia="zh-CN" w:bidi="ar-SA"/>
      </w:rPr>
    </w:lvl>
    <w:lvl w:ilvl="5">
      <w:start w:val="0"/>
      <w:numFmt w:val="bullet"/>
      <w:lvlText w:val="•"/>
      <w:lvlJc w:val="left"/>
      <w:pPr>
        <w:ind w:left="3233" w:hanging="340"/>
      </w:pPr>
      <w:rPr>
        <w:rFonts w:hint="default"/>
        <w:lang w:val="en-US" w:eastAsia="zh-CN" w:bidi="ar-SA"/>
      </w:rPr>
    </w:lvl>
    <w:lvl w:ilvl="6">
      <w:start w:val="0"/>
      <w:numFmt w:val="bullet"/>
      <w:lvlText w:val="•"/>
      <w:lvlJc w:val="left"/>
      <w:pPr>
        <w:ind w:left="4439" w:hanging="340"/>
      </w:pPr>
      <w:rPr>
        <w:rFonts w:hint="default"/>
        <w:lang w:val="en-US" w:eastAsia="zh-CN" w:bidi="ar-SA"/>
      </w:rPr>
    </w:lvl>
    <w:lvl w:ilvl="7">
      <w:start w:val="0"/>
      <w:numFmt w:val="bullet"/>
      <w:lvlText w:val="•"/>
      <w:lvlJc w:val="left"/>
      <w:pPr>
        <w:ind w:left="5646" w:hanging="340"/>
      </w:pPr>
      <w:rPr>
        <w:rFonts w:hint="default"/>
        <w:lang w:val="en-US" w:eastAsia="zh-CN" w:bidi="ar-SA"/>
      </w:rPr>
    </w:lvl>
    <w:lvl w:ilvl="8">
      <w:start w:val="0"/>
      <w:numFmt w:val="bullet"/>
      <w:lvlText w:val="•"/>
      <w:lvlJc w:val="left"/>
      <w:pPr>
        <w:ind w:left="6852" w:hanging="340"/>
      </w:pPr>
      <w:rPr>
        <w:rFonts w:hint="default"/>
        <w:lang w:val="en-US" w:eastAsia="zh-CN" w:bidi="ar-SA"/>
      </w:rPr>
    </w:lvl>
  </w:abstractNum>
  <w:abstractNum w:abstractNumId="7">
    <w:nsid w:val="64EBECD7"/>
    <w:multiLevelType w:val="hybridMultilevel"/>
    <w:tmpl w:val="00000000"/>
    <w:lvl w:ilvl="0">
      <w:start w:val="2"/>
      <w:numFmt w:val="decimal"/>
      <w:lvlText w:val="%1."/>
      <w:lvlJc w:val="left"/>
      <w:pPr>
        <w:ind w:left="441" w:hanging="300"/>
        <w:jc w:val="left"/>
      </w:pPr>
      <w:rPr>
        <w:rFonts w:hint="default"/>
        <w:w w:val="100"/>
        <w:lang w:val="en-US" w:eastAsia="zh-CN" w:bidi="ar-SA"/>
      </w:rPr>
    </w:lvl>
    <w:lvl w:ilvl="1">
      <w:start w:val="1"/>
      <w:numFmt w:val="decimal"/>
      <w:lvlText w:val="%2."/>
      <w:lvlJc w:val="left"/>
      <w:pPr>
        <w:ind w:left="141" w:hanging="181"/>
        <w:jc w:val="left"/>
      </w:pPr>
      <w:rPr>
        <w:rFonts w:ascii="Times New Roman" w:eastAsia="Times New Roman" w:hAnsi="Times New Roman" w:cs="Times New Roman" w:hint="default"/>
        <w:b w:val="0"/>
        <w:bCs w:val="0"/>
        <w:i w:val="0"/>
        <w:iCs w:val="0"/>
        <w:w w:val="100"/>
        <w:sz w:val="22"/>
        <w:szCs w:val="22"/>
        <w:lang w:val="en-US" w:eastAsia="zh-CN" w:bidi="ar-SA"/>
      </w:rPr>
    </w:lvl>
    <w:lvl w:ilvl="2">
      <w:start w:val="0"/>
      <w:numFmt w:val="bullet"/>
      <w:lvlText w:val="•"/>
      <w:lvlJc w:val="left"/>
      <w:pPr>
        <w:ind w:left="1420" w:hanging="181"/>
      </w:pPr>
      <w:rPr>
        <w:rFonts w:hint="default"/>
        <w:lang w:val="en-US" w:eastAsia="zh-CN" w:bidi="ar-SA"/>
      </w:rPr>
    </w:lvl>
    <w:lvl w:ilvl="3">
      <w:start w:val="0"/>
      <w:numFmt w:val="bullet"/>
      <w:lvlText w:val="•"/>
      <w:lvlJc w:val="left"/>
      <w:pPr>
        <w:ind w:left="2401" w:hanging="181"/>
      </w:pPr>
      <w:rPr>
        <w:rFonts w:hint="default"/>
        <w:lang w:val="en-US" w:eastAsia="zh-CN" w:bidi="ar-SA"/>
      </w:rPr>
    </w:lvl>
    <w:lvl w:ilvl="4">
      <w:start w:val="0"/>
      <w:numFmt w:val="bullet"/>
      <w:lvlText w:val="•"/>
      <w:lvlJc w:val="left"/>
      <w:pPr>
        <w:ind w:left="3382" w:hanging="181"/>
      </w:pPr>
      <w:rPr>
        <w:rFonts w:hint="default"/>
        <w:lang w:val="en-US" w:eastAsia="zh-CN" w:bidi="ar-SA"/>
      </w:rPr>
    </w:lvl>
    <w:lvl w:ilvl="5">
      <w:start w:val="0"/>
      <w:numFmt w:val="bullet"/>
      <w:lvlText w:val="•"/>
      <w:lvlJc w:val="left"/>
      <w:pPr>
        <w:ind w:left="4362" w:hanging="181"/>
      </w:pPr>
      <w:rPr>
        <w:rFonts w:hint="default"/>
        <w:lang w:val="en-US" w:eastAsia="zh-CN" w:bidi="ar-SA"/>
      </w:rPr>
    </w:lvl>
    <w:lvl w:ilvl="6">
      <w:start w:val="0"/>
      <w:numFmt w:val="bullet"/>
      <w:lvlText w:val="•"/>
      <w:lvlJc w:val="left"/>
      <w:pPr>
        <w:ind w:left="5343" w:hanging="181"/>
      </w:pPr>
      <w:rPr>
        <w:rFonts w:hint="default"/>
        <w:lang w:val="en-US" w:eastAsia="zh-CN" w:bidi="ar-SA"/>
      </w:rPr>
    </w:lvl>
    <w:lvl w:ilvl="7">
      <w:start w:val="0"/>
      <w:numFmt w:val="bullet"/>
      <w:lvlText w:val="•"/>
      <w:lvlJc w:val="left"/>
      <w:pPr>
        <w:ind w:left="6324" w:hanging="181"/>
      </w:pPr>
      <w:rPr>
        <w:rFonts w:hint="default"/>
        <w:lang w:val="en-US" w:eastAsia="zh-CN" w:bidi="ar-SA"/>
      </w:rPr>
    </w:lvl>
    <w:lvl w:ilvl="8">
      <w:start w:val="0"/>
      <w:numFmt w:val="bullet"/>
      <w:lvlText w:val="•"/>
      <w:lvlJc w:val="left"/>
      <w:pPr>
        <w:ind w:left="7304" w:hanging="181"/>
      </w:pPr>
      <w:rPr>
        <w:rFonts w:hint="default"/>
        <w:lang w:val="en-US" w:eastAsia="zh-CN" w:bidi="ar-SA"/>
      </w:rPr>
    </w:lvl>
  </w:abstractNum>
  <w:abstractNum w:abstractNumId="8">
    <w:nsid w:val="6A8BC73A"/>
    <w:multiLevelType w:val="hybridMultilevel"/>
    <w:tmpl w:val="00000000"/>
    <w:lvl w:ilvl="0">
      <w:start w:val="2"/>
      <w:numFmt w:val="decimal"/>
      <w:lvlText w:val="%1."/>
      <w:lvlJc w:val="left"/>
      <w:pPr>
        <w:ind w:left="382" w:hanging="241"/>
        <w:jc w:val="left"/>
      </w:pPr>
      <w:rPr>
        <w:rFonts w:ascii="Times New Roman" w:eastAsia="Times New Roman" w:hAnsi="Times New Roman" w:cs="Times New Roman" w:hint="default"/>
        <w:b/>
        <w:bCs/>
        <w:i w:val="0"/>
        <w:iCs w:val="0"/>
        <w:w w:val="100"/>
        <w:sz w:val="30"/>
        <w:szCs w:val="30"/>
        <w:lang w:val="en-US" w:eastAsia="zh-CN" w:bidi="ar-SA"/>
      </w:rPr>
    </w:lvl>
    <w:lvl w:ilvl="1">
      <w:start w:val="1"/>
      <w:numFmt w:val="decimal"/>
      <w:lvlText w:val="%1.%2"/>
      <w:lvlJc w:val="left"/>
      <w:pPr>
        <w:ind w:left="666" w:hanging="525"/>
        <w:jc w:val="left"/>
      </w:pPr>
      <w:rPr>
        <w:rFonts w:ascii="Times New Roman" w:eastAsia="Times New Roman" w:hAnsi="Times New Roman" w:cs="Times New Roman" w:hint="default"/>
        <w:b/>
        <w:bCs/>
        <w:i w:val="0"/>
        <w:iCs w:val="0"/>
        <w:w w:val="100"/>
        <w:sz w:val="30"/>
        <w:szCs w:val="30"/>
        <w:lang w:val="en-US" w:eastAsia="zh-CN" w:bidi="ar-SA"/>
      </w:rPr>
    </w:lvl>
    <w:lvl w:ilvl="2">
      <w:start w:val="0"/>
      <w:numFmt w:val="bullet"/>
      <w:lvlText w:val="•"/>
      <w:lvlJc w:val="left"/>
      <w:pPr>
        <w:ind w:left="1616" w:hanging="525"/>
      </w:pPr>
      <w:rPr>
        <w:rFonts w:hint="default"/>
        <w:lang w:val="en-US" w:eastAsia="zh-CN" w:bidi="ar-SA"/>
      </w:rPr>
    </w:lvl>
    <w:lvl w:ilvl="3">
      <w:start w:val="0"/>
      <w:numFmt w:val="bullet"/>
      <w:lvlText w:val="•"/>
      <w:lvlJc w:val="left"/>
      <w:pPr>
        <w:ind w:left="2572" w:hanging="525"/>
      </w:pPr>
      <w:rPr>
        <w:rFonts w:hint="default"/>
        <w:lang w:val="en-US" w:eastAsia="zh-CN" w:bidi="ar-SA"/>
      </w:rPr>
    </w:lvl>
    <w:lvl w:ilvl="4">
      <w:start w:val="0"/>
      <w:numFmt w:val="bullet"/>
      <w:lvlText w:val="•"/>
      <w:lvlJc w:val="left"/>
      <w:pPr>
        <w:ind w:left="3528" w:hanging="525"/>
      </w:pPr>
      <w:rPr>
        <w:rFonts w:hint="default"/>
        <w:lang w:val="en-US" w:eastAsia="zh-CN" w:bidi="ar-SA"/>
      </w:rPr>
    </w:lvl>
    <w:lvl w:ilvl="5">
      <w:start w:val="0"/>
      <w:numFmt w:val="bullet"/>
      <w:lvlText w:val="•"/>
      <w:lvlJc w:val="left"/>
      <w:pPr>
        <w:ind w:left="4484" w:hanging="525"/>
      </w:pPr>
      <w:rPr>
        <w:rFonts w:hint="default"/>
        <w:lang w:val="en-US" w:eastAsia="zh-CN" w:bidi="ar-SA"/>
      </w:rPr>
    </w:lvl>
    <w:lvl w:ilvl="6">
      <w:start w:val="0"/>
      <w:numFmt w:val="bullet"/>
      <w:lvlText w:val="•"/>
      <w:lvlJc w:val="left"/>
      <w:pPr>
        <w:ind w:left="5441" w:hanging="525"/>
      </w:pPr>
      <w:rPr>
        <w:rFonts w:hint="default"/>
        <w:lang w:val="en-US" w:eastAsia="zh-CN" w:bidi="ar-SA"/>
      </w:rPr>
    </w:lvl>
    <w:lvl w:ilvl="7">
      <w:start w:val="0"/>
      <w:numFmt w:val="bullet"/>
      <w:lvlText w:val="•"/>
      <w:lvlJc w:val="left"/>
      <w:pPr>
        <w:ind w:left="6397" w:hanging="525"/>
      </w:pPr>
      <w:rPr>
        <w:rFonts w:hint="default"/>
        <w:lang w:val="en-US" w:eastAsia="zh-CN" w:bidi="ar-SA"/>
      </w:rPr>
    </w:lvl>
    <w:lvl w:ilvl="8">
      <w:start w:val="0"/>
      <w:numFmt w:val="bullet"/>
      <w:lvlText w:val="•"/>
      <w:lvlJc w:val="left"/>
      <w:pPr>
        <w:ind w:left="7353" w:hanging="525"/>
      </w:pPr>
      <w:rPr>
        <w:rFonts w:hint="default"/>
        <w:lang w:val="en-US" w:eastAsia="zh-CN" w:bidi="ar-SA"/>
      </w:rPr>
    </w:lvl>
  </w:abstractNum>
  <w:abstractNum w:abstractNumId="9">
    <w:nsid w:val="740DB34A"/>
    <w:multiLevelType w:val="hybridMultilevel"/>
    <w:tmpl w:val="00000000"/>
    <w:lvl w:ilvl="0">
      <w:start w:val="2"/>
      <w:numFmt w:val="decimal"/>
      <w:lvlText w:val="%1"/>
      <w:lvlJc w:val="left"/>
      <w:pPr>
        <w:ind w:left="666" w:hanging="525"/>
        <w:jc w:val="left"/>
      </w:pPr>
      <w:rPr>
        <w:rFonts w:hint="default"/>
        <w:lang w:val="en-US" w:eastAsia="zh-CN" w:bidi="ar-SA"/>
      </w:rPr>
    </w:lvl>
    <w:lvl w:ilvl="1">
      <w:start w:val="3"/>
      <w:numFmt w:val="decimal"/>
      <w:lvlText w:val="%1.%2"/>
      <w:lvlJc w:val="left"/>
      <w:pPr>
        <w:ind w:left="666" w:hanging="525"/>
        <w:jc w:val="left"/>
      </w:pPr>
      <w:rPr>
        <w:rFonts w:ascii="Times New Roman" w:eastAsia="Times New Roman" w:hAnsi="Times New Roman" w:cs="Times New Roman" w:hint="default"/>
        <w:b/>
        <w:bCs/>
        <w:i w:val="0"/>
        <w:iCs w:val="0"/>
        <w:w w:val="100"/>
        <w:sz w:val="30"/>
        <w:szCs w:val="30"/>
        <w:lang w:val="en-US" w:eastAsia="zh-CN" w:bidi="ar-SA"/>
      </w:rPr>
    </w:lvl>
    <w:lvl w:ilvl="2">
      <w:start w:val="0"/>
      <w:numFmt w:val="bullet"/>
      <w:lvlText w:val="•"/>
      <w:lvlJc w:val="left"/>
      <w:pPr>
        <w:ind w:left="2381" w:hanging="525"/>
      </w:pPr>
      <w:rPr>
        <w:rFonts w:hint="default"/>
        <w:lang w:val="en-US" w:eastAsia="zh-CN" w:bidi="ar-SA"/>
      </w:rPr>
    </w:lvl>
    <w:lvl w:ilvl="3">
      <w:start w:val="0"/>
      <w:numFmt w:val="bullet"/>
      <w:lvlText w:val="•"/>
      <w:lvlJc w:val="left"/>
      <w:pPr>
        <w:ind w:left="3241" w:hanging="525"/>
      </w:pPr>
      <w:rPr>
        <w:rFonts w:hint="default"/>
        <w:lang w:val="en-US" w:eastAsia="zh-CN" w:bidi="ar-SA"/>
      </w:rPr>
    </w:lvl>
    <w:lvl w:ilvl="4">
      <w:start w:val="0"/>
      <w:numFmt w:val="bullet"/>
      <w:lvlText w:val="•"/>
      <w:lvlJc w:val="left"/>
      <w:pPr>
        <w:ind w:left="4102" w:hanging="525"/>
      </w:pPr>
      <w:rPr>
        <w:rFonts w:hint="default"/>
        <w:lang w:val="en-US" w:eastAsia="zh-CN" w:bidi="ar-SA"/>
      </w:rPr>
    </w:lvl>
    <w:lvl w:ilvl="5">
      <w:start w:val="0"/>
      <w:numFmt w:val="bullet"/>
      <w:lvlText w:val="•"/>
      <w:lvlJc w:val="left"/>
      <w:pPr>
        <w:ind w:left="4963" w:hanging="525"/>
      </w:pPr>
      <w:rPr>
        <w:rFonts w:hint="default"/>
        <w:lang w:val="en-US" w:eastAsia="zh-CN" w:bidi="ar-SA"/>
      </w:rPr>
    </w:lvl>
    <w:lvl w:ilvl="6">
      <w:start w:val="0"/>
      <w:numFmt w:val="bullet"/>
      <w:lvlText w:val="•"/>
      <w:lvlJc w:val="left"/>
      <w:pPr>
        <w:ind w:left="5823" w:hanging="525"/>
      </w:pPr>
      <w:rPr>
        <w:rFonts w:hint="default"/>
        <w:lang w:val="en-US" w:eastAsia="zh-CN" w:bidi="ar-SA"/>
      </w:rPr>
    </w:lvl>
    <w:lvl w:ilvl="7">
      <w:start w:val="0"/>
      <w:numFmt w:val="bullet"/>
      <w:lvlText w:val="•"/>
      <w:lvlJc w:val="left"/>
      <w:pPr>
        <w:ind w:left="6684" w:hanging="525"/>
      </w:pPr>
      <w:rPr>
        <w:rFonts w:hint="default"/>
        <w:lang w:val="en-US" w:eastAsia="zh-CN" w:bidi="ar-SA"/>
      </w:rPr>
    </w:lvl>
    <w:lvl w:ilvl="8">
      <w:start w:val="0"/>
      <w:numFmt w:val="bullet"/>
      <w:lvlText w:val="•"/>
      <w:lvlJc w:val="left"/>
      <w:pPr>
        <w:ind w:left="7544" w:hanging="525"/>
      </w:pPr>
      <w:rPr>
        <w:rFonts w:hint="default"/>
        <w:lang w:val="en-US" w:eastAsia="zh-CN" w:bidi="ar-SA"/>
      </w:rPr>
    </w:lvl>
  </w:abstractNum>
  <w:num w:numId="1">
    <w:abstractNumId w:val="3"/>
  </w:num>
  <w:num w:numId="2">
    <w:abstractNumId w:val="0"/>
  </w:num>
  <w:num w:numId="3">
    <w:abstractNumId w:val="4"/>
  </w:num>
  <w:num w:numId="4">
    <w:abstractNumId w:val="5"/>
  </w:num>
  <w:num w:numId="5">
    <w:abstractNumId w:val="7"/>
  </w:num>
  <w:num w:numId="6">
    <w:abstractNumId w:val="9"/>
  </w:num>
  <w:num w:numId="7">
    <w:abstractNumId w:val="8"/>
  </w:num>
  <w:num w:numId="8">
    <w:abstractNumId w:val="6"/>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jc w:val="center"/>
      <w:outlineLvl w:val="0"/>
    </w:pPr>
    <w:rPr>
      <w:rFonts w:ascii="Times New Roman" w:eastAsia="Times New Roman" w:hAnsi="Times New Roman" w:cs="Times New Roman"/>
      <w:b/>
      <w:bCs/>
      <w:sz w:val="32"/>
      <w:szCs w:val="32"/>
      <w:lang w:val="en-US" w:eastAsia="zh-CN" w:bidi="ar-SA"/>
    </w:rPr>
  </w:style>
  <w:style w:type="paragraph" w:styleId="Heading2">
    <w:name w:val="heading 2"/>
    <w:basedOn w:val="Normal"/>
    <w:uiPriority w:val="1"/>
    <w:qFormat/>
    <w:pPr>
      <w:ind w:left="591" w:hanging="450"/>
      <w:outlineLvl w:val="1"/>
    </w:pPr>
    <w:rPr>
      <w:rFonts w:ascii="Microsoft JhengHei" w:eastAsia="Microsoft JhengHei" w:hAnsi="Microsoft JhengHei" w:cs="Microsoft JhengHei"/>
      <w:b/>
      <w:bCs/>
      <w:sz w:val="30"/>
      <w:szCs w:val="30"/>
      <w:lang w:val="en-US" w:eastAsia="zh-CN" w:bidi="ar-SA"/>
    </w:rPr>
  </w:style>
  <w:style w:type="paragraph" w:styleId="Heading3">
    <w:name w:val="heading 3"/>
    <w:basedOn w:val="Normal"/>
    <w:uiPriority w:val="1"/>
    <w:qFormat/>
    <w:pPr>
      <w:ind w:left="771" w:hanging="630"/>
      <w:outlineLvl w:val="2"/>
    </w:pPr>
    <w:rPr>
      <w:rFonts w:ascii="Microsoft JhengHei" w:eastAsia="Microsoft JhengHei" w:hAnsi="Microsoft JhengHei" w:cs="Microsoft JhengHei"/>
      <w:b/>
      <w:bCs/>
      <w:sz w:val="28"/>
      <w:szCs w:val="28"/>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88"/>
      <w:ind w:left="322" w:hanging="181"/>
    </w:pPr>
    <w:rPr>
      <w:rFonts w:ascii="宋体" w:eastAsia="宋体" w:hAnsi="宋体" w:cs="宋体"/>
      <w:sz w:val="24"/>
      <w:szCs w:val="24"/>
      <w:lang w:val="en-US" w:eastAsia="zh-CN" w:bidi="ar-SA"/>
    </w:rPr>
  </w:style>
  <w:style w:type="paragraph" w:styleId="TOC2">
    <w:name w:val="toc 2"/>
    <w:basedOn w:val="Normal"/>
    <w:uiPriority w:val="1"/>
    <w:qFormat/>
    <w:pPr>
      <w:spacing w:before="88"/>
      <w:ind w:left="921" w:hanging="360"/>
    </w:pPr>
    <w:rPr>
      <w:rFonts w:ascii="宋体" w:eastAsia="宋体" w:hAnsi="宋体" w:cs="宋体"/>
      <w:sz w:val="24"/>
      <w:szCs w:val="24"/>
      <w:lang w:val="en-US" w:eastAsia="zh-CN" w:bidi="ar-SA"/>
    </w:rPr>
  </w:style>
  <w:style w:type="paragraph" w:styleId="TOC3">
    <w:name w:val="toc 3"/>
    <w:basedOn w:val="Normal"/>
    <w:uiPriority w:val="1"/>
    <w:qFormat/>
    <w:pPr>
      <w:spacing w:before="148"/>
      <w:ind w:left="1068" w:hanging="420"/>
    </w:pPr>
    <w:rPr>
      <w:rFonts w:ascii="宋体" w:eastAsia="宋体" w:hAnsi="宋体" w:cs="宋体"/>
      <w:sz w:val="24"/>
      <w:szCs w:val="24"/>
      <w:lang w:val="en-US" w:eastAsia="zh-CN" w:bidi="ar-SA"/>
    </w:rPr>
  </w:style>
  <w:style w:type="paragraph" w:styleId="TOC4">
    <w:name w:val="toc 4"/>
    <w:basedOn w:val="Normal"/>
    <w:uiPriority w:val="1"/>
    <w:qFormat/>
    <w:pPr>
      <w:spacing w:before="88"/>
      <w:ind w:left="1521" w:hanging="540"/>
    </w:pPr>
    <w:rPr>
      <w:rFonts w:ascii="宋体" w:eastAsia="宋体" w:hAnsi="宋体" w:cs="宋体"/>
      <w:sz w:val="24"/>
      <w:szCs w:val="24"/>
      <w:lang w:val="en-US" w:eastAsia="zh-CN" w:bidi="ar-SA"/>
    </w:rPr>
  </w:style>
  <w:style w:type="paragraph" w:styleId="BodyText">
    <w:name w:val="Body Text"/>
    <w:basedOn w:val="Normal"/>
    <w:uiPriority w:val="1"/>
    <w:qFormat/>
    <w:pPr>
      <w:ind w:left="141"/>
    </w:pPr>
    <w:rPr>
      <w:rFonts w:ascii="宋体" w:eastAsia="宋体" w:hAnsi="宋体" w:cs="宋体"/>
      <w:sz w:val="24"/>
      <w:szCs w:val="24"/>
      <w:lang w:val="en-US" w:eastAsia="zh-CN" w:bidi="ar-SA"/>
    </w:rPr>
  </w:style>
  <w:style w:type="paragraph" w:styleId="Title">
    <w:name w:val="Title"/>
    <w:basedOn w:val="Normal"/>
    <w:uiPriority w:val="1"/>
    <w:qFormat/>
    <w:pPr>
      <w:spacing w:line="1031" w:lineRule="exact"/>
      <w:ind w:left="798"/>
    </w:pPr>
    <w:rPr>
      <w:rFonts w:ascii="Microsoft JhengHei" w:eastAsia="Microsoft JhengHei" w:hAnsi="Microsoft JhengHei" w:cs="Microsoft JhengHei"/>
      <w:b/>
      <w:bCs/>
      <w:sz w:val="68"/>
      <w:szCs w:val="68"/>
      <w:lang w:val="en-US" w:eastAsia="zh-CN" w:bidi="ar-SA"/>
    </w:rPr>
  </w:style>
  <w:style w:type="paragraph" w:styleId="ListParagraph">
    <w:name w:val="List Paragraph"/>
    <w:basedOn w:val="Normal"/>
    <w:uiPriority w:val="1"/>
    <w:qFormat/>
    <w:pPr>
      <w:spacing w:before="88"/>
      <w:ind w:left="771" w:hanging="540"/>
    </w:pPr>
    <w:rPr>
      <w:rFonts w:ascii="宋体" w:eastAsia="宋体" w:hAnsi="宋体" w:cs="宋体"/>
      <w:lang w:val="en-US" w:eastAsia="zh-CN" w:bidi="ar-SA"/>
    </w:rPr>
  </w:style>
  <w:style w:type="paragraph" w:customStyle="1" w:styleId="TableParagraph">
    <w:name w:val="Table Paragraph"/>
    <w:basedOn w:val="Normal"/>
    <w:uiPriority w:val="1"/>
    <w:qFormat/>
    <w:pPr>
      <w:spacing w:before="61"/>
      <w:ind w:left="29"/>
    </w:pPr>
    <w:rPr>
      <w:rFonts w:ascii="Times New Roman" w:eastAsia="Times New Roman" w:hAnsi="Times New Roman" w:cs="Times New Roman"/>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png" /><Relationship Id="rId8" Type="http://schemas.openxmlformats.org/officeDocument/2006/relationships/hyperlink" Target="https://d.book118.com/276003032200010053"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2024-03-01T04:05:00Z</dcterms:created>
  <dcterms:modified xsi:type="dcterms:W3CDTF">2024-03-01T04:05:00Z</dcterms:modified>
</cp:coreProperties>
</file>