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pStyle w:val="PlainText"/>
        <w:numPr>
          <w:ilvl w:val="0"/>
          <w:numId w:val="0"/>
        </w:numPr>
        <w:tabs>
          <w:tab w:val="left" w:pos="4320"/>
          <w:tab w:val="left" w:pos="7560"/>
        </w:tabs>
        <w:bidi w:val="0"/>
        <w:snapToGrid w:val="0"/>
        <w:spacing w:line="360" w:lineRule="auto"/>
        <w:ind w:firstLine="210" w:firstLineChars="100"/>
        <w:rPr>
          <w:rFonts w:eastAsia="宋体" w:hAnsi="宋体" w:cs="宋体" w:hint="eastAsia"/>
          <w:b/>
          <w:bCs/>
          <w:sz w:val="36"/>
          <w:szCs w:val="36"/>
          <w:u w:val="thick" w:color="00B050"/>
          <w:lang w:val="en-US" w:eastAsia="zh-CN"/>
        </w:rPr>
      </w:pPr>
      <w:bookmarkStart w:id="0" w:name="_GoBack"/>
      <w:bookmarkEnd w:id="0"/>
      <w:r>
        <w:rPr>
          <w:rStyle w:val="DefaultParagraphFont"/>
          <w:rFonts w:ascii="宋体" w:eastAsia="宋体" w:hAnsi="宋体" w:cs="宋体" w:hint="eastAsia"/>
          <w:b/>
          <w:bCs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11607800</wp:posOffset>
            </wp:positionH>
            <wp:positionV relativeFrom="topMargin">
              <wp:posOffset>11963400</wp:posOffset>
            </wp:positionV>
            <wp:extent cx="419100" cy="457200"/>
            <wp:effectExtent l="0" t="0" r="0" b="0"/>
            <wp:wrapNone/>
            <wp:docPr id="100031" name="图片 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lang w:val="en-US" w:eastAsia="zh-CN"/>
        </w:rPr>
        <w:t xml:space="preserve"> </w:t>
      </w:r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t xml:space="preserve"> </w:t>
      </w:r>
      <w:r>
        <w:rPr>
          <w:rFonts w:eastAsia="宋体" w:hAnsi="宋体" w:cs="宋体" w:hint="eastAsia"/>
          <w:b/>
          <w:bCs/>
          <w:sz w:val="28"/>
          <w:szCs w:val="28"/>
          <w:lang w:val="en-US" w:eastAsia="zh-CN"/>
        </w:rPr>
        <w:t xml:space="preserve">    </w:t>
      </w:r>
      <w:r>
        <w:rPr>
          <w:rFonts w:ascii="宋体" w:eastAsia="宋体" w:hAnsi="宋体" w:cs="宋体" w:hint="eastAsia"/>
          <w:b/>
          <w:bCs/>
          <w:sz w:val="40"/>
          <w:szCs w:val="40"/>
          <w:u w:val="thick" w:color="00B050"/>
          <w:lang w:val="en-US" w:eastAsia="zh-CN"/>
        </w:rPr>
        <w:t>第</w:t>
      </w:r>
      <w:r>
        <w:rPr>
          <w:rFonts w:eastAsia="宋体" w:hAnsi="宋体" w:cs="宋体" w:hint="eastAsia"/>
          <w:b/>
          <w:bCs/>
          <w:sz w:val="40"/>
          <w:szCs w:val="40"/>
          <w:u w:val="thick" w:color="00B050"/>
          <w:lang w:val="en-US" w:eastAsia="zh-CN"/>
        </w:rPr>
        <w:t>六</w:t>
      </w:r>
      <w:r>
        <w:rPr>
          <w:rFonts w:ascii="宋体" w:eastAsia="宋体" w:hAnsi="宋体" w:cs="宋体" w:hint="eastAsia"/>
          <w:b/>
          <w:bCs/>
          <w:sz w:val="40"/>
          <w:szCs w:val="40"/>
          <w:u w:val="thick" w:color="00B050"/>
          <w:lang w:val="en-US" w:eastAsia="zh-CN"/>
        </w:rPr>
        <w:t xml:space="preserve">章   </w:t>
      </w:r>
      <w:r>
        <w:rPr>
          <w:rFonts w:eastAsia="宋体" w:hAnsi="宋体" w:cs="宋体" w:hint="eastAsia"/>
          <w:b/>
          <w:bCs/>
          <w:sz w:val="40"/>
          <w:szCs w:val="40"/>
          <w:u w:val="thick" w:color="00B050"/>
          <w:lang w:val="en-US" w:eastAsia="zh-CN"/>
        </w:rPr>
        <w:t>圆周运动</w:t>
      </w:r>
    </w:p>
    <w:p>
      <w:pPr>
        <w:pStyle w:val="PlainText"/>
        <w:numPr>
          <w:ilvl w:val="0"/>
          <w:numId w:val="0"/>
        </w:numPr>
        <w:tabs>
          <w:tab w:val="left" w:pos="4320"/>
          <w:tab w:val="left" w:pos="7560"/>
        </w:tabs>
        <w:bidi w:val="0"/>
        <w:snapToGrid w:val="0"/>
        <w:spacing w:line="360" w:lineRule="auto"/>
        <w:ind w:firstLine="3080" w:firstLineChars="1100"/>
        <w:rPr>
          <w:rFonts w:eastAsia="宋体" w:hAnsi="宋体" w:cs="宋体" w:hint="default"/>
          <w:b/>
          <w:bCs/>
          <w:sz w:val="28"/>
          <w:szCs w:val="28"/>
          <w:lang w:val="en-US" w:eastAsia="zh-CN"/>
        </w:rPr>
      </w:pPr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t>第</w:t>
      </w:r>
      <w:r>
        <w:rPr>
          <w:rFonts w:hAnsi="宋体" w:cs="宋体" w:hint="eastAsia"/>
          <w:b/>
          <w:bCs/>
          <w:sz w:val="28"/>
          <w:szCs w:val="28"/>
          <w:lang w:val="en-US" w:eastAsia="zh-CN"/>
        </w:rPr>
        <w:t>一</w:t>
      </w:r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t xml:space="preserve">节 </w:t>
      </w:r>
      <w:r>
        <w:rPr>
          <w:rFonts w:eastAsia="宋体" w:hAnsi="宋体" w:cs="宋体" w:hint="eastAsia"/>
          <w:b/>
          <w:bCs/>
          <w:sz w:val="28"/>
          <w:szCs w:val="28"/>
          <w:lang w:val="en-US" w:eastAsia="zh-CN"/>
        </w:rPr>
        <w:t>圆周运动</w:t>
      </w:r>
    </w:p>
    <w:p>
      <w:pPr>
        <w:pStyle w:val="PlainText"/>
        <w:numPr>
          <w:ilvl w:val="0"/>
          <w:numId w:val="0"/>
        </w:numPr>
        <w:tabs>
          <w:tab w:val="left" w:pos="4320"/>
          <w:tab w:val="left" w:pos="7560"/>
        </w:tabs>
        <w:bidi w:val="0"/>
        <w:snapToGrid w:val="0"/>
        <w:spacing w:line="360" w:lineRule="auto"/>
        <w:ind w:firstLine="3120" w:firstLineChars="1300"/>
        <w:rPr>
          <w:rFonts w:eastAsia="宋体" w:hAnsi="宋体" w:cs="宋体" w:hint="eastAsia"/>
          <w:b/>
          <w:color w:val="00B050"/>
          <w:sz w:val="24"/>
        </w:rPr>
      </w:pPr>
      <w:r>
        <w:rPr>
          <w:rFonts w:ascii="宋体" w:eastAsia="宋体" w:hAnsi="宋体" w:cs="宋体" w:hint="eastAsia"/>
          <w:b/>
          <w:sz w:val="24"/>
        </w:rPr>
        <w:t xml:space="preserve"> </w:t>
      </w:r>
      <w:r>
        <w:rPr>
          <w:rFonts w:ascii="宋体" w:eastAsia="宋体" w:hAnsi="宋体" w:cs="宋体" w:hint="eastAsia"/>
          <w:b/>
          <w:color w:val="00B050"/>
          <w:sz w:val="24"/>
        </w:rPr>
        <w:t>[核心素养·明目标]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7214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5" w:type="dxa"/>
            <w:shd w:val="clear" w:color="auto" w:fill="E6E6E6"/>
            <w:vAlign w:val="center"/>
          </w:tcPr>
          <w:p>
            <w:pPr>
              <w:pStyle w:val="00"/>
              <w:tabs>
                <w:tab w:val="left" w:pos="4139"/>
              </w:tabs>
              <w:snapToGrid w:val="0"/>
              <w:spacing w:line="360" w:lineRule="auto"/>
              <w:jc w:val="center"/>
              <w:rPr>
                <w:rFonts w:hAnsi="宋体" w:cs="宋体" w:hint="eastAsia"/>
                <w:b/>
                <w:i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核心素养</w:t>
            </w:r>
          </w:p>
        </w:tc>
        <w:tc>
          <w:tcPr>
            <w:tcW w:w="7214" w:type="dxa"/>
            <w:shd w:val="clear" w:color="auto" w:fill="E6E6E6"/>
            <w:vAlign w:val="center"/>
          </w:tcPr>
          <w:p>
            <w:pPr>
              <w:pStyle w:val="00"/>
              <w:tabs>
                <w:tab w:val="left" w:pos="4139"/>
              </w:tabs>
              <w:snapToGrid w:val="0"/>
              <w:spacing w:line="360" w:lineRule="auto"/>
              <w:jc w:val="center"/>
              <w:rPr>
                <w:rFonts w:hAnsi="宋体" w:cs="宋体" w:hint="eastAsia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学习目标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/>
          <w:jc w:val="center"/>
        </w:trPr>
        <w:tc>
          <w:tcPr>
            <w:tcW w:w="1755" w:type="dxa"/>
            <w:vAlign w:val="center"/>
          </w:tcPr>
          <w:p>
            <w:pPr>
              <w:pStyle w:val="00"/>
              <w:tabs>
                <w:tab w:val="left" w:pos="4139"/>
              </w:tabs>
              <w:snapToGrid w:val="0"/>
              <w:spacing w:line="360" w:lineRule="auto"/>
              <w:jc w:val="center"/>
              <w:rPr>
                <w:rFonts w:hAnsi="宋体" w:cs="宋体" w:hint="eastAsia"/>
                <w:b/>
                <w:i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1"/>
                <w:szCs w:val="18"/>
              </w:rPr>
              <w:t>物理观念</w:t>
            </w:r>
          </w:p>
        </w:tc>
        <w:tc>
          <w:tcPr>
            <w:tcW w:w="7214" w:type="dxa"/>
            <w:vAlign w:val="center"/>
          </w:tcPr>
          <w:p>
            <w:pPr>
              <w:pStyle w:val="PlainText"/>
              <w:numPr>
                <w:ilvl w:val="0"/>
                <w:numId w:val="0"/>
              </w:numPr>
              <w:tabs>
                <w:tab w:val="left" w:pos="4305"/>
                <w:tab w:val="left" w:pos="7560"/>
              </w:tabs>
              <w:bidi w:val="0"/>
              <w:snapToGrid w:val="0"/>
              <w:spacing w:line="360" w:lineRule="auto"/>
              <w:rPr>
                <w:rFonts w:ascii="Times New Roman" w:eastAsia="宋体" w:hAnsi="Times New Roman" w:cs="Times New Roman" w:hint="eastAsia"/>
                <w:b/>
                <w:bCs w:val="0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(</w:t>
            </w:r>
            <w:r>
              <w:rPr>
                <w:rFonts w:eastAsia="宋体" w:hAnsi="宋体" w:cs="宋体" w:hint="eastAsia"/>
                <w:b/>
                <w:bCs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b/>
                <w:bCs w:val="0"/>
                <w:lang w:eastAsia="zh-CN"/>
              </w:rPr>
              <w:t>认识圆周运动、匀速圆周运动的特点，了解描述圆周运动快慢的基本思路。</w:t>
            </w:r>
          </w:p>
          <w:p>
            <w:pPr>
              <w:pStyle w:val="PlainText"/>
              <w:tabs>
                <w:tab w:val="left" w:pos="4305"/>
                <w:tab w:val="left" w:pos="7560"/>
              </w:tabs>
              <w:bidi w:val="0"/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 w:val="0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(</w:t>
            </w:r>
            <w:r>
              <w:rPr>
                <w:rFonts w:eastAsia="宋体" w:hAnsi="宋体" w:cs="宋体" w:hint="eastAsia"/>
                <w:b/>
                <w:bCs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)</w:t>
            </w:r>
            <w:r>
              <w:rPr>
                <w:rFonts w:ascii="Times New Roman" w:eastAsia="宋体" w:hAnsi="Times New Roman" w:cs="Times New Roman"/>
                <w:b/>
                <w:bCs w:val="0"/>
              </w:rPr>
              <w:t>理解线</w:t>
            </w:r>
            <w:r>
              <w:rPr>
                <w:rFonts w:ascii="Times New Roman" w:eastAsia="宋体" w:hAnsi="Times New Roman" w:cs="Times New Roman" w:hint="eastAsia"/>
                <w:b/>
                <w:bCs w:val="0"/>
                <w:lang w:eastAsia="zh-CN"/>
              </w:rPr>
              <w:t>速度的意义，知道线速度的方向</w:t>
            </w:r>
            <w:r>
              <w:rPr>
                <w:rFonts w:ascii="Times New Roman" w:eastAsia="宋体" w:hAnsi="Times New Roman" w:cs="Times New Roman"/>
                <w:b/>
                <w:bCs w:val="0"/>
              </w:rPr>
              <w:t>。</w:t>
            </w:r>
          </w:p>
          <w:p>
            <w:pPr>
              <w:pStyle w:val="PlainText"/>
              <w:numPr>
                <w:ilvl w:val="0"/>
                <w:numId w:val="0"/>
              </w:numPr>
              <w:shd w:val="clear" w:color="000000" w:fill="auto"/>
              <w:spacing w:line="360" w:lineRule="auto"/>
              <w:rPr>
                <w:rFonts w:eastAsia="宋体" w:hAnsi="宋体" w:cs="宋体" w:hint="default"/>
                <w:b/>
                <w:bCs w:val="0"/>
                <w:sz w:val="21"/>
                <w:lang w:val="en-US" w:eastAsia="zh-CN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(</w:t>
            </w:r>
            <w:r>
              <w:rPr>
                <w:rFonts w:eastAsia="宋体" w:hAnsi="宋体" w:cs="宋体" w:hint="eastAsia"/>
                <w:b/>
                <w:bCs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)</w:t>
            </w:r>
            <w:r>
              <w:rPr>
                <w:rFonts w:ascii="Times New Roman" w:eastAsia="宋体" w:hAnsi="Times New Roman" w:cs="Times New Roman"/>
                <w:b/>
                <w:bCs w:val="0"/>
              </w:rPr>
              <w:t>理解</w:t>
            </w:r>
            <w:r>
              <w:rPr>
                <w:rFonts w:ascii="Times New Roman" w:eastAsia="宋体" w:hAnsi="Times New Roman" w:cs="Times New Roman" w:hint="eastAsia"/>
                <w:b/>
                <w:bCs w:val="0"/>
                <w:lang w:eastAsia="zh-CN"/>
              </w:rPr>
              <w:t>角速度的意义，知道角速度和线速度的关系，知道线速度与周期、角速度与周期的关系</w:t>
            </w:r>
            <w:r>
              <w:rPr>
                <w:rFonts w:ascii="Times New Roman" w:eastAsia="宋体" w:hAnsi="Times New Roman" w:cs="Times New Roman"/>
                <w:b/>
                <w:bCs w:val="0"/>
              </w:rPr>
              <w:t>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/>
          <w:jc w:val="center"/>
        </w:trPr>
        <w:tc>
          <w:tcPr>
            <w:tcW w:w="1755" w:type="dxa"/>
            <w:vAlign w:val="center"/>
          </w:tcPr>
          <w:p>
            <w:pPr>
              <w:pStyle w:val="00"/>
              <w:tabs>
                <w:tab w:val="left" w:pos="4139"/>
              </w:tabs>
              <w:snapToGrid w:val="0"/>
              <w:spacing w:line="360" w:lineRule="auto"/>
              <w:jc w:val="center"/>
              <w:rPr>
                <w:rFonts w:hAnsi="宋体" w:cs="宋体" w:hint="eastAsia"/>
                <w:b/>
                <w:sz w:val="21"/>
                <w:szCs w:val="18"/>
                <w:lang w:eastAsia="zh-CN"/>
              </w:rPr>
            </w:pPr>
            <w:r>
              <w:rPr>
                <w:rFonts w:hAnsi="宋体" w:cs="宋体" w:hint="eastAsia"/>
                <w:b/>
                <w:sz w:val="21"/>
                <w:szCs w:val="18"/>
                <w:lang w:eastAsia="zh-CN"/>
              </w:rPr>
              <w:t>科学思维</w:t>
            </w:r>
          </w:p>
        </w:tc>
        <w:tc>
          <w:tcPr>
            <w:tcW w:w="7214" w:type="dxa"/>
            <w:vAlign w:val="center"/>
          </w:tcPr>
          <w:p>
            <w:pPr>
              <w:pStyle w:val="PlainText"/>
              <w:shd w:val="clear" w:color="000000" w:fill="auto"/>
              <w:spacing w:line="360" w:lineRule="auto"/>
              <w:rPr>
                <w:rFonts w:eastAsia="宋体" w:hAnsi="宋体" w:cs="宋体" w:hint="eastAsia"/>
                <w:b/>
                <w:bCs w:val="0"/>
                <w:sz w:val="21"/>
                <w:lang w:eastAsia="zh-CN"/>
              </w:rPr>
            </w:pPr>
            <w:r>
              <w:rPr>
                <w:rFonts w:eastAsia="宋体" w:hAnsi="宋体" w:cs="宋体" w:hint="eastAsia"/>
                <w:b/>
                <w:bCs w:val="0"/>
                <w:sz w:val="21"/>
                <w:szCs w:val="21"/>
                <w:lang w:eastAsia="zh-CN"/>
              </w:rPr>
              <w:t>运用极限法理解线速度的瞬时性。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/>
          <w:jc w:val="center"/>
        </w:trPr>
        <w:tc>
          <w:tcPr>
            <w:tcW w:w="1755" w:type="dxa"/>
            <w:vAlign w:val="center"/>
          </w:tcPr>
          <w:p>
            <w:pPr>
              <w:pStyle w:val="00"/>
              <w:tabs>
                <w:tab w:val="left" w:pos="4139"/>
              </w:tabs>
              <w:snapToGrid w:val="0"/>
              <w:spacing w:line="360" w:lineRule="auto"/>
              <w:jc w:val="center"/>
              <w:rPr>
                <w:rFonts w:hAnsi="宋体" w:cs="宋体" w:hint="eastAsia"/>
                <w:b/>
                <w:i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1"/>
                <w:szCs w:val="18"/>
              </w:rPr>
              <w:t>科学探究</w:t>
            </w:r>
          </w:p>
        </w:tc>
        <w:tc>
          <w:tcPr>
            <w:tcW w:w="7214" w:type="dxa"/>
            <w:vAlign w:val="center"/>
          </w:tcPr>
          <w:p>
            <w:pPr>
              <w:pStyle w:val="00"/>
              <w:tabs>
                <w:tab w:val="left" w:pos="4139"/>
              </w:tabs>
              <w:snapToGrid w:val="0"/>
              <w:spacing w:line="360" w:lineRule="auto"/>
              <w:jc w:val="left"/>
              <w:rPr>
                <w:rFonts w:hAnsi="宋体" w:cs="宋体" w:hint="eastAsia"/>
                <w:b/>
                <w:sz w:val="24"/>
                <w:lang w:eastAsia="zh-CN"/>
              </w:rPr>
            </w:pPr>
            <w:r>
              <w:rPr>
                <w:rFonts w:hAnsi="宋体" w:cs="宋体" w:hint="eastAsia"/>
                <w:b/>
                <w:sz w:val="21"/>
                <w:szCs w:val="18"/>
                <w:lang w:eastAsia="zh-CN"/>
              </w:rPr>
              <w:t>知道描述圆周运动快慢的方法，进而引出描述圆周运动快板的物理量。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5" w:type="dxa"/>
            <w:vAlign w:val="center"/>
          </w:tcPr>
          <w:p>
            <w:pPr>
              <w:pStyle w:val="00"/>
              <w:tabs>
                <w:tab w:val="left" w:pos="4139"/>
              </w:tabs>
              <w:snapToGrid w:val="0"/>
              <w:spacing w:line="360" w:lineRule="auto"/>
              <w:jc w:val="center"/>
              <w:rPr>
                <w:rFonts w:hAnsi="宋体" w:cs="宋体" w:hint="eastAsia"/>
                <w:b/>
                <w:i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1"/>
                <w:szCs w:val="18"/>
              </w:rPr>
              <w:t>科学态度与责任</w:t>
            </w:r>
          </w:p>
        </w:tc>
        <w:tc>
          <w:tcPr>
            <w:tcW w:w="7214" w:type="dxa"/>
            <w:vAlign w:val="center"/>
          </w:tcPr>
          <w:p>
            <w:pPr>
              <w:pStyle w:val="00"/>
              <w:tabs>
                <w:tab w:val="left" w:pos="4139"/>
              </w:tabs>
              <w:snapToGrid w:val="0"/>
              <w:spacing w:line="360" w:lineRule="auto"/>
              <w:jc w:val="left"/>
              <w:rPr>
                <w:rFonts w:hAnsi="宋体" w:cs="宋体" w:hint="eastAsia"/>
                <w:b/>
                <w:sz w:val="21"/>
                <w:szCs w:val="18"/>
                <w:lang w:eastAsia="zh-CN"/>
              </w:rPr>
            </w:pPr>
            <w:r>
              <w:rPr>
                <w:rFonts w:hAnsi="宋体" w:cs="宋体" w:hint="eastAsia"/>
                <w:b/>
                <w:sz w:val="21"/>
                <w:szCs w:val="18"/>
                <w:lang w:eastAsia="zh-CN"/>
              </w:rPr>
              <w:t>通过圆周运动实例激发学生学习兴趣，培养学生探究物理问题的习惯。</w:t>
            </w:r>
          </w:p>
        </w:tc>
      </w:tr>
    </w:tbl>
    <w:p>
      <w:pPr>
        <w:pStyle w:val="PlainText"/>
        <w:tabs>
          <w:tab w:val="left" w:pos="1701"/>
          <w:tab w:val="left" w:pos="2552"/>
          <w:tab w:val="left" w:pos="3402"/>
        </w:tabs>
        <w:snapToGrid w:val="0"/>
        <w:spacing w:line="360" w:lineRule="auto"/>
        <w:jc w:val="both"/>
        <w:rPr>
          <w:rFonts w:eastAsia="宋体" w:hAnsi="宋体" w:cs="宋体" w:hint="eastAsia"/>
          <w:b/>
          <w:color w:val="00B050"/>
          <w:sz w:val="21"/>
          <w:lang w:eastAsia="zh-CN"/>
        </w:rPr>
      </w:pPr>
    </w:p>
    <w:p>
      <w:pPr>
        <w:pStyle w:val="PlainText"/>
        <w:tabs>
          <w:tab w:val="left" w:pos="1701"/>
          <w:tab w:val="left" w:pos="2552"/>
          <w:tab w:val="left" w:pos="3402"/>
        </w:tabs>
        <w:snapToGrid w:val="0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eastAsia="宋体" w:hAnsi="宋体" w:cs="宋体" w:hint="eastAsia"/>
          <w:b/>
          <w:color w:val="000000"/>
          <w:sz w:val="21"/>
          <w:szCs w:val="21"/>
          <w:lang w:eastAsia="zh-CN"/>
        </w:rPr>
        <w:t>知识点一　　　描述匀速圆周运动的物理量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color w:val="000000"/>
          <w:sz w:val="21"/>
        </w:rPr>
      </w:pPr>
      <w:r>
        <w:rPr>
          <w:rFonts w:eastAsia="宋体" w:hAnsi="宋体" w:cs="宋体" w:hint="eastAsia"/>
          <w:b/>
          <w:color w:val="000000"/>
          <w:sz w:val="21"/>
          <w:szCs w:val="21"/>
          <w:lang w:val="en-US" w:eastAsia="zh-CN"/>
        </w:rPr>
        <w:t>1.</w:t>
      </w: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匀速圆周运动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color w:val="000000"/>
          <w:sz w:val="21"/>
        </w:rPr>
      </w:pP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在任意相等时间内通过的弧长都相等的圆周运动称为匀速圆周运动。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color w:val="000000"/>
          <w:sz w:val="21"/>
        </w:rPr>
      </w:pPr>
      <w:r>
        <w:rPr>
          <w:rFonts w:eastAsia="宋体" w:hAnsi="宋体" w:cs="宋体" w:hint="eastAsia"/>
          <w:b/>
          <w:color w:val="000000"/>
          <w:sz w:val="21"/>
          <w:szCs w:val="21"/>
          <w:lang w:val="en-US" w:eastAsia="zh-CN"/>
        </w:rPr>
        <w:t>2.</w:t>
      </w: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线速度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color w:val="000000"/>
          <w:sz w:val="21"/>
        </w:rPr>
      </w:pP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(1)定义：物理学中，将做匀速圆周运动的物体上某点通过的弧长s与所用时间t之比称为匀速圆周运动的线速度。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color w:val="000000"/>
          <w:sz w:val="21"/>
        </w:rPr>
      </w:pP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(2)方向：其方向沿圆周的切线方向。</w:t>
      </w:r>
    </w:p>
    <w:p>
      <w:pPr>
        <w:pStyle w:val="PlainText"/>
        <w:snapToGrid w:val="0"/>
        <w:spacing w:line="360" w:lineRule="auto"/>
        <w:rPr>
          <w:rFonts w:eastAsia="宋体-方正超大字符集" w:hAnsi="宋体" w:cs="宋体" w:hint="eastAsia"/>
          <w:b/>
          <w:bCs w:val="0"/>
          <w:kern w:val="0"/>
          <w:sz w:val="21"/>
          <w:lang w:eastAsia="zh-CN"/>
        </w:rPr>
      </w:pP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(3)计算公式：</w:t>
      </w:r>
      <w:r>
        <w:rPr>
          <w:rFonts w:ascii="Book Antiqua" w:hAnsi="Book Antiqua" w:cs="Times New Roman"/>
          <w:b/>
          <w:bCs w:val="0"/>
          <w:i/>
        </w:rPr>
        <w:t>v</w:t>
      </w:r>
      <w:r>
        <w:rPr>
          <w:rFonts w:ascii="Times New Roman" w:hAnsi="Times New Roman" w:cs="Times New Roman"/>
          <w:b/>
          <w:bCs w:val="0"/>
        </w:rPr>
        <w:t>＝</w:t>
      </w:r>
      <w:r>
        <w:rPr>
          <w:rFonts w:ascii="宋体-方正超大字符集" w:eastAsia="宋体-方正超大字符集" w:hAnsi="宋体-方正超大字符集" w:cs="宋体-方正超大字符集"/>
          <w:b/>
          <w:bCs w:val="0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  <w:b/>
          <w:bCs w:val="0"/>
        </w:rPr>
        <w:instrText>eq \</w:instrText>
      </w:r>
      <w:r>
        <w:rPr>
          <w:rFonts w:ascii="Times New Roman" w:hAnsi="Times New Roman" w:cs="Times New Roman"/>
          <w:b/>
          <w:bCs w:val="0"/>
        </w:rPr>
        <w:instrText>f(Δ</w:instrText>
      </w:r>
      <w:r>
        <w:rPr>
          <w:rFonts w:ascii="Times New Roman" w:hAnsi="Times New Roman" w:cs="Times New Roman" w:hint="eastAsia"/>
          <w:b/>
          <w:bCs w:val="0"/>
          <w:i/>
          <w:lang w:val="en-US" w:eastAsia="zh-CN"/>
        </w:rPr>
        <w:instrText>x</w:instrText>
      </w:r>
      <w:r>
        <w:rPr>
          <w:rFonts w:ascii="Times New Roman" w:hAnsi="Times New Roman" w:cs="Times New Roman"/>
          <w:b/>
          <w:bCs w:val="0"/>
          <w:i/>
        </w:rPr>
        <w:instrText>,</w:instrText>
      </w:r>
      <w:r>
        <w:rPr>
          <w:rFonts w:ascii="Times New Roman" w:hAnsi="Times New Roman" w:cs="Times New Roman"/>
          <w:b/>
          <w:bCs w:val="0"/>
        </w:rPr>
        <w:instrText>Δ</w:instrText>
      </w:r>
      <w:r>
        <w:rPr>
          <w:rFonts w:ascii="Times New Roman" w:hAnsi="Times New Roman" w:cs="Times New Roman"/>
          <w:b/>
          <w:bCs w:val="0"/>
          <w:i/>
        </w:rPr>
        <w:instrText>t</w:instrText>
      </w:r>
      <w:r>
        <w:rPr>
          <w:rFonts w:ascii="Times New Roman" w:hAnsi="Times New Roman" w:cs="Times New Roman"/>
          <w:b/>
          <w:bCs w:val="0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  <w:b/>
          <w:bCs w:val="0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  <w:b/>
          <w:bCs w:val="0"/>
        </w:rPr>
        <w:fldChar w:fldCharType="end"/>
      </w:r>
      <w:r>
        <w:rPr>
          <w:rFonts w:ascii="Times New Roman" w:eastAsia="宋体-方正超大字符集" w:hAnsi="Times New Roman" w:cs="Times New Roman" w:hint="eastAsia"/>
          <w:b/>
          <w:bCs w:val="0"/>
          <w:lang w:eastAsia="zh-CN"/>
        </w:rPr>
        <w:t>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color w:val="000000"/>
          <w:sz w:val="21"/>
        </w:rPr>
      </w:pP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(4)注意：做匀速圆周运动的物体，其轨迹上任意一点的线速度大小不变，但方向却时刻都在变化。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color w:val="000000"/>
          <w:sz w:val="21"/>
        </w:rPr>
      </w:pPr>
      <w:r>
        <w:rPr>
          <w:rFonts w:eastAsia="宋体" w:hAnsi="宋体" w:cs="宋体" w:hint="eastAsia"/>
          <w:b/>
          <w:color w:val="000000"/>
          <w:sz w:val="21"/>
          <w:szCs w:val="21"/>
          <w:lang w:val="en-US" w:eastAsia="zh-CN"/>
        </w:rPr>
        <w:t>3.</w:t>
      </w: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角速度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color w:val="000000"/>
          <w:sz w:val="21"/>
        </w:rPr>
      </w:pP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(1)定义：物理学中，将半径转过的角度φ与所用时间t之比称为匀速圆周运动的角速度。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color w:val="000000"/>
          <w:sz w:val="21"/>
        </w:rPr>
      </w:pP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(2)定义式：ω＝</w:t>
      </w: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fldChar w:fldCharType="begin"/>
      </w: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instrText>eq \f(φ,t)</w:instrText>
      </w: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fldChar w:fldCharType="separate"/>
      </w: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fldChar w:fldCharType="end"/>
      </w: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color w:val="000000"/>
          <w:sz w:val="21"/>
        </w:rPr>
      </w:pP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(3)单位：国际单位制中，角速度的单位是弧度每秒，符号是rad/s。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color w:val="000000"/>
          <w:sz w:val="21"/>
        </w:rPr>
      </w:pP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(4)注意：对某一确定的匀速圆周运动，角速度是不变的。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宋体" w:hAnsi="宋体" w:cs="宋体" w:hint="eastAsia"/>
          <w:b/>
          <w:bCs w:val="0"/>
          <w:kern w:val="0"/>
          <w:szCs w:val="21"/>
        </w:rPr>
      </w:pPr>
      <w:r>
        <w:rPr>
          <w:rFonts w:ascii="宋体" w:eastAsia="宋体" w:hAnsi="宋体" w:cs="宋体" w:hint="eastAsia"/>
          <w:b/>
          <w:bCs w:val="0"/>
          <w:kern w:val="0"/>
          <w:sz w:val="21"/>
          <w:szCs w:val="21"/>
          <w:lang w:val="en-US" w:eastAsia="zh-CN"/>
        </w:rPr>
        <w:t>4.</w:t>
      </w:r>
      <w:r>
        <w:rPr>
          <w:rFonts w:ascii="宋体" w:eastAsia="宋体" w:hAnsi="宋体" w:cs="宋体" w:hint="eastAsia"/>
          <w:b/>
          <w:bCs w:val="0"/>
          <w:kern w:val="0"/>
          <w:sz w:val="21"/>
          <w:szCs w:val="21"/>
        </w:rPr>
        <w:t>周期：做匀速圆周运动的物体运动一周所用的时间叫做周期</w:t>
      </w:r>
      <w:r>
        <w:rPr>
          <w:rFonts w:ascii="宋体" w:eastAsia="宋体" w:hAnsi="宋体" w:cs="宋体" w:hint="eastAsia"/>
          <w:b/>
          <w:bCs w:val="0"/>
          <w:kern w:val="0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宋体" w:hAnsi="宋体" w:cs="宋体" w:hint="eastAsia"/>
          <w:b/>
          <w:bCs w:val="0"/>
          <w:kern w:val="0"/>
          <w:szCs w:val="21"/>
        </w:rPr>
      </w:pPr>
      <w:r>
        <w:rPr>
          <w:rFonts w:ascii="Times New Roman" w:hAnsi="Times New Roman" w:cs="Times New Roman" w:hint="eastAsia"/>
          <w:b/>
          <w:bCs/>
          <w:sz w:val="21"/>
          <w:szCs w:val="21"/>
          <w:lang w:val="en-US" w:eastAsia="zh-CN"/>
        </w:rPr>
        <w:t>5.</w:t>
      </w:r>
      <w:r>
        <w:rPr>
          <w:rFonts w:ascii="Times New Roman" w:hAnsi="Times New Roman" w:cs="Times New Roman"/>
          <w:b/>
          <w:bCs/>
          <w:sz w:val="21"/>
          <w:szCs w:val="21"/>
        </w:rPr>
        <w:t>转速</w:t>
      </w:r>
      <w:r>
        <w:rPr>
          <w:rFonts w:ascii="Times New Roman" w:hAnsi="Times New Roman" w:cs="Times New Roman" w:hint="eastAsia"/>
          <w:b/>
          <w:bCs/>
          <w:sz w:val="21"/>
          <w:szCs w:val="21"/>
          <w:lang w:eastAsia="zh-CN"/>
        </w:rPr>
        <w:t>：</w:t>
      </w:r>
      <w:r>
        <w:rPr>
          <w:rFonts w:ascii="Times New Roman" w:hAnsi="Times New Roman" w:cs="Times New Roman"/>
          <w:b/>
          <w:bCs/>
          <w:sz w:val="21"/>
          <w:szCs w:val="21"/>
        </w:rPr>
        <w:t>物体一段时间内转过的</w:t>
      </w:r>
      <w:r>
        <w:rPr>
          <w:rFonts w:ascii="Times New Roman" w:hAnsi="Times New Roman" w:cs="Times New Roman"/>
          <w:b/>
          <w:bCs/>
          <w:sz w:val="21"/>
          <w:szCs w:val="21"/>
          <w:u w:val="none"/>
        </w:rPr>
        <w:t>圈数</w:t>
      </w:r>
      <w:r>
        <w:rPr>
          <w:rFonts w:ascii="Times New Roman" w:hAnsi="Times New Roman" w:cs="Times New Roman"/>
          <w:b/>
          <w:bCs/>
          <w:sz w:val="21"/>
          <w:szCs w:val="21"/>
        </w:rPr>
        <w:t>与这段时间之比，符号</w:t>
      </w:r>
      <w:r>
        <w:rPr>
          <w:rFonts w:ascii="Times New Roman" w:hAnsi="Times New Roman" w:cs="Times New Roman"/>
          <w:b/>
          <w:bCs/>
          <w:i/>
          <w:sz w:val="21"/>
          <w:szCs w:val="21"/>
        </w:rPr>
        <w:t>n</w:t>
      </w:r>
      <w:r>
        <w:rPr>
          <w:rFonts w:ascii="Times New Roman" w:hAnsi="Times New Roman" w:cs="Times New Roman"/>
          <w:b/>
          <w:bCs/>
          <w:sz w:val="21"/>
          <w:szCs w:val="21"/>
        </w:rPr>
        <w:t>，单位：r/min或r/s</w:t>
      </w:r>
    </w:p>
    <w:p>
      <w:pPr>
        <w:spacing w:line="360" w:lineRule="auto"/>
        <w:rPr>
          <w:rFonts w:ascii="宋体" w:hAnsi="宋体" w:cs="宋体" w:hint="eastAsia"/>
          <w:b/>
          <w:bCs w:val="0"/>
          <w:kern w:val="0"/>
          <w:szCs w:val="21"/>
        </w:rPr>
        <w:sectPr>
          <w:pgSz w:w="11906" w:h="16838"/>
          <w:pgMar w:top="1417" w:right="1417" w:bottom="1417" w:left="1417" w:header="850" w:footer="992" w:gutter="0"/>
          <w:cols w:num="1" w:space="708"/>
          <w:docGrid w:type="lines" w:linePitch="312" w:charSpace="200"/>
        </w:sectPr>
      </w:pP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color w:val="000000"/>
          <w:sz w:val="21"/>
        </w:rPr>
      </w:pPr>
      <w:r>
        <w:rPr>
          <w:rFonts w:eastAsia="宋体" w:hAnsi="宋体" w:cs="宋体" w:hint="eastAsia"/>
          <w:b/>
          <w:color w:val="000000"/>
          <w:sz w:val="21"/>
          <w:szCs w:val="21"/>
          <w:lang w:val="en-US" w:eastAsia="zh-CN"/>
        </w:rPr>
        <w:t>6.</w:t>
      </w: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对匀速圆周运动的理解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color w:val="000000"/>
          <w:sz w:val="21"/>
        </w:rPr>
      </w:pP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(1)匀速圆周运动是曲线运动，其速度方向沿着圆周上各点的切线方向，所以速度的方向时刻在变化。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color w:val="000000"/>
          <w:sz w:val="21"/>
        </w:rPr>
      </w:pP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(2)“匀速”的含义：速度的大小不变，即速率不变。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color w:val="000000"/>
          <w:sz w:val="21"/>
        </w:rPr>
      </w:pP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(3)运动性质：匀速圆周运动是一种变速运动，做匀速圆周运动的物体所受合外力不为零。</w:t>
      </w:r>
    </w:p>
    <w:p>
      <w:pPr>
        <w:pStyle w:val="PlainText"/>
        <w:tabs>
          <w:tab w:val="left" w:pos="1701"/>
          <w:tab w:val="left" w:pos="2552"/>
          <w:tab w:val="left" w:pos="3402"/>
        </w:tabs>
        <w:snapToGri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宋体" w:eastAsia="宋体" w:hAnsi="宋体" w:cs="宋体" w:hint="eastAsia"/>
          <w:b/>
          <w:color w:val="00B050"/>
          <w:sz w:val="21"/>
          <w:szCs w:val="21"/>
        </w:rPr>
        <w:t>知识点</w:t>
      </w:r>
      <w:r>
        <w:rPr>
          <w:rFonts w:ascii="宋体" w:eastAsia="宋体" w:hAnsi="宋体" w:cs="宋体" w:hint="eastAsia"/>
          <w:b/>
          <w:color w:val="00B050"/>
          <w:sz w:val="21"/>
          <w:szCs w:val="21"/>
          <w:lang w:eastAsia="zh-CN"/>
        </w:rPr>
        <w:t>二</w:t>
      </w:r>
      <w:r>
        <w:rPr>
          <w:rFonts w:ascii="宋体" w:eastAsia="宋体" w:hAnsi="宋体" w:cs="宋体" w:hint="eastAsia"/>
          <w:b/>
          <w:color w:val="00B050"/>
          <w:sz w:val="21"/>
          <w:szCs w:val="21"/>
          <w:lang w:val="en-US" w:eastAsia="zh-CN"/>
        </w:rPr>
        <w:t xml:space="preserve"> </w:t>
      </w:r>
      <w:r>
        <w:rPr>
          <w:rFonts w:eastAsia="宋体" w:hAnsi="宋体" w:cs="宋体" w:hint="eastAsia"/>
          <w:b/>
          <w:color w:val="00B050"/>
          <w:sz w:val="21"/>
          <w:szCs w:val="21"/>
          <w:lang w:val="en-US" w:eastAsia="zh-CN"/>
        </w:rPr>
        <w:t xml:space="preserve"> </w:t>
      </w:r>
      <w:r>
        <w:rPr>
          <w:rFonts w:ascii="宋体" w:eastAsia="宋体" w:hAnsi="宋体" w:cs="宋体" w:hint="eastAsia"/>
          <w:b/>
          <w:color w:val="00B050"/>
          <w:sz w:val="21"/>
          <w:szCs w:val="21"/>
        </w:rPr>
        <w:t>线速度、角速度、周期间的关系</w:t>
      </w:r>
    </w:p>
    <w:p>
      <w:pPr>
        <w:spacing w:line="360" w:lineRule="auto"/>
        <w:rPr>
          <w:rFonts w:ascii="宋体" w:hAnsi="宋体" w:cs="宋体" w:hint="eastAsia"/>
          <w:b/>
          <w:bCs w:val="0"/>
          <w:kern w:val="0"/>
          <w:szCs w:val="21"/>
        </w:rPr>
      </w:pPr>
      <w:r>
        <w:rPr>
          <w:rFonts w:ascii="宋体" w:eastAsia="宋体" w:hAnsi="宋体" w:cs="宋体" w:hint="eastAsia"/>
          <w:b/>
          <w:bCs w:val="0"/>
          <w:kern w:val="0"/>
          <w:sz w:val="21"/>
          <w:szCs w:val="21"/>
        </w:rPr>
        <w:t>1</w:t>
      </w:r>
      <w:r>
        <w:rPr>
          <w:rFonts w:ascii="宋体" w:eastAsia="宋体" w:hAnsi="宋体" w:cs="宋体" w:hint="eastAsia"/>
          <w:b/>
          <w:bCs w:val="0"/>
          <w:kern w:val="0"/>
          <w:sz w:val="21"/>
          <w:szCs w:val="21"/>
          <w:lang w:eastAsia="zh-CN"/>
        </w:rPr>
        <w:t>.</w:t>
      </w:r>
      <w:r>
        <w:rPr>
          <w:rFonts w:ascii="宋体" w:eastAsia="宋体" w:hAnsi="宋体" w:cs="宋体" w:hint="eastAsia"/>
          <w:b/>
          <w:bCs w:val="0"/>
          <w:kern w:val="0"/>
          <w:sz w:val="21"/>
          <w:szCs w:val="21"/>
        </w:rPr>
        <w:t>线速度与周期的关系：</w:t>
      </w:r>
      <w:r>
        <w:rPr>
          <w:rFonts w:ascii="宋体" w:eastAsia="宋体" w:hAnsi="宋体" w:cs="宋体" w:hint="eastAsia"/>
          <w:b/>
          <w:bCs w:val="0"/>
          <w:i/>
        </w:rPr>
        <w:t>v</w:t>
      </w:r>
      <w:r>
        <w:rPr>
          <w:rFonts w:ascii="宋体" w:eastAsia="宋体" w:hAnsi="宋体" w:cs="宋体" w:hint="eastAsia"/>
          <w:b/>
          <w:bCs w:val="0"/>
        </w:rPr>
        <w:t>＝</w:t>
      </w:r>
      <w:r>
        <w:rPr>
          <w:rFonts w:ascii="宋体" w:eastAsia="宋体" w:hAnsi="宋体" w:cs="宋体" w:hint="eastAsia"/>
          <w:b/>
          <w:bCs w:val="0"/>
        </w:rPr>
        <w:fldChar w:fldCharType="begin"/>
      </w:r>
      <w:r>
        <w:rPr>
          <w:rFonts w:ascii="宋体" w:eastAsia="宋体" w:hAnsi="宋体" w:cs="宋体" w:hint="eastAsia"/>
          <w:b/>
          <w:bCs w:val="0"/>
        </w:rPr>
        <w:instrText>eq \f(2π</w:instrText>
      </w:r>
      <w:r>
        <w:rPr>
          <w:rFonts w:ascii="宋体" w:eastAsia="宋体" w:hAnsi="宋体" w:cs="宋体" w:hint="eastAsia"/>
          <w:b/>
          <w:bCs w:val="0"/>
          <w:i/>
        </w:rPr>
        <w:instrText>r,T</w:instrText>
      </w:r>
      <w:r>
        <w:rPr>
          <w:rFonts w:ascii="宋体" w:eastAsia="宋体" w:hAnsi="宋体" w:cs="宋体" w:hint="eastAsia"/>
          <w:b/>
          <w:bCs w:val="0"/>
        </w:rPr>
        <w:instrText>)</w:instrText>
      </w:r>
      <w:r>
        <w:rPr>
          <w:rFonts w:ascii="宋体" w:eastAsia="宋体" w:hAnsi="宋体" w:cs="宋体" w:hint="eastAsia"/>
          <w:b/>
          <w:bCs w:val="0"/>
        </w:rPr>
        <w:fldChar w:fldCharType="separate"/>
      </w:r>
      <w:r>
        <w:rPr>
          <w:rFonts w:ascii="宋体" w:eastAsia="宋体" w:hAnsi="宋体" w:cs="宋体" w:hint="eastAsia"/>
          <w:b/>
          <w:bCs w:val="0"/>
        </w:rPr>
        <w:fldChar w:fldCharType="end"/>
      </w:r>
    </w:p>
    <w:p>
      <w:pPr>
        <w:rPr>
          <w:rFonts w:ascii="宋体" w:hAnsi="宋体" w:cs="宋体" w:hint="eastAsia"/>
          <w:b/>
          <w:bCs w:val="0"/>
          <w:kern w:val="0"/>
          <w:szCs w:val="21"/>
        </w:rPr>
      </w:pPr>
      <w:r>
        <w:rPr>
          <w:rFonts w:ascii="宋体" w:eastAsia="宋体" w:hAnsi="宋体" w:cs="宋体" w:hint="eastAsia"/>
          <w:b/>
          <w:bCs w:val="0"/>
          <w:kern w:val="0"/>
          <w:sz w:val="21"/>
          <w:szCs w:val="21"/>
        </w:rPr>
        <w:t>2</w:t>
      </w:r>
      <w:r>
        <w:rPr>
          <w:rFonts w:ascii="宋体" w:eastAsia="宋体" w:hAnsi="宋体" w:cs="宋体" w:hint="eastAsia"/>
          <w:b/>
          <w:bCs w:val="0"/>
          <w:kern w:val="0"/>
          <w:sz w:val="21"/>
          <w:szCs w:val="21"/>
          <w:lang w:eastAsia="zh-CN"/>
        </w:rPr>
        <w:t>.</w:t>
      </w:r>
      <w:r>
        <w:rPr>
          <w:rFonts w:ascii="宋体" w:eastAsia="宋体" w:hAnsi="宋体" w:cs="宋体" w:hint="eastAsia"/>
          <w:b/>
          <w:bCs w:val="0"/>
          <w:kern w:val="0"/>
          <w:sz w:val="21"/>
          <w:szCs w:val="21"/>
        </w:rPr>
        <w:t>角速度与周期的关系：</w:t>
      </w:r>
      <w:r>
        <w:rPr>
          <w:rFonts w:ascii="宋体" w:eastAsia="宋体" w:hAnsi="宋体" w:cs="宋体" w:hint="eastAsia"/>
          <w:b/>
          <w:bCs w:val="0"/>
          <w:i/>
        </w:rPr>
        <w:t>ω</w:t>
      </w:r>
      <w:r>
        <w:rPr>
          <w:rFonts w:ascii="宋体" w:eastAsia="宋体" w:hAnsi="宋体" w:cs="宋体" w:hint="eastAsia"/>
          <w:b/>
          <w:bCs w:val="0"/>
        </w:rPr>
        <w:t>＝</w:t>
      </w:r>
      <w:r>
        <w:rPr>
          <w:rFonts w:ascii="宋体" w:eastAsia="宋体" w:hAnsi="宋体" w:cs="宋体" w:hint="eastAsia"/>
          <w:b/>
          <w:bCs w:val="0"/>
        </w:rPr>
        <w:fldChar w:fldCharType="begin"/>
      </w:r>
      <w:r>
        <w:rPr>
          <w:rFonts w:ascii="宋体" w:eastAsia="宋体" w:hAnsi="宋体" w:cs="宋体" w:hint="eastAsia"/>
          <w:b/>
          <w:bCs w:val="0"/>
        </w:rPr>
        <w:instrText>eq \f(2π</w:instrText>
      </w:r>
      <w:r>
        <w:rPr>
          <w:rFonts w:ascii="宋体" w:eastAsia="宋体" w:hAnsi="宋体" w:cs="宋体" w:hint="eastAsia"/>
          <w:b/>
          <w:bCs w:val="0"/>
          <w:i/>
        </w:rPr>
        <w:instrText>,T</w:instrText>
      </w:r>
      <w:r>
        <w:rPr>
          <w:rFonts w:ascii="宋体" w:eastAsia="宋体" w:hAnsi="宋体" w:cs="宋体" w:hint="eastAsia"/>
          <w:b/>
          <w:bCs w:val="0"/>
        </w:rPr>
        <w:instrText>)</w:instrText>
      </w:r>
      <w:r>
        <w:rPr>
          <w:rFonts w:ascii="宋体" w:eastAsia="宋体" w:hAnsi="宋体" w:cs="宋体" w:hint="eastAsia"/>
          <w:b/>
          <w:bCs w:val="0"/>
        </w:rPr>
        <w:fldChar w:fldCharType="separate"/>
      </w:r>
      <w:r>
        <w:rPr>
          <w:rFonts w:ascii="宋体" w:eastAsia="宋体" w:hAnsi="宋体" w:cs="宋体" w:hint="eastAsia"/>
          <w:b/>
          <w:bCs w:val="0"/>
        </w:rPr>
        <w:fldChar w:fldCharType="end"/>
      </w:r>
    </w:p>
    <w:p>
      <w:pPr>
        <w:rPr>
          <w:rFonts w:ascii="宋体" w:hAnsi="宋体" w:cs="宋体" w:hint="eastAsia"/>
          <w:b/>
          <w:bCs w:val="0"/>
          <w:u w:val="none"/>
        </w:rPr>
      </w:pPr>
      <w:r>
        <w:rPr>
          <w:rFonts w:ascii="宋体" w:eastAsia="宋体" w:hAnsi="宋体" w:cs="宋体" w:hint="eastAsia"/>
          <w:b/>
          <w:bCs w:val="0"/>
          <w:kern w:val="0"/>
          <w:sz w:val="21"/>
          <w:szCs w:val="21"/>
        </w:rPr>
        <w:t>3</w:t>
      </w:r>
      <w:r>
        <w:rPr>
          <w:rFonts w:ascii="宋体" w:eastAsia="宋体" w:hAnsi="宋体" w:cs="宋体" w:hint="eastAsia"/>
          <w:b/>
          <w:bCs w:val="0"/>
          <w:kern w:val="0"/>
          <w:sz w:val="21"/>
          <w:szCs w:val="21"/>
          <w:lang w:eastAsia="zh-CN"/>
        </w:rPr>
        <w:t>.</w:t>
      </w:r>
      <w:r>
        <w:rPr>
          <w:rFonts w:ascii="宋体" w:eastAsia="宋体" w:hAnsi="宋体" w:cs="宋体" w:hint="eastAsia"/>
          <w:b/>
          <w:bCs w:val="0"/>
          <w:kern w:val="0"/>
          <w:sz w:val="21"/>
          <w:szCs w:val="21"/>
        </w:rPr>
        <w:t>线速度与角速度的关系：</w:t>
      </w:r>
      <w:r>
        <w:rPr>
          <w:rFonts w:ascii="宋体" w:eastAsia="宋体" w:hAnsi="宋体" w:cs="宋体" w:hint="eastAsia"/>
          <w:b/>
          <w:bCs w:val="0"/>
          <w:i/>
        </w:rPr>
        <w:t>v</w:t>
      </w:r>
      <w:r>
        <w:rPr>
          <w:rFonts w:ascii="宋体" w:eastAsia="宋体" w:hAnsi="宋体" w:cs="宋体" w:hint="eastAsia"/>
          <w:b/>
          <w:bCs w:val="0"/>
        </w:rPr>
        <w:t>＝</w:t>
      </w:r>
      <w:r>
        <w:rPr>
          <w:rFonts w:ascii="宋体" w:eastAsia="宋体" w:hAnsi="宋体" w:cs="宋体" w:hint="eastAsia"/>
          <w:b/>
          <w:bCs w:val="0"/>
          <w:i/>
          <w:u w:val="none"/>
        </w:rPr>
        <w:t>ωr</w:t>
      </w:r>
    </w:p>
    <w:p>
      <w:pPr>
        <w:pStyle w:val="PlainText"/>
        <w:tabs>
          <w:tab w:val="left" w:pos="1701"/>
          <w:tab w:val="left" w:pos="2552"/>
          <w:tab w:val="left" w:pos="3402"/>
        </w:tabs>
        <w:snapToGrid w:val="0"/>
        <w:spacing w:line="360" w:lineRule="auto"/>
        <w:jc w:val="both"/>
        <w:rPr>
          <w:rFonts w:eastAsia="宋体" w:hAnsi="宋体" w:cs="宋体" w:hint="eastAsia"/>
          <w:b/>
          <w:color w:val="00B050"/>
          <w:sz w:val="21"/>
        </w:rPr>
      </w:pPr>
      <w:r>
        <w:rPr>
          <w:rFonts w:ascii="宋体" w:eastAsia="宋体" w:hAnsi="宋体" w:cs="宋体" w:hint="eastAsia"/>
          <w:b/>
          <w:bCs w:val="0"/>
          <w:kern w:val="0"/>
          <w:sz w:val="21"/>
          <w:szCs w:val="21"/>
          <w:lang w:val="en-US" w:eastAsia="zh-CN"/>
        </w:rPr>
        <w:t>4.</w:t>
      </w:r>
      <w:r>
        <w:rPr>
          <w:rFonts w:ascii="宋体" w:eastAsia="宋体" w:hAnsi="宋体" w:cs="宋体" w:hint="eastAsia"/>
          <w:b/>
          <w:bCs w:val="0"/>
          <w:kern w:val="0"/>
          <w:sz w:val="21"/>
          <w:szCs w:val="21"/>
        </w:rPr>
        <w:t>角速度与</w:t>
      </w:r>
      <w:r>
        <w:rPr>
          <w:rFonts w:ascii="宋体" w:eastAsia="宋体" w:hAnsi="宋体" w:cs="宋体" w:hint="eastAsia"/>
          <w:b/>
          <w:bCs w:val="0"/>
          <w:kern w:val="0"/>
          <w:sz w:val="21"/>
          <w:szCs w:val="21"/>
          <w:lang w:eastAsia="zh-CN"/>
        </w:rPr>
        <w:t>转速</w:t>
      </w:r>
      <w:r>
        <w:rPr>
          <w:rFonts w:ascii="宋体" w:eastAsia="宋体" w:hAnsi="宋体" w:cs="宋体" w:hint="eastAsia"/>
          <w:b/>
          <w:bCs w:val="0"/>
          <w:kern w:val="0"/>
          <w:sz w:val="21"/>
          <w:szCs w:val="21"/>
        </w:rPr>
        <w:t>的关系：</w:t>
      </w:r>
      <w:r>
        <w:rPr>
          <w:rFonts w:ascii="宋体" w:eastAsia="宋体" w:hAnsi="宋体" w:cs="宋体" w:hint="eastAsia"/>
          <w:b/>
          <w:bCs w:val="0"/>
          <w:i/>
        </w:rPr>
        <w:t>ω</w:t>
      </w:r>
      <w:r>
        <w:rPr>
          <w:rFonts w:ascii="Times New Roman" w:hAnsi="Times New Roman" w:cs="Times New Roman"/>
          <w:b/>
          <w:bCs w:val="0"/>
          <w:sz w:val="24"/>
          <w:szCs w:val="24"/>
        </w:rPr>
        <w:t>＝2π</w:t>
      </w:r>
      <w:r>
        <w:rPr>
          <w:rFonts w:ascii="Times New Roman" w:hAnsi="Times New Roman" w:cs="Times New Roman"/>
          <w:b/>
          <w:bCs w:val="0"/>
          <w:i/>
          <w:sz w:val="24"/>
          <w:szCs w:val="24"/>
        </w:rPr>
        <w:t>n</w:t>
      </w:r>
    </w:p>
    <w:p>
      <w:pPr>
        <w:pStyle w:val="PlainText"/>
        <w:tabs>
          <w:tab w:val="left" w:pos="1701"/>
          <w:tab w:val="left" w:pos="2552"/>
          <w:tab w:val="left" w:pos="3402"/>
        </w:tabs>
        <w:snapToGrid w:val="0"/>
        <w:spacing w:line="360" w:lineRule="auto"/>
        <w:jc w:val="both"/>
        <w:rPr>
          <w:rFonts w:eastAsia="宋体" w:hAnsi="宋体" w:cs="宋体" w:hint="eastAsia"/>
          <w:b/>
          <w:color w:val="00B050"/>
          <w:sz w:val="21"/>
        </w:rPr>
      </w:pPr>
      <w:r>
        <w:rPr>
          <w:rFonts w:ascii="宋体" w:eastAsia="宋体" w:hAnsi="宋体" w:cs="宋体" w:hint="eastAsia"/>
          <w:b/>
          <w:color w:val="00B050"/>
          <w:sz w:val="21"/>
          <w:szCs w:val="21"/>
        </w:rPr>
        <w:t>知识点</w:t>
      </w:r>
      <w:r>
        <w:rPr>
          <w:rFonts w:ascii="宋体" w:eastAsia="宋体" w:hAnsi="宋体" w:cs="宋体" w:hint="eastAsia"/>
          <w:b/>
          <w:color w:val="00B050"/>
          <w:sz w:val="21"/>
          <w:szCs w:val="21"/>
          <w:lang w:eastAsia="zh-CN"/>
        </w:rPr>
        <w:t>三</w:t>
      </w:r>
      <w:r>
        <w:rPr>
          <w:rFonts w:ascii="宋体" w:eastAsia="宋体" w:hAnsi="宋体" w:cs="宋体" w:hint="eastAsia"/>
          <w:b/>
          <w:color w:val="00B050"/>
          <w:sz w:val="21"/>
          <w:szCs w:val="21"/>
          <w:lang w:val="en-US" w:eastAsia="zh-CN"/>
        </w:rPr>
        <w:t xml:space="preserve">   </w:t>
      </w:r>
      <w:r>
        <w:rPr>
          <w:rFonts w:ascii="宋体" w:eastAsia="宋体" w:hAnsi="宋体" w:cs="宋体" w:hint="eastAsia"/>
          <w:b/>
          <w:color w:val="00B050"/>
          <w:sz w:val="21"/>
          <w:szCs w:val="21"/>
        </w:rPr>
        <w:t>圆周运动中常见的传动装置</w:t>
      </w:r>
    </w:p>
    <w:p>
      <w:pPr>
        <w:pStyle w:val="PlainText"/>
        <w:tabs>
          <w:tab w:val="left" w:pos="1701"/>
          <w:tab w:val="left" w:pos="2552"/>
          <w:tab w:val="left" w:pos="3402"/>
        </w:tabs>
        <w:snapToGrid w:val="0"/>
        <w:spacing w:line="360" w:lineRule="auto"/>
        <w:rPr>
          <w:rFonts w:eastAsia="宋体" w:hAnsi="宋体" w:cs="宋体" w:hint="eastAsia"/>
          <w:b/>
          <w:bCs w:val="0"/>
          <w:sz w:val="21"/>
        </w:rPr>
      </w:pPr>
      <w:r>
        <w:rPr>
          <w:rFonts w:ascii="宋体" w:eastAsia="宋体" w:hAnsi="宋体" w:cs="宋体" w:hint="eastAsia"/>
          <w:b/>
          <w:bCs w:val="0"/>
          <w:sz w:val="21"/>
          <w:szCs w:val="21"/>
        </w:rPr>
        <w:t>(1)同轴转动</w:t>
      </w:r>
    </w:p>
    <w:tbl>
      <w:tblPr>
        <w:tblStyle w:val="TableNormal"/>
        <w:tblW w:w="78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6"/>
        <w:gridCol w:w="2628"/>
        <w:gridCol w:w="2105"/>
      </w:tblGrid>
      <w:tr>
        <w:tblPrEx>
          <w:tblW w:w="7859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54" w:type="dxa"/>
            <w:gridSpan w:val="2"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同轴转动：各点绕同一轴转动</w:t>
            </w:r>
          </w:p>
        </w:tc>
        <w:tc>
          <w:tcPr>
            <w:tcW w:w="2105" w:type="dxa"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图示</w:t>
            </w:r>
          </w:p>
        </w:tc>
      </w:tr>
      <w:tr>
        <w:tblPrEx>
          <w:tblW w:w="7859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6" w:type="dxa"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i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相同量</w:t>
            </w:r>
          </w:p>
        </w:tc>
        <w:tc>
          <w:tcPr>
            <w:tcW w:w="2628" w:type="dxa"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i/>
                <w:sz w:val="21"/>
                <w:vertAlign w:val="subscript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角速度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t>ω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  <w:vertAlign w:val="subscript"/>
              </w:rPr>
              <w:t>A</w: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＝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t>ω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  <w:vertAlign w:val="subscript"/>
              </w:rPr>
              <w:t>B</w:t>
            </w:r>
          </w:p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周期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t>T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  <w:vertAlign w:val="subscript"/>
              </w:rPr>
              <w:t>A</w: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＝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t>T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  <w:vertAlign w:val="subscript"/>
              </w:rPr>
              <w:t>B</w:t>
            </w:r>
          </w:p>
        </w:tc>
        <w:tc>
          <w:tcPr>
            <w:tcW w:w="2105" w:type="dxa"/>
            <w:vMerge w:val="restart"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alt="说明: Q415" style="width:84.75pt;height:74.2pt" coordsize="21600,21600" o:preferrelative="t" filled="f" stroked="f">
                  <v:imagedata r:id="rId6" o:title="Q415"/>
                  <o:lock v:ext="edit" aspectratio="t"/>
                  <w10:anchorlock/>
                </v:shape>
              </w:pict>
            </w:r>
          </w:p>
        </w:tc>
      </w:tr>
      <w:tr>
        <w:tblPrEx>
          <w:tblW w:w="7859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6" w:type="dxa"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i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不同量</w:t>
            </w:r>
          </w:p>
        </w:tc>
        <w:tc>
          <w:tcPr>
            <w:tcW w:w="2628" w:type="dxa"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i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线速度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instrText>eq \f</w:instrTex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instrText>(</w:instrTex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instrText>v</w:instrTex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  <w:vertAlign w:val="subscript"/>
              </w:rPr>
              <w:instrText>A</w:instrTex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instrText>,v</w:instrTex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  <w:vertAlign w:val="subscript"/>
              </w:rPr>
              <w:instrText>B</w:instrTex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instrText>)</w:instrTex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fldChar w:fldCharType="end"/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＝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instrText>eq \f</w:instrTex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instrText>(</w:instrTex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instrText>r,R</w:instrTex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instrText>)</w:instrTex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fldChar w:fldCharType="end"/>
            </w:r>
          </w:p>
        </w:tc>
        <w:tc>
          <w:tcPr>
            <w:tcW w:w="2105" w:type="dxa"/>
            <w:vMerge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sz w:val="21"/>
              </w:rPr>
            </w:pPr>
          </w:p>
        </w:tc>
      </w:tr>
    </w:tbl>
    <w:p>
      <w:pPr>
        <w:pStyle w:val="PlainText"/>
        <w:tabs>
          <w:tab w:val="left" w:pos="1701"/>
          <w:tab w:val="left" w:pos="2552"/>
          <w:tab w:val="left" w:pos="3402"/>
        </w:tabs>
        <w:snapToGrid w:val="0"/>
        <w:spacing w:line="360" w:lineRule="auto"/>
        <w:rPr>
          <w:rFonts w:eastAsia="宋体" w:hAnsi="宋体" w:cs="宋体" w:hint="eastAsia"/>
          <w:b/>
          <w:bCs w:val="0"/>
          <w:sz w:val="21"/>
        </w:rPr>
      </w:pPr>
    </w:p>
    <w:p>
      <w:pPr>
        <w:pStyle w:val="PlainText"/>
        <w:tabs>
          <w:tab w:val="left" w:pos="1701"/>
          <w:tab w:val="left" w:pos="2552"/>
          <w:tab w:val="left" w:pos="3402"/>
        </w:tabs>
        <w:snapToGrid w:val="0"/>
        <w:spacing w:line="360" w:lineRule="auto"/>
        <w:rPr>
          <w:rFonts w:eastAsia="宋体" w:hAnsi="宋体" w:cs="宋体" w:hint="eastAsia"/>
          <w:b/>
          <w:bCs w:val="0"/>
          <w:sz w:val="21"/>
        </w:rPr>
      </w:pPr>
      <w:r>
        <w:rPr>
          <w:rFonts w:ascii="宋体" w:eastAsia="宋体" w:hAnsi="宋体" w:cs="宋体" w:hint="eastAsia"/>
          <w:b/>
          <w:bCs w:val="0"/>
          <w:sz w:val="21"/>
          <w:szCs w:val="21"/>
        </w:rPr>
        <w:t>(2)皮带传动</w:t>
      </w:r>
    </w:p>
    <w:tbl>
      <w:tblPr>
        <w:tblStyle w:val="TableNormal"/>
        <w:tblW w:w="7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3218"/>
        <w:gridCol w:w="3020"/>
      </w:tblGrid>
      <w:tr>
        <w:tblPrEx>
          <w:tblW w:w="728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0" w:type="dxa"/>
            <w:gridSpan w:val="2"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i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皮带转动：两轮边缘或皮带上各点</w:t>
            </w:r>
          </w:p>
        </w:tc>
        <w:tc>
          <w:tcPr>
            <w:tcW w:w="3020" w:type="dxa"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图示</w:t>
            </w:r>
          </w:p>
        </w:tc>
      </w:tr>
      <w:tr>
        <w:tblPrEx>
          <w:tblW w:w="7280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2" w:type="dxa"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i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相同量</w:t>
            </w:r>
          </w:p>
        </w:tc>
        <w:tc>
          <w:tcPr>
            <w:tcW w:w="3218" w:type="dxa"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i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边缘点线速度的大小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t>v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  <w:vertAlign w:val="subscript"/>
              </w:rPr>
              <w:t>A</w: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＝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t>v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  <w:vertAlign w:val="subscript"/>
              </w:rPr>
              <w:t>B</w:t>
            </w:r>
          </w:p>
        </w:tc>
        <w:tc>
          <w:tcPr>
            <w:tcW w:w="3020" w:type="dxa"/>
            <w:vMerge w:val="restart"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pict>
                <v:shape id="_x0000_i1027" type="#_x0000_t75" alt="说明: Q416" style="width:99pt;height:110.95pt" coordsize="21600,21600" o:preferrelative="t" filled="f" stroked="f">
                  <v:imagedata r:id="rId7" o:title="Q416"/>
                  <o:lock v:ext="edit" aspectratio="t"/>
                  <w10:anchorlock/>
                </v:shape>
              </w:pict>
            </w:r>
          </w:p>
        </w:tc>
      </w:tr>
      <w:tr>
        <w:tblPrEx>
          <w:tblW w:w="7280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9"/>
          <w:jc w:val="center"/>
        </w:trPr>
        <w:tc>
          <w:tcPr>
            <w:tcW w:w="1042" w:type="dxa"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i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不同量</w:t>
            </w:r>
          </w:p>
        </w:tc>
        <w:tc>
          <w:tcPr>
            <w:tcW w:w="3218" w:type="dxa"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角速度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instrText>eq \f</w:instrTex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instrText>(</w:instrTex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instrText>ω</w:instrTex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  <w:vertAlign w:val="subscript"/>
              </w:rPr>
              <w:instrText>A</w:instrTex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instrText>,ω</w:instrTex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  <w:vertAlign w:val="subscript"/>
              </w:rPr>
              <w:instrText>B</w:instrTex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instrText>)</w:instrTex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fldChar w:fldCharType="end"/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＝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instrText>eq \f</w:instrTex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instrText>(</w:instrTex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instrText>r,R</w:instrTex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instrText>)</w:instrTex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fldChar w:fldCharType="end"/>
            </w:r>
          </w:p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i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周期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instrText>eq \f</w:instrTex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instrText>(</w:instrTex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instrText>T</w:instrTex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  <w:vertAlign w:val="subscript"/>
              </w:rPr>
              <w:instrText>A</w:instrTex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instrText>,T</w:instrTex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  <w:vertAlign w:val="subscript"/>
              </w:rPr>
              <w:instrText>B</w:instrTex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instrText>)</w:instrTex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fldChar w:fldCharType="end"/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＝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instrText>eq \f</w:instrTex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instrText>(</w:instrTex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instrText>R,r</w:instrTex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instrText>)</w:instrTex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fldChar w:fldCharType="end"/>
            </w:r>
          </w:p>
        </w:tc>
        <w:tc>
          <w:tcPr>
            <w:tcW w:w="3020" w:type="dxa"/>
            <w:vMerge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sz w:val="21"/>
              </w:rPr>
            </w:pPr>
          </w:p>
        </w:tc>
      </w:tr>
    </w:tbl>
    <w:p>
      <w:pPr>
        <w:pStyle w:val="PlainText"/>
        <w:tabs>
          <w:tab w:val="left" w:pos="1701"/>
          <w:tab w:val="left" w:pos="2552"/>
          <w:tab w:val="left" w:pos="3402"/>
        </w:tabs>
        <w:snapToGrid w:val="0"/>
        <w:spacing w:line="360" w:lineRule="auto"/>
        <w:rPr>
          <w:rFonts w:eastAsia="宋体" w:hAnsi="宋体" w:cs="宋体" w:hint="eastAsia"/>
          <w:b/>
          <w:bCs w:val="0"/>
          <w:sz w:val="21"/>
        </w:rPr>
      </w:pPr>
      <w:r>
        <w:rPr>
          <w:rFonts w:ascii="宋体" w:eastAsia="宋体" w:hAnsi="宋体" w:cs="宋体" w:hint="eastAsia"/>
          <w:b/>
          <w:bCs w:val="0"/>
          <w:sz w:val="21"/>
          <w:szCs w:val="21"/>
        </w:rPr>
        <w:t>(3)齿轮传动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2771"/>
        <w:gridCol w:w="2906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21" w:type="dxa"/>
            <w:gridSpan w:val="2"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i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齿轮传动：两齿轮啮合传动</w:t>
            </w:r>
          </w:p>
        </w:tc>
        <w:tc>
          <w:tcPr>
            <w:tcW w:w="2906" w:type="dxa"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图示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0" w:type="dxa"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相同量</w:t>
            </w:r>
          </w:p>
        </w:tc>
        <w:tc>
          <w:tcPr>
            <w:tcW w:w="2771" w:type="dxa"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边缘点线速度的大小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t>v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  <w:vertAlign w:val="subscript"/>
              </w:rPr>
              <w:t>A</w: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＝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t>v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  <w:vertAlign w:val="subscript"/>
              </w:rPr>
              <w:t>B</w:t>
            </w:r>
          </w:p>
        </w:tc>
        <w:tc>
          <w:tcPr>
            <w:tcW w:w="2906" w:type="dxa"/>
            <w:vMerge w:val="restart"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pict>
                <v:shape id="_x0000_i1028" type="#_x0000_t75" alt="说明: Q417" style="width:112.45pt;height:72.75pt" coordsize="21600,21600" o:preferrelative="t" filled="f" stroked="f">
                  <v:imagedata r:id="rId8" o:title="Q417"/>
                  <o:lock v:ext="edit" aspectratio="t"/>
                  <w10:anchorlock/>
                </v:shape>
              </w:pict>
            </w:r>
          </w:p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 w:val="0"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t>A</w: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b/>
                <w:bCs w:val="0"/>
                <w:i/>
                <w:sz w:val="21"/>
                <w:szCs w:val="21"/>
              </w:rPr>
              <w:t>B</w: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为两齿轮边缘点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0" w:type="dxa"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/>
                <w:i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不同量</w:t>
            </w:r>
          </w:p>
        </w:tc>
        <w:tc>
          <w:tcPr>
            <w:tcW w:w="2771" w:type="dxa"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/>
                <w:i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角速度</w:t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instrText>eq \f</w:instrText>
            </w: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instrText>(</w:instrText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instrText>ω</w:instrText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  <w:vertAlign w:val="subscript"/>
              </w:rPr>
              <w:instrText>A</w:instrText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instrText>,ω</w:instrText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  <w:vertAlign w:val="subscript"/>
              </w:rPr>
              <w:instrText>B</w:instrText>
            </w: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instrText>)</w:instrText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fldChar w:fldCharType="end"/>
            </w: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＝</w:t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instrText>eq \f</w:instrText>
            </w: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instrText>(</w:instrText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instrText>r</w:instrText>
            </w: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  <w:vertAlign w:val="subscript"/>
              </w:rPr>
              <w:instrText>2</w:instrText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instrText>,r</w:instrText>
            </w: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  <w:vertAlign w:val="subscript"/>
              </w:rPr>
              <w:instrText>1</w:instrText>
            </w: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instrText>)</w:instrText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fldChar w:fldCharType="end"/>
            </w:r>
          </w:p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b/>
                <w:bCs/>
                <w:i/>
                <w:sz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周期</w:t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instrText>eq \f</w:instrText>
            </w: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instrText>(</w:instrText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instrText>T</w:instrText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  <w:vertAlign w:val="subscript"/>
              </w:rPr>
              <w:instrText>A</w:instrText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instrText>,T</w:instrText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  <w:vertAlign w:val="subscript"/>
              </w:rPr>
              <w:instrText>B</w:instrText>
            </w: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instrText>)</w:instrText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fldChar w:fldCharType="end"/>
            </w: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＝</w:t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instrText>eq \f</w:instrText>
            </w: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instrText>(</w:instrText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instrText>r</w:instrText>
            </w: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  <w:vertAlign w:val="subscript"/>
              </w:rPr>
              <w:instrText>1</w:instrText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instrText>,r</w:instrText>
            </w: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  <w:vertAlign w:val="subscript"/>
              </w:rPr>
              <w:instrText>2</w:instrText>
            </w: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instrText>)</w:instrText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i/>
                <w:sz w:val="21"/>
                <w:szCs w:val="21"/>
              </w:rPr>
              <w:fldChar w:fldCharType="end"/>
            </w:r>
          </w:p>
        </w:tc>
        <w:tc>
          <w:tcPr>
            <w:tcW w:w="2906" w:type="dxa"/>
            <w:vMerge/>
            <w:vAlign w:val="center"/>
          </w:tcPr>
          <w:p>
            <w:pPr>
              <w:pStyle w:val="PlainText"/>
              <w:tabs>
                <w:tab w:val="left" w:pos="1701"/>
                <w:tab w:val="left" w:pos="2552"/>
                <w:tab w:val="left" w:pos="3402"/>
              </w:tabs>
              <w:snapToGrid w:val="0"/>
              <w:spacing w:line="360" w:lineRule="auto"/>
              <w:jc w:val="center"/>
              <w:rPr>
                <w:rFonts w:eastAsia="宋体" w:hAnsi="宋体" w:cs="宋体" w:hint="eastAsia"/>
                <w:sz w:val="21"/>
              </w:rPr>
            </w:pPr>
          </w:p>
        </w:tc>
      </w:tr>
    </w:tbl>
    <w:p>
      <w:pPr>
        <w:pStyle w:val="PlainText"/>
        <w:tabs>
          <w:tab w:val="left" w:pos="1701"/>
          <w:tab w:val="left" w:pos="2552"/>
          <w:tab w:val="left" w:pos="3402"/>
        </w:tabs>
        <w:snapToGrid w:val="0"/>
        <w:spacing w:line="360" w:lineRule="auto"/>
        <w:jc w:val="both"/>
        <w:rPr>
          <w:rFonts w:eastAsia="宋体" w:hAnsi="宋体" w:cs="宋体" w:hint="eastAsia"/>
          <w:b/>
          <w:color w:val="00B050"/>
          <w:sz w:val="21"/>
        </w:rPr>
      </w:pPr>
      <w:r>
        <w:rPr>
          <w:rFonts w:eastAsia="宋体" w:hAnsi="宋体" w:cs="宋体" w:hint="eastAsia"/>
          <w:b/>
          <w:color w:val="00B050"/>
          <w:sz w:val="21"/>
        </w:rPr>
        <w:br/>
      </w:r>
      <w:r>
        <w:rPr>
          <w:rFonts w:eastAsia="宋体" w:hAnsi="宋体" w:cs="宋体" w:hint="eastAsia"/>
          <w:b/>
          <w:color w:val="00B050"/>
          <w:sz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https://d.book118.com/276024235223010102</w:t>
        </w:r>
      </w:hyperlink>
    </w:p>
    <w:p>
      <w:pPr>
        <w:pStyle w:val="PlainText"/>
        <w:tabs>
          <w:tab w:val="left" w:pos="1701"/>
          <w:tab w:val="left" w:pos="2552"/>
          <w:tab w:val="left" w:pos="3402"/>
        </w:tabs>
        <w:snapToGrid w:val="0"/>
        <w:spacing w:line="360" w:lineRule="auto"/>
        <w:jc w:val="both"/>
        <w:rPr>
          <w:rFonts w:eastAsia="宋体" w:hAnsi="宋体" w:cs="宋体" w:hint="eastAsia"/>
          <w:b/>
          <w:color w:val="00B050"/>
          <w:sz w:val="21"/>
        </w:rPr>
      </w:pPr>
    </w:p>
    <w:sectPr>
      <w:type w:val="nextPage"/>
      <w:pgSz w:w="11906" w:h="16838"/>
      <w:pgMar w:top="1417" w:right="1417" w:bottom="1417" w:left="1417" w:header="850" w:footer="992" w:gutter="0"/>
      <w:pgNumType w:start="2"/>
      <w:cols w:num="1" w:space="708"/>
      <w:titlePg w:val="0"/>
      <w:docGrid w:type="lines" w:linePitch="312" w:charSpace="2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 New Romans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bordersDoNotSurroundHeader/>
  <w:bordersDoNotSurroundFooter/>
  <w:defaultTabStop w:val="420"/>
  <w:drawingGridHorizontalSpacing w:val="211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313"/>
    <w:rsid w:val="00003C09"/>
    <w:rsid w:val="0001245A"/>
    <w:rsid w:val="00017CD7"/>
    <w:rsid w:val="00020246"/>
    <w:rsid w:val="000370C8"/>
    <w:rsid w:val="000613A0"/>
    <w:rsid w:val="000A663C"/>
    <w:rsid w:val="000D1837"/>
    <w:rsid w:val="00101D71"/>
    <w:rsid w:val="001116AB"/>
    <w:rsid w:val="00131DE6"/>
    <w:rsid w:val="00164630"/>
    <w:rsid w:val="00170002"/>
    <w:rsid w:val="00187899"/>
    <w:rsid w:val="00205915"/>
    <w:rsid w:val="0022314E"/>
    <w:rsid w:val="00247A84"/>
    <w:rsid w:val="00265ADB"/>
    <w:rsid w:val="00292B0A"/>
    <w:rsid w:val="002A6F6B"/>
    <w:rsid w:val="002E5B17"/>
    <w:rsid w:val="002F69F9"/>
    <w:rsid w:val="00344ED2"/>
    <w:rsid w:val="0036046D"/>
    <w:rsid w:val="00374A6D"/>
    <w:rsid w:val="003A4431"/>
    <w:rsid w:val="003D0016"/>
    <w:rsid w:val="003D7C77"/>
    <w:rsid w:val="00414C2C"/>
    <w:rsid w:val="004151FC"/>
    <w:rsid w:val="00420D13"/>
    <w:rsid w:val="00422291"/>
    <w:rsid w:val="004222EA"/>
    <w:rsid w:val="004371BC"/>
    <w:rsid w:val="004F7119"/>
    <w:rsid w:val="00513495"/>
    <w:rsid w:val="00536F30"/>
    <w:rsid w:val="00554F57"/>
    <w:rsid w:val="005555A2"/>
    <w:rsid w:val="00571207"/>
    <w:rsid w:val="005C229C"/>
    <w:rsid w:val="006847D8"/>
    <w:rsid w:val="00694679"/>
    <w:rsid w:val="006C36CD"/>
    <w:rsid w:val="006E7826"/>
    <w:rsid w:val="0070631C"/>
    <w:rsid w:val="00712709"/>
    <w:rsid w:val="00764911"/>
    <w:rsid w:val="00791049"/>
    <w:rsid w:val="007A7F60"/>
    <w:rsid w:val="00800BB5"/>
    <w:rsid w:val="008803ED"/>
    <w:rsid w:val="008A3F85"/>
    <w:rsid w:val="008A6474"/>
    <w:rsid w:val="008B6EB2"/>
    <w:rsid w:val="008E575F"/>
    <w:rsid w:val="008F3EC3"/>
    <w:rsid w:val="008F7FEC"/>
    <w:rsid w:val="00902F56"/>
    <w:rsid w:val="00933264"/>
    <w:rsid w:val="0093623A"/>
    <w:rsid w:val="009365D1"/>
    <w:rsid w:val="00964226"/>
    <w:rsid w:val="009C29AA"/>
    <w:rsid w:val="00A7367A"/>
    <w:rsid w:val="00AA648D"/>
    <w:rsid w:val="00AC7DBA"/>
    <w:rsid w:val="00B3153B"/>
    <w:rsid w:val="00B55543"/>
    <w:rsid w:val="00B82CB0"/>
    <w:rsid w:val="00BB6818"/>
    <w:rsid w:val="00C02FC6"/>
    <w:rsid w:val="00C70F20"/>
    <w:rsid w:val="00C84679"/>
    <w:rsid w:val="00CA0BD2"/>
    <w:rsid w:val="00CB5B47"/>
    <w:rsid w:val="00CC6650"/>
    <w:rsid w:val="00CF2CD3"/>
    <w:rsid w:val="00D05264"/>
    <w:rsid w:val="00D116C1"/>
    <w:rsid w:val="00DA4ED3"/>
    <w:rsid w:val="00DD1609"/>
    <w:rsid w:val="00E12C75"/>
    <w:rsid w:val="00E16A29"/>
    <w:rsid w:val="00E43406"/>
    <w:rsid w:val="00EA47DE"/>
    <w:rsid w:val="00EC08AA"/>
    <w:rsid w:val="00EE186A"/>
    <w:rsid w:val="00F052CD"/>
    <w:rsid w:val="00F40F83"/>
    <w:rsid w:val="00F4402C"/>
    <w:rsid w:val="00F46A2D"/>
    <w:rsid w:val="00F715A1"/>
    <w:rsid w:val="00F75A7D"/>
    <w:rsid w:val="00FA1D58"/>
    <w:rsid w:val="04AA3D1C"/>
    <w:rsid w:val="0B651405"/>
    <w:rsid w:val="0BAB2860"/>
    <w:rsid w:val="0EBE6550"/>
    <w:rsid w:val="0F3002D8"/>
    <w:rsid w:val="11183A07"/>
    <w:rsid w:val="12D01DE5"/>
    <w:rsid w:val="141856BD"/>
    <w:rsid w:val="19B42C7E"/>
    <w:rsid w:val="1AC7004A"/>
    <w:rsid w:val="1FF523EC"/>
    <w:rsid w:val="201B1F2F"/>
    <w:rsid w:val="20BB0168"/>
    <w:rsid w:val="26335620"/>
    <w:rsid w:val="266B56A2"/>
    <w:rsid w:val="27627CE6"/>
    <w:rsid w:val="289B3A6A"/>
    <w:rsid w:val="28B42025"/>
    <w:rsid w:val="29F60ABA"/>
    <w:rsid w:val="2D2B3FDC"/>
    <w:rsid w:val="2E741FA8"/>
    <w:rsid w:val="2F873EEA"/>
    <w:rsid w:val="2F8D52B8"/>
    <w:rsid w:val="306C0752"/>
    <w:rsid w:val="327E6F11"/>
    <w:rsid w:val="363F2FF0"/>
    <w:rsid w:val="37A325CE"/>
    <w:rsid w:val="3AA50E25"/>
    <w:rsid w:val="407D2D21"/>
    <w:rsid w:val="40CC7117"/>
    <w:rsid w:val="411B3F6F"/>
    <w:rsid w:val="45CE7098"/>
    <w:rsid w:val="45E43B10"/>
    <w:rsid w:val="48300DF2"/>
    <w:rsid w:val="4B550336"/>
    <w:rsid w:val="4B693C8D"/>
    <w:rsid w:val="4D18653D"/>
    <w:rsid w:val="4DF52BF7"/>
    <w:rsid w:val="4F085514"/>
    <w:rsid w:val="4FB07F01"/>
    <w:rsid w:val="5153614C"/>
    <w:rsid w:val="522264CB"/>
    <w:rsid w:val="54606EBF"/>
    <w:rsid w:val="55905830"/>
    <w:rsid w:val="5A273314"/>
    <w:rsid w:val="5AC3717C"/>
    <w:rsid w:val="5C1D376E"/>
    <w:rsid w:val="6028692E"/>
    <w:rsid w:val="6095408E"/>
    <w:rsid w:val="60B231ED"/>
    <w:rsid w:val="62571933"/>
    <w:rsid w:val="62B2740A"/>
    <w:rsid w:val="6B6804ED"/>
    <w:rsid w:val="6B6F62E5"/>
    <w:rsid w:val="6DBF594B"/>
    <w:rsid w:val="6E2962DB"/>
    <w:rsid w:val="6F710E06"/>
    <w:rsid w:val="6FA53B98"/>
    <w:rsid w:val="714D4100"/>
    <w:rsid w:val="72BA5CE9"/>
    <w:rsid w:val="7417791F"/>
    <w:rsid w:val="744E24B1"/>
    <w:rsid w:val="7F564587"/>
  </w:rsids>
  <w:docVars>
    <w:docVar w:name="commondata" w:val="eyJoZGlkIjoiNzQ1ZDQwNDk0NzM5NTQ3YmVmNThlNWVlNGI0MDY0NTc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4">
    <w:name w:val="heading 4"/>
    <w:basedOn w:val="0"/>
    <w:next w:val="0"/>
    <w:autoRedefine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autoRedefine/>
    <w:uiPriority w:val="99"/>
    <w:unhideWhenUsed/>
    <w:qFormat/>
    <w:pPr>
      <w:spacing w:after="120"/>
    </w:p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PlainText">
    <w:name w:val="Plain Text"/>
    <w:basedOn w:val="Normal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paragraph" w:styleId="Footer">
    <w:name w:val="footer"/>
    <w:basedOn w:val="Normal"/>
    <w:autoRedefine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autoRedefine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PageNumber">
    <w:name w:val="page number"/>
    <w:basedOn w:val="DefaultParagraphFont"/>
    <w:qFormat/>
  </w:style>
  <w:style w:type="character" w:customStyle="1" w:styleId="Char">
    <w:name w:val="批注框文本 Char"/>
    <w:link w:val="BalloonText"/>
    <w:autoRedefine/>
    <w:qFormat/>
    <w:rPr>
      <w:kern w:val="2"/>
      <w:sz w:val="18"/>
      <w:szCs w:val="18"/>
    </w:rPr>
  </w:style>
  <w:style w:type="character" w:customStyle="1" w:styleId="Char0">
    <w:name w:val="页眉 Char"/>
    <w:link w:val="Header"/>
    <w:autoRedefine/>
    <w:qFormat/>
    <w:rPr>
      <w:kern w:val="2"/>
      <w:sz w:val="18"/>
      <w:szCs w:val="18"/>
    </w:rPr>
  </w:style>
  <w:style w:type="paragraph" w:customStyle="1" w:styleId="00">
    <w:name w:val="纯文本_0"/>
    <w:basedOn w:val="0"/>
    <w:autoRedefine/>
    <w:qFormat/>
    <w:rPr>
      <w:rFonts w:ascii="宋体" w:eastAsia="宋体" w:hAnsi="Courier New" w:cs="Courier New"/>
      <w:szCs w:val="21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Calibri" w:eastAsia="宋体" w:hAnsi="Calibri" w:cs="Times New Roman"/>
      <w:lang w:val="en-US" w:eastAsia="en-US" w:bidi="ar-SA"/>
    </w:rPr>
  </w:style>
  <w:style w:type="paragraph" w:customStyle="1" w:styleId="Normal10">
    <w:name w:val="Normal_1_0"/>
    <w:qFormat/>
    <w:pPr>
      <w:widowControl w:val="0"/>
      <w:jc w:val="both"/>
    </w:pPr>
    <w:rPr>
      <w:rFonts w:ascii="Time New Romans" w:eastAsia="宋体" w:hAnsi="Time New Romans" w:cs="宋体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qFormat/>
    <w:pPr>
      <w:widowControl w:val="0"/>
      <w:jc w:val="both"/>
    </w:pPr>
    <w:rPr>
      <w:rFonts w:ascii="Time New Romans" w:eastAsia="宋体" w:hAnsi="Time New Romans" w:cs="宋体"/>
      <w:kern w:val="2"/>
      <w:sz w:val="21"/>
      <w:szCs w:val="22"/>
      <w:lang w:val="en-US" w:eastAsia="zh-CN" w:bidi="ar-SA"/>
    </w:rPr>
  </w:style>
  <w:style w:type="paragraph" w:customStyle="1" w:styleId="a">
    <w:name w:val="无间隔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ompact">
    <w:name w:val="Compact"/>
    <w:basedOn w:val="BodyText"/>
    <w:autoRedefine/>
    <w:qFormat/>
    <w:pPr>
      <w:widowControl/>
      <w:spacing w:before="36" w:after="36"/>
    </w:pPr>
    <w:rPr>
      <w:rFonts w:ascii="Times New Roman" w:eastAsia="宋体" w:hAnsi="Times New Roman" w:cs="Times New Roman"/>
      <w:kern w:val="0"/>
      <w:szCs w:val="24"/>
      <w:lang w:eastAsia="en-US"/>
    </w:rPr>
  </w:style>
  <w:style w:type="paragraph" w:customStyle="1" w:styleId="000">
    <w:name w:val="正文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hyperlink" Target="https://d.book118.com/276024235223010102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157257600</TotalTime>
  <Pages>2</Pages>
  <Words>6218</Words>
  <Characters>7039</Characters>
  <Application>Microsoft Office Word</Application>
  <DocSecurity>0</DocSecurity>
  <Lines>36</Lines>
  <Paragraphs>10</Paragraphs>
  <ScaleCrop>false</ScaleCrop>
  <Company/>
  <LinksUpToDate>false</LinksUpToDate>
  <CharactersWithSpaces>7409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16</cp:revision>
  <dcterms:created xsi:type="dcterms:W3CDTF">2019-12-19T10:52:00Z</dcterms:created>
  <dcterms:modified xsi:type="dcterms:W3CDTF">2024-03-07T15:09:42Z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E183090ABB72449A873F383A2E55DE37_13</vt:lpwstr>
  </property>
  <property fmtid="{D5CDD505-2E9C-101B-9397-08002B2CF9AE}" pid="7" name="KSOProductBuildVer">
    <vt:lpwstr>2052-12.1.0.16364</vt:lpwstr>
  </property>
</Properties>
</file>