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29" w:line="230" w:lineRule="auto"/>
        <w:ind w:left="4"/>
        <w:rPr>
          <w:sz w:val="19"/>
          <w:szCs w:val="19"/>
        </w:rPr>
      </w:pPr>
      <w:r>
        <w:pict>
          <v:shape id="_x0000_s1025" style="width:481.1pt;height:0.8pt;margin-top:221.94pt;margin-left:56.99pt;mso-position-horizontal-relative:page;mso-position-vertical-relative:page;position:absolute;z-index:251659264" coordorigin="0,0" coordsize="9622,16" o:allowincell="f" path="m,7l9621,7e" filled="f" strokecolor="#231f20" strokeweight="0.76pt">
            <v:stroke joinstyle="miter"/>
          </v:shape>
        </w:pict>
      </w:r>
      <w:r>
        <w:pict>
          <v:shape id="_x0000_s1026" style="width:481.1pt;height:0.8pt;margin-top:736.71pt;margin-left:56.99pt;mso-position-horizontal-relative:page;mso-position-vertical-relative:page;position:absolute;z-index:251660288" coordorigin="0,0" coordsize="9622,16" o:allowincell="f" path="m,7l9621,7e" filled="f" strokecolor="#231f20" strokeweight="0.76pt">
            <v:stroke joinstyle="miter"/>
          </v:shape>
        </w:pict>
      </w: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4966779</wp:posOffset>
            </wp:positionH>
            <wp:positionV relativeFrom="page">
              <wp:posOffset>596670</wp:posOffset>
            </wp:positionV>
            <wp:extent cx="1440611" cy="71968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40611" cy="7196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9"/>
          <w:szCs w:val="19"/>
        </w:rPr>
        <w:t>ICS</w:t>
      </w:r>
      <w:r>
        <w:rPr>
          <w:spacing w:val="11"/>
          <w:sz w:val="19"/>
          <w:szCs w:val="19"/>
        </w:rPr>
        <w:t>91.</w:t>
      </w:r>
      <w:r>
        <w:rPr>
          <w:spacing w:val="-2"/>
          <w:sz w:val="19"/>
          <w:szCs w:val="19"/>
        </w:rPr>
        <w:t xml:space="preserve"> </w:t>
      </w:r>
      <w:r>
        <w:rPr>
          <w:spacing w:val="11"/>
          <w:sz w:val="19"/>
          <w:szCs w:val="19"/>
        </w:rPr>
        <w:t>140.60</w:t>
      </w:r>
    </w:p>
    <w:p>
      <w:pPr>
        <w:pStyle w:val="BodyText"/>
        <w:spacing w:line="203" w:lineRule="auto"/>
        <w:ind w:left="3"/>
        <w:rPr>
          <w:sz w:val="19"/>
          <w:szCs w:val="19"/>
        </w:rPr>
      </w:pPr>
      <w:r>
        <w:rPr>
          <w:spacing w:val="15"/>
          <w:w w:val="125"/>
          <w:sz w:val="19"/>
          <w:szCs w:val="19"/>
        </w:rPr>
        <w:t>P42</w:t>
      </w: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pStyle w:val="BodyText"/>
        <w:spacing w:line="296" w:lineRule="auto"/>
      </w:pPr>
    </w:p>
    <w:p>
      <w:pPr>
        <w:spacing w:before="166" w:line="209" w:lineRule="auto"/>
        <w:ind w:left="170"/>
        <w:outlineLvl w:val="0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113"/>
          <w:sz w:val="51"/>
          <w:szCs w:val="51"/>
        </w:rPr>
        <w:t>中华人民共和国城镇建设行业标准</w:t>
      </w:r>
    </w:p>
    <w:p>
      <w:pPr>
        <w:pStyle w:val="BodyText"/>
        <w:spacing w:line="431" w:lineRule="auto"/>
      </w:pPr>
    </w:p>
    <w:p>
      <w:pPr>
        <w:pStyle w:val="BodyText"/>
        <w:spacing w:before="75" w:line="210" w:lineRule="auto"/>
        <w:ind w:left="7342"/>
        <w:rPr>
          <w:sz w:val="26"/>
          <w:szCs w:val="26"/>
        </w:rPr>
      </w:pPr>
      <w:r>
        <w:rPr>
          <w:sz w:val="26"/>
          <w:szCs w:val="26"/>
        </w:rPr>
        <w:t>CJ</w:t>
      </w:r>
      <w:r>
        <w:rPr>
          <w:spacing w:val="22"/>
          <w:sz w:val="26"/>
          <w:szCs w:val="26"/>
        </w:rPr>
        <w:t>/T484</w:t>
      </w:r>
      <w:r>
        <w:rPr>
          <w:spacing w:val="22"/>
          <w:position w:val="3"/>
          <w:sz w:val="26"/>
          <w:szCs w:val="26"/>
        </w:rPr>
        <w:t>—</w:t>
      </w:r>
      <w:r>
        <w:rPr>
          <w:spacing w:val="-45"/>
          <w:position w:val="3"/>
          <w:sz w:val="26"/>
          <w:szCs w:val="26"/>
        </w:rPr>
        <w:t xml:space="preserve"> </w:t>
      </w:r>
      <w:r>
        <w:rPr>
          <w:spacing w:val="22"/>
          <w:sz w:val="26"/>
          <w:szCs w:val="26"/>
        </w:rPr>
        <w:t>2016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65" w:line="206" w:lineRule="auto"/>
        <w:ind w:left="2687"/>
        <w:rPr>
          <w:rFonts w:ascii="SimHei" w:eastAsia="SimHei" w:hAnsi="SimHei" w:cs="SimHei"/>
          <w:sz w:val="51"/>
          <w:szCs w:val="51"/>
        </w:rPr>
      </w:pPr>
      <w:r>
        <w:rPr>
          <w:rFonts w:ascii="SimHei" w:eastAsia="SimHei" w:hAnsi="SimHei" w:cs="SimHei"/>
          <w:spacing w:val="-14"/>
          <w:sz w:val="51"/>
          <w:szCs w:val="51"/>
        </w:rPr>
        <w:t>阶</w:t>
      </w:r>
      <w:r>
        <w:rPr>
          <w:rFonts w:ascii="SimHei" w:eastAsia="SimHei" w:hAnsi="SimHei" w:cs="SimHei"/>
          <w:spacing w:val="63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4"/>
          <w:sz w:val="51"/>
          <w:szCs w:val="51"/>
        </w:rPr>
        <w:t>梯</w:t>
      </w:r>
      <w:r>
        <w:rPr>
          <w:rFonts w:ascii="SimHei" w:eastAsia="SimHei" w:hAnsi="SimHei" w:cs="SimHei"/>
          <w:spacing w:val="66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4"/>
          <w:sz w:val="51"/>
          <w:szCs w:val="51"/>
        </w:rPr>
        <w:t>水</w:t>
      </w:r>
      <w:r>
        <w:rPr>
          <w:rFonts w:ascii="SimHei" w:eastAsia="SimHei" w:hAnsi="SimHei" w:cs="SimHei"/>
          <w:spacing w:val="71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4"/>
          <w:sz w:val="51"/>
          <w:szCs w:val="51"/>
        </w:rPr>
        <w:t>价</w:t>
      </w:r>
      <w:r>
        <w:rPr>
          <w:rFonts w:ascii="SimHei" w:eastAsia="SimHei" w:hAnsi="SimHei" w:cs="SimHei"/>
          <w:spacing w:val="66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4"/>
          <w:sz w:val="51"/>
          <w:szCs w:val="51"/>
        </w:rPr>
        <w:t>水</w:t>
      </w:r>
      <w:r>
        <w:rPr>
          <w:rFonts w:ascii="SimHei" w:eastAsia="SimHei" w:hAnsi="SimHei" w:cs="SimHei"/>
          <w:spacing w:val="70"/>
          <w:sz w:val="51"/>
          <w:szCs w:val="51"/>
        </w:rPr>
        <w:t xml:space="preserve"> </w:t>
      </w:r>
      <w:r>
        <w:rPr>
          <w:rFonts w:ascii="SimHei" w:eastAsia="SimHei" w:hAnsi="SimHei" w:cs="SimHei"/>
          <w:spacing w:val="-14"/>
          <w:sz w:val="51"/>
          <w:szCs w:val="51"/>
        </w:rPr>
        <w:t>表</w:t>
      </w:r>
    </w:p>
    <w:p>
      <w:pPr>
        <w:pStyle w:val="BodyText"/>
        <w:spacing w:line="432" w:lineRule="auto"/>
      </w:pPr>
    </w:p>
    <w:p>
      <w:pPr>
        <w:pStyle w:val="BodyText"/>
        <w:spacing w:before="75" w:line="196" w:lineRule="auto"/>
        <w:ind w:left="3273"/>
        <w:rPr>
          <w:sz w:val="26"/>
          <w:szCs w:val="26"/>
        </w:rPr>
      </w:pPr>
      <w:r>
        <w:rPr>
          <w:spacing w:val="17"/>
          <w:sz w:val="26"/>
          <w:szCs w:val="26"/>
        </w:rPr>
        <w:t>Step</w:t>
      </w:r>
      <w:r>
        <w:rPr>
          <w:spacing w:val="-19"/>
          <w:sz w:val="26"/>
          <w:szCs w:val="26"/>
        </w:rPr>
        <w:t xml:space="preserve"> </w:t>
      </w:r>
      <w:r>
        <w:rPr>
          <w:spacing w:val="17"/>
          <w:sz w:val="26"/>
          <w:szCs w:val="26"/>
        </w:rPr>
        <w:t>tariffing</w:t>
      </w:r>
      <w:r>
        <w:rPr>
          <w:spacing w:val="-41"/>
          <w:sz w:val="26"/>
          <w:szCs w:val="26"/>
        </w:rPr>
        <w:t xml:space="preserve"> </w:t>
      </w:r>
      <w:r>
        <w:rPr>
          <w:spacing w:val="17"/>
          <w:sz w:val="26"/>
          <w:szCs w:val="26"/>
        </w:rPr>
        <w:t>waterme</w:t>
      </w:r>
      <w:r>
        <w:rPr>
          <w:spacing w:val="16"/>
          <w:sz w:val="26"/>
          <w:szCs w:val="26"/>
        </w:rPr>
        <w:t>ter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pgSz w:w="11900" w:h="16840"/>
          <w:pgMar w:top="768" w:right="1136" w:bottom="0" w:left="1139" w:header="0" w:footer="0" w:gutter="0"/>
          <w:cols w:num="1" w:space="708" w:equalWidth="0">
            <w:col w:w="9624" w:space="0"/>
          </w:cols>
        </w:sectPr>
      </w:pPr>
    </w:p>
    <w:p/>
    <w:p/>
    <w:p/>
    <w:p/>
    <w:p/>
    <w:p/>
    <w:p/>
    <w:p/>
    <w:p/>
    <w:p/>
    <w:p/>
    <w:p/>
    <w:p>
      <w:pPr>
        <w:sectPr>
          <w:type w:val="nextPage"/>
          <w:pgSz w:w="11900" w:h="16840"/>
          <w:pgMar w:top="768" w:right="1136" w:bottom="0" w:left="1139" w:header="0" w:footer="0" w:gutter="0"/>
          <w:pgNumType w:start="2"/>
          <w:cols w:num="1" w:space="708" w:equalWidth="0">
            <w:col w:w="9624" w:space="0"/>
          </w:cols>
          <w:titlePg w:val="0"/>
        </w:sectPr>
      </w:pPr>
    </w:p>
    <w:p>
      <w:pPr>
        <w:pStyle w:val="BodyText"/>
        <w:spacing w:before="47" w:line="171" w:lineRule="auto"/>
        <w:ind w:left="1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2016-06-</w:t>
      </w:r>
      <w:r>
        <w:rPr>
          <w:spacing w:val="5"/>
          <w:position w:val="1"/>
          <w:sz w:val="26"/>
          <w:szCs w:val="26"/>
        </w:rPr>
        <w:t>14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发布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before="46" w:line="171" w:lineRule="auto"/>
        <w:jc w:val="right"/>
        <w:rPr>
          <w:rFonts w:ascii="SimHei" w:eastAsia="SimHei" w:hAnsi="SimHei" w:cs="SimHei"/>
          <w:sz w:val="26"/>
          <w:szCs w:val="26"/>
        </w:rPr>
      </w:pPr>
      <w:r>
        <w:rPr>
          <w:spacing w:val="5"/>
          <w:sz w:val="26"/>
          <w:szCs w:val="26"/>
        </w:rPr>
        <w:t>2016-12-</w:t>
      </w:r>
      <w:r>
        <w:rPr>
          <w:spacing w:val="5"/>
          <w:position w:val="1"/>
          <w:sz w:val="26"/>
          <w:szCs w:val="26"/>
        </w:rPr>
        <w:t>01</w:t>
      </w:r>
      <w:r>
        <w:rPr>
          <w:rFonts w:ascii="SimHei" w:eastAsia="SimHei" w:hAnsi="SimHei" w:cs="SimHei"/>
          <w:spacing w:val="5"/>
          <w:position w:val="1"/>
          <w:sz w:val="26"/>
          <w:szCs w:val="26"/>
        </w:rPr>
        <w:t>实施</w:t>
      </w:r>
    </w:p>
    <w:p>
      <w:pPr>
        <w:spacing w:line="171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8" w:right="1136" w:bottom="0" w:left="1139" w:header="0" w:footer="0" w:gutter="0"/>
          <w:pgNumType w:start="3"/>
          <w:cols w:num="2" w:space="708" w:equalWidth="0">
            <w:col w:w="7610" w:space="100"/>
            <w:col w:w="1915" w:space="0"/>
          </w:cols>
        </w:sectPr>
      </w:pP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95" w:line="175" w:lineRule="auto"/>
        <w:ind w:left="1867"/>
        <w:rPr>
          <w:rFonts w:ascii="SimHei" w:eastAsia="SimHei" w:hAnsi="SimHei" w:cs="SimHei"/>
          <w:sz w:val="26"/>
          <w:szCs w:val="26"/>
        </w:rPr>
      </w:pPr>
      <w:r>
        <w:rPr>
          <w:rFonts w:ascii="SimHei" w:eastAsia="SimHei" w:hAnsi="SimHei" w:cs="SimHei"/>
          <w:spacing w:val="18"/>
          <w:sz w:val="29"/>
          <w:szCs w:val="29"/>
        </w:rPr>
        <w:t>中华人民共和国住房和城乡建设部</w:t>
      </w:r>
      <w:r>
        <w:rPr>
          <w:rFonts w:ascii="SimHei" w:eastAsia="SimHei" w:hAnsi="SimHei" w:cs="SimHei"/>
          <w:spacing w:val="6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18"/>
          <w:sz w:val="26"/>
          <w:szCs w:val="26"/>
        </w:rPr>
        <w:t>发</w:t>
      </w:r>
      <w:r>
        <w:rPr>
          <w:rFonts w:ascii="SimHei" w:eastAsia="SimHei" w:hAnsi="SimHei" w:cs="SimHei"/>
          <w:spacing w:val="18"/>
          <w:sz w:val="26"/>
          <w:szCs w:val="26"/>
        </w:rPr>
        <w:t xml:space="preserve"> </w:t>
      </w:r>
      <w:r>
        <w:rPr>
          <w:rFonts w:ascii="SimHei" w:eastAsia="SimHei" w:hAnsi="SimHei" w:cs="SimHei"/>
          <w:spacing w:val="18"/>
          <w:sz w:val="26"/>
          <w:szCs w:val="26"/>
        </w:rPr>
        <w:t>布</w:t>
      </w:r>
    </w:p>
    <w:p>
      <w:pPr>
        <w:spacing w:line="175" w:lineRule="auto"/>
        <w:rPr>
          <w:rFonts w:ascii="SimHei" w:eastAsia="SimHei" w:hAnsi="SimHei" w:cs="SimHei"/>
          <w:sz w:val="26"/>
          <w:szCs w:val="26"/>
        </w:rPr>
        <w:sectPr>
          <w:type w:val="continuous"/>
          <w:pgSz w:w="11900" w:h="16840"/>
          <w:pgMar w:top="768" w:right="1136" w:bottom="0" w:left="1139" w:header="0" w:footer="0" w:gutter="0"/>
          <w:pgNumType w:start="4"/>
          <w:cols w:num="1" w:space="708" w:equalWidth="0">
            <w:col w:w="9624" w:space="0"/>
          </w:cols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2336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4" name="TextBox 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0" w:name="bookmark4"/>
                            <w:bookmarkEnd w:id="0"/>
                            <w:bookmarkStart w:id="1" w:name="bookmark5"/>
                            <w:bookmarkEnd w:id="1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4" o:spid="_x0000_s1027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1312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0" w:name="bookmark4"/>
                      <w:bookmarkEnd w:id="0"/>
                      <w:bookmarkStart w:id="1" w:name="bookmark5"/>
                      <w:bookmarkEnd w:id="1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484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2016</w:t>
      </w:r>
    </w:p>
    <w:p>
      <w:pPr>
        <w:pStyle w:val="BodyText"/>
        <w:spacing w:line="346" w:lineRule="auto"/>
      </w:pPr>
    </w:p>
    <w:p>
      <w:pPr>
        <w:pStyle w:val="BodyText"/>
        <w:spacing w:line="347" w:lineRule="auto"/>
      </w:pPr>
    </w:p>
    <w:p>
      <w:pPr>
        <w:spacing w:before="95" w:line="209" w:lineRule="auto"/>
        <w:ind w:left="4033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24"/>
          <w:sz w:val="29"/>
          <w:szCs w:val="29"/>
        </w:rPr>
        <w:t>目</w:t>
      </w:r>
      <w:r>
        <w:rPr>
          <w:rFonts w:ascii="SimHei" w:eastAsia="SimHei" w:hAnsi="SimHei" w:cs="SimHei"/>
          <w:spacing w:val="19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24"/>
          <w:sz w:val="29"/>
          <w:szCs w:val="29"/>
        </w:rPr>
        <w:t>次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sdt>
      <w:sdtPr>
        <w:rPr>
          <w:rFonts w:ascii="Microsoft YaHei" w:eastAsia="Microsoft YaHei" w:hAnsi="Microsoft YaHei" w:cs="Microsoft YaHei"/>
          <w:sz w:val="19"/>
          <w:szCs w:val="19"/>
        </w:rPr>
        <w:id w:val="927482470"/>
        <w:docPartObj>
          <w:docPartGallery w:val="Table of Contents"/>
          <w:docPartUnique/>
        </w:docPartObj>
      </w:sdtPr>
      <w:sdtEndPr>
        <w:rPr>
          <w:rFonts w:ascii="Microsoft YaHei" w:eastAsia="Microsoft YaHei" w:hAnsi="Microsoft YaHei" w:cs="Microsoft YaHei"/>
          <w:sz w:val="19"/>
          <w:szCs w:val="19"/>
        </w:rPr>
      </w:sdtEndPr>
      <w:sdtContent>
        <w:p>
          <w:pPr>
            <w:tabs>
              <w:tab w:val="right" w:leader="dot" w:pos="9202"/>
            </w:tabs>
            <w:spacing w:before="81" w:line="182" w:lineRule="auto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0"/>
              <w:sz w:val="19"/>
              <w:szCs w:val="19"/>
            </w:rPr>
            <w:t>前言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position w:val="-2"/>
              <w:sz w:val="19"/>
              <w:szCs w:val="19"/>
            </w:rPr>
            <w:t>Ⅲ</w:t>
          </w:r>
        </w:p>
        <w:p>
          <w:pPr>
            <w:tabs>
              <w:tab w:val="right" w:leader="dot" w:pos="9252"/>
            </w:tabs>
            <w:spacing w:before="100" w:line="180" w:lineRule="auto"/>
            <w:ind w:left="7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7"/>
              <w:position w:val="-2"/>
              <w:sz w:val="19"/>
              <w:szCs w:val="19"/>
            </w:rPr>
            <w:t xml:space="preserve">1   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>范围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2"/>
            </w:tabs>
            <w:spacing w:before="99" w:line="181" w:lineRule="auto"/>
            <w:ind w:left="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2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 xml:space="preserve">规范性引用文件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2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2"/>
            </w:tabs>
            <w:spacing w:before="102" w:line="181" w:lineRule="auto"/>
            <w:ind w:left="4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3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术语和定义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3" w:history="1">
            <w:r>
              <w:rPr>
                <w:rFonts w:ascii="Microsoft YaHei" w:eastAsia="Microsoft YaHei" w:hAnsi="Microsoft YaHei" w:cs="Microsoft YaHei"/>
                <w:spacing w:val="17"/>
                <w:position w:val="-2"/>
                <w:sz w:val="19"/>
                <w:szCs w:val="19"/>
              </w:rPr>
              <w:t>1</w:t>
            </w:r>
          </w:hyperlink>
        </w:p>
        <w:p>
          <w:pPr>
            <w:tabs>
              <w:tab w:val="right" w:leader="dot" w:pos="9252"/>
            </w:tabs>
            <w:spacing w:before="102" w:line="181" w:lineRule="auto"/>
            <w:ind w:left="1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4"/>
              <w:position w:val="-2"/>
              <w:sz w:val="19"/>
              <w:szCs w:val="19"/>
            </w:rPr>
            <w:t>4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4"/>
              <w:sz w:val="19"/>
              <w:szCs w:val="19"/>
            </w:rPr>
            <w:t>分类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4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99" w:line="183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5"/>
              <w:position w:val="-2"/>
              <w:sz w:val="19"/>
              <w:szCs w:val="19"/>
            </w:rPr>
            <w:t>5</w:t>
          </w:r>
          <w:r>
            <w:rPr>
              <w:rFonts w:ascii="Microsoft YaHei" w:eastAsia="Microsoft YaHei" w:hAnsi="Microsoft YaHei" w:cs="Microsoft YaHei"/>
              <w:spacing w:val="4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5"/>
              <w:sz w:val="19"/>
              <w:szCs w:val="19"/>
            </w:rPr>
            <w:t>计量要求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5" w:history="1">
            <w:r>
              <w:rPr>
                <w:rFonts w:ascii="Microsoft YaHei" w:eastAsia="Microsoft YaHei" w:hAnsi="Microsoft YaHei" w:cs="Microsoft YaHei"/>
                <w:spacing w:val="21"/>
                <w:position w:val="-2"/>
                <w:sz w:val="19"/>
                <w:szCs w:val="19"/>
              </w:rPr>
              <w:t>2</w:t>
            </w:r>
          </w:hyperlink>
        </w:p>
        <w:p>
          <w:pPr>
            <w:tabs>
              <w:tab w:val="right" w:leader="dot" w:pos="9252"/>
            </w:tabs>
            <w:spacing w:before="98" w:line="183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3"/>
              <w:position w:val="-2"/>
              <w:sz w:val="19"/>
              <w:szCs w:val="19"/>
            </w:rPr>
            <w:t>6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3"/>
              <w:sz w:val="19"/>
              <w:szCs w:val="19"/>
            </w:rPr>
            <w:t xml:space="preserve">要求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6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3</w:t>
            </w:r>
          </w:hyperlink>
        </w:p>
        <w:p>
          <w:pPr>
            <w:tabs>
              <w:tab w:val="right" w:leader="dot" w:pos="9255"/>
            </w:tabs>
            <w:spacing w:before="101" w:line="179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7</w:t>
          </w:r>
          <w:r>
            <w:rPr>
              <w:rFonts w:ascii="Microsoft YaHei" w:eastAsia="Microsoft YaHei" w:hAnsi="Microsoft YaHei" w:cs="Microsoft YaHei"/>
              <w:spacing w:val="2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试验方法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8"/>
              <w:sz w:val="19"/>
              <w:szCs w:val="19"/>
            </w:rPr>
            <w:t xml:space="preserve">  </w:t>
          </w:r>
          <w:hyperlink w:anchor="bookmark7" w:history="1">
            <w:r>
              <w:rPr>
                <w:rFonts w:ascii="Microsoft YaHei" w:eastAsia="Microsoft YaHei" w:hAnsi="Microsoft YaHei" w:cs="Microsoft YaHei"/>
                <w:spacing w:val="20"/>
                <w:position w:val="-2"/>
                <w:sz w:val="19"/>
                <w:szCs w:val="19"/>
              </w:rPr>
              <w:t>6</w:t>
            </w:r>
          </w:hyperlink>
        </w:p>
        <w:p>
          <w:pPr>
            <w:tabs>
              <w:tab w:val="right" w:leader="dot" w:pos="9255"/>
            </w:tabs>
            <w:spacing w:before="102" w:line="180" w:lineRule="auto"/>
            <w:ind w:left="3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16"/>
              <w:position w:val="-2"/>
              <w:sz w:val="19"/>
              <w:szCs w:val="19"/>
            </w:rPr>
            <w:t>8</w:t>
          </w:r>
          <w:r>
            <w:rPr>
              <w:rFonts w:ascii="Microsoft YaHei" w:eastAsia="Microsoft YaHei" w:hAnsi="Microsoft YaHei" w:cs="Microsoft YaHei"/>
              <w:spacing w:val="3"/>
              <w:position w:val="-2"/>
              <w:sz w:val="19"/>
              <w:szCs w:val="19"/>
            </w:rPr>
            <w:t xml:space="preserve">   </w:t>
          </w:r>
          <w:r>
            <w:rPr>
              <w:rFonts w:ascii="Microsoft YaHei" w:eastAsia="Microsoft YaHei" w:hAnsi="Microsoft YaHei" w:cs="Microsoft YaHei"/>
              <w:spacing w:val="16"/>
              <w:sz w:val="19"/>
              <w:szCs w:val="19"/>
            </w:rPr>
            <w:t>检验规则</w:t>
          </w:r>
          <w:r>
            <w:rPr>
              <w:rFonts w:ascii="Microsoft YaHei" w:eastAsia="Microsoft YaHei" w:hAnsi="Microsoft YaHei" w:cs="Microsoft YaHei"/>
              <w:spacing w:val="12"/>
              <w:sz w:val="19"/>
              <w:szCs w:val="19"/>
            </w:rPr>
            <w:t xml:space="preserve"> 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</w:t>
          </w:r>
          <w:hyperlink w:anchor="bookmark8" w:history="1">
            <w:r>
              <w:rPr>
                <w:rFonts w:ascii="Microsoft YaHei" w:eastAsia="Microsoft YaHei" w:hAnsi="Microsoft YaHei" w:cs="Microsoft YaHei"/>
                <w:spacing w:val="23"/>
                <w:position w:val="-2"/>
                <w:sz w:val="19"/>
                <w:szCs w:val="19"/>
              </w:rPr>
              <w:t>8</w:t>
            </w:r>
          </w:hyperlink>
        </w:p>
        <w:p>
          <w:pPr>
            <w:tabs>
              <w:tab w:val="right" w:leader="dot" w:pos="9252"/>
            </w:tabs>
            <w:spacing w:before="102" w:line="182" w:lineRule="auto"/>
            <w:ind w:left="5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-3"/>
              <w:position w:val="-2"/>
              <w:sz w:val="19"/>
              <w:szCs w:val="19"/>
            </w:rPr>
            <w:t xml:space="preserve">9  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标志</w:t>
          </w:r>
          <w:r>
            <w:rPr>
              <w:rFonts w:ascii="Microsoft YaHei" w:eastAsia="Microsoft YaHei" w:hAnsi="Microsoft YaHei" w:cs="Microsoft YaHei"/>
              <w:spacing w:val="-24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、包装</w:t>
          </w:r>
          <w:r>
            <w:rPr>
              <w:rFonts w:ascii="Microsoft YaHei" w:eastAsia="Microsoft YaHei" w:hAnsi="Microsoft YaHei" w:cs="Microsoft YaHei"/>
              <w:spacing w:val="-29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pacing w:val="-3"/>
              <w:sz w:val="19"/>
              <w:szCs w:val="19"/>
            </w:rPr>
            <w:t>、运输和贮存</w:t>
          </w:r>
          <w:r>
            <w:rPr>
              <w:rFonts w:ascii="Microsoft YaHei" w:eastAsia="Microsoft YaHei" w:hAnsi="Microsoft YaHei" w:cs="Microsoft YaHei"/>
              <w:spacing w:val="-25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9" w:history="1">
            <w:r>
              <w:rPr>
                <w:rFonts w:ascii="Microsoft YaHei" w:eastAsia="Microsoft YaHei" w:hAnsi="Microsoft YaHei" w:cs="Microsoft YaHei"/>
                <w:spacing w:val="5"/>
                <w:position w:val="-2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2"/>
              <w:sz w:val="19"/>
              <w:szCs w:val="19"/>
            </w:rPr>
            <w:t>0</w:t>
          </w:r>
        </w:p>
        <w:p>
          <w:pPr>
            <w:tabs>
              <w:tab w:val="right" w:leader="dot" w:pos="9252"/>
            </w:tabs>
            <w:spacing w:before="98" w:line="179" w:lineRule="auto"/>
            <w:ind w:left="1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>附录 A(资料性附录)</w:t>
          </w:r>
          <w:r>
            <w:rPr>
              <w:rFonts w:ascii="Microsoft YaHei" w:eastAsia="Microsoft YaHei" w:hAnsi="Microsoft YaHei" w:cs="Microsoft YaHei"/>
              <w:spacing w:val="7"/>
              <w:sz w:val="19"/>
              <w:szCs w:val="19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 xml:space="preserve">通信接口要求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0" w:history="1">
            <w:r>
              <w:rPr>
                <w:rFonts w:ascii="Microsoft YaHei" w:eastAsia="Microsoft YaHei" w:hAnsi="Microsoft YaHei" w:cs="Microsoft YaHei"/>
                <w:spacing w:val="5"/>
                <w:position w:val="-2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2"/>
              <w:sz w:val="19"/>
              <w:szCs w:val="19"/>
            </w:rPr>
            <w:t>1</w:t>
          </w:r>
        </w:p>
        <w:p>
          <w:pPr>
            <w:tabs>
              <w:tab w:val="right" w:leader="dot" w:pos="9252"/>
            </w:tabs>
            <w:spacing w:before="103" w:line="178" w:lineRule="auto"/>
            <w:ind w:left="12"/>
            <w:rPr>
              <w:rFonts w:ascii="Microsoft YaHei" w:eastAsia="Microsoft YaHei" w:hAnsi="Microsoft YaHei" w:cs="Microsoft YaHei"/>
              <w:sz w:val="19"/>
              <w:szCs w:val="19"/>
            </w:rPr>
          </w:pP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>附录 B(规范性附录)</w:t>
          </w:r>
          <w:r>
            <w:rPr>
              <w:rFonts w:ascii="Microsoft YaHei" w:eastAsia="Microsoft YaHei" w:hAnsi="Microsoft YaHei" w:cs="Microsoft YaHei"/>
              <w:spacing w:val="5"/>
              <w:sz w:val="19"/>
              <w:szCs w:val="19"/>
            </w:rPr>
            <w:t xml:space="preserve">    </w:t>
          </w:r>
          <w:r>
            <w:rPr>
              <w:rFonts w:ascii="Microsoft YaHei" w:eastAsia="Microsoft YaHei" w:hAnsi="Microsoft YaHei" w:cs="Microsoft YaHei"/>
              <w:spacing w:val="20"/>
              <w:sz w:val="19"/>
              <w:szCs w:val="19"/>
            </w:rPr>
            <w:t>本地结算水表的金额结算试验</w:t>
          </w:r>
          <w:r>
            <w:rPr>
              <w:rFonts w:ascii="Microsoft YaHei" w:eastAsia="Microsoft YaHei" w:hAnsi="Microsoft YaHei" w:cs="Microsoft YaHei"/>
              <w:spacing w:val="41"/>
              <w:sz w:val="19"/>
              <w:szCs w:val="19"/>
            </w:rPr>
            <w:t xml:space="preserve"> </w:t>
          </w:r>
          <w:r>
            <w:rPr>
              <w:rFonts w:ascii="Microsoft YaHei" w:eastAsia="Microsoft YaHei" w:hAnsi="Microsoft YaHei" w:cs="Microsoft YaHei"/>
              <w:sz w:val="19"/>
              <w:szCs w:val="19"/>
            </w:rPr>
            <w:tab/>
          </w:r>
          <w:r>
            <w:rPr>
              <w:rFonts w:ascii="Microsoft YaHei" w:eastAsia="Microsoft YaHei" w:hAnsi="Microsoft YaHei" w:cs="Microsoft YaHei"/>
              <w:spacing w:val="9"/>
              <w:sz w:val="19"/>
              <w:szCs w:val="19"/>
            </w:rPr>
            <w:t xml:space="preserve">  </w:t>
          </w:r>
          <w:hyperlink w:anchor="bookmark11" w:history="1">
            <w:r>
              <w:rPr>
                <w:rFonts w:ascii="Microsoft YaHei" w:eastAsia="Microsoft YaHei" w:hAnsi="Microsoft YaHei" w:cs="Microsoft YaHei"/>
                <w:spacing w:val="5"/>
                <w:position w:val="-2"/>
                <w:sz w:val="19"/>
                <w:szCs w:val="19"/>
              </w:rPr>
              <w:t>1</w:t>
            </w:r>
          </w:hyperlink>
          <w:r>
            <w:rPr>
              <w:rFonts w:ascii="Microsoft YaHei" w:eastAsia="Microsoft YaHei" w:hAnsi="Microsoft YaHei" w:cs="Microsoft YaHei"/>
              <w:spacing w:val="5"/>
              <w:position w:val="-2"/>
              <w:sz w:val="19"/>
              <w:szCs w:val="19"/>
            </w:rPr>
            <w:t>2</w:t>
          </w:r>
        </w:p>
      </w:sdtContent>
    </w:sdt>
    <w:p>
      <w:pPr>
        <w:spacing w:line="178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5"/>
          <w:pgSz w:w="11906" w:h="16838"/>
          <w:pgMar w:top="1255" w:right="1297" w:bottom="1462" w:left="1352" w:header="0" w:footer="1276" w:gutter="0"/>
          <w:pgNumType w:start="5"/>
          <w:cols w:space="708"/>
        </w:sectPr>
      </w:pPr>
    </w:p>
    <w:p>
      <w:pPr>
        <w:spacing w:before="35" w:line="163" w:lineRule="auto"/>
        <w:ind w:right="21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4384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6" name="TextBox 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2" w:name="bookmark6"/>
                            <w:bookmarkEnd w:id="2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6" o:spid="_x0000_s1028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3360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2" w:name="bookmark6"/>
                      <w:bookmarkEnd w:id="2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484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2016</w:t>
      </w:r>
    </w:p>
    <w:p>
      <w:pPr>
        <w:pStyle w:val="BodyText"/>
        <w:spacing w:line="347" w:lineRule="auto"/>
      </w:pPr>
    </w:p>
    <w:p>
      <w:pPr>
        <w:pStyle w:val="BodyText"/>
        <w:spacing w:line="348" w:lineRule="auto"/>
      </w:pPr>
    </w:p>
    <w:p>
      <w:pPr>
        <w:spacing w:before="95" w:line="207" w:lineRule="auto"/>
        <w:ind w:left="3992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4"/>
          <w:sz w:val="29"/>
          <w:szCs w:val="29"/>
        </w:rPr>
        <w:t>前</w:t>
      </w:r>
      <w:r>
        <w:rPr>
          <w:rFonts w:ascii="SimHei" w:eastAsia="SimHei" w:hAnsi="SimHei" w:cs="SimHei"/>
          <w:spacing w:val="21"/>
          <w:sz w:val="29"/>
          <w:szCs w:val="29"/>
        </w:rPr>
        <w:t xml:space="preserve">    </w:t>
      </w:r>
      <w:r>
        <w:rPr>
          <w:rFonts w:ascii="SimHei" w:eastAsia="SimHei" w:hAnsi="SimHei" w:cs="SimHei"/>
          <w:spacing w:val="-4"/>
          <w:sz w:val="29"/>
          <w:szCs w:val="29"/>
        </w:rPr>
        <w:t>言</w:t>
      </w: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spacing w:before="82" w:line="174" w:lineRule="auto"/>
        <w:ind w:left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 xml:space="preserve">本标准按照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/T1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2009给出的规则起草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spacing w:before="54" w:line="182" w:lineRule="auto"/>
        <w:ind w:left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本标准由住房和城乡建设部标准定额研究所提出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67" w:line="183" w:lineRule="auto"/>
        <w:ind w:left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本标准由住房和城乡建设部建筑给水排水标准化技术委员会归口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68" w:line="219" w:lineRule="auto"/>
        <w:ind w:right="77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本标准起草单位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:西安旌旗电子股份有限公司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、三川智慧科技股份有限公司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、杭州竞达电子有限公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、湖南威铭能源科技有限公司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、浙江华立利源仪表有限公司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、国家水表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质量监督检验中心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、福建智恒电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子新技术有限公司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、北京京源水仪器仪表有限公司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、新天科技股份有限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、南昌水业集团福兴能源管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控有限公司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、湖南常德牌水表制造有限公司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、深圳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市华旭科技开发有限公司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。</w:t>
      </w:r>
    </w:p>
    <w:p>
      <w:pPr>
        <w:spacing w:before="67" w:line="207" w:lineRule="auto"/>
        <w:ind w:left="4" w:firstLine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本标准主要起草人 :郭永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林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、赵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运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航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、张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志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平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、杜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东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峰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、王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湘 明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、朱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亮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、李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友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德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、胡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刚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、曹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世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来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、胡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博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1"/>
          <w:w w:val="99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8"/>
          <w:sz w:val="19"/>
          <w:szCs w:val="19"/>
        </w:rPr>
        <w:t>张洪军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8"/>
          <w:sz w:val="19"/>
          <w:szCs w:val="19"/>
        </w:rPr>
        <w:t>、李贵生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8"/>
          <w:sz w:val="19"/>
          <w:szCs w:val="19"/>
        </w:rPr>
        <w:t>、王文进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8"/>
          <w:sz w:val="19"/>
          <w:szCs w:val="19"/>
        </w:rPr>
        <w:t>、费战波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8"/>
          <w:sz w:val="19"/>
          <w:szCs w:val="19"/>
        </w:rPr>
        <w:t>、李文珍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8"/>
          <w:sz w:val="19"/>
          <w:szCs w:val="19"/>
        </w:rPr>
        <w:t>、刘华亮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8"/>
          <w:sz w:val="19"/>
          <w:szCs w:val="19"/>
        </w:rPr>
        <w:t>、王成芳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8"/>
          <w:sz w:val="19"/>
          <w:szCs w:val="19"/>
        </w:rPr>
        <w:t>、陈勇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8"/>
          <w:w w:val="98"/>
          <w:sz w:val="19"/>
          <w:szCs w:val="19"/>
        </w:rPr>
        <w:t>。</w:t>
      </w:r>
    </w:p>
    <w:p>
      <w:pPr>
        <w:spacing w:line="207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6"/>
          <w:pgSz w:w="11906" w:h="16838"/>
          <w:pgMar w:top="1255" w:right="1271" w:bottom="1462" w:left="1353" w:header="0" w:footer="1275" w:gutter="0"/>
          <w:pgNumType w:start="6"/>
          <w:cols w:space="708"/>
        </w:sectPr>
      </w:pPr>
    </w:p>
    <w:p>
      <w:pPr>
        <w:spacing w:before="35" w:line="163" w:lineRule="auto"/>
        <w:ind w:right="21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484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2016</w:t>
      </w:r>
    </w:p>
    <w:p>
      <w:pPr>
        <w:pStyle w:val="BodyText"/>
        <w:spacing w:line="351" w:lineRule="auto"/>
      </w:pPr>
    </w:p>
    <w:p>
      <w:pPr>
        <w:pStyle w:val="BodyText"/>
        <w:spacing w:line="351" w:lineRule="auto"/>
      </w:pPr>
    </w:p>
    <w:p>
      <w:pPr>
        <w:spacing w:before="94" w:line="207" w:lineRule="auto"/>
        <w:ind w:left="3386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spacing w:val="-7"/>
          <w:sz w:val="29"/>
          <w:szCs w:val="29"/>
        </w:rPr>
        <w:t>阶</w:t>
      </w:r>
      <w:r>
        <w:rPr>
          <w:rFonts w:ascii="SimHei" w:eastAsia="SimHei" w:hAnsi="SimHei" w:cs="SimHei"/>
          <w:spacing w:val="3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7"/>
          <w:sz w:val="29"/>
          <w:szCs w:val="29"/>
        </w:rPr>
        <w:t>梯</w:t>
      </w:r>
      <w:r>
        <w:rPr>
          <w:rFonts w:ascii="SimHei" w:eastAsia="SimHei" w:hAnsi="SimHei" w:cs="SimHei"/>
          <w:spacing w:val="39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7"/>
          <w:sz w:val="29"/>
          <w:szCs w:val="29"/>
        </w:rPr>
        <w:t>水</w:t>
      </w:r>
      <w:r>
        <w:rPr>
          <w:rFonts w:ascii="SimHei" w:eastAsia="SimHei" w:hAnsi="SimHei" w:cs="SimHei"/>
          <w:spacing w:val="43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7"/>
          <w:sz w:val="29"/>
          <w:szCs w:val="29"/>
        </w:rPr>
        <w:t>价</w:t>
      </w:r>
      <w:r>
        <w:rPr>
          <w:rFonts w:ascii="SimHei" w:eastAsia="SimHei" w:hAnsi="SimHei" w:cs="SimHei"/>
          <w:spacing w:val="40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7"/>
          <w:sz w:val="29"/>
          <w:szCs w:val="29"/>
        </w:rPr>
        <w:t>水</w:t>
      </w:r>
      <w:r>
        <w:rPr>
          <w:rFonts w:ascii="SimHei" w:eastAsia="SimHei" w:hAnsi="SimHei" w:cs="SimHei"/>
          <w:spacing w:val="42"/>
          <w:sz w:val="29"/>
          <w:szCs w:val="29"/>
        </w:rPr>
        <w:t xml:space="preserve"> </w:t>
      </w:r>
      <w:r>
        <w:rPr>
          <w:rFonts w:ascii="SimHei" w:eastAsia="SimHei" w:hAnsi="SimHei" w:cs="SimHei"/>
          <w:spacing w:val="-7"/>
          <w:sz w:val="29"/>
          <w:szCs w:val="29"/>
        </w:rPr>
        <w:t>表</w:t>
      </w:r>
    </w:p>
    <w:p>
      <w:pPr>
        <w:pStyle w:val="BodyText"/>
        <w:spacing w:line="302" w:lineRule="auto"/>
      </w:pPr>
    </w:p>
    <w:p>
      <w:pPr>
        <w:pStyle w:val="BodyText"/>
        <w:spacing w:line="302" w:lineRule="auto"/>
      </w:pPr>
    </w:p>
    <w:p>
      <w:pPr>
        <w:spacing w:before="82" w:line="191" w:lineRule="auto"/>
        <w:ind w:left="24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5"/>
          <w:sz w:val="19"/>
          <w:szCs w:val="19"/>
        </w:rPr>
        <w:t>范围</w:t>
      </w:r>
    </w:p>
    <w:p>
      <w:pPr>
        <w:pStyle w:val="BodyText"/>
        <w:spacing w:line="284" w:lineRule="auto"/>
      </w:pPr>
    </w:p>
    <w:p>
      <w:pPr>
        <w:spacing w:before="81" w:line="208" w:lineRule="auto"/>
        <w:ind w:left="4" w:firstLine="41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本标准规定了阶梯水价水表的术语和定义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、分类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、计量要求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、要求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、试验方法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、检验规则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、标志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、包装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2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运输和贮存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。</w:t>
      </w:r>
    </w:p>
    <w:p>
      <w:pPr>
        <w:spacing w:before="68" w:line="200" w:lineRule="auto"/>
        <w:ind w:left="8" w:right="77" w:firstLine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 xml:space="preserve">本标准适用于符合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 xml:space="preserve">2007和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/T778.</w:t>
      </w:r>
      <w:r>
        <w:rPr>
          <w:rFonts w:ascii="Microsoft YaHei" w:eastAsia="Microsoft YaHei" w:hAnsi="Microsoft YaHei" w:cs="Microsoft YaHei"/>
          <w:spacing w:val="-2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2007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并具有周期用量计量和分段结算功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能的水表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。</w:t>
      </w:r>
    </w:p>
    <w:p>
      <w:pPr>
        <w:pStyle w:val="BodyText"/>
        <w:spacing w:line="305" w:lineRule="auto"/>
      </w:pPr>
    </w:p>
    <w:p>
      <w:pPr>
        <w:spacing w:before="82" w:line="19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4"/>
          <w:sz w:val="19"/>
          <w:szCs w:val="19"/>
        </w:rPr>
        <w:t>规范性引用文件</w:t>
      </w:r>
    </w:p>
    <w:p>
      <w:pPr>
        <w:pStyle w:val="BodyText"/>
        <w:spacing w:line="275" w:lineRule="auto"/>
      </w:pPr>
    </w:p>
    <w:p>
      <w:pPr>
        <w:spacing w:before="81" w:line="206" w:lineRule="auto"/>
        <w:ind w:left="4" w:right="77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下列文件对于本文件的应用是必不可少的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。凡是注日期的引用文件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,仅注日期的版本适用于本文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件</w:t>
      </w:r>
      <w:r>
        <w:rPr>
          <w:rFonts w:ascii="Microsoft YaHei" w:eastAsia="Microsoft YaHei" w:hAnsi="Microsoft YaHei" w:cs="Microsoft YaHei"/>
          <w:spacing w:val="-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。凡是不注日期的引用文件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,其最新版本(包括所有的修改单)适用于本文件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74" w:line="176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3"/>
          <w:position w:val="-1"/>
          <w:sz w:val="19"/>
          <w:szCs w:val="19"/>
        </w:rPr>
        <w:t>/T191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3"/>
          <w:sz w:val="19"/>
          <w:szCs w:val="19"/>
        </w:rPr>
        <w:t>包装储运图示标志</w:t>
      </w:r>
    </w:p>
    <w:p>
      <w:pPr>
        <w:spacing w:before="56" w:line="188" w:lineRule="auto"/>
        <w:ind w:left="20" w:right="77" w:firstLine="40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7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 xml:space="preserve">2007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封闭满管道中水流量的测量    饮用冷水水表和热水水表    第</w:t>
      </w:r>
      <w:r>
        <w:rPr>
          <w:rFonts w:ascii="Microsoft YaHei" w:eastAsia="Microsoft YaHei" w:hAnsi="Microsoft YaHei" w:cs="Microsoft YaHei"/>
          <w:spacing w:val="31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1部</w:t>
      </w:r>
      <w:r>
        <w:rPr>
          <w:rFonts w:ascii="Microsoft YaHei" w:eastAsia="Microsoft YaHei" w:hAnsi="Microsoft YaHei" w:cs="Microsoft YaHei"/>
          <w:spacing w:val="-2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分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-30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规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范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(</w:t>
      </w:r>
      <w:r>
        <w:rPr>
          <w:rFonts w:ascii="Microsoft YaHei" w:eastAsia="Microsoft YaHei" w:hAnsi="Microsoft YaHei" w:cs="Microsoft YaHei"/>
          <w:sz w:val="19"/>
          <w:szCs w:val="19"/>
        </w:rPr>
        <w:t>ISO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4064-1</w:t>
      </w:r>
      <w:r>
        <w:rPr>
          <w:rFonts w:ascii="Microsoft YaHei" w:eastAsia="Microsoft YaHei" w:hAnsi="Microsoft YaHei" w:cs="Microsoft YaHei"/>
          <w:spacing w:val="18"/>
          <w:position w:val="2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2005</w:t>
      </w:r>
      <w:r>
        <w:rPr>
          <w:rFonts w:ascii="Microsoft YaHei" w:eastAsia="Microsoft YaHei" w:hAnsi="Microsoft YaHei" w:cs="Microsoft YaHei"/>
          <w:spacing w:val="18"/>
          <w:position w:val="2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>IDT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)</w:t>
      </w:r>
    </w:p>
    <w:p>
      <w:pPr>
        <w:spacing w:before="73" w:line="194" w:lineRule="auto"/>
        <w:ind w:left="4" w:right="77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2007</w:t>
      </w: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封闭满管道中水流量的测量   饮用冷水水表和热水水表    第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3部分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试验方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法和试验设备(</w:t>
      </w:r>
      <w:r>
        <w:rPr>
          <w:rFonts w:ascii="Microsoft YaHei" w:eastAsia="Microsoft YaHei" w:hAnsi="Microsoft YaHei" w:cs="Microsoft YaHei"/>
          <w:sz w:val="19"/>
          <w:szCs w:val="19"/>
        </w:rPr>
        <w:t>ISO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4064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-3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2005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>IDT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)</w:t>
      </w:r>
    </w:p>
    <w:p>
      <w:pPr>
        <w:spacing w:before="55" w:line="197" w:lineRule="auto"/>
        <w:ind w:left="10" w:right="66" w:firstLine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/T2423.8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电工电子产品环境试验   第 2部分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 xml:space="preserve">试验方法    试验 </w:t>
      </w:r>
      <w:r>
        <w:rPr>
          <w:rFonts w:ascii="Microsoft YaHei" w:eastAsia="Microsoft YaHei" w:hAnsi="Microsoft YaHei" w:cs="Microsoft YaHei"/>
          <w:sz w:val="19"/>
          <w:szCs w:val="19"/>
        </w:rPr>
        <w:t>Ed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 xml:space="preserve">: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自由跌落(</w:t>
      </w:r>
      <w:r>
        <w:rPr>
          <w:rFonts w:ascii="Microsoft YaHei" w:eastAsia="Microsoft YaHei" w:hAnsi="Microsoft YaHei" w:cs="Microsoft YaHei"/>
          <w:sz w:val="19"/>
          <w:szCs w:val="19"/>
        </w:rPr>
        <w:t>idtIEC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68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-</w:t>
      </w:r>
      <w:r>
        <w:rPr>
          <w:rFonts w:ascii="Microsoft YaHei" w:eastAsia="Microsoft YaHei" w:hAnsi="Microsoft YaHei" w:cs="Microsoft YaHei"/>
          <w:spacing w:val="14"/>
          <w:position w:val="-1"/>
          <w:sz w:val="19"/>
          <w:szCs w:val="19"/>
        </w:rPr>
        <w:t>2-32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1990)</w:t>
      </w:r>
    </w:p>
    <w:p>
      <w:pPr>
        <w:spacing w:before="85" w:line="171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27"/>
          <w:position w:val="-1"/>
          <w:sz w:val="19"/>
          <w:szCs w:val="19"/>
        </w:rPr>
        <w:t>4208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7"/>
          <w:sz w:val="19"/>
          <w:szCs w:val="19"/>
        </w:rPr>
        <w:t>外壳防护等级(</w:t>
      </w:r>
      <w:r>
        <w:rPr>
          <w:rFonts w:ascii="Microsoft YaHei" w:eastAsia="Microsoft YaHei" w:hAnsi="Microsoft YaHei" w:cs="Microsoft YaHei"/>
          <w:sz w:val="19"/>
          <w:szCs w:val="19"/>
        </w:rPr>
        <w:t>IP</w:t>
      </w:r>
      <w:r>
        <w:rPr>
          <w:rFonts w:ascii="Microsoft YaHei" w:eastAsia="Microsoft YaHei" w:hAnsi="Microsoft YaHei" w:cs="Microsoft YaHei"/>
          <w:spacing w:val="27"/>
          <w:sz w:val="19"/>
          <w:szCs w:val="19"/>
        </w:rPr>
        <w:t>代码)(</w:t>
      </w:r>
      <w:r>
        <w:rPr>
          <w:rFonts w:ascii="Microsoft YaHei" w:eastAsia="Microsoft YaHei" w:hAnsi="Microsoft YaHei" w:cs="Microsoft YaHei"/>
          <w:sz w:val="19"/>
          <w:szCs w:val="19"/>
        </w:rPr>
        <w:t>IEC</w:t>
      </w:r>
      <w:r>
        <w:rPr>
          <w:rFonts w:ascii="Microsoft YaHei" w:eastAsia="Microsoft YaHei" w:hAnsi="Microsoft YaHei" w:cs="Microsoft YaHei"/>
          <w:spacing w:val="27"/>
          <w:sz w:val="19"/>
          <w:szCs w:val="19"/>
        </w:rPr>
        <w:t>60529</w:t>
      </w:r>
      <w:r>
        <w:rPr>
          <w:rFonts w:ascii="Microsoft YaHei" w:eastAsia="Microsoft YaHei" w:hAnsi="Microsoft YaHei" w:cs="Microsoft YaHei"/>
          <w:spacing w:val="27"/>
          <w:position w:val="1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27"/>
          <w:position w:val="-1"/>
          <w:sz w:val="19"/>
          <w:szCs w:val="19"/>
        </w:rPr>
        <w:t>2001</w:t>
      </w:r>
      <w:r>
        <w:rPr>
          <w:rFonts w:ascii="Microsoft YaHei" w:eastAsia="Microsoft YaHei" w:hAnsi="Microsoft YaHei" w:cs="Microsoft YaHei"/>
          <w:spacing w:val="27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z w:val="19"/>
          <w:szCs w:val="19"/>
        </w:rPr>
        <w:t>IDT</w:t>
      </w:r>
      <w:r>
        <w:rPr>
          <w:rFonts w:ascii="Microsoft YaHei" w:eastAsia="Microsoft YaHei" w:hAnsi="Microsoft YaHei" w:cs="Microsoft YaHei"/>
          <w:spacing w:val="27"/>
          <w:sz w:val="19"/>
          <w:szCs w:val="19"/>
        </w:rPr>
        <w:t>)</w:t>
      </w:r>
    </w:p>
    <w:p>
      <w:pPr>
        <w:spacing w:before="63" w:line="187" w:lineRule="auto"/>
        <w:ind w:left="5" w:right="77" w:firstLine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/T5080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7</w:t>
      </w:r>
      <w:r>
        <w:rPr>
          <w:rFonts w:ascii="Microsoft YaHei" w:eastAsia="Microsoft YaHei" w:hAnsi="Microsoft YaHei" w:cs="Microsoft YaHei"/>
          <w:spacing w:val="17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0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1986</w:t>
      </w:r>
      <w:r>
        <w:rPr>
          <w:rFonts w:ascii="Microsoft YaHei" w:eastAsia="Microsoft YaHei" w:hAnsi="Microsoft YaHei" w:cs="Microsoft YaHei"/>
          <w:spacing w:val="2"/>
          <w:position w:val="-2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设备可靠性试验   恒定失效率假设下的失效率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与平均无故障时间的验证试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验方案(</w:t>
      </w:r>
      <w:r>
        <w:rPr>
          <w:rFonts w:ascii="Microsoft YaHei" w:eastAsia="Microsoft YaHei" w:hAnsi="Microsoft YaHei" w:cs="Microsoft YaHei"/>
          <w:sz w:val="19"/>
          <w:szCs w:val="19"/>
        </w:rPr>
        <w:t>idtIEC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605</w:t>
      </w:r>
      <w:r>
        <w:rPr>
          <w:rFonts w:ascii="Microsoft YaHei" w:eastAsia="Microsoft YaHei" w:hAnsi="Microsoft YaHei" w:cs="Microsoft YaHei"/>
          <w:spacing w:val="21"/>
          <w:position w:val="-1"/>
          <w:sz w:val="19"/>
          <w:szCs w:val="19"/>
        </w:rPr>
        <w:t>-7</w:t>
      </w:r>
      <w:r>
        <w:rPr>
          <w:rFonts w:ascii="Microsoft YaHei" w:eastAsia="Microsoft YaHei" w:hAnsi="Microsoft YaHei" w:cs="Microsoft YaHei"/>
          <w:spacing w:val="21"/>
          <w:position w:val="2"/>
          <w:sz w:val="19"/>
          <w:szCs w:val="19"/>
        </w:rPr>
        <w:t>: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>1978)</w:t>
      </w:r>
    </w:p>
    <w:p>
      <w:pPr>
        <w:spacing w:before="58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6432" behindDoc="0" locked="0" layoutInCell="1" allowOverlap="1">
                <wp:simplePos x="0" y="0"/>
                <wp:positionH relativeFrom="column">
                  <wp:posOffset>2642200</wp:posOffset>
                </wp:positionH>
                <wp:positionV relativeFrom="paragraph">
                  <wp:posOffset>-98203</wp:posOffset>
                </wp:positionV>
                <wp:extent cx="158114" cy="240665"/>
                <wp:effectExtent l="0" t="0" r="0" b="0"/>
                <wp:wrapNone/>
                <wp:docPr id="8" name="TextBox 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42200" y="-98203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8" o:spid="_x0000_s1029" type="#_x0000_t202" style="width:12.45pt;height:18.95pt;margin-top:-7.73pt;margin-left:208.05pt;mso-wrap-distance-bottom:0;mso-wrap-distance-left:0;mso-wrap-distance-right:0;mso-wrap-distance-top:0;position:absolute;rotation:300;v-text-anchor:top;z-index:251665408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/T13384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机电产品包装通用技术条件</w:t>
      </w:r>
    </w:p>
    <w:p>
      <w:pPr>
        <w:spacing w:before="25" w:line="20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>/T17219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生活饮用水输配水设备及防护材料的安全性评价标准</w:t>
      </w:r>
    </w:p>
    <w:p>
      <w:pPr>
        <w:spacing w:before="30"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25"/>
          <w:position w:val="-1"/>
          <w:sz w:val="19"/>
          <w:szCs w:val="19"/>
        </w:rPr>
        <w:t>/T166</w:t>
      </w:r>
      <w:r>
        <w:rPr>
          <w:rFonts w:ascii="Microsoft YaHei" w:eastAsia="Microsoft YaHei" w:hAnsi="Microsoft YaHei" w:cs="Microsoft YaHei"/>
          <w:spacing w:val="3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>建设事业集成电路(</w:t>
      </w:r>
      <w:r>
        <w:rPr>
          <w:rFonts w:ascii="Microsoft YaHei" w:eastAsia="Microsoft YaHei" w:hAnsi="Microsoft YaHei" w:cs="Microsoft YaHei"/>
          <w:sz w:val="19"/>
          <w:szCs w:val="19"/>
        </w:rPr>
        <w:t>IC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>)卡应用技术条件</w:t>
      </w:r>
    </w:p>
    <w:p>
      <w:pPr>
        <w:spacing w:before="65" w:line="226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22"/>
          <w:position w:val="-1"/>
          <w:sz w:val="19"/>
          <w:szCs w:val="19"/>
        </w:rPr>
        <w:t>/T188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2"/>
          <w:sz w:val="19"/>
          <w:szCs w:val="19"/>
        </w:rPr>
        <w:t>户用计量仪表数据传输技术条件</w:t>
      </w:r>
    </w:p>
    <w:p>
      <w:pPr>
        <w:spacing w:line="178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19"/>
          <w:position w:val="-1"/>
          <w:sz w:val="19"/>
          <w:szCs w:val="19"/>
        </w:rPr>
        <w:t xml:space="preserve">/T224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电子远传水表</w:t>
      </w:r>
    </w:p>
    <w:p>
      <w:pPr>
        <w:spacing w:before="64" w:line="227" w:lineRule="auto"/>
        <w:ind w:left="41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JB</w:t>
      </w:r>
      <w:r>
        <w:rPr>
          <w:rFonts w:ascii="Microsoft YaHei" w:eastAsia="Microsoft YaHei" w:hAnsi="Microsoft YaHei" w:cs="Microsoft YaHei"/>
          <w:spacing w:val="17"/>
          <w:position w:val="-1"/>
          <w:sz w:val="19"/>
          <w:szCs w:val="19"/>
        </w:rPr>
        <w:t>/T9329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仪器仪表运输   运输贮存    基本环境条件及试验方法</w:t>
      </w:r>
    </w:p>
    <w:p>
      <w:pPr>
        <w:spacing w:before="1" w:line="175" w:lineRule="auto"/>
        <w:ind w:left="424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7"/>
          <w:pgSz w:w="11906" w:h="16838"/>
          <w:pgMar w:top="1255" w:right="1271" w:bottom="1448" w:left="1349" w:header="0" w:footer="1260" w:gutter="0"/>
          <w:pgNumType w:start="7"/>
          <w:cols w:space="708"/>
        </w:sect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SJ</w:t>
      </w:r>
      <w:r>
        <w:rPr>
          <w:rFonts w:ascii="Microsoft YaHei" w:eastAsia="Microsoft YaHei" w:hAnsi="Microsoft YaHei" w:cs="Microsoft YaHei"/>
          <w:spacing w:val="25"/>
          <w:position w:val="-1"/>
          <w:sz w:val="19"/>
          <w:szCs w:val="19"/>
        </w:rPr>
        <w:t>/T11166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>集成电路卡(</w:t>
      </w:r>
      <w:r>
        <w:rPr>
          <w:rFonts w:ascii="Microsoft YaHei" w:eastAsia="Microsoft YaHei" w:hAnsi="Microsoft YaHei" w:cs="Microsoft YaHei"/>
          <w:sz w:val="19"/>
          <w:szCs w:val="19"/>
        </w:rPr>
        <w:t>IC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>卡)插座总规范</w:t>
      </w:r>
    </w:p>
    <w:p>
      <w:pPr>
        <w:pStyle w:val="BodyText"/>
        <w:spacing w:line="304" w:lineRule="auto"/>
      </w:pPr>
    </w:p>
    <w:p>
      <w:pPr>
        <w:spacing w:before="82" w:line="193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3   </w:t>
      </w:r>
      <w:r>
        <w:rPr>
          <w:rFonts w:ascii="SimHei" w:eastAsia="SimHei" w:hAnsi="SimHei" w:cs="SimHei"/>
          <w:spacing w:val="12"/>
          <w:sz w:val="19"/>
          <w:szCs w:val="19"/>
        </w:rPr>
        <w:t>术语和定义</w:t>
      </w:r>
    </w:p>
    <w:p>
      <w:pPr>
        <w:pStyle w:val="BodyText"/>
        <w:spacing w:line="279" w:lineRule="auto"/>
      </w:pPr>
    </w:p>
    <w:p>
      <w:pPr>
        <w:spacing w:before="82" w:line="235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/T778.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5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2007确立的以及下列术语和定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义适用于本文件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position w:val="1"/>
          <w:sz w:val="19"/>
          <w:szCs w:val="19"/>
        </w:rPr>
        <w:t>。</w:t>
      </w:r>
    </w:p>
    <w:p>
      <w:pPr>
        <w:spacing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3.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4"/>
          <w:sz w:val="19"/>
          <w:szCs w:val="19"/>
        </w:rPr>
        <w:t>1</w:t>
      </w:r>
    </w:p>
    <w:p>
      <w:pPr>
        <w:spacing w:before="67" w:line="163" w:lineRule="auto"/>
        <w:ind w:left="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6"/>
          <w:position w:val="1"/>
          <w:sz w:val="19"/>
          <w:szCs w:val="19"/>
        </w:rPr>
        <w:t>阶梯水价水表</w:t>
      </w:r>
      <w:r>
        <w:rPr>
          <w:rFonts w:ascii="Microsoft YaHei" w:eastAsia="Microsoft YaHei" w:hAnsi="Microsoft YaHei" w:cs="Microsoft YaHei"/>
          <w:spacing w:val="26"/>
          <w:position w:val="1"/>
          <w:sz w:val="19"/>
          <w:szCs w:val="19"/>
        </w:rPr>
        <w:t>(</w:t>
      </w:r>
      <w:r>
        <w:rPr>
          <w:rFonts w:ascii="SimHei" w:eastAsia="SimHei" w:hAnsi="SimHei" w:cs="SimHei"/>
          <w:spacing w:val="26"/>
          <w:position w:val="1"/>
          <w:sz w:val="19"/>
          <w:szCs w:val="19"/>
        </w:rPr>
        <w:t>以下简称水表</w:t>
      </w:r>
      <w:r>
        <w:rPr>
          <w:rFonts w:ascii="Microsoft YaHei" w:eastAsia="Microsoft YaHei" w:hAnsi="Microsoft YaHei" w:cs="Microsoft YaHei"/>
          <w:spacing w:val="26"/>
          <w:position w:val="1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2"/>
          <w:position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step</w:t>
      </w:r>
      <w:r>
        <w:rPr>
          <w:rFonts w:ascii="Microsoft YaHei" w:eastAsia="Microsoft YaHei" w:hAnsi="Microsoft YaHei" w:cs="Microsoft YaHei"/>
          <w:spacing w:val="-1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tariffing</w:t>
      </w:r>
      <w:r>
        <w:rPr>
          <w:rFonts w:ascii="Microsoft YaHei" w:eastAsia="Microsoft YaHei" w:hAnsi="Microsoft YaHei" w:cs="Microsoft YaHei"/>
          <w:spacing w:val="-3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watermeter</w:t>
      </w:r>
    </w:p>
    <w:p>
      <w:pPr>
        <w:spacing w:before="69" w:line="338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11"/>
          <w:sz w:val="19"/>
          <w:szCs w:val="19"/>
        </w:rPr>
        <w:t>具有周期用量计量功能</w:t>
      </w:r>
      <w:r>
        <w:rPr>
          <w:rFonts w:ascii="Microsoft YaHei" w:eastAsia="Microsoft YaHei" w:hAnsi="Microsoft YaHei" w:cs="Microsoft YaHei"/>
          <w:spacing w:val="-8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1"/>
          <w:sz w:val="19"/>
          <w:szCs w:val="19"/>
        </w:rPr>
        <w:t>,或同时具有阶梯水价结算功能</w:t>
      </w:r>
      <w:r>
        <w:rPr>
          <w:rFonts w:ascii="Microsoft YaHei" w:eastAsia="Microsoft YaHei" w:hAnsi="Microsoft YaHei" w:cs="Microsoft YaHei"/>
          <w:spacing w:val="17"/>
          <w:position w:val="11"/>
          <w:sz w:val="19"/>
          <w:szCs w:val="19"/>
        </w:rPr>
        <w:t>的水表</w:t>
      </w:r>
      <w:r>
        <w:rPr>
          <w:rFonts w:ascii="Microsoft YaHei" w:eastAsia="Microsoft YaHei" w:hAnsi="Microsoft YaHei" w:cs="Microsoft YaHei"/>
          <w:spacing w:val="-26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1"/>
          <w:sz w:val="19"/>
          <w:szCs w:val="19"/>
        </w:rPr>
        <w:t>。</w:t>
      </w:r>
    </w:p>
    <w:p>
      <w:pPr>
        <w:spacing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3.2</w:t>
      </w:r>
    </w:p>
    <w:p>
      <w:pPr>
        <w:spacing w:before="69" w:line="227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4"/>
          <w:position w:val="1"/>
          <w:sz w:val="19"/>
          <w:szCs w:val="19"/>
        </w:rPr>
        <w:t>周期用量</w:t>
      </w:r>
      <w:r>
        <w:rPr>
          <w:rFonts w:ascii="SimHei" w:eastAsia="SimHei" w:hAnsi="SimHei" w:cs="SimHei"/>
          <w:spacing w:val="1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cycleofconsumption</w:t>
      </w:r>
    </w:p>
    <w:p>
      <w:pPr>
        <w:spacing w:before="1" w:line="181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结算周期内的实际用水量</w:t>
      </w:r>
      <w:r>
        <w:rPr>
          <w:rFonts w:ascii="Microsoft YaHei" w:eastAsia="Microsoft YaHei" w:hAnsi="Microsoft YaHei" w:cs="Microsoft YaHei"/>
          <w:spacing w:val="-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line="181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8"/>
          <w:type w:val="nextPage"/>
          <w:pgSz w:w="11906" w:h="16838"/>
          <w:pgMar w:top="1255" w:right="1271" w:bottom="1448" w:left="1349" w:header="0" w:footer="1260" w:gutter="0"/>
          <w:pgNumType w:start="8"/>
          <w:cols w:space="708"/>
          <w:titlePg w:val="0"/>
        </w:sectPr>
      </w:pPr>
    </w:p>
    <w:p>
      <w:pPr>
        <w:spacing w:before="35" w:line="163" w:lineRule="auto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68480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0" name="TextBox 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0" o:spid="_x0000_s1030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67456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484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2016</w:t>
      </w:r>
    </w:p>
    <w:p>
      <w:pPr>
        <w:pStyle w:val="BodyText"/>
        <w:spacing w:line="242" w:lineRule="auto"/>
      </w:pPr>
    </w:p>
    <w:p>
      <w:pPr>
        <w:spacing w:before="81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3.3</w:t>
      </w:r>
    </w:p>
    <w:p>
      <w:pPr>
        <w:spacing w:before="62" w:line="175" w:lineRule="auto"/>
        <w:ind w:left="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25"/>
          <w:position w:val="1"/>
          <w:sz w:val="19"/>
          <w:szCs w:val="19"/>
        </w:rPr>
        <w:t>阶梯水量</w:t>
      </w:r>
      <w:r>
        <w:rPr>
          <w:rFonts w:ascii="SimHei" w:eastAsia="SimHei" w:hAnsi="SimHei" w:cs="SimHei"/>
          <w:spacing w:val="18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step</w:t>
      </w:r>
      <w:r>
        <w:rPr>
          <w:rFonts w:ascii="Microsoft YaHei" w:eastAsia="Microsoft YaHei" w:hAnsi="Microsoft YaHei" w:cs="Microsoft YaHei"/>
          <w:spacing w:val="-18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waterquantity</w:t>
      </w:r>
    </w:p>
    <w:p>
      <w:pPr>
        <w:spacing w:before="71" w:line="337" w:lineRule="exact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11"/>
          <w:sz w:val="19"/>
          <w:szCs w:val="19"/>
        </w:rPr>
        <w:t>在一个结算周期内</w:t>
      </w:r>
      <w:r>
        <w:rPr>
          <w:rFonts w:ascii="Microsoft YaHei" w:eastAsia="Microsoft YaHei" w:hAnsi="Microsoft YaHei" w:cs="Microsoft YaHei"/>
          <w:spacing w:val="-8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1"/>
          <w:sz w:val="19"/>
          <w:szCs w:val="19"/>
        </w:rPr>
        <w:t>,把用水量分为两段或多段</w:t>
      </w:r>
      <w:r>
        <w:rPr>
          <w:rFonts w:ascii="Microsoft YaHei" w:eastAsia="Microsoft YaHei" w:hAnsi="Microsoft YaHei" w:cs="Microsoft YaHei"/>
          <w:spacing w:val="-9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9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1"/>
          <w:sz w:val="19"/>
          <w:szCs w:val="19"/>
        </w:rPr>
        <w:t>区分相邻两段的用水量值</w:t>
      </w:r>
      <w:r>
        <w:rPr>
          <w:rFonts w:ascii="Microsoft YaHei" w:eastAsia="Microsoft YaHei" w:hAnsi="Microsoft YaHei" w:cs="Microsoft YaHei"/>
          <w:spacing w:val="-26"/>
          <w:position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11"/>
          <w:sz w:val="19"/>
          <w:szCs w:val="19"/>
        </w:rPr>
        <w:t>。</w:t>
      </w:r>
    </w:p>
    <w:p>
      <w:pPr>
        <w:spacing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3.4</w:t>
      </w:r>
    </w:p>
    <w:p>
      <w:pPr>
        <w:spacing w:before="64" w:line="174" w:lineRule="auto"/>
        <w:ind w:left="43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33"/>
          <w:position w:val="1"/>
          <w:sz w:val="19"/>
          <w:szCs w:val="19"/>
        </w:rPr>
        <w:t>阶梯水价</w:t>
      </w:r>
      <w:r>
        <w:rPr>
          <w:rFonts w:ascii="SimHei" w:eastAsia="SimHei" w:hAnsi="SimHei" w:cs="SimHei"/>
          <w:spacing w:val="17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step</w:t>
      </w:r>
      <w:r>
        <w:rPr>
          <w:rFonts w:ascii="Microsoft YaHei" w:eastAsia="Microsoft YaHei" w:hAnsi="Microsoft YaHei" w:cs="Microsoft YaHei"/>
          <w:spacing w:val="-1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tariff</w:t>
      </w:r>
    </w:p>
    <w:p>
      <w:pPr>
        <w:spacing w:before="73" w:line="207" w:lineRule="auto"/>
        <w:ind w:left="5" w:firstLine="41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在一个结算周期内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,把用水量分为两段或多段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,该分段对应的单位水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价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。单位水价在分段内保持不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变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,但是随分段不同而变化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89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3.5</w:t>
      </w:r>
    </w:p>
    <w:p>
      <w:pPr>
        <w:spacing w:before="59" w:line="177" w:lineRule="auto"/>
        <w:ind w:left="43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11"/>
          <w:position w:val="1"/>
          <w:sz w:val="19"/>
          <w:szCs w:val="19"/>
        </w:rPr>
        <w:t>结算日</w:t>
      </w:r>
      <w:r>
        <w:rPr>
          <w:rFonts w:ascii="SimHei" w:eastAsia="SimHei" w:hAnsi="SimHei" w:cs="SimHei"/>
          <w:spacing w:val="17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settlementday</w:t>
      </w:r>
    </w:p>
    <w:p>
      <w:pPr>
        <w:spacing w:before="72" w:line="183" w:lineRule="auto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一个结算周期的结束时间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89" w:line="172" w:lineRule="auto"/>
        <w:ind w:left="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3.6</w:t>
      </w:r>
    </w:p>
    <w:p>
      <w:pPr>
        <w:spacing w:before="65" w:line="186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SimHei" w:eastAsia="SimHei" w:hAnsi="SimHei" w:cs="SimHei"/>
          <w:spacing w:val="5"/>
          <w:position w:val="1"/>
          <w:sz w:val="19"/>
          <w:szCs w:val="19"/>
        </w:rPr>
        <w:t>通信接口</w:t>
      </w:r>
      <w:r>
        <w:rPr>
          <w:rFonts w:ascii="SimHei" w:eastAsia="SimHei" w:hAnsi="SimHei" w:cs="SimHei"/>
          <w:spacing w:val="19"/>
          <w:position w:val="1"/>
          <w:sz w:val="19"/>
          <w:szCs w:val="19"/>
        </w:rPr>
        <w:t xml:space="preserve">  </w:t>
      </w:r>
      <w:r>
        <w:rPr>
          <w:rFonts w:ascii="Microsoft YaHei" w:eastAsia="Microsoft YaHei" w:hAnsi="Microsoft YaHei" w:cs="Microsoft YaHei"/>
          <w:sz w:val="19"/>
          <w:szCs w:val="19"/>
        </w:rPr>
        <w:t>communication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z w:val="19"/>
          <w:szCs w:val="19"/>
        </w:rPr>
        <w:t>interface</w:t>
      </w:r>
    </w:p>
    <w:p>
      <w:pPr>
        <w:spacing w:before="55" w:line="194" w:lineRule="auto"/>
        <w:ind w:left="20" w:firstLine="401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水表和管理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系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统 间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数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据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交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互 的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接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口 ,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包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含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远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传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接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口 (如</w:t>
      </w:r>
      <w:r>
        <w:rPr>
          <w:rFonts w:ascii="Microsoft YaHei" w:eastAsia="Microsoft YaHei" w:hAnsi="Microsoft YaHei" w:cs="Microsoft YaHei"/>
          <w:spacing w:val="4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M</w:t>
      </w:r>
      <w:r>
        <w:rPr>
          <w:rFonts w:ascii="Microsoft YaHei" w:eastAsia="Microsoft YaHei" w:hAnsi="Microsoft YaHei" w:cs="Microsoft YaHei"/>
          <w:spacing w:val="-1"/>
          <w:position w:val="-2"/>
          <w:sz w:val="19"/>
          <w:szCs w:val="19"/>
        </w:rPr>
        <w:t>-BUS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-1"/>
          <w:position w:val="-2"/>
          <w:sz w:val="19"/>
          <w:szCs w:val="19"/>
        </w:rPr>
        <w:t>RS-485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、无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线</w:t>
      </w:r>
      <w:r>
        <w:rPr>
          <w:rFonts w:ascii="Microsoft YaHei" w:eastAsia="Microsoft YaHei" w:hAnsi="Microsoft YaHei" w:cs="Microsoft YaHei"/>
          <w:spacing w:val="-1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等) 和</w:t>
      </w:r>
      <w:r>
        <w:rPr>
          <w:rFonts w:ascii="Microsoft YaHei" w:eastAsia="Microsoft YaHei" w:hAnsi="Microsoft YaHei" w:cs="Microsoft YaHei"/>
          <w:spacing w:val="-1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卡</w:t>
      </w:r>
      <w:r>
        <w:rPr>
          <w:rFonts w:ascii="Microsoft YaHei" w:eastAsia="Microsoft YaHei" w:hAnsi="Microsoft YaHei" w:cs="Microsoft YaHei"/>
          <w:spacing w:val="-1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式</w:t>
      </w:r>
      <w:r>
        <w:rPr>
          <w:rFonts w:ascii="Microsoft YaHei" w:eastAsia="Microsoft YaHei" w:hAnsi="Microsoft YaHei" w:cs="Microsoft YaHei"/>
          <w:spacing w:val="-1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接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>口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(</w:t>
      </w:r>
      <w:r>
        <w:rPr>
          <w:rFonts w:ascii="Microsoft YaHei" w:eastAsia="Microsoft YaHei" w:hAnsi="Microsoft YaHei" w:cs="Microsoft YaHei"/>
          <w:sz w:val="19"/>
          <w:szCs w:val="19"/>
        </w:rPr>
        <w:t>IC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卡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、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 xml:space="preserve">非接触式 </w:t>
      </w:r>
      <w:r>
        <w:rPr>
          <w:rFonts w:ascii="Microsoft YaHei" w:eastAsia="Microsoft YaHei" w:hAnsi="Microsoft YaHei" w:cs="Microsoft YaHei"/>
          <w:sz w:val="19"/>
          <w:szCs w:val="19"/>
        </w:rPr>
        <w:t>IC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卡等)</w:t>
      </w:r>
      <w:r>
        <w:rPr>
          <w:rFonts w:ascii="Microsoft YaHei" w:eastAsia="Microsoft YaHei" w:hAnsi="Microsoft YaHei" w:cs="Microsoft YaHei"/>
          <w:spacing w:val="-1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。</w:t>
      </w:r>
    </w:p>
    <w:p>
      <w:pPr>
        <w:pStyle w:val="BodyText"/>
        <w:spacing w:line="307" w:lineRule="auto"/>
      </w:pPr>
    </w:p>
    <w:p>
      <w:pPr>
        <w:spacing w:before="82" w:line="188" w:lineRule="auto"/>
        <w:ind w:left="1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4   </w:t>
      </w:r>
      <w:r>
        <w:rPr>
          <w:rFonts w:ascii="SimHei" w:eastAsia="SimHei" w:hAnsi="SimHei" w:cs="SimHei"/>
          <w:spacing w:val="9"/>
          <w:sz w:val="19"/>
          <w:szCs w:val="19"/>
        </w:rPr>
        <w:t>分类</w:t>
      </w:r>
    </w:p>
    <w:p>
      <w:pPr>
        <w:pStyle w:val="BodyText"/>
        <w:spacing w:line="286" w:lineRule="auto"/>
      </w:pPr>
    </w:p>
    <w:p>
      <w:pPr>
        <w:spacing w:before="82" w:line="182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水表按结算方式分为以下两类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:</w:t>
      </w:r>
    </w:p>
    <w:p>
      <w:pPr>
        <w:spacing w:before="66" w:line="217" w:lineRule="auto"/>
        <w:ind w:left="424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4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远程结算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:水表仅实现周期用量计量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,分段结算在收费系统中实现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;</w:t>
      </w:r>
    </w:p>
    <w:p>
      <w:pPr>
        <w:spacing w:line="178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b)   本地结算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:水表同时实现周期用量计量和分段结算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pStyle w:val="BodyText"/>
        <w:spacing w:line="308" w:lineRule="auto"/>
      </w:pPr>
    </w:p>
    <w:p>
      <w:pPr>
        <w:spacing w:before="83" w:line="193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position w:val="-2"/>
          <w:sz w:val="19"/>
          <w:szCs w:val="19"/>
        </w:rPr>
        <w:t>5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6"/>
          <w:sz w:val="19"/>
          <w:szCs w:val="19"/>
        </w:rPr>
        <w:t>计量要求</w:t>
      </w:r>
    </w:p>
    <w:p>
      <w:pPr>
        <w:spacing w:before="36"/>
      </w:pPr>
    </w:p>
    <w:p>
      <w:pPr>
        <w:sectPr>
          <w:footerReference w:type="default" r:id="rId9"/>
          <w:pgSz w:w="11906" w:h="16838"/>
          <w:pgMar w:top="1255" w:right="1349" w:bottom="1448" w:left="1349" w:header="0" w:footer="1260" w:gutter="0"/>
          <w:pgNumType w:start="9"/>
          <w:cols w:num="1" w:space="708" w:equalWidth="0">
            <w:col w:w="9207" w:space="0"/>
          </w:cols>
        </w:sectPr>
      </w:pPr>
    </w:p>
    <w:p>
      <w:pPr>
        <w:spacing w:before="36" w:line="18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>5.</w:t>
      </w:r>
      <w:r>
        <w:rPr>
          <w:rFonts w:ascii="Microsoft YaHei" w:eastAsia="Microsoft YaHei" w:hAnsi="Microsoft YaHei" w:cs="Microsoft YaHei"/>
          <w:spacing w:val="-9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6"/>
          <w:sz w:val="19"/>
          <w:szCs w:val="19"/>
        </w:rPr>
        <w:t>计量特性</w:t>
      </w:r>
    </w:p>
    <w:p>
      <w:pPr>
        <w:spacing w:before="213" w:line="477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031" type="#_x0000_t202" style="width:29.35pt;height:14.75pt;margin-top:9.74pt;margin-left:143.87pt;position:absolute;z-index:251673600" filled="f" stroked="f">
            <o:lock v:ext="edit" aspectratio="f"/>
            <v:textbox inset="0,0,0,0">
              <w:txbxContent>
                <w:p>
                  <w:pPr>
                    <w:spacing w:before="19" w:line="180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6"/>
                      <w:sz w:val="19"/>
                      <w:szCs w:val="19"/>
                    </w:rPr>
                    <w:t>中</w:t>
                  </w:r>
                  <w:r>
                    <w:rPr>
                      <w:rFonts w:ascii="Microsoft YaHei" w:eastAsia="Microsoft YaHei" w:hAnsi="Microsoft YaHei" w:cs="Microsoft YaHei"/>
                      <w:spacing w:val="2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sz w:val="19"/>
                      <w:szCs w:val="19"/>
                    </w:rPr>
                    <w:t>5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position w:val="-1"/>
                      <w:sz w:val="19"/>
                      <w:szCs w:val="19"/>
                    </w:rPr>
                    <w:t>.</w:t>
                  </w:r>
                  <w:r>
                    <w:rPr>
                      <w:rFonts w:ascii="Microsoft YaHei" w:eastAsia="Microsoft YaHei" w:hAnsi="Microsoft YaHei" w:cs="Microsoft YaHei"/>
                      <w:spacing w:val="-24"/>
                      <w:position w:val="-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6"/>
                      <w:position w:val="-1"/>
                      <w:sz w:val="19"/>
                      <w:szCs w:val="19"/>
                    </w:rPr>
                    <w:t>1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position w:val="22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8"/>
          <w:position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0"/>
          <w:position w:val="24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2007</w:t>
      </w:r>
    </w:p>
    <w:p>
      <w:pPr>
        <w:spacing w:line="192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position w:val="-2"/>
          <w:sz w:val="19"/>
          <w:szCs w:val="19"/>
        </w:rPr>
        <w:t xml:space="preserve">5.2   </w:t>
      </w:r>
      <w:r>
        <w:rPr>
          <w:rFonts w:ascii="SimHei" w:eastAsia="SimHei" w:hAnsi="SimHei" w:cs="SimHei"/>
          <w:spacing w:val="12"/>
          <w:sz w:val="19"/>
          <w:szCs w:val="19"/>
        </w:rPr>
        <w:t>最大允许误差</w:t>
      </w:r>
    </w:p>
    <w:p>
      <w:pPr>
        <w:spacing w:before="205" w:line="473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032" type="#_x0000_t202" style="width:29.35pt;height:14.75pt;margin-top:9.36pt;margin-left:143.87pt;position:absolute;z-index:251672576" filled="f" stroked="f">
            <o:lock v:ext="edit" aspectratio="f"/>
            <v:textbox inset="0,0,0,0">
              <w:txbxContent>
                <w:p>
                  <w:pPr>
                    <w:spacing w:before="19" w:line="180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5"/>
                      <w:sz w:val="19"/>
                      <w:szCs w:val="19"/>
                    </w:rPr>
                    <w:t>中</w:t>
                  </w:r>
                  <w:r>
                    <w:rPr>
                      <w:rFonts w:ascii="Microsoft YaHei" w:eastAsia="Microsoft YaHei" w:hAnsi="Microsoft YaHei" w:cs="Microsoft YaHei"/>
                      <w:spacing w:val="2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sz w:val="19"/>
                      <w:szCs w:val="19"/>
                    </w:rPr>
                    <w:t>5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position w:val="-1"/>
                      <w:sz w:val="19"/>
                      <w:szCs w:val="19"/>
                    </w:rPr>
                    <w:t>.</w:t>
                  </w:r>
                  <w:r>
                    <w:rPr>
                      <w:rFonts w:ascii="Microsoft YaHei" w:eastAsia="Microsoft YaHei" w:hAnsi="Microsoft YaHei" w:cs="Microsoft YaHei"/>
                      <w:spacing w:val="-28"/>
                      <w:position w:val="-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position w:val="-1"/>
                      <w:sz w:val="19"/>
                      <w:szCs w:val="19"/>
                    </w:rPr>
                    <w:t>2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position w:val="22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8"/>
          <w:position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0"/>
          <w:position w:val="24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2007</w:t>
      </w:r>
    </w:p>
    <w:p>
      <w:pPr>
        <w:spacing w:before="1" w:line="198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5.3</w:t>
      </w: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5"/>
          <w:sz w:val="19"/>
          <w:szCs w:val="19"/>
        </w:rPr>
        <w:t>零流量积算读数</w:t>
      </w:r>
    </w:p>
    <w:p>
      <w:pPr>
        <w:spacing w:before="200" w:line="475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033" type="#_x0000_t202" style="width:29.35pt;height:14.75pt;margin-top:9.14pt;margin-left:143.87pt;position:absolute;z-index:251671552" filled="f" stroked="f">
            <o:lock v:ext="edit" aspectratio="f"/>
            <v:textbox inset="0,0,0,0">
              <w:txbxContent>
                <w:p>
                  <w:pPr>
                    <w:spacing w:before="19" w:line="180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5"/>
                      <w:sz w:val="19"/>
                      <w:szCs w:val="19"/>
                    </w:rPr>
                    <w:t>中</w:t>
                  </w:r>
                  <w:r>
                    <w:rPr>
                      <w:rFonts w:ascii="Microsoft YaHei" w:eastAsia="Microsoft YaHei" w:hAnsi="Microsoft YaHei" w:cs="Microsoft YaHei"/>
                      <w:spacing w:val="2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sz w:val="19"/>
                      <w:szCs w:val="19"/>
                    </w:rPr>
                    <w:t>5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position w:val="-1"/>
                      <w:sz w:val="19"/>
                      <w:szCs w:val="19"/>
                    </w:rPr>
                    <w:t>.</w:t>
                  </w:r>
                  <w:r>
                    <w:rPr>
                      <w:rFonts w:ascii="Microsoft YaHei" w:eastAsia="Microsoft YaHei" w:hAnsi="Microsoft YaHei" w:cs="Microsoft YaHei"/>
                      <w:spacing w:val="-27"/>
                      <w:position w:val="-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position w:val="-1"/>
                      <w:sz w:val="19"/>
                      <w:szCs w:val="19"/>
                    </w:rPr>
                    <w:t>3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position w:val="22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8"/>
          <w:position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0"/>
          <w:position w:val="24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2007</w:t>
      </w:r>
    </w:p>
    <w:p>
      <w:pPr>
        <w:spacing w:before="1" w:line="173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0"/>
          <w:position w:val="-1"/>
          <w:sz w:val="19"/>
          <w:szCs w:val="19"/>
        </w:rPr>
        <w:t>5.4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20"/>
          <w:sz w:val="19"/>
          <w:szCs w:val="19"/>
        </w:rPr>
        <w:t>额定工作条件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(</w:t>
      </w:r>
      <w:r>
        <w:rPr>
          <w:rFonts w:ascii="Microsoft YaHei" w:eastAsia="Microsoft YaHei" w:hAnsi="Microsoft YaHei" w:cs="Microsoft YaHei"/>
          <w:sz w:val="19"/>
          <w:szCs w:val="19"/>
        </w:rPr>
        <w:t>ROC</w:t>
      </w:r>
      <w:r>
        <w:rPr>
          <w:rFonts w:ascii="Microsoft YaHei" w:eastAsia="Microsoft YaHei" w:hAnsi="Microsoft YaHei" w:cs="Microsoft YaHei"/>
          <w:spacing w:val="20"/>
          <w:sz w:val="19"/>
          <w:szCs w:val="19"/>
        </w:rPr>
        <w:t>)</w:t>
      </w:r>
    </w:p>
    <w:p>
      <w:pPr>
        <w:spacing w:before="222" w:line="474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034" type="#_x0000_t202" style="width:29.45pt;height:14.75pt;margin-top:10.27pt;margin-left:143.87pt;position:absolute;z-index:251669504" filled="f" stroked="f">
            <o:lock v:ext="edit" aspectratio="f"/>
            <v:textbox inset="0,0,0,0">
              <w:txbxContent>
                <w:p>
                  <w:pPr>
                    <w:spacing w:before="19" w:line="180" w:lineRule="auto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4"/>
                      <w:sz w:val="19"/>
                      <w:szCs w:val="19"/>
                    </w:rPr>
                    <w:t>中</w:t>
                  </w:r>
                  <w:r>
                    <w:rPr>
                      <w:rFonts w:ascii="Microsoft YaHei" w:eastAsia="Microsoft YaHei" w:hAnsi="Microsoft YaHei" w:cs="Microsoft YaHei"/>
                      <w:spacing w:val="22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sz w:val="19"/>
                      <w:szCs w:val="19"/>
                    </w:rPr>
                    <w:t>5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-1"/>
                      <w:sz w:val="19"/>
                      <w:szCs w:val="19"/>
                    </w:rPr>
                    <w:t>.</w:t>
                  </w:r>
                  <w:r>
                    <w:rPr>
                      <w:rFonts w:ascii="Microsoft YaHei" w:eastAsia="Microsoft YaHei" w:hAnsi="Microsoft YaHei" w:cs="Microsoft YaHei"/>
                      <w:spacing w:val="-30"/>
                      <w:position w:val="-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4"/>
                      <w:position w:val="-1"/>
                      <w:sz w:val="19"/>
                      <w:szCs w:val="19"/>
                    </w:rPr>
                    <w:t>4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position w:val="22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8"/>
          <w:position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0"/>
          <w:position w:val="24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2007</w:t>
      </w:r>
    </w:p>
    <w:p>
      <w:pPr>
        <w:spacing w:before="1" w:line="19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5.5</w:t>
      </w:r>
      <w:r>
        <w:rPr>
          <w:rFonts w:ascii="Microsoft YaHei" w:eastAsia="Microsoft YaHei" w:hAnsi="Microsoft YaHei" w:cs="Microsoft YaHei"/>
          <w:spacing w:val="8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5"/>
          <w:sz w:val="19"/>
          <w:szCs w:val="19"/>
        </w:rPr>
        <w:t>流动剖面敏感度等级</w:t>
      </w:r>
    </w:p>
    <w:p>
      <w:pPr>
        <w:spacing w:before="201" w:line="476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035" type="#_x0000_t202" style="width:29.35pt;height:11.15pt;margin-top:9.18pt;margin-left:143.87pt;position:absolute;z-index:251674624" filled="f" stroked="f">
            <o:lock v:ext="edit" aspectratio="f"/>
            <v:textbox inset="0,0,0,0">
              <w:txbxContent>
                <w:p>
                  <w:pPr>
                    <w:spacing w:before="20" w:line="182" w:lineRule="exact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-1"/>
                      <w:sz w:val="19"/>
                      <w:szCs w:val="19"/>
                    </w:rPr>
                    <w:t>中</w:t>
                  </w:r>
                  <w:r>
                    <w:rPr>
                      <w:rFonts w:ascii="Microsoft YaHei" w:eastAsia="Microsoft YaHei" w:hAnsi="Microsoft YaHei" w:cs="Microsoft YaHei"/>
                      <w:spacing w:val="20"/>
                      <w:position w:val="-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-1"/>
                      <w:sz w:val="19"/>
                      <w:szCs w:val="19"/>
                    </w:rPr>
                    <w:t>55</w:t>
                  </w:r>
                </w:p>
              </w:txbxContent>
            </v:textbox>
          </v:shape>
        </w:pict>
      </w:r>
      <w:r>
        <w:pict>
          <v:shape id="_x0000_s1036" type="#_x0000_t202" style="width:3.7pt;height:7.6pt;margin-top:16.26pt;margin-left:161.43pt;position:absolute;z-index:251676672" filled="f" stroked="f">
            <o:lock v:ext="edit" aspectratio="f"/>
            <v:textbox inset="0,0,0,0">
              <w:txbxContent>
                <w:p>
                  <w:pPr>
                    <w:spacing w:before="20" w:line="111" w:lineRule="exact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position w:val="2"/>
                      <w:sz w:val="19"/>
                      <w:szCs w:val="19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position w:val="22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8"/>
          <w:position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0"/>
          <w:position w:val="24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1"/>
          <w:sz w:val="19"/>
          <w:szCs w:val="19"/>
        </w:rPr>
        <w:t>2007</w:t>
      </w:r>
    </w:p>
    <w:p>
      <w:pPr>
        <w:spacing w:before="1" w:line="193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>5.6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position w:val="1"/>
          <w:sz w:val="19"/>
          <w:szCs w:val="19"/>
        </w:rPr>
        <w:t>其他</w:t>
      </w:r>
    </w:p>
    <w:p>
      <w:pPr>
        <w:spacing w:before="204" w:line="187" w:lineRule="exact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pict>
          <v:shape id="_x0000_s1037" type="#_x0000_t202" style="width:29.45pt;height:11.15pt;margin-top:9.33pt;margin-left:143.87pt;position:absolute;z-index:251670528" filled="f" stroked="f">
            <o:lock v:ext="edit" aspectratio="f"/>
            <v:textbox inset="0,0,0,0">
              <w:txbxContent>
                <w:p>
                  <w:pPr>
                    <w:spacing w:before="20" w:line="182" w:lineRule="exact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-1"/>
                      <w:sz w:val="19"/>
                      <w:szCs w:val="19"/>
                    </w:rPr>
                    <w:t>中</w:t>
                  </w:r>
                  <w:r>
                    <w:rPr>
                      <w:rFonts w:ascii="Microsoft YaHei" w:eastAsia="Microsoft YaHei" w:hAnsi="Microsoft YaHei" w:cs="Microsoft YaHei"/>
                      <w:spacing w:val="21"/>
                      <w:position w:val="-1"/>
                      <w:sz w:val="19"/>
                      <w:szCs w:val="19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19"/>
                      <w:position w:val="-1"/>
                      <w:sz w:val="19"/>
                      <w:szCs w:val="19"/>
                    </w:rPr>
                    <w:t>56</w:t>
                  </w:r>
                </w:p>
              </w:txbxContent>
            </v:textbox>
          </v:shape>
        </w:pict>
      </w:r>
      <w:r>
        <w:pict>
          <v:shape id="_x0000_s1038" type="#_x0000_t202" style="width:3.7pt;height:7.6pt;margin-top:16.41pt;margin-left:161.43pt;position:absolute;z-index:251675648" filled="f" stroked="f">
            <o:lock v:ext="edit" aspectratio="f"/>
            <v:textbox inset="0,0,0,0">
              <w:txbxContent>
                <w:p>
                  <w:pPr>
                    <w:spacing w:before="20" w:line="111" w:lineRule="exact"/>
                    <w:ind w:left="20"/>
                    <w:rPr>
                      <w:rFonts w:ascii="Microsoft YaHei" w:eastAsia="Microsoft YaHei" w:hAnsi="Microsoft YaHei" w:cs="Microsoft YaHei"/>
                      <w:sz w:val="19"/>
                      <w:szCs w:val="19"/>
                    </w:rPr>
                  </w:pPr>
                  <w:r>
                    <w:rPr>
                      <w:rFonts w:ascii="Microsoft YaHei" w:eastAsia="Microsoft YaHei" w:hAnsi="Microsoft YaHei" w:cs="Microsoft YaHei"/>
                      <w:position w:val="2"/>
                      <w:sz w:val="19"/>
                      <w:szCs w:val="19"/>
                    </w:rPr>
                    <w:t>.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position w:val="-1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0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8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2"/>
          <w:sz w:val="19"/>
          <w:szCs w:val="19"/>
        </w:rPr>
        <w:t>2007</w:t>
      </w:r>
    </w:p>
    <w:p>
      <w:pPr>
        <w:pStyle w:val="BodyText"/>
        <w:spacing w:line="14" w:lineRule="auto"/>
        <w:rPr>
          <w:sz w:val="2"/>
        </w:rPr>
        <w:sectPr>
          <w:footerReference w:type="default" r:id="rId10"/>
          <w:type w:val="continuous"/>
          <w:pgSz w:w="11906" w:h="16838"/>
          <w:pgMar w:top="1255" w:right="1349" w:bottom="1448" w:left="1349" w:header="0" w:footer="1260" w:gutter="0"/>
          <w:pgNumType w:start="10"/>
          <w:cols w:num="2" w:space="708" w:equalWidth="0">
            <w:col w:w="3447" w:space="35"/>
            <w:col w:w="5725" w:space="0"/>
          </w:cols>
        </w:sectPr>
      </w:pPr>
      <w:r>
        <w:rPr>
          <w:sz w:val="2"/>
          <w:szCs w:val="2"/>
        </w:rPr>
        <w:br w:type="column"/>
      </w:r>
    </w:p>
    <w:p>
      <w:pPr>
        <w:pStyle w:val="BodyText"/>
        <w:spacing w:line="418" w:lineRule="auto"/>
      </w:pPr>
    </w:p>
    <w:p>
      <w:pPr>
        <w:spacing w:before="82" w:line="181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的规定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。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81" w:line="181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的规定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。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82" w:line="181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的规定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。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81" w:line="181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的规定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。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82" w:line="181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的规定</w:t>
      </w:r>
      <w:r>
        <w:rPr>
          <w:rFonts w:ascii="Microsoft YaHei" w:eastAsia="Microsoft YaHei" w:hAnsi="Microsoft YaHei" w:cs="Microsoft YaHei"/>
          <w:spacing w:val="-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。</w:t>
      </w:r>
    </w:p>
    <w:p>
      <w:pPr>
        <w:pStyle w:val="BodyText"/>
        <w:spacing w:line="306" w:lineRule="auto"/>
      </w:pPr>
    </w:p>
    <w:p>
      <w:pPr>
        <w:pStyle w:val="BodyText"/>
        <w:spacing w:line="306" w:lineRule="auto"/>
      </w:pPr>
    </w:p>
    <w:p>
      <w:pPr>
        <w:spacing w:before="82" w:line="186" w:lineRule="exact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的规定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。</w:t>
      </w:r>
    </w:p>
    <w:p>
      <w:pPr>
        <w:spacing w:line="186" w:lineRule="exact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1"/>
          <w:type w:val="nextPage"/>
          <w:pgSz w:w="11906" w:h="16838"/>
          <w:pgMar w:top="1255" w:right="1349" w:bottom="1448" w:left="1349" w:header="0" w:footer="1260" w:gutter="0"/>
          <w:pgNumType w:start="11"/>
          <w:cols w:num="2" w:space="708" w:equalWidth="0">
            <w:col w:w="3447" w:space="35"/>
            <w:col w:w="5725" w:space="0"/>
          </w:cols>
          <w:titlePg w:val="0"/>
        </w:sectPr>
      </w:pPr>
    </w:p>
    <w:p>
      <w:pPr>
        <w:spacing w:before="35" w:line="163" w:lineRule="auto"/>
        <w:jc w:val="right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78720" behindDoc="0" locked="0" layoutInCell="0" allowOverlap="1">
                <wp:simplePos x="0" y="0"/>
                <wp:positionH relativeFrom="page">
                  <wp:posOffset>3499218</wp:posOffset>
                </wp:positionH>
                <wp:positionV relativeFrom="page">
                  <wp:posOffset>6197284</wp:posOffset>
                </wp:positionV>
                <wp:extent cx="158114" cy="240665"/>
                <wp:effectExtent l="0" t="0" r="0" b="0"/>
                <wp:wrapNone/>
                <wp:docPr id="12" name="TextBox 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3499218" y="6197284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bookmarkStart w:id="3" w:name="bookmark7"/>
                            <w:bookmarkEnd w:id="3"/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2" o:spid="_x0000_s1039" type="#_x0000_t202" style="width:12.45pt;height:18.95pt;margin-top:487.98pt;margin-left:275.53pt;mso-position-horizontal-relative:page;mso-position-vertical-relative:page;mso-wrap-distance-bottom:0;mso-wrap-distance-left:0;mso-wrap-distance-right:0;mso-wrap-distance-top:0;position:absolute;rotation:300;v-text-anchor:top;z-index:251677696" o:allowincell="f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bookmarkStart w:id="3" w:name="bookmark7"/>
                      <w:bookmarkEnd w:id="3"/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6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484</w:t>
      </w:r>
      <w:r>
        <w:rPr>
          <w:rFonts w:ascii="Microsoft YaHei" w:eastAsia="Microsoft YaHei" w:hAnsi="Microsoft YaHei" w:cs="Microsoft YaHei"/>
          <w:spacing w:val="6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1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>2016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81" w:line="188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1"/>
          <w:sz w:val="19"/>
          <w:szCs w:val="19"/>
        </w:rPr>
        <w:t>要求</w:t>
      </w:r>
    </w:p>
    <w:p>
      <w:pPr>
        <w:spacing w:before="320" w:line="18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6.</w:t>
      </w:r>
      <w:r>
        <w:rPr>
          <w:rFonts w:ascii="Microsoft YaHei" w:eastAsia="Microsoft YaHei" w:hAnsi="Microsoft YaHei" w:cs="Microsoft YaHei"/>
          <w:spacing w:val="-5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5"/>
          <w:sz w:val="19"/>
          <w:szCs w:val="19"/>
        </w:rPr>
        <w:t>一般要求</w:t>
      </w:r>
    </w:p>
    <w:p>
      <w:pPr>
        <w:spacing w:before="211" w:line="176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1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2007和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3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2007的规定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。</w:t>
      </w:r>
    </w:p>
    <w:p>
      <w:pPr>
        <w:spacing w:before="222" w:line="188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6.2   </w:t>
      </w:r>
      <w:r>
        <w:rPr>
          <w:rFonts w:ascii="SimHei" w:eastAsia="SimHei" w:hAnsi="SimHei" w:cs="SimHei"/>
          <w:spacing w:val="10"/>
          <w:sz w:val="19"/>
          <w:szCs w:val="19"/>
        </w:rPr>
        <w:t>外观要求</w:t>
      </w:r>
    </w:p>
    <w:p>
      <w:pPr>
        <w:spacing w:before="217" w:line="192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>6.2.</w:t>
      </w:r>
      <w:r>
        <w:rPr>
          <w:rFonts w:ascii="Microsoft YaHei" w:eastAsia="Microsoft YaHei" w:hAnsi="Microsoft YaHei" w:cs="Microsoft YaHei"/>
          <w:spacing w:val="-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2"/>
          <w:position w:val="1"/>
          <w:sz w:val="19"/>
          <w:szCs w:val="19"/>
        </w:rPr>
        <w:t>外观</w:t>
      </w:r>
    </w:p>
    <w:p>
      <w:pPr>
        <w:spacing w:before="205" w:line="183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符合以下要求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:</w:t>
      </w:r>
    </w:p>
    <w:p>
      <w:pPr>
        <w:spacing w:before="68" w:line="179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3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)    应具有良好的表面处理 ,无毛刺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、划痕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、裂纹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、锈蚀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>、霉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斑和涂层剥落现象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19"/>
          <w:szCs w:val="19"/>
        </w:rPr>
        <w:t>;</w:t>
      </w:r>
    </w:p>
    <w:p>
      <w:pPr>
        <w:spacing w:before="52" w:line="480" w:lineRule="exact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position w:val="23"/>
          <w:sz w:val="19"/>
          <w:szCs w:val="19"/>
        </w:rPr>
        <w:t>b)   显示装置上的防护罩应有良好的透明度</w:t>
      </w:r>
      <w:r>
        <w:rPr>
          <w:rFonts w:ascii="Microsoft YaHei" w:eastAsia="Microsoft YaHei" w:hAnsi="Microsoft YaHei" w:cs="Microsoft YaHei"/>
          <w:spacing w:val="2"/>
          <w:position w:val="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23"/>
          <w:sz w:val="19"/>
          <w:szCs w:val="19"/>
        </w:rPr>
        <w:t>,不应有使读数畸变等妨碍读数的缺陷</w:t>
      </w:r>
      <w:r>
        <w:rPr>
          <w:rFonts w:ascii="Microsoft YaHei" w:eastAsia="Microsoft YaHei" w:hAnsi="Microsoft YaHei" w:cs="Microsoft YaHei"/>
          <w:spacing w:val="-26"/>
          <w:position w:val="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position w:val="23"/>
          <w:sz w:val="19"/>
          <w:szCs w:val="19"/>
        </w:rPr>
        <w:t>。</w:t>
      </w:r>
    </w:p>
    <w:p>
      <w:pPr>
        <w:spacing w:before="1" w:line="186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 xml:space="preserve">6.2.2   </w:t>
      </w:r>
      <w:r>
        <w:rPr>
          <w:rFonts w:ascii="SimHei" w:eastAsia="SimHei" w:hAnsi="SimHei" w:cs="SimHei"/>
          <w:spacing w:val="10"/>
          <w:sz w:val="19"/>
          <w:szCs w:val="19"/>
        </w:rPr>
        <w:t>材料和结构</w:t>
      </w:r>
    </w:p>
    <w:p>
      <w:pPr>
        <w:spacing w:before="212" w:line="176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2007中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1的规定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。</w:t>
      </w:r>
    </w:p>
    <w:p>
      <w:pPr>
        <w:spacing w:before="223" w:line="197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-2"/>
          <w:sz w:val="19"/>
          <w:szCs w:val="19"/>
        </w:rPr>
        <w:t>6.2.3</w:t>
      </w:r>
      <w:r>
        <w:rPr>
          <w:rFonts w:ascii="Microsoft YaHei" w:eastAsia="Microsoft YaHei" w:hAnsi="Microsoft YaHei" w:cs="Microsoft YaHei"/>
          <w:spacing w:val="6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4"/>
          <w:sz w:val="19"/>
          <w:szCs w:val="19"/>
        </w:rPr>
        <w:t>检定标记和防护装置</w:t>
      </w:r>
    </w:p>
    <w:p>
      <w:pPr>
        <w:spacing w:before="200" w:line="482" w:lineRule="exact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position w:val="23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position w:val="23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position w:val="23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18"/>
          <w:position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0"/>
          <w:position w:val="24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3"/>
          <w:sz w:val="19"/>
          <w:szCs w:val="19"/>
        </w:rPr>
        <w:t>2007中</w:t>
      </w:r>
      <w:r>
        <w:rPr>
          <w:rFonts w:ascii="Microsoft YaHei" w:eastAsia="Microsoft YaHei" w:hAnsi="Microsoft YaHei" w:cs="Microsoft YaHei"/>
          <w:spacing w:val="21"/>
          <w:position w:val="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3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0"/>
          <w:position w:val="2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30"/>
          <w:position w:val="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3"/>
          <w:sz w:val="19"/>
          <w:szCs w:val="19"/>
        </w:rPr>
        <w:t>4的规定</w:t>
      </w:r>
      <w:r>
        <w:rPr>
          <w:rFonts w:ascii="Microsoft YaHei" w:eastAsia="Microsoft YaHei" w:hAnsi="Microsoft YaHei" w:cs="Microsoft YaHei"/>
          <w:spacing w:val="-26"/>
          <w:position w:val="2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24"/>
          <w:sz w:val="19"/>
          <w:szCs w:val="19"/>
        </w:rPr>
        <w:t>。</w:t>
      </w:r>
    </w:p>
    <w:p>
      <w:pPr>
        <w:spacing w:before="1" w:line="189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>6.2.4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sz w:val="19"/>
          <w:szCs w:val="19"/>
        </w:rPr>
        <w:t>电子封印</w:t>
      </w:r>
    </w:p>
    <w:p>
      <w:pPr>
        <w:spacing w:before="208" w:line="176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4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2007中</w:t>
      </w:r>
      <w:r>
        <w:rPr>
          <w:rFonts w:ascii="Microsoft YaHei" w:eastAsia="Microsoft YaHei" w:hAnsi="Microsoft YaHei" w:cs="Microsoft YaHei"/>
          <w:spacing w:val="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6</w:t>
      </w:r>
      <w:r>
        <w:rPr>
          <w:rFonts w:ascii="Microsoft YaHei" w:eastAsia="Microsoft YaHei" w:hAnsi="Microsoft YaHei" w:cs="Microsoft YaHei"/>
          <w:spacing w:val="10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sz w:val="19"/>
          <w:szCs w:val="19"/>
        </w:rPr>
        <w:t>5的规定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0"/>
          <w:position w:val="1"/>
          <w:sz w:val="19"/>
          <w:szCs w:val="19"/>
        </w:rPr>
        <w:t>。</w:t>
      </w:r>
    </w:p>
    <w:p>
      <w:pPr>
        <w:spacing w:before="223" w:line="192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6.3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特性</w:t>
      </w:r>
    </w:p>
    <w:p>
      <w:pPr>
        <w:spacing w:before="205" w:line="176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sz w:val="19"/>
          <w:szCs w:val="19"/>
        </w:rPr>
        <w:t xml:space="preserve">应符合 </w:t>
      </w:r>
      <w:r>
        <w:rPr>
          <w:rFonts w:ascii="Microsoft YaHei" w:eastAsia="Microsoft YaHei" w:hAnsi="Microsoft YaHei" w:cs="Microsoft YaHei"/>
          <w:sz w:val="19"/>
          <w:szCs w:val="19"/>
        </w:rPr>
        <w:t>GB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/T778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8"/>
          <w:position w:val="1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35"/>
          <w:position w:val="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2007中 4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23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>1~4.</w:t>
      </w:r>
      <w:r>
        <w:rPr>
          <w:rFonts w:ascii="Microsoft YaHei" w:eastAsia="Microsoft YaHei" w:hAnsi="Microsoft YaHei" w:cs="Microsoft YaHei"/>
          <w:spacing w:val="-24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>1.</w:t>
      </w:r>
      <w:r>
        <w:rPr>
          <w:rFonts w:ascii="Microsoft YaHei" w:eastAsia="Microsoft YaHei" w:hAnsi="Microsoft YaHei" w:cs="Microsoft YaHei"/>
          <w:spacing w:val="-2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19"/>
          <w:szCs w:val="19"/>
        </w:rPr>
        <w:t>3的规定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8"/>
          <w:position w:val="1"/>
          <w:sz w:val="19"/>
          <w:szCs w:val="19"/>
        </w:rPr>
        <w:t>。</w:t>
      </w:r>
    </w:p>
    <w:p>
      <w:pPr>
        <w:spacing w:before="223" w:line="195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6.4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功能</w:t>
      </w:r>
    </w:p>
    <w:p>
      <w:pPr>
        <w:spacing w:before="208" w:line="192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>6.4.</w:t>
      </w:r>
      <w:r>
        <w:rPr>
          <w:rFonts w:ascii="Microsoft YaHei" w:eastAsia="Microsoft YaHei" w:hAnsi="Microsoft YaHei" w:cs="Microsoft YaHei"/>
          <w:spacing w:val="-6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2"/>
          <w:position w:val="-1"/>
          <w:sz w:val="19"/>
          <w:szCs w:val="19"/>
        </w:rPr>
        <w:t>1</w:t>
      </w:r>
      <w:r>
        <w:rPr>
          <w:rFonts w:ascii="Microsoft YaHei" w:eastAsia="Microsoft YaHei" w:hAnsi="Microsoft YaHei" w:cs="Microsoft YaHei"/>
          <w:spacing w:val="4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2"/>
          <w:position w:val="1"/>
          <w:sz w:val="19"/>
          <w:szCs w:val="19"/>
        </w:rPr>
        <w:t>计量</w:t>
      </w:r>
    </w:p>
    <w:p>
      <w:pPr>
        <w:spacing w:before="206" w:line="181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水表应同时支持累计用量和周期用量计量</w:t>
      </w:r>
      <w:r>
        <w:rPr>
          <w:rFonts w:ascii="Microsoft YaHei" w:eastAsia="Microsoft YaHei" w:hAnsi="Microsoft YaHei" w:cs="Microsoft YaHei"/>
          <w:spacing w:val="-1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233" w:line="195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>6.4.2</w:t>
      </w: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7"/>
          <w:position w:val="1"/>
          <w:sz w:val="19"/>
          <w:szCs w:val="19"/>
        </w:rPr>
        <w:t>时钟</w:t>
      </w:r>
    </w:p>
    <w:p>
      <w:pPr>
        <w:spacing w:before="204" w:line="183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符合以下要求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:</w:t>
      </w:r>
    </w:p>
    <w:p>
      <w:pPr>
        <w:spacing w:before="67" w:line="172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3"/>
          <w:position w:val="1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在参比温度(23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℃)下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时钟误差应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不大于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±10s/d;</w:t>
      </w:r>
    </w:p>
    <w:p>
      <w:pPr>
        <w:spacing w:before="53" w:line="218" w:lineRule="auto"/>
        <w:ind w:left="423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b)   在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-</w:t>
      </w:r>
      <w:r>
        <w:rPr>
          <w:rFonts w:ascii="Microsoft YaHei" w:eastAsia="Microsoft YaHei" w:hAnsi="Microsoft YaHei" w:cs="Microsoft YaHei"/>
          <w:spacing w:val="-3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25</w:t>
      </w:r>
      <w:r>
        <w:rPr>
          <w:rFonts w:ascii="Microsoft YaHei" w:eastAsia="Microsoft YaHei" w:hAnsi="Microsoft YaHei" w:cs="Microsoft YaHei"/>
          <w:spacing w:val="-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℃</w:t>
      </w:r>
      <w:r>
        <w:rPr>
          <w:rFonts w:ascii="Microsoft YaHei" w:eastAsia="Microsoft YaHei" w:hAnsi="Microsoft YaHei" w:cs="Microsoft YaHei"/>
          <w:spacing w:val="-27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-1"/>
          <w:sz w:val="19"/>
          <w:szCs w:val="19"/>
        </w:rPr>
        <w:t>~</w:t>
      </w:r>
      <w:r>
        <w:rPr>
          <w:rFonts w:ascii="Microsoft YaHei" w:eastAsia="Microsoft YaHei" w:hAnsi="Microsoft YaHei" w:cs="Microsoft YaHei"/>
          <w:spacing w:val="-22"/>
          <w:position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+60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℃内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position w:val="1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时钟误差应不大于</w:t>
      </w:r>
      <w:r>
        <w:rPr>
          <w:rFonts w:ascii="Microsoft YaHei" w:eastAsia="Microsoft YaHei" w:hAnsi="Microsoft YaHei" w:cs="Microsoft YaHei"/>
          <w:spacing w:val="-2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±100s/d;</w:t>
      </w:r>
    </w:p>
    <w:p>
      <w:pPr>
        <w:spacing w:line="176" w:lineRule="auto"/>
        <w:ind w:left="425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5"/>
          <w:position w:val="-2"/>
          <w:sz w:val="19"/>
          <w:szCs w:val="19"/>
        </w:rPr>
        <w:t>c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)    时钟应具有计时</w:t>
      </w:r>
      <w:r>
        <w:rPr>
          <w:rFonts w:ascii="Microsoft YaHei" w:eastAsia="Microsoft YaHei" w:hAnsi="Microsoft YaHei" w:cs="Microsoft YaHei"/>
          <w:spacing w:val="-2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、日历功能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5"/>
          <w:sz w:val="19"/>
          <w:szCs w:val="19"/>
        </w:rPr>
        <w:t>。</w:t>
      </w:r>
    </w:p>
    <w:p>
      <w:pPr>
        <w:spacing w:before="218" w:line="188" w:lineRule="auto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>6.4.3</w:t>
      </w:r>
      <w:r>
        <w:rPr>
          <w:rFonts w:ascii="Microsoft YaHei" w:eastAsia="Microsoft YaHei" w:hAnsi="Microsoft YaHei" w:cs="Microsoft YaHei"/>
          <w:spacing w:val="12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sz w:val="19"/>
          <w:szCs w:val="19"/>
        </w:rPr>
        <w:t>阶梯计价</w:t>
      </w:r>
    </w:p>
    <w:p>
      <w:pPr>
        <w:spacing w:before="213" w:line="198" w:lineRule="auto"/>
        <w:rPr>
          <w:rFonts w:ascii="SimHei" w:eastAsia="SimHei" w:hAnsi="SimHei" w:cs="SimHei"/>
          <w:sz w:val="19"/>
          <w:szCs w:val="19"/>
        </w:rPr>
        <w:sectPr>
          <w:footerReference w:type="default" r:id="rId12"/>
          <w:pgSz w:w="11906" w:h="16838"/>
          <w:pgMar w:top="1255" w:right="1301" w:bottom="1444" w:left="1351" w:header="0" w:footer="1259" w:gutter="0"/>
          <w:pgNumType w:start="12"/>
          <w:cols w:space="708"/>
        </w:sectPr>
      </w:pPr>
      <w:hyperlink r:id="rId13" w:history="1">
        <w:r>
          <w:rPr>
            <w:rFonts w:ascii="Microsoft YaHei" w:eastAsia="Microsoft YaHei" w:hAnsi="Microsoft YaHei" w:cs="Microsoft YaHei"/>
            <w:spacing w:val="9"/>
            <w:position w:val="-1"/>
            <w:sz w:val="19"/>
            <w:szCs w:val="19"/>
          </w:rPr>
          <w:t>6.4.3.1</w:t>
        </w:r>
      </w:hyperlink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position w:val="1"/>
          <w:sz w:val="19"/>
          <w:szCs w:val="19"/>
        </w:rPr>
        <w:t>结算周期</w:t>
      </w:r>
    </w:p>
    <w:p>
      <w:pPr>
        <w:spacing w:before="201" w:line="182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应支持月</w:t>
      </w:r>
      <w:r>
        <w:rPr>
          <w:rFonts w:ascii="Microsoft YaHei" w:eastAsia="Microsoft YaHei" w:hAnsi="Microsoft YaHei" w:cs="Microsoft YaHei"/>
          <w:spacing w:val="-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、季度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、年结算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-6"/>
          <w:sz w:val="19"/>
          <w:szCs w:val="19"/>
        </w:rPr>
        <w:t>。</w:t>
      </w:r>
    </w:p>
    <w:p>
      <w:pPr>
        <w:spacing w:before="233" w:line="192" w:lineRule="auto"/>
        <w:rPr>
          <w:rFonts w:ascii="SimHei" w:eastAsia="SimHei" w:hAnsi="SimHei" w:cs="SimHei"/>
          <w:sz w:val="19"/>
          <w:szCs w:val="19"/>
        </w:rPr>
      </w:pPr>
      <w:hyperlink r:id="rId14" w:history="1">
        <w:r>
          <w:rPr>
            <w:rFonts w:ascii="Microsoft YaHei" w:eastAsia="Microsoft YaHei" w:hAnsi="Microsoft YaHei" w:cs="Microsoft YaHei"/>
            <w:spacing w:val="13"/>
            <w:position w:val="-1"/>
            <w:sz w:val="19"/>
            <w:szCs w:val="19"/>
          </w:rPr>
          <w:t>6.4.3.2</w:t>
        </w:r>
      </w:hyperlink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3"/>
          <w:sz w:val="19"/>
          <w:szCs w:val="19"/>
        </w:rPr>
        <w:t>本地结算水表的水价表</w:t>
      </w:r>
    </w:p>
    <w:p>
      <w:pPr>
        <w:spacing w:before="208" w:line="183" w:lineRule="auto"/>
        <w:ind w:left="42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符合以下要求</w:t>
      </w:r>
      <w:r>
        <w:rPr>
          <w:rFonts w:ascii="Microsoft YaHei" w:eastAsia="Microsoft YaHei" w:hAnsi="Microsoft YaHei" w:cs="Microsoft YaHei"/>
          <w:spacing w:val="-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:</w:t>
      </w:r>
    </w:p>
    <w:p>
      <w:pPr>
        <w:spacing w:before="69" w:line="178" w:lineRule="auto"/>
        <w:ind w:left="42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8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水表应具有当前水价表和备用水价表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,备用水价表还应支持在指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定时间自动启用</w:t>
      </w:r>
      <w:r>
        <w:rPr>
          <w:rFonts w:ascii="Microsoft YaHei" w:eastAsia="Microsoft YaHei" w:hAnsi="Microsoft YaHei" w:cs="Microsoft YaHei"/>
          <w:spacing w:val="-1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;</w:t>
      </w:r>
    </w:p>
    <w:p>
      <w:pPr>
        <w:spacing w:line="178" w:lineRule="auto"/>
        <w:rPr>
          <w:rFonts w:ascii="Microsoft YaHei" w:eastAsia="Microsoft YaHei" w:hAnsi="Microsoft YaHei" w:cs="Microsoft YaHei"/>
          <w:sz w:val="19"/>
          <w:szCs w:val="19"/>
        </w:rPr>
        <w:sectPr>
          <w:footerReference w:type="default" r:id="rId15"/>
          <w:type w:val="nextPage"/>
          <w:pgSz w:w="11906" w:h="16838"/>
          <w:pgMar w:top="1255" w:right="1301" w:bottom="1444" w:left="1351" w:header="0" w:footer="1259" w:gutter="0"/>
          <w:pgNumType w:start="13"/>
          <w:cols w:space="708"/>
          <w:titlePg w:val="0"/>
        </w:sectPr>
      </w:pPr>
    </w:p>
    <w:p>
      <w:pPr>
        <w:spacing w:before="35" w:line="163" w:lineRule="auto"/>
        <w:ind w:left="1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t>CJ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/T</w:t>
      </w:r>
      <w:r>
        <w:rPr>
          <w:rFonts w:ascii="Microsoft YaHei" w:eastAsia="Microsoft YaHei" w:hAnsi="Microsoft YaHei" w:cs="Microsoft YaHei"/>
          <w:spacing w:val="25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484</w:t>
      </w:r>
      <w:r>
        <w:rPr>
          <w:rFonts w:ascii="Microsoft YaHei" w:eastAsia="Microsoft YaHei" w:hAnsi="Microsoft YaHei" w:cs="Microsoft YaHei"/>
          <w:spacing w:val="7"/>
          <w:position w:val="2"/>
          <w:sz w:val="19"/>
          <w:szCs w:val="19"/>
        </w:rPr>
        <w:t>—</w:t>
      </w:r>
      <w:r>
        <w:rPr>
          <w:rFonts w:ascii="Microsoft YaHei" w:eastAsia="Microsoft YaHei" w:hAnsi="Microsoft YaHei" w:cs="Microsoft YaHei"/>
          <w:spacing w:val="-40"/>
          <w:position w:val="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>2016</w:t>
      </w:r>
    </w:p>
    <w:p>
      <w:pPr>
        <w:spacing w:before="302" w:line="208" w:lineRule="auto"/>
        <w:ind w:left="846" w:right="15" w:hanging="40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b)   水价表应包括阶梯水量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、阶梯水价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,其中阶梯水量应不少于 2个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,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阶梯水价应不少于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3个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4"/>
          <w:sz w:val="19"/>
          <w:szCs w:val="19"/>
        </w:rPr>
        <w:t>,备用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水价表还应包括启用日期</w:t>
      </w:r>
      <w:r>
        <w:rPr>
          <w:rFonts w:ascii="Microsoft YaHei" w:eastAsia="Microsoft YaHei" w:hAnsi="Microsoft YaHei" w:cs="Microsoft YaHei"/>
          <w:spacing w:val="-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;</w:t>
      </w:r>
    </w:p>
    <w:p>
      <w:pPr>
        <w:spacing w:before="70" w:line="178" w:lineRule="auto"/>
        <w:ind w:left="442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c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水价表的数据格式应符合表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1的规定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。</w:t>
      </w:r>
    </w:p>
    <w:p>
      <w:pPr>
        <w:spacing w:before="219" w:line="196" w:lineRule="auto"/>
        <w:ind w:left="34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1"/>
          <w:sz w:val="19"/>
          <w:szCs w:val="19"/>
        </w:rPr>
        <w:t>表</w:t>
      </w:r>
      <w:r>
        <w:rPr>
          <w:rFonts w:ascii="SimHei" w:eastAsia="SimHei" w:hAnsi="SimHei" w:cs="SimHei"/>
          <w:spacing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position w:val="-2"/>
          <w:sz w:val="19"/>
          <w:szCs w:val="19"/>
        </w:rPr>
        <w:t xml:space="preserve">1   </w:t>
      </w:r>
      <w:r>
        <w:rPr>
          <w:rFonts w:ascii="SimHei" w:eastAsia="SimHei" w:hAnsi="SimHei" w:cs="SimHei"/>
          <w:spacing w:val="11"/>
          <w:sz w:val="19"/>
          <w:szCs w:val="19"/>
        </w:rPr>
        <w:t>水价表的数据格式</w:t>
      </w:r>
    </w:p>
    <w:p>
      <w:pPr>
        <w:spacing w:line="202" w:lineRule="exact"/>
      </w:pPr>
    </w:p>
    <w:tbl>
      <w:tblPr>
        <w:tblStyle w:val="TableNormal0"/>
        <w:tblW w:w="9222" w:type="dxa"/>
        <w:tblInd w:w="7" w:type="dxa"/>
        <w:tblBorders>
          <w:top w:val="single" w:sz="2" w:space="0" w:color="231F20"/>
          <w:left w:val="single" w:sz="2" w:space="0" w:color="231F20"/>
          <w:bottom w:val="single" w:sz="2" w:space="0" w:color="231F20"/>
          <w:right w:val="single" w:sz="2" w:space="0" w:color="231F20"/>
          <w:insideH w:val="single" w:sz="2" w:space="0" w:color="231F20"/>
          <w:insideV w:val="single" w:sz="2" w:space="0" w:color="231F20"/>
        </w:tblBorders>
        <w:tblLayout w:type="fixed"/>
      </w:tblPr>
      <w:tblGrid>
        <w:gridCol w:w="2350"/>
        <w:gridCol w:w="2343"/>
        <w:gridCol w:w="2342"/>
        <w:gridCol w:w="2187"/>
      </w:tblGrid>
      <w:tr>
        <w:tblPrEx>
          <w:tblW w:w="9222" w:type="dxa"/>
          <w:tblInd w:w="7" w:type="dxa"/>
          <w:tblBorders>
            <w:top w:val="single" w:sz="2" w:space="0" w:color="231F20"/>
            <w:left w:val="single" w:sz="2" w:space="0" w:color="231F20"/>
            <w:bottom w:val="single" w:sz="2" w:space="0" w:color="231F20"/>
            <w:right w:val="single" w:sz="2" w:space="0" w:color="231F20"/>
            <w:insideH w:val="single" w:sz="2" w:space="0" w:color="231F20"/>
            <w:insideV w:val="single" w:sz="2" w:space="0" w:color="231F20"/>
          </w:tblBorders>
          <w:tblLayout w:type="fixed"/>
        </w:tblPrEx>
        <w:trPr>
          <w:trHeight w:val="350"/>
        </w:trPr>
        <w:tc>
          <w:tcPr>
            <w:tcW w:w="2350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7" w:line="184" w:lineRule="auto"/>
              <w:ind w:left="995"/>
            </w:pPr>
            <w:r>
              <w:rPr>
                <w:spacing w:val="10"/>
              </w:rPr>
              <w:t>序号</w:t>
            </w:r>
          </w:p>
        </w:tc>
        <w:tc>
          <w:tcPr>
            <w:tcW w:w="2343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8" w:line="181" w:lineRule="auto"/>
              <w:ind w:left="816"/>
            </w:pPr>
            <w:r>
              <w:rPr>
                <w:spacing w:val="15"/>
              </w:rPr>
              <w:t>数据格式</w:t>
            </w:r>
          </w:p>
        </w:tc>
        <w:tc>
          <w:tcPr>
            <w:tcW w:w="2342" w:type="dxa"/>
            <w:tcBorders>
              <w:top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86" w:line="185" w:lineRule="auto"/>
              <w:ind w:left="999"/>
            </w:pPr>
            <w:r>
              <w:rPr>
                <w:spacing w:val="11"/>
              </w:rPr>
              <w:t>单位</w:t>
            </w:r>
          </w:p>
        </w:tc>
        <w:tc>
          <w:tcPr>
            <w:tcW w:w="2187" w:type="dxa"/>
            <w:tcBorders>
              <w:top w:val="single" w:sz="6" w:space="0" w:color="231F20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pStyle w:val="TableText"/>
              <w:spacing w:before="86" w:line="186" w:lineRule="auto"/>
              <w:ind w:left="922"/>
            </w:pPr>
            <w:r>
              <w:rPr>
                <w:spacing w:val="11"/>
              </w:rPr>
              <w:t>备注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42"/>
        </w:trPr>
        <w:tc>
          <w:tcPr>
            <w:tcW w:w="2350" w:type="dxa"/>
            <w:tcBorders>
              <w:top w:val="single" w:sz="6" w:space="0" w:color="231F20"/>
              <w:left w:val="single" w:sz="6" w:space="0" w:color="231F20"/>
            </w:tcBorders>
            <w:vAlign w:val="top"/>
          </w:tcPr>
          <w:p>
            <w:pPr>
              <w:pStyle w:val="TableText"/>
              <w:spacing w:before="85" w:line="181" w:lineRule="auto"/>
              <w:ind w:left="827"/>
            </w:pPr>
            <w:r>
              <w:rPr>
                <w:spacing w:val="12"/>
              </w:rPr>
              <w:t>阶梯水量</w:t>
            </w:r>
          </w:p>
        </w:tc>
        <w:tc>
          <w:tcPr>
            <w:tcW w:w="2343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106" w:line="174" w:lineRule="auto"/>
              <w:ind w:left="658"/>
            </w:pPr>
            <w:r>
              <w:rPr>
                <w:spacing w:val="44"/>
                <w:w w:val="109"/>
              </w:rPr>
              <w:t>××××××</w:t>
            </w:r>
          </w:p>
        </w:tc>
        <w:tc>
          <w:tcPr>
            <w:tcW w:w="2342" w:type="dxa"/>
            <w:tcBorders>
              <w:top w:val="single" w:sz="6" w:space="0" w:color="231F20"/>
            </w:tcBorders>
            <w:vAlign w:val="top"/>
          </w:tcPr>
          <w:p>
            <w:pPr>
              <w:pStyle w:val="TableText"/>
              <w:spacing w:before="95" w:line="157" w:lineRule="auto"/>
              <w:ind w:left="1072"/>
              <w:rPr>
                <w:sz w:val="9"/>
                <w:szCs w:val="9"/>
              </w:rPr>
            </w:pPr>
            <w:r>
              <w:rPr>
                <w:spacing w:val="17"/>
                <w:w w:val="126"/>
                <w:position w:val="-3"/>
                <w:sz w:val="9"/>
                <w:szCs w:val="9"/>
              </w:rPr>
              <w:t>m</w:t>
            </w:r>
            <w:r>
              <w:rPr>
                <w:spacing w:val="17"/>
                <w:w w:val="126"/>
                <w:position w:val="4"/>
                <w:sz w:val="9"/>
                <w:szCs w:val="9"/>
              </w:rPr>
              <w:t>3</w:t>
            </w:r>
          </w:p>
        </w:tc>
        <w:tc>
          <w:tcPr>
            <w:tcW w:w="2187" w:type="dxa"/>
            <w:vMerge w:val="restart"/>
            <w:tcBorders>
              <w:top w:val="single" w:sz="6" w:space="0" w:color="231F20"/>
              <w:bottom w:val="nil"/>
              <w:right w:val="single" w:sz="6" w:space="0" w:color="231F20"/>
            </w:tcBorders>
            <w:vAlign w:val="top"/>
          </w:tcPr>
          <w:p>
            <w:pPr>
              <w:spacing w:line="37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77" w:lineRule="auto"/>
              <w:ind w:left="818"/>
            </w:pPr>
            <w:r>
              <w:rPr>
                <w:spacing w:val="15"/>
              </w:rPr>
              <w:t>BCD码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352"/>
        </w:trPr>
        <w:tc>
          <w:tcPr>
            <w:tcW w:w="2350" w:type="dxa"/>
            <w:tcBorders>
              <w:left w:val="single" w:sz="6" w:space="0" w:color="231F20"/>
            </w:tcBorders>
            <w:vAlign w:val="top"/>
          </w:tcPr>
          <w:p>
            <w:pPr>
              <w:pStyle w:val="TableText"/>
              <w:spacing w:before="99" w:line="181" w:lineRule="auto"/>
              <w:ind w:left="827"/>
            </w:pPr>
            <w:r>
              <w:rPr>
                <w:spacing w:val="12"/>
              </w:rPr>
              <w:t>阶梯水价</w:t>
            </w:r>
          </w:p>
        </w:tc>
        <w:tc>
          <w:tcPr>
            <w:tcW w:w="2343" w:type="dxa"/>
            <w:vAlign w:val="top"/>
          </w:tcPr>
          <w:p>
            <w:pPr>
              <w:pStyle w:val="TableText"/>
              <w:spacing w:before="120" w:line="169" w:lineRule="auto"/>
              <w:ind w:left="631"/>
            </w:pPr>
            <w:r>
              <w:rPr>
                <w:spacing w:val="39"/>
              </w:rPr>
              <w:t>××××</w:t>
            </w:r>
            <w:r>
              <w:rPr>
                <w:spacing w:val="-21"/>
              </w:rPr>
              <w:t xml:space="preserve"> </w:t>
            </w:r>
            <w:r>
              <w:rPr>
                <w:spacing w:val="39"/>
              </w:rPr>
              <w:t>.</w:t>
            </w:r>
            <w:r>
              <w:rPr>
                <w:spacing w:val="-3"/>
              </w:rPr>
              <w:t xml:space="preserve"> </w:t>
            </w:r>
            <w:r>
              <w:rPr>
                <w:spacing w:val="39"/>
              </w:rPr>
              <w:t>××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107" w:line="178" w:lineRule="auto"/>
              <w:ind w:left="932"/>
              <w:rPr>
                <w:sz w:val="9"/>
                <w:szCs w:val="9"/>
              </w:rPr>
            </w:pPr>
            <w:r>
              <w:rPr>
                <w:spacing w:val="12"/>
              </w:rPr>
              <w:t>元/</w:t>
            </w:r>
            <w:r>
              <w:rPr>
                <w:spacing w:val="12"/>
                <w:position w:val="-2"/>
              </w:rPr>
              <w:t>m</w:t>
            </w:r>
            <w:r>
              <w:rPr>
                <w:spacing w:val="12"/>
                <w:position w:val="5"/>
                <w:sz w:val="9"/>
                <w:szCs w:val="9"/>
              </w:rPr>
              <w:t>3</w:t>
            </w:r>
          </w:p>
        </w:tc>
        <w:tc>
          <w:tcPr>
            <w:tcW w:w="2187" w:type="dxa"/>
            <w:vMerge/>
            <w:tcBorders>
              <w:top w:val="nil"/>
              <w:bottom w:val="nil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222" w:type="dxa"/>
          <w:tblInd w:w="7" w:type="dxa"/>
          <w:tblLayout w:type="fixed"/>
        </w:tblPrEx>
        <w:trPr>
          <w:trHeight w:val="360"/>
        </w:trPr>
        <w:tc>
          <w:tcPr>
            <w:tcW w:w="2350" w:type="dxa"/>
            <w:tcBorders>
              <w:left w:val="single" w:sz="6" w:space="0" w:color="231F20"/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02" w:line="182" w:lineRule="auto"/>
              <w:ind w:left="813"/>
            </w:pPr>
            <w:r>
              <w:rPr>
                <w:spacing w:val="16"/>
              </w:rPr>
              <w:t>启用日期</w:t>
            </w:r>
          </w:p>
        </w:tc>
        <w:tc>
          <w:tcPr>
            <w:tcW w:w="2343" w:type="dxa"/>
            <w:tcBorders>
              <w:bottom w:val="single" w:sz="6" w:space="0" w:color="231F20"/>
            </w:tcBorders>
            <w:vAlign w:val="top"/>
          </w:tcPr>
          <w:p>
            <w:pPr>
              <w:pStyle w:val="TableText"/>
              <w:spacing w:before="115" w:line="173" w:lineRule="auto"/>
              <w:ind w:left="666"/>
            </w:pPr>
            <w:r>
              <w:rPr>
                <w:spacing w:val="13"/>
              </w:rPr>
              <w:t>YYMMDDhh</w:t>
            </w:r>
          </w:p>
        </w:tc>
        <w:tc>
          <w:tcPr>
            <w:tcW w:w="2342" w:type="dxa"/>
            <w:tcBorders>
              <w:bottom w:val="single" w:sz="6" w:space="0" w:color="231F20"/>
            </w:tcBorders>
            <w:vAlign w:val="top"/>
          </w:tcPr>
          <w:p>
            <w:pPr>
              <w:tabs>
                <w:tab w:val="left" w:pos="1251"/>
              </w:tabs>
              <w:spacing w:line="227" w:lineRule="exact"/>
              <w:ind w:left="1087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1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2187" w:type="dxa"/>
            <w:vMerge/>
            <w:tcBorders>
              <w:top w:val="nil"/>
              <w:bottom w:val="single" w:sz="6" w:space="0" w:color="231F20"/>
              <w:right w:val="single" w:sz="6" w:space="0" w:color="231F2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71" w:lineRule="auto"/>
      </w:pPr>
    </w:p>
    <w:p>
      <w:pPr>
        <w:spacing w:before="81" w:line="198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7"/>
          <w:position w:val="-1"/>
          <w:sz w:val="19"/>
          <w:szCs w:val="19"/>
        </w:rPr>
        <w:t xml:space="preserve">6.4.4   </w:t>
      </w:r>
      <w:r>
        <w:rPr>
          <w:rFonts w:ascii="SimHei" w:eastAsia="SimHei" w:hAnsi="SimHei" w:cs="SimHei"/>
          <w:spacing w:val="7"/>
          <w:position w:val="1"/>
          <w:sz w:val="19"/>
          <w:szCs w:val="19"/>
        </w:rPr>
        <w:t>结算</w:t>
      </w:r>
    </w:p>
    <w:p>
      <w:pPr>
        <w:spacing w:before="203" w:line="198" w:lineRule="auto"/>
        <w:ind w:left="17"/>
        <w:rPr>
          <w:rFonts w:ascii="SimHei" w:eastAsia="SimHei" w:hAnsi="SimHei" w:cs="SimHei"/>
          <w:sz w:val="19"/>
          <w:szCs w:val="19"/>
        </w:rPr>
      </w:pPr>
      <w:hyperlink r:id="rId16" w:history="1">
        <w:r>
          <w:rPr>
            <w:rFonts w:ascii="Microsoft YaHei" w:eastAsia="Microsoft YaHei" w:hAnsi="Microsoft YaHei" w:cs="Microsoft YaHei"/>
            <w:spacing w:val="8"/>
            <w:position w:val="-1"/>
            <w:sz w:val="19"/>
            <w:szCs w:val="19"/>
          </w:rPr>
          <w:t>6.4.4.1</w:t>
        </w:r>
      </w:hyperlink>
      <w:r>
        <w:rPr>
          <w:rFonts w:ascii="Microsoft YaHei" w:eastAsia="Microsoft YaHei" w:hAnsi="Microsoft YaHei" w:cs="Microsoft YaHei"/>
          <w:spacing w:val="8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8"/>
          <w:position w:val="1"/>
          <w:sz w:val="19"/>
          <w:szCs w:val="19"/>
        </w:rPr>
        <w:t>结算日</w:t>
      </w:r>
    </w:p>
    <w:p>
      <w:pPr>
        <w:spacing w:before="200" w:line="182" w:lineRule="auto"/>
        <w:ind w:left="438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结算日的数据格式应符合表 2的规定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。</w:t>
      </w:r>
    </w:p>
    <w:p>
      <w:pPr>
        <w:spacing w:before="240" w:line="185" w:lineRule="auto"/>
        <w:ind w:left="3497"/>
        <w:rPr>
          <w:rFonts w:ascii="SimHei" w:eastAsia="SimHei" w:hAnsi="SimHei" w:cs="SimHei"/>
          <w:sz w:val="19"/>
          <w:szCs w:val="19"/>
        </w:rPr>
      </w:pPr>
      <w:r>
        <w:rPr>
          <w:rFonts w:ascii="SimHei" w:eastAsia="SimHei" w:hAnsi="SimHei" w:cs="SimHei"/>
          <w:spacing w:val="11"/>
          <w:sz w:val="19"/>
          <w:szCs w:val="19"/>
        </w:rPr>
        <w:t>表</w:t>
      </w:r>
      <w:r>
        <w:rPr>
          <w:rFonts w:ascii="SimHei" w:eastAsia="SimHei" w:hAnsi="SimHei" w:cs="SimHei"/>
          <w:spacing w:val="1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 xml:space="preserve">2   </w:t>
      </w:r>
      <w:r>
        <w:rPr>
          <w:rFonts w:ascii="SimHei" w:eastAsia="SimHei" w:hAnsi="SimHei" w:cs="SimHei"/>
          <w:spacing w:val="11"/>
          <w:sz w:val="19"/>
          <w:szCs w:val="19"/>
        </w:rPr>
        <w:t>结算日的数据格式</w:t>
      </w:r>
    </w:p>
    <w:p>
      <w:pPr>
        <w:spacing w:line="220" w:lineRule="exact"/>
      </w:pPr>
    </w:p>
    <w:tbl>
      <w:tblPr>
        <w:tblStyle w:val="TableNormal0"/>
        <w:tblW w:w="9222" w:type="dxa"/>
        <w:tblInd w:w="7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</w:tblPr>
      <w:tblGrid>
        <w:gridCol w:w="3071"/>
        <w:gridCol w:w="3063"/>
        <w:gridCol w:w="3088"/>
      </w:tblGrid>
      <w:tr>
        <w:tblPrEx>
          <w:tblW w:w="9222" w:type="dxa"/>
          <w:tblInd w:w="7" w:type="dxa"/>
          <w:tblBorders>
            <w:top w:val="single" w:sz="6" w:space="0" w:color="231F20"/>
            <w:left w:val="single" w:sz="6" w:space="0" w:color="231F20"/>
            <w:bottom w:val="single" w:sz="6" w:space="0" w:color="231F20"/>
            <w:right w:val="single" w:sz="6" w:space="0" w:color="231F20"/>
            <w:insideH w:val="single" w:sz="6" w:space="0" w:color="231F20"/>
            <w:insideV w:val="single" w:sz="6" w:space="0" w:color="231F20"/>
          </w:tblBorders>
          <w:tblLayout w:type="fixed"/>
        </w:tblPrEx>
        <w:trPr>
          <w:trHeight w:val="350"/>
        </w:trPr>
        <w:tc>
          <w:tcPr>
            <w:tcW w:w="3071" w:type="dxa"/>
            <w:tcBorders>
              <w:right w:val="single" w:sz="2" w:space="0" w:color="231F20"/>
            </w:tcBorders>
            <w:vAlign w:val="top"/>
          </w:tcPr>
          <w:p>
            <w:pPr>
              <w:pStyle w:val="TableText"/>
              <w:spacing w:before="87" w:line="184" w:lineRule="auto"/>
              <w:ind w:left="1356"/>
            </w:pPr>
            <w:r>
              <w:rPr>
                <w:spacing w:val="10"/>
              </w:rPr>
              <w:t>序号</w:t>
            </w:r>
          </w:p>
        </w:tc>
        <w:tc>
          <w:tcPr>
            <w:tcW w:w="3063" w:type="dxa"/>
            <w:tcBorders>
              <w:left w:val="single" w:sz="2" w:space="0" w:color="231F20"/>
              <w:right w:val="single" w:sz="2" w:space="0" w:color="231F20"/>
            </w:tcBorders>
            <w:vAlign w:val="top"/>
          </w:tcPr>
          <w:p>
            <w:pPr>
              <w:pStyle w:val="TableText"/>
              <w:spacing w:before="88" w:line="181" w:lineRule="auto"/>
              <w:ind w:left="1178"/>
            </w:pPr>
            <w:r>
              <w:rPr>
                <w:spacing w:val="15"/>
              </w:rPr>
              <w:t>数据格式</w:t>
            </w:r>
          </w:p>
        </w:tc>
        <w:tc>
          <w:tcPr>
            <w:tcW w:w="3088" w:type="dxa"/>
            <w:tcBorders>
              <w:left w:val="single" w:sz="2" w:space="0" w:color="231F20"/>
            </w:tcBorders>
            <w:vAlign w:val="top"/>
          </w:tcPr>
          <w:p>
            <w:pPr>
              <w:pStyle w:val="TableText"/>
              <w:spacing w:before="86" w:line="186" w:lineRule="auto"/>
              <w:ind w:left="1373"/>
            </w:pPr>
            <w:r>
              <w:rPr>
                <w:spacing w:val="11"/>
              </w:rPr>
              <w:t>备注</w:t>
            </w:r>
          </w:p>
        </w:tc>
      </w:tr>
      <w:tr>
        <w:tblPrEx>
          <w:tblW w:w="9222" w:type="dxa"/>
          <w:tblInd w:w="7" w:type="dxa"/>
          <w:tblLayout w:type="fixed"/>
        </w:tblPrEx>
        <w:trPr>
          <w:trHeight w:val="1244"/>
        </w:trPr>
        <w:tc>
          <w:tcPr>
            <w:tcW w:w="3071" w:type="dxa"/>
            <w:tcBorders>
              <w:right w:val="single" w:sz="2" w:space="0" w:color="231F20"/>
            </w:tcBorders>
            <w:vAlign w:val="top"/>
          </w:tcPr>
          <w:p>
            <w:pPr>
              <w:spacing w:line="46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84" w:lineRule="auto"/>
              <w:ind w:left="1267"/>
            </w:pPr>
            <w:r>
              <w:rPr>
                <w:spacing w:val="14"/>
              </w:rPr>
              <w:t>结算日</w:t>
            </w:r>
          </w:p>
        </w:tc>
        <w:tc>
          <w:tcPr>
            <w:tcW w:w="3063" w:type="dxa"/>
            <w:tcBorders>
              <w:left w:val="single" w:sz="2" w:space="0" w:color="231F20"/>
              <w:right w:val="single" w:sz="2" w:space="0" w:color="231F20"/>
            </w:tcBorders>
            <w:vAlign w:val="top"/>
          </w:tcPr>
          <w:p>
            <w:pPr>
              <w:spacing w:line="4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9" w:line="173" w:lineRule="auto"/>
              <w:ind w:left="1162"/>
            </w:pPr>
            <w:r>
              <w:rPr>
                <w:spacing w:val="6"/>
              </w:rPr>
              <w:t>MMDDhh</w:t>
            </w:r>
          </w:p>
        </w:tc>
        <w:tc>
          <w:tcPr>
            <w:tcW w:w="3088" w:type="dxa"/>
            <w:tcBorders>
              <w:left w:val="single" w:sz="2" w:space="0" w:color="231F20"/>
            </w:tcBorders>
            <w:vAlign w:val="top"/>
          </w:tcPr>
          <w:p>
            <w:pPr>
              <w:pStyle w:val="TableText"/>
              <w:spacing w:before="112" w:line="177" w:lineRule="auto"/>
              <w:ind w:left="1269"/>
            </w:pPr>
            <w:r>
              <w:rPr>
                <w:spacing w:val="15"/>
              </w:rPr>
              <w:t>BCD码</w:t>
            </w:r>
          </w:p>
          <w:p>
            <w:pPr>
              <w:pStyle w:val="TableText"/>
              <w:spacing w:before="76" w:line="177" w:lineRule="auto"/>
              <w:ind w:left="734"/>
            </w:pPr>
            <w:r>
              <w:t>MM</w:t>
            </w:r>
            <w:r>
              <w:rPr>
                <w:spacing w:val="14"/>
              </w:rPr>
              <w:t xml:space="preserve"> 取值范围 </w:t>
            </w:r>
            <w:r>
              <w:rPr>
                <w:spacing w:val="14"/>
                <w:position w:val="1"/>
              </w:rPr>
              <w:t>:</w:t>
            </w:r>
            <w:r>
              <w:rPr>
                <w:spacing w:val="14"/>
                <w:position w:val="-1"/>
              </w:rPr>
              <w:t>1~</w:t>
            </w:r>
            <w:r>
              <w:rPr>
                <w:spacing w:val="-16"/>
                <w:position w:val="-1"/>
              </w:rPr>
              <w:t xml:space="preserve"> </w:t>
            </w:r>
            <w:r>
              <w:rPr>
                <w:spacing w:val="14"/>
                <w:position w:val="-1"/>
              </w:rPr>
              <w:t>12</w:t>
            </w:r>
          </w:p>
          <w:p>
            <w:pPr>
              <w:pStyle w:val="TableText"/>
              <w:spacing w:before="62" w:line="177" w:lineRule="auto"/>
              <w:ind w:left="771"/>
            </w:pPr>
            <w:r>
              <w:t>DD</w:t>
            </w:r>
            <w:r>
              <w:rPr>
                <w:spacing w:val="23"/>
              </w:rPr>
              <w:t>取值范围</w:t>
            </w:r>
            <w:r>
              <w:rPr>
                <w:spacing w:val="-3"/>
              </w:rPr>
              <w:t xml:space="preserve"> </w:t>
            </w:r>
            <w:r>
              <w:rPr>
                <w:spacing w:val="23"/>
                <w:position w:val="1"/>
              </w:rPr>
              <w:t>:</w:t>
            </w:r>
            <w:r>
              <w:rPr>
                <w:spacing w:val="23"/>
                <w:position w:val="-1"/>
              </w:rPr>
              <w:t>1~</w:t>
            </w:r>
            <w:r>
              <w:rPr>
                <w:spacing w:val="-26"/>
                <w:position w:val="-1"/>
              </w:rPr>
              <w:t xml:space="preserve"> </w:t>
            </w:r>
            <w:r>
              <w:rPr>
                <w:spacing w:val="23"/>
                <w:position w:val="-1"/>
              </w:rPr>
              <w:t>28</w:t>
            </w:r>
          </w:p>
          <w:p>
            <w:pPr>
              <w:pStyle w:val="TableText"/>
              <w:spacing w:before="62" w:line="177" w:lineRule="auto"/>
              <w:ind w:left="800"/>
            </w:pPr>
            <w:r>
              <w:t>hh</w:t>
            </w:r>
            <w:r>
              <w:rPr>
                <w:spacing w:val="21"/>
              </w:rPr>
              <w:t>取值范围</w:t>
            </w:r>
            <w:r>
              <w:rPr>
                <w:spacing w:val="4"/>
              </w:rPr>
              <w:t xml:space="preserve"> </w:t>
            </w:r>
            <w:r>
              <w:rPr>
                <w:spacing w:val="21"/>
                <w:position w:val="1"/>
              </w:rPr>
              <w:t>:</w:t>
            </w:r>
            <w:r>
              <w:rPr>
                <w:spacing w:val="21"/>
                <w:position w:val="-1"/>
              </w:rPr>
              <w:t>0~</w:t>
            </w:r>
            <w:r>
              <w:rPr>
                <w:spacing w:val="-26"/>
                <w:position w:val="-1"/>
              </w:rPr>
              <w:t xml:space="preserve"> </w:t>
            </w:r>
            <w:r>
              <w:rPr>
                <w:spacing w:val="21"/>
                <w:position w:val="-1"/>
              </w:rPr>
              <w:t>23</w:t>
            </w:r>
          </w:p>
        </w:tc>
      </w:tr>
    </w:tbl>
    <w:p>
      <w:pPr>
        <w:pStyle w:val="BodyText"/>
        <w:spacing w:line="371" w:lineRule="auto"/>
      </w:pPr>
    </w:p>
    <w:p>
      <w:pPr>
        <w:spacing w:before="82" w:line="192" w:lineRule="auto"/>
        <w:ind w:left="17"/>
        <w:rPr>
          <w:rFonts w:ascii="SimHei" w:eastAsia="SimHei" w:hAnsi="SimHei" w:cs="SimHei"/>
          <w:sz w:val="19"/>
          <w:szCs w:val="19"/>
        </w:rPr>
      </w:pPr>
      <w:hyperlink r:id="rId17" w:history="1">
        <w:r>
          <w:rPr>
            <w:rFonts w:ascii="Microsoft YaHei" w:eastAsia="Microsoft YaHei" w:hAnsi="Microsoft YaHei" w:cs="Microsoft YaHei"/>
            <w:spacing w:val="9"/>
            <w:position w:val="-1"/>
            <w:sz w:val="19"/>
            <w:szCs w:val="19"/>
          </w:rPr>
          <w:t>6.4.4.2</w:t>
        </w:r>
      </w:hyperlink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sz w:val="19"/>
          <w:szCs w:val="19"/>
        </w:rPr>
        <w:t>结算日冻结</w:t>
      </w:r>
    </w:p>
    <w:p>
      <w:pPr>
        <w:spacing w:before="210" w:line="181" w:lineRule="auto"/>
        <w:ind w:left="437"/>
        <w:rPr>
          <w:rFonts w:ascii="Microsoft YaHei" w:eastAsia="Microsoft YaHei" w:hAnsi="Microsoft YaHei" w:cs="Microsoft YaHei"/>
          <w:sz w:val="19"/>
          <w:szCs w:val="19"/>
        </w:rPr>
      </w:pPr>
      <w:r>
        <mc:AlternateContent>
          <mc:Choice Requires="wps">
            <w:drawing>
              <wp:anchor distT="0" distB="0" distL="0" distR="0" simplePos="0" relativeHeight="251680768" behindDoc="0" locked="0" layoutInCell="1" allowOverlap="1">
                <wp:simplePos x="0" y="0"/>
                <wp:positionH relativeFrom="column">
                  <wp:posOffset>2652090</wp:posOffset>
                </wp:positionH>
                <wp:positionV relativeFrom="paragraph">
                  <wp:posOffset>107887</wp:posOffset>
                </wp:positionV>
                <wp:extent cx="158114" cy="240665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8000000">
                          <a:off x="2652090" y="107887"/>
                          <a:ext cx="158114" cy="24066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161" w:line="197" w:lineRule="exact"/>
                              <w:jc w:val="right"/>
                              <w:rPr>
                                <w:rFonts w:ascii="NSimSun" w:eastAsia="NSimSun" w:hAnsi="NSimSun" w:cs="NSimSun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NSimSun" w:eastAsia="NSimSun" w:hAnsi="NSimSun" w:cs="NSimSun"/>
                                <w:spacing w:val="-32"/>
                                <w:position w:val="3"/>
                                <w:sz w:val="48"/>
                                <w:szCs w:val="48"/>
                                <w14:textOutline w14:w="12700">
                                  <w14:solidFill>
                                    <w14:srgbClr w14:val="000000">
                                      <w14:alpha w14:val="70196"/>
                                    </w14:srgbClr>
                                  </w14:solidFill>
                                  <w14:prstDash w14:val="solid"/>
                                  <w14:miter w14:lim="10"/>
                                </w14:textOutline>
                                <w14:textFill>
                                  <w14:noFill/>
                                </w14:textFill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4" o:spid="_x0000_s1040" type="#_x0000_t202" style="width:12.45pt;height:18.95pt;margin-top:8.5pt;margin-left:208.83pt;mso-wrap-distance-bottom:0;mso-wrap-distance-left:0;mso-wrap-distance-right:0;mso-wrap-distance-top:0;position:absolute;rotation:300;v-text-anchor:top;z-index:251679744" filled="f" fillcolor="this" stroked="f">
                <v:textbox inset="0,0,0,0">
                  <w:txbxContent>
                    <w:p>
                      <w:pPr>
                        <w:spacing w:before="161" w:line="197" w:lineRule="exact"/>
                        <w:jc w:val="right"/>
                        <w:rPr>
                          <w:rFonts w:ascii="NSimSun" w:eastAsia="NSimSun" w:hAnsi="NSimSun" w:cs="NSimSun"/>
                          <w:sz w:val="48"/>
                          <w:szCs w:val="48"/>
                        </w:rPr>
                      </w:pPr>
                      <w:r>
                        <w:rPr>
                          <w:rFonts w:ascii="NSimSun" w:eastAsia="NSimSun" w:hAnsi="NSimSun" w:cs="NSimSun"/>
                          <w:spacing w:val="-32"/>
                          <w:position w:val="3"/>
                          <w:sz w:val="48"/>
                          <w:szCs w:val="48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水表至少应支持累计用量冻结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,冻结后当前周期用量应能从零累计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8"/>
          <w:sz w:val="19"/>
          <w:szCs w:val="19"/>
        </w:rPr>
        <w:t>。</w:t>
      </w:r>
    </w:p>
    <w:p>
      <w:pPr>
        <w:spacing w:before="238" w:line="198" w:lineRule="auto"/>
        <w:ind w:left="17"/>
        <w:rPr>
          <w:rFonts w:ascii="SimHei" w:eastAsia="SimHei" w:hAnsi="SimHei" w:cs="SimHei"/>
          <w:sz w:val="19"/>
          <w:szCs w:val="19"/>
        </w:rPr>
      </w:pPr>
      <w:hyperlink r:id="rId18" w:history="1">
        <w:r>
          <w:rPr>
            <w:rFonts w:ascii="Microsoft YaHei" w:eastAsia="Microsoft YaHei" w:hAnsi="Microsoft YaHei" w:cs="Microsoft YaHei"/>
            <w:spacing w:val="14"/>
            <w:position w:val="-2"/>
            <w:sz w:val="19"/>
            <w:szCs w:val="19"/>
          </w:rPr>
          <w:t>6.4.4.3</w:t>
        </w:r>
      </w:hyperlink>
      <w:r>
        <w:rPr>
          <w:rFonts w:ascii="Microsoft YaHei" w:eastAsia="Microsoft YaHei" w:hAnsi="Microsoft YaHei" w:cs="Microsoft YaHei"/>
          <w:spacing w:val="4"/>
          <w:position w:val="-2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4"/>
          <w:sz w:val="19"/>
          <w:szCs w:val="19"/>
        </w:rPr>
        <w:t>本地结算水表的金额结算</w:t>
      </w:r>
    </w:p>
    <w:p>
      <w:pPr>
        <w:spacing w:before="201" w:line="200" w:lineRule="auto"/>
        <w:ind w:left="17" w:right="15" w:firstLine="419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水表应支持阶梯水价结算</w:t>
      </w:r>
      <w:r>
        <w:rPr>
          <w:rFonts w:ascii="Microsoft YaHei" w:eastAsia="Microsoft YaHei" w:hAnsi="Microsoft YaHei" w:cs="Microsoft YaHei"/>
          <w:spacing w:val="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,结算最小单位应为</w:t>
      </w:r>
      <w:r>
        <w:rPr>
          <w:rFonts w:ascii="Microsoft YaHei" w:eastAsia="Microsoft YaHei" w:hAnsi="Microsoft YaHei" w:cs="Microsoft YaHei"/>
          <w:spacing w:val="24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0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2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01元(小于</w:t>
      </w:r>
      <w:r>
        <w:rPr>
          <w:rFonts w:ascii="Microsoft YaHei" w:eastAsia="Microsoft YaHei" w:hAnsi="Microsoft YaHei" w:cs="Microsoft YaHei"/>
          <w:spacing w:val="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0</w:t>
      </w:r>
      <w:r>
        <w:rPr>
          <w:rFonts w:ascii="Microsoft YaHei" w:eastAsia="Microsoft YaHei" w:hAnsi="Microsoft YaHei" w:cs="Microsoft YaHei"/>
          <w:spacing w:val="19"/>
          <w:position w:val="-2"/>
          <w:sz w:val="19"/>
          <w:szCs w:val="19"/>
        </w:rPr>
        <w:t>.</w:t>
      </w:r>
      <w:r>
        <w:rPr>
          <w:rFonts w:ascii="Microsoft YaHei" w:eastAsia="Microsoft YaHei" w:hAnsi="Microsoft YaHei" w:cs="Microsoft YaHei"/>
          <w:spacing w:val="-20"/>
          <w:position w:val="-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01元的部分应能保留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9"/>
          <w:sz w:val="19"/>
          <w:szCs w:val="19"/>
        </w:rPr>
        <w:t>,进行累计计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算)</w:t>
      </w:r>
      <w:r>
        <w:rPr>
          <w:rFonts w:ascii="Microsoft YaHei" w:eastAsia="Microsoft YaHei" w:hAnsi="Microsoft YaHei" w:cs="Microsoft YaHei"/>
          <w:spacing w:val="-17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1"/>
          <w:sz w:val="19"/>
          <w:szCs w:val="19"/>
        </w:rPr>
        <w:t>。</w:t>
      </w:r>
    </w:p>
    <w:p>
      <w:pPr>
        <w:spacing w:before="237" w:line="192" w:lineRule="auto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6.4.5   </w:t>
      </w:r>
      <w:r>
        <w:rPr>
          <w:rFonts w:ascii="SimHei" w:eastAsia="SimHei" w:hAnsi="SimHei" w:cs="SimHei"/>
          <w:spacing w:val="9"/>
          <w:sz w:val="19"/>
          <w:szCs w:val="19"/>
        </w:rPr>
        <w:t>参数设置</w:t>
      </w:r>
    </w:p>
    <w:p>
      <w:pPr>
        <w:spacing w:before="210" w:line="210" w:lineRule="auto"/>
        <w:ind w:left="51" w:right="15" w:firstLine="386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水表应支持时钟</w:t>
      </w:r>
      <w:r>
        <w:rPr>
          <w:rFonts w:ascii="Microsoft YaHei" w:eastAsia="Microsoft YaHei" w:hAnsi="Microsoft YaHei" w:cs="Microsoft YaHei"/>
          <w:spacing w:val="-22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、结算周期</w:t>
      </w:r>
      <w:r>
        <w:rPr>
          <w:rFonts w:ascii="Microsoft YaHei" w:eastAsia="Microsoft YaHei" w:hAnsi="Microsoft YaHei" w:cs="Microsoft YaHei"/>
          <w:spacing w:val="-30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、水价表</w:t>
      </w:r>
      <w:r>
        <w:rPr>
          <w:rFonts w:ascii="Microsoft YaHei" w:eastAsia="Microsoft YaHei" w:hAnsi="Microsoft YaHei" w:cs="Microsoft YaHei"/>
          <w:spacing w:val="-2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、结算日等参数设置</w:t>
      </w:r>
      <w:r>
        <w:rPr>
          <w:rFonts w:ascii="Microsoft YaHei" w:eastAsia="Microsoft YaHei" w:hAnsi="Microsoft YaHei" w:cs="Microsoft YaHei"/>
          <w:spacing w:val="-9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,设置时应保证数据交互的安全性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2"/>
          <w:sz w:val="19"/>
          <w:szCs w:val="19"/>
        </w:rPr>
        <w:t>,通信接</w:t>
      </w:r>
      <w:r>
        <w:rPr>
          <w:rFonts w:ascii="Microsoft YaHei" w:eastAsia="Microsoft YaHei" w:hAnsi="Microsoft YaHei" w:cs="Microsoft YaHei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3"/>
          <w:sz w:val="19"/>
          <w:szCs w:val="19"/>
        </w:rPr>
        <w:t>口要求参见附录 A。</w:t>
      </w:r>
    </w:p>
    <w:p>
      <w:pPr>
        <w:spacing w:before="232" w:line="191" w:lineRule="auto"/>
        <w:ind w:left="17"/>
        <w:rPr>
          <w:rFonts w:ascii="SimHei" w:eastAsia="SimHei" w:hAnsi="SimHei" w:cs="SimHei"/>
          <w:sz w:val="19"/>
          <w:szCs w:val="19"/>
        </w:rPr>
        <w:sectPr>
          <w:footerReference w:type="default" r:id="rId19"/>
          <w:pgSz w:w="11906" w:h="16838"/>
          <w:pgMar w:top="1255" w:right="1334" w:bottom="1446" w:left="1334" w:header="0" w:footer="1259" w:gutter="0"/>
          <w:pgNumType w:start="14"/>
          <w:cols w:space="708"/>
        </w:sectPr>
      </w:pPr>
      <w:r>
        <w:rPr>
          <w:rFonts w:ascii="Microsoft YaHei" w:eastAsia="Microsoft YaHei" w:hAnsi="Microsoft YaHei" w:cs="Microsoft YaHei"/>
          <w:spacing w:val="11"/>
          <w:position w:val="-1"/>
          <w:sz w:val="19"/>
          <w:szCs w:val="19"/>
        </w:rPr>
        <w:t>6.4.6</w:t>
      </w:r>
      <w:r>
        <w:rPr>
          <w:rFonts w:ascii="Microsoft YaHei" w:eastAsia="Microsoft YaHei" w:hAnsi="Microsoft YaHei" w:cs="Microsoft YaHei"/>
          <w:spacing w:val="6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1"/>
          <w:sz w:val="19"/>
          <w:szCs w:val="19"/>
        </w:rPr>
        <w:t>数据存储</w:t>
      </w:r>
    </w:p>
    <w:p>
      <w:pPr>
        <w:spacing w:before="210" w:line="178" w:lineRule="auto"/>
        <w:ind w:left="44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5"/>
          <w:position w:val="-2"/>
          <w:sz w:val="19"/>
          <w:szCs w:val="19"/>
        </w:rPr>
        <w:t>a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)</w:t>
      </w:r>
      <w:r>
        <w:rPr>
          <w:rFonts w:ascii="Microsoft YaHei" w:eastAsia="Microsoft YaHei" w:hAnsi="Microsoft YaHei" w:cs="Microsoft YaHei"/>
          <w:spacing w:val="6"/>
          <w:sz w:val="19"/>
          <w:szCs w:val="19"/>
        </w:rPr>
        <w:t xml:space="preserve">   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水表应支持存储当前周期用量</w:t>
      </w:r>
      <w:r>
        <w:rPr>
          <w:rFonts w:ascii="Microsoft YaHei" w:eastAsia="Microsoft YaHei" w:hAnsi="Microsoft YaHei" w:cs="Microsoft YaHei"/>
          <w:spacing w:val="-8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5"/>
          <w:sz w:val="19"/>
          <w:szCs w:val="19"/>
        </w:rPr>
        <w:t>;</w:t>
      </w:r>
    </w:p>
    <w:p>
      <w:pPr>
        <w:spacing w:before="59" w:line="178" w:lineRule="auto"/>
        <w:ind w:left="440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b)   水表至少应能存储上</w:t>
      </w:r>
      <w:r>
        <w:rPr>
          <w:rFonts w:ascii="Microsoft YaHei" w:eastAsia="Microsoft YaHei" w:hAnsi="Microsoft YaHei" w:cs="Microsoft YaHei"/>
          <w:spacing w:val="37"/>
          <w:w w:val="101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12个结算日的累计用量以及对应的时间标志</w:t>
      </w:r>
      <w:r>
        <w:rPr>
          <w:rFonts w:ascii="Microsoft YaHei" w:eastAsia="Microsoft YaHei" w:hAnsi="Microsoft YaHei" w:cs="Microsoft YaHei"/>
          <w:spacing w:val="-26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6"/>
          <w:sz w:val="19"/>
          <w:szCs w:val="19"/>
        </w:rPr>
        <w:t>。</w:t>
      </w:r>
    </w:p>
    <w:p>
      <w:pPr>
        <w:spacing w:before="238" w:line="474" w:lineRule="exact"/>
        <w:ind w:left="17"/>
        <w:rPr>
          <w:rFonts w:ascii="SimHei" w:eastAsia="SimHei" w:hAnsi="SimHei" w:cs="Sim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4"/>
          <w:position w:val="20"/>
          <w:sz w:val="19"/>
          <w:szCs w:val="19"/>
        </w:rPr>
        <w:t>6.4.7</w:t>
      </w:r>
      <w:r>
        <w:rPr>
          <w:rFonts w:ascii="Microsoft YaHei" w:eastAsia="Microsoft YaHei" w:hAnsi="Microsoft YaHei" w:cs="Microsoft YaHei"/>
          <w:spacing w:val="6"/>
          <w:position w:val="20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14"/>
          <w:position w:val="22"/>
          <w:sz w:val="19"/>
          <w:szCs w:val="19"/>
        </w:rPr>
        <w:t>本地结算水表的显示</w:t>
      </w:r>
    </w:p>
    <w:p>
      <w:pPr>
        <w:spacing w:before="1" w:line="193" w:lineRule="auto"/>
        <w:ind w:left="17"/>
        <w:rPr>
          <w:rFonts w:ascii="SimHei" w:eastAsia="SimHei" w:hAnsi="SimHei" w:cs="SimHei"/>
          <w:sz w:val="19"/>
          <w:szCs w:val="19"/>
        </w:rPr>
      </w:pPr>
      <w:hyperlink r:id="rId20" w:history="1">
        <w:r>
          <w:rPr>
            <w:rFonts w:ascii="Microsoft YaHei" w:eastAsia="Microsoft YaHei" w:hAnsi="Microsoft YaHei" w:cs="Microsoft YaHei"/>
            <w:spacing w:val="9"/>
            <w:position w:val="-1"/>
            <w:sz w:val="19"/>
            <w:szCs w:val="19"/>
          </w:rPr>
          <w:t>6.4.7.1</w:t>
        </w:r>
      </w:hyperlink>
      <w:r>
        <w:rPr>
          <w:rFonts w:ascii="Microsoft YaHei" w:eastAsia="Microsoft YaHei" w:hAnsi="Microsoft YaHei" w:cs="Microsoft YaHei"/>
          <w:spacing w:val="9"/>
          <w:position w:val="-1"/>
          <w:sz w:val="19"/>
          <w:szCs w:val="19"/>
        </w:rPr>
        <w:t xml:space="preserve">   </w:t>
      </w:r>
      <w:r>
        <w:rPr>
          <w:rFonts w:ascii="SimHei" w:eastAsia="SimHei" w:hAnsi="SimHei" w:cs="SimHei"/>
          <w:spacing w:val="9"/>
          <w:position w:val="1"/>
          <w:sz w:val="19"/>
          <w:szCs w:val="19"/>
        </w:rPr>
        <w:t>显示内容</w:t>
      </w:r>
    </w:p>
    <w:p>
      <w:pPr>
        <w:spacing w:before="204" w:line="184" w:lineRule="auto"/>
        <w:ind w:left="437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水表至少应能显示下列信息</w:t>
      </w:r>
      <w:r>
        <w:rPr>
          <w:rFonts w:ascii="Microsoft YaHei" w:eastAsia="Microsoft YaHei" w:hAnsi="Microsoft YaHei" w:cs="Microsoft YaHei"/>
          <w:spacing w:val="3"/>
          <w:sz w:val="19"/>
          <w:szCs w:val="19"/>
        </w:rPr>
        <w:t xml:space="preserve"> </w:t>
      </w:r>
      <w:r>
        <w:rPr>
          <w:rFonts w:ascii="Microsoft YaHei" w:eastAsia="Microsoft YaHei" w:hAnsi="Microsoft YaHei" w:cs="Microsoft YaHei"/>
          <w:spacing w:val="17"/>
          <w:sz w:val="19"/>
          <w:szCs w:val="19"/>
        </w:rPr>
        <w:t>:</w:t>
      </w:r>
    </w:p>
    <w:p>
      <w:pPr>
        <w:spacing w:line="184" w:lineRule="auto"/>
        <w:rPr>
          <w:rFonts w:ascii="Microsoft YaHei" w:eastAsia="Microsoft YaHei" w:hAnsi="Microsoft YaHei" w:cs="Microsoft YaHei"/>
          <w:sz w:val="19"/>
          <w:szCs w:val="19"/>
        </w:rPr>
      </w:pPr>
      <w:r>
        <w:rPr>
          <w:rFonts w:ascii="Microsoft YaHei" w:eastAsia="Microsoft YaHei" w:hAnsi="Microsoft YaHei" w:cs="Microsoft YaHei"/>
          <w:sz w:val="19"/>
          <w:szCs w:val="19"/>
        </w:rPr>
        <w:br/>
      </w:r>
      <w:r>
        <w:rPr>
          <w:rFonts w:ascii="Microsoft YaHei" w:eastAsia="Microsoft YaHei" w:hAnsi="Microsoft YaHei" w:cs="Microsoft YaHei"/>
          <w:sz w:val="19"/>
          <w:szCs w:val="19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https://d.book118.com/276052145044010052</w:t>
        </w:r>
      </w:hyperlink>
    </w:p>
    <w:p>
      <w:pPr>
        <w:spacing w:line="184" w:lineRule="auto"/>
        <w:rPr>
          <w:rFonts w:ascii="Microsoft YaHei" w:eastAsia="Microsoft YaHei" w:hAnsi="Microsoft YaHei" w:cs="Microsoft YaHei"/>
          <w:sz w:val="19"/>
          <w:szCs w:val="19"/>
        </w:rPr>
      </w:pPr>
    </w:p>
    <w:sectPr>
      <w:footerReference w:type="default" r:id="rId22"/>
      <w:type w:val="nextPage"/>
      <w:pgSz w:w="11906" w:h="16838"/>
      <w:pgMar w:top="1255" w:right="1334" w:bottom="1446" w:left="1334" w:header="0" w:footer="1259" w:gutter="0"/>
      <w:pgNumType w:start="1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5" w:lineRule="auto"/>
      <w:ind w:left="8868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Ⅰ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auto"/>
      <w:ind w:left="8850"/>
      <w:rPr>
        <w:rFonts w:ascii="Microsoft YaHei" w:eastAsia="Microsoft YaHei" w:hAnsi="Microsoft YaHei" w:cs="Microsoft YaHei"/>
        <w:sz w:val="14"/>
        <w:szCs w:val="14"/>
      </w:rPr>
    </w:pPr>
    <w:r>
      <w:rPr>
        <w:rFonts w:ascii="Microsoft YaHei" w:eastAsia="Microsoft YaHei" w:hAnsi="Microsoft YaHei" w:cs="Microsoft YaHei"/>
        <w:sz w:val="14"/>
        <w:szCs w:val="14"/>
      </w:rPr>
      <w:t>Ⅲ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8863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5"/>
        <w:position w:val="-1"/>
        <w:sz w:val="16"/>
        <w:szCs w:val="16"/>
      </w:rPr>
      <w:t>1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6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6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8" w:lineRule="exact"/>
      <w:ind w:left="267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9"/>
        <w:position w:val="-1"/>
        <w:sz w:val="16"/>
        <w:szCs w:val="16"/>
      </w:rPr>
      <w:t>2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59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exact"/>
      <w:ind w:left="8859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18"/>
        <w:position w:val="-1"/>
        <w:sz w:val="16"/>
        <w:szCs w:val="16"/>
      </w:rPr>
      <w:t>3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280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2"/>
        <w:position w:val="-1"/>
        <w:sz w:val="16"/>
        <w:szCs w:val="16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7" w:lineRule="exact"/>
      <w:ind w:left="280"/>
      <w:rPr>
        <w:rFonts w:ascii="Microsoft YaHei" w:eastAsia="Microsoft YaHei" w:hAnsi="Microsoft YaHei" w:cs="Microsoft YaHei"/>
        <w:sz w:val="16"/>
        <w:szCs w:val="16"/>
      </w:rPr>
    </w:pPr>
    <w:r>
      <w:rPr>
        <w:rFonts w:ascii="Microsoft YaHei" w:eastAsia="Microsoft YaHei" w:hAnsi="Microsoft YaHei" w:cs="Microsoft YaHei"/>
        <w:spacing w:val="22"/>
        <w:position w:val="-1"/>
        <w:sz w:val="16"/>
        <w:szCs w:val="16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hyperlink" Target="6.4.3.1" TargetMode="External" /><Relationship Id="rId14" Type="http://schemas.openxmlformats.org/officeDocument/2006/relationships/hyperlink" Target="6.4.3.2" TargetMode="External" /><Relationship Id="rId15" Type="http://schemas.openxmlformats.org/officeDocument/2006/relationships/footer" Target="footer9.xml" /><Relationship Id="rId16" Type="http://schemas.openxmlformats.org/officeDocument/2006/relationships/hyperlink" Target="6.4.4.1" TargetMode="External" /><Relationship Id="rId17" Type="http://schemas.openxmlformats.org/officeDocument/2006/relationships/hyperlink" Target="6.4.4.2" TargetMode="External" /><Relationship Id="rId18" Type="http://schemas.openxmlformats.org/officeDocument/2006/relationships/hyperlink" Target="6.4.4.3" TargetMode="External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hyperlink" Target="6.4.7.1" TargetMode="External" /><Relationship Id="rId21" Type="http://schemas.openxmlformats.org/officeDocument/2006/relationships/hyperlink" Target="https://d.book118.com/276052145044010052" TargetMode="External" /><Relationship Id="rId22" Type="http://schemas.openxmlformats.org/officeDocument/2006/relationships/footer" Target="footer11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2024-02-25T14:51:03Z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2024-02-25T15:07:32Z</vt:filetime>
  </property>
  <property fmtid="{D5CDD505-2E9C-101B-9397-08002B2CF9AE}" pid="3" name="CRO">
    <vt:lpwstr>wqlLaW5nc29mdCBQREYgdG8gV1BTIDkw</vt:lpwstr>
  </property>
</Properties>
</file>