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2666DA" w:rsidP="005A3478">
      <w:pPr>
        <w:spacing w:before="312" w:beforeLines="100" w:line="360" w:lineRule="auto"/>
        <w:outlineLvl w:val="0"/>
        <w:rPr>
          <w:rFonts w:ascii="宋体" w:hAnsi="宋体" w:hint="eastAsia"/>
          <w:b/>
          <w:sz w:val="44"/>
        </w:rPr>
      </w:pPr>
    </w:p>
    <w:p w:rsidR="00C90C60">
      <w:pPr>
        <w:spacing w:before="312" w:beforeLines="100" w:line="360" w:lineRule="auto"/>
        <w:ind w:firstLine="3243" w:firstLineChars="737"/>
        <w:outlineLvl w:val="0"/>
        <w:rPr>
          <w:rFonts w:ascii="宋体" w:hAnsi="宋体" w:hint="eastAsia"/>
          <w:b/>
          <w:sz w:val="44"/>
        </w:rPr>
      </w:pPr>
      <w:r>
        <w:rPr>
          <w:rFonts w:ascii="宋体" w:hAnsi="宋体" w:hint="eastAsia"/>
          <w:b/>
          <w:sz w:val="44"/>
        </w:rPr>
        <w:t>目   录</w:t>
      </w:r>
    </w:p>
    <w:p w:rsidR="00C90C60">
      <w:pPr>
        <w:pStyle w:val="TOC1"/>
        <w:spacing w:line="300" w:lineRule="auto"/>
        <w:rPr>
          <w:rFonts w:ascii="宋体" w:eastAsia="宋体" w:hint="eastAsia"/>
          <w:b/>
        </w:rPr>
      </w:pPr>
      <w:r>
        <w:rPr>
          <w:rFonts w:ascii="宋体" w:eastAsia="宋体" w:hint="eastAsia"/>
        </w:rPr>
        <w:fldChar w:fldCharType="begin" w:dirty="1"/>
      </w:r>
      <w:r>
        <w:rPr>
          <w:rFonts w:ascii="宋体" w:eastAsia="宋体" w:hint="eastAsia"/>
        </w:rPr>
        <w:instrText xml:space="preserve"> TOC \o "1-2" \h \z </w:instrText>
      </w:r>
      <w:r>
        <w:rPr>
          <w:rFonts w:ascii="宋体" w:eastAsia="宋体" w:hint="eastAsia"/>
        </w:rPr>
        <w:fldChar w:fldCharType="separate"/>
      </w:r>
      <w:hyperlink w:anchor="_Toc45100559" w:history="1">
        <w:r>
          <w:rPr>
            <w:rStyle w:val="Hyperlink"/>
            <w:rFonts w:ascii="宋体" w:eastAsia="宋体" w:hint="eastAsia"/>
            <w:b/>
          </w:rPr>
          <w:t>第一章  总  论</w:t>
        </w:r>
        <w:r>
          <w:rPr>
            <w:rFonts w:ascii="宋体" w:eastAsia="宋体" w:hint="eastAsia"/>
            <w:b/>
          </w:rPr>
          <w:tab/>
          <w:t>3</w:t>
        </w:r>
      </w:hyperlink>
    </w:p>
    <w:p w:rsidR="00C90C60">
      <w:pPr>
        <w:pStyle w:val="TOC2"/>
        <w:tabs>
          <w:tab w:val="right" w:leader="dot" w:pos="8302"/>
        </w:tabs>
        <w:spacing w:line="300" w:lineRule="auto"/>
        <w:ind w:left="0" w:firstLine="240" w:leftChars="0" w:firstLineChars="100"/>
        <w:rPr>
          <w:rFonts w:ascii="宋体" w:hAnsi="宋体" w:hint="eastAsia"/>
          <w:sz w:val="24"/>
        </w:rPr>
      </w:pPr>
      <w:hyperlink w:anchor="_Toc45100560" w:history="1">
        <w:r>
          <w:rPr>
            <w:rStyle w:val="Hyperlink"/>
            <w:rFonts w:ascii="宋体" w:hAnsi="宋体" w:hint="eastAsia"/>
            <w:sz w:val="24"/>
          </w:rPr>
          <w:t>1、工程概况及目标</w:t>
        </w:r>
        <w:r>
          <w:rPr>
            <w:rFonts w:ascii="宋体" w:hAnsi="宋体" w:hint="eastAsia"/>
            <w:sz w:val="24"/>
          </w:rPr>
          <w:tab/>
          <w:t>3</w:t>
        </w:r>
      </w:hyperlink>
    </w:p>
    <w:p w:rsidR="00C90C60">
      <w:pPr>
        <w:pStyle w:val="TOC2"/>
        <w:tabs>
          <w:tab w:val="right" w:leader="dot" w:pos="8302"/>
        </w:tabs>
        <w:spacing w:line="300" w:lineRule="auto"/>
        <w:ind w:left="0" w:firstLine="240" w:leftChars="0" w:firstLineChars="100"/>
        <w:rPr>
          <w:rFonts w:ascii="宋体" w:hAnsi="宋体" w:hint="eastAsia"/>
          <w:sz w:val="24"/>
        </w:rPr>
      </w:pPr>
      <w:hyperlink w:anchor="_Toc45100561" w:history="1">
        <w:r>
          <w:rPr>
            <w:rStyle w:val="Hyperlink"/>
            <w:rFonts w:ascii="宋体" w:hAnsi="宋体" w:hint="eastAsia"/>
            <w:sz w:val="24"/>
          </w:rPr>
          <w:t>2、编制依据及研究范围</w:t>
        </w:r>
        <w:r>
          <w:rPr>
            <w:rFonts w:ascii="宋体" w:hAnsi="宋体" w:hint="eastAsia"/>
            <w:sz w:val="24"/>
          </w:rPr>
          <w:tab/>
          <w:t>5</w:t>
        </w:r>
      </w:hyperlink>
    </w:p>
    <w:p w:rsidR="00C90C60">
      <w:pPr>
        <w:pStyle w:val="TOC2"/>
        <w:tabs>
          <w:tab w:val="right" w:leader="dot" w:pos="8302"/>
        </w:tabs>
        <w:spacing w:line="300" w:lineRule="auto"/>
        <w:ind w:left="0" w:firstLine="240" w:leftChars="0" w:firstLineChars="100"/>
        <w:rPr>
          <w:rFonts w:ascii="宋体" w:hAnsi="宋体" w:hint="eastAsia"/>
          <w:sz w:val="24"/>
        </w:rPr>
      </w:pPr>
      <w:hyperlink w:anchor="_Toc45100562" w:history="1">
        <w:r>
          <w:rPr>
            <w:rStyle w:val="Hyperlink"/>
            <w:rFonts w:ascii="宋体" w:hAnsi="宋体" w:hint="eastAsia"/>
            <w:sz w:val="24"/>
          </w:rPr>
          <w:t>3、编制原那么</w:t>
        </w:r>
        <w:r>
          <w:rPr>
            <w:rFonts w:ascii="宋体" w:hAnsi="宋体" w:hint="eastAsia"/>
            <w:sz w:val="24"/>
          </w:rPr>
          <w:tab/>
          <w:t>6</w:t>
        </w:r>
      </w:hyperlink>
    </w:p>
    <w:p w:rsidR="00C90C60">
      <w:pPr>
        <w:pStyle w:val="TOC2"/>
        <w:tabs>
          <w:tab w:val="right" w:leader="dot" w:pos="8302"/>
        </w:tabs>
        <w:spacing w:line="300" w:lineRule="auto"/>
        <w:ind w:left="0" w:firstLine="240" w:leftChars="0" w:firstLineChars="100"/>
        <w:rPr>
          <w:rFonts w:ascii="宋体" w:hAnsi="宋体" w:hint="eastAsia"/>
          <w:sz w:val="24"/>
        </w:rPr>
      </w:pPr>
      <w:hyperlink w:anchor="_Toc45100563" w:history="1">
        <w:r>
          <w:rPr>
            <w:rStyle w:val="Hyperlink"/>
            <w:rFonts w:ascii="宋体" w:hAnsi="宋体" w:hint="eastAsia"/>
            <w:sz w:val="24"/>
          </w:rPr>
          <w:t>4、主要经济技术指标</w:t>
        </w:r>
        <w:r>
          <w:rPr>
            <w:rFonts w:ascii="宋体" w:hAnsi="宋体" w:hint="eastAsia"/>
            <w:sz w:val="24"/>
          </w:rPr>
          <w:tab/>
          <w:t>7</w:t>
        </w:r>
      </w:hyperlink>
    </w:p>
    <w:p w:rsidR="00C90C60">
      <w:pPr>
        <w:pStyle w:val="TOC2"/>
        <w:tabs>
          <w:tab w:val="right" w:leader="dot" w:pos="8302"/>
        </w:tabs>
        <w:spacing w:line="300" w:lineRule="auto"/>
        <w:ind w:left="0" w:firstLine="240" w:leftChars="0" w:firstLineChars="100"/>
        <w:rPr>
          <w:rFonts w:ascii="宋体" w:hAnsi="宋体" w:hint="eastAsia"/>
          <w:sz w:val="24"/>
        </w:rPr>
      </w:pPr>
      <w:hyperlink w:anchor="_Toc45100564" w:history="1">
        <w:r>
          <w:rPr>
            <w:rStyle w:val="Hyperlink"/>
            <w:rFonts w:ascii="宋体" w:hAnsi="宋体" w:hint="eastAsia"/>
            <w:sz w:val="24"/>
          </w:rPr>
          <w:t>5、可行性研究结论</w:t>
        </w:r>
        <w:r>
          <w:rPr>
            <w:rFonts w:ascii="宋体" w:hAnsi="宋体" w:hint="eastAsia"/>
            <w:sz w:val="24"/>
          </w:rPr>
          <w:tab/>
        </w:r>
        <w:r w:rsidR="00350BFC">
          <w:rPr>
            <w:rFonts w:ascii="宋体" w:hAnsi="宋体" w:hint="eastAsia"/>
            <w:sz w:val="24"/>
          </w:rPr>
          <w:t>9</w:t>
        </w:r>
      </w:hyperlink>
    </w:p>
    <w:p w:rsidR="00C90C60">
      <w:pPr>
        <w:pStyle w:val="TOC1"/>
        <w:spacing w:line="300" w:lineRule="auto"/>
        <w:rPr>
          <w:rFonts w:ascii="宋体" w:eastAsia="宋体" w:hint="eastAsia"/>
        </w:rPr>
      </w:pPr>
      <w:hyperlink w:anchor="_Toc45100565" w:history="1">
        <w:r>
          <w:rPr>
            <w:rStyle w:val="Hyperlink"/>
            <w:rFonts w:ascii="宋体" w:eastAsia="宋体" w:hint="eastAsia"/>
            <w:b/>
          </w:rPr>
          <w:t>第二章 工程建设的背景及必要性</w:t>
          <w:tab/>
        </w:r>
        <w:r w:rsidR="007058C2">
          <w:rPr>
            <w:rStyle w:val="Hyperlink"/>
            <w:rFonts w:ascii="宋体" w:eastAsia="宋体" w:hint="eastAsia"/>
            <w:b/>
            <w:lang w:eastAsia="zh-CN"/>
          </w:rPr>
          <w:t>1</w:t>
        </w:r>
        <w:r w:rsidR="00350BFC">
          <w:rPr>
            <w:rStyle w:val="Hyperlink"/>
            <w:rFonts w:ascii="宋体" w:eastAsia="宋体" w:hint="eastAsia"/>
            <w:b/>
            <w:lang w:eastAsia="zh-CN"/>
          </w:rPr>
          <w:t>0</w:t>
        </w:r>
      </w:hyperlink>
    </w:p>
    <w:p w:rsidR="00C90C60">
      <w:pPr>
        <w:pStyle w:val="TOC1"/>
        <w:spacing w:line="300" w:lineRule="auto"/>
        <w:rPr>
          <w:rFonts w:ascii="宋体" w:eastAsia="宋体" w:hint="eastAsia"/>
        </w:rPr>
      </w:pPr>
      <w:hyperlink w:anchor="_Toc45100566" w:history="1">
        <w:r>
          <w:rPr>
            <w:rStyle w:val="Hyperlink"/>
            <w:rFonts w:ascii="宋体" w:eastAsia="宋体" w:hint="eastAsia"/>
            <w:b/>
          </w:rPr>
          <w:t>第三章 工程</w:t>
        </w:r>
        <w:r w:rsidR="00350BFC">
          <w:rPr>
            <w:rStyle w:val="Hyperlink"/>
            <w:rFonts w:ascii="宋体" w:eastAsia="宋体" w:hint="eastAsia"/>
            <w:b/>
            <w:lang w:eastAsia="zh-CN"/>
          </w:rPr>
          <w:t>执行</w:t>
        </w:r>
        <w:r>
          <w:rPr>
            <w:rStyle w:val="Hyperlink"/>
            <w:rFonts w:ascii="宋体" w:eastAsia="宋体" w:hint="eastAsia"/>
            <w:b/>
          </w:rPr>
          <w:t>单位概况</w:t>
          <w:tab/>
        </w:r>
        <w:r w:rsidR="00A16AF3">
          <w:rPr>
            <w:rStyle w:val="Hyperlink"/>
            <w:rFonts w:ascii="宋体" w:eastAsia="宋体" w:hint="eastAsia"/>
            <w:b/>
            <w:lang w:eastAsia="zh-CN"/>
          </w:rPr>
          <w:t>32</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67" w:history="1">
        <w:r>
          <w:rPr>
            <w:rStyle w:val="Hyperlink"/>
            <w:rFonts w:ascii="宋体" w:hAnsi="宋体" w:hint="eastAsia"/>
            <w:sz w:val="24"/>
          </w:rPr>
          <w:t>综合实力</w:t>
        </w:r>
        <w:r>
          <w:rPr>
            <w:rStyle w:val="Hyperlink"/>
            <w:rFonts w:ascii="宋体" w:hAnsi="宋体" w:hint="eastAsia"/>
            <w:sz w:val="24"/>
          </w:rPr>
          <w:tab/>
        </w:r>
        <w:r w:rsidR="00A16AF3">
          <w:rPr>
            <w:rStyle w:val="Hyperlink"/>
            <w:rFonts w:ascii="宋体" w:hAnsi="宋体" w:hint="eastAsia"/>
            <w:sz w:val="24"/>
          </w:rPr>
          <w:t>32</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67" w:history="1">
        <w:r>
          <w:rPr>
            <w:rStyle w:val="Hyperlink"/>
            <w:rFonts w:ascii="宋体" w:hAnsi="宋体" w:hint="eastAsia"/>
            <w:sz w:val="24"/>
          </w:rPr>
          <w:t>专业团队</w:t>
        </w:r>
        <w:r>
          <w:rPr>
            <w:rStyle w:val="Hyperlink"/>
            <w:rFonts w:ascii="宋体" w:hAnsi="宋体" w:hint="eastAsia"/>
            <w:sz w:val="24"/>
          </w:rPr>
          <w:tab/>
        </w:r>
        <w:r w:rsidR="00A16AF3">
          <w:rPr>
            <w:rStyle w:val="Hyperlink"/>
            <w:rFonts w:ascii="宋体" w:hAnsi="宋体" w:hint="eastAsia"/>
            <w:sz w:val="24"/>
          </w:rPr>
          <w:t>32</w:t>
        </w:r>
      </w:hyperlink>
    </w:p>
    <w:p w:rsidR="00C90C60">
      <w:pPr>
        <w:pStyle w:val="TOC1"/>
        <w:spacing w:line="300" w:lineRule="auto"/>
        <w:rPr>
          <w:rFonts w:ascii="宋体" w:eastAsia="宋体" w:hint="eastAsia"/>
          <w:lang w:eastAsia="zh-CN"/>
        </w:rPr>
      </w:pPr>
      <w:hyperlink w:anchor="_Toc45100568" w:history="1">
        <w:r>
          <w:rPr>
            <w:rStyle w:val="Hyperlink"/>
            <w:rFonts w:ascii="宋体" w:eastAsia="宋体" w:hint="eastAsia"/>
            <w:b/>
          </w:rPr>
          <w:t>第四章 行业分析及市场预测</w:t>
          <w:tab/>
        </w:r>
      </w:hyperlink>
      <w:r w:rsidR="00A16AF3">
        <w:rPr>
          <w:rFonts w:ascii="宋体" w:eastAsia="宋体" w:hint="eastAsia"/>
          <w:lang w:eastAsia="zh-CN"/>
        </w:rPr>
        <w:t>33</w:t>
      </w:r>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69" w:history="1">
        <w:r>
          <w:rPr>
            <w:rStyle w:val="Hyperlink"/>
            <w:rFonts w:ascii="宋体" w:hAnsi="宋体" w:hint="eastAsia"/>
            <w:sz w:val="24"/>
          </w:rPr>
          <w:t>1、国内市场开展预测</w:t>
        </w:r>
        <w:r>
          <w:rPr>
            <w:rStyle w:val="Hyperlink"/>
            <w:rFonts w:ascii="宋体" w:hAnsi="宋体" w:hint="eastAsia"/>
            <w:sz w:val="24"/>
          </w:rPr>
          <w:tab/>
        </w:r>
      </w:hyperlink>
      <w:r w:rsidR="00A16AF3">
        <w:rPr>
          <w:rFonts w:ascii="宋体" w:hAnsi="宋体" w:hint="eastAsia"/>
          <w:sz w:val="24"/>
        </w:rPr>
        <w:t>33</w:t>
      </w:r>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70" w:history="1">
        <w:r>
          <w:rPr>
            <w:rStyle w:val="Hyperlink"/>
            <w:rFonts w:ascii="宋体" w:hAnsi="宋体" w:hint="eastAsia"/>
            <w:sz w:val="24"/>
          </w:rPr>
          <w:t>2、西部建材/家居市场需求预测</w:t>
        </w:r>
        <w:r>
          <w:rPr>
            <w:rStyle w:val="Hyperlink"/>
            <w:rFonts w:ascii="宋体" w:hAnsi="宋体" w:hint="eastAsia"/>
            <w:sz w:val="24"/>
          </w:rPr>
          <w:tab/>
        </w:r>
        <w:r w:rsidR="00A16AF3">
          <w:rPr>
            <w:rStyle w:val="Hyperlink"/>
            <w:rFonts w:ascii="宋体" w:hAnsi="宋体" w:hint="eastAsia"/>
            <w:sz w:val="24"/>
          </w:rPr>
          <w:t>37</w:t>
        </w:r>
      </w:hyperlink>
    </w:p>
    <w:p w:rsidR="00C90C60">
      <w:pPr>
        <w:pStyle w:val="TOC1"/>
        <w:spacing w:line="300" w:lineRule="auto"/>
        <w:rPr>
          <w:rFonts w:ascii="宋体" w:eastAsia="宋体" w:hint="eastAsia"/>
        </w:rPr>
      </w:pPr>
      <w:hyperlink w:anchor="_Toc45100571" w:history="1">
        <w:r>
          <w:rPr>
            <w:rStyle w:val="Hyperlink"/>
            <w:rFonts w:ascii="宋体" w:eastAsia="宋体" w:hint="eastAsia"/>
            <w:b/>
          </w:rPr>
          <w:t>第五章 工程选址及建设条件</w:t>
          <w:tab/>
        </w:r>
        <w:r w:rsidR="00A077C5">
          <w:rPr>
            <w:rStyle w:val="Hyperlink"/>
            <w:rFonts w:ascii="宋体" w:eastAsia="宋体" w:hint="eastAsia"/>
            <w:b/>
            <w:lang w:eastAsia="zh-CN"/>
          </w:rPr>
          <w:t>41</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72" w:history="1">
        <w:r>
          <w:rPr>
            <w:rStyle w:val="Hyperlink"/>
            <w:rFonts w:ascii="宋体" w:hAnsi="宋体" w:hint="eastAsia"/>
            <w:sz w:val="24"/>
          </w:rPr>
          <w:t>1、工程选址</w:t>
        </w:r>
        <w:r>
          <w:rPr>
            <w:rStyle w:val="Hyperlink"/>
            <w:rFonts w:ascii="宋体" w:hAnsi="宋体" w:hint="eastAsia"/>
            <w:sz w:val="24"/>
          </w:rPr>
          <w:tab/>
        </w:r>
        <w:r w:rsidR="00A077C5">
          <w:rPr>
            <w:rStyle w:val="Hyperlink"/>
            <w:rFonts w:ascii="宋体" w:hAnsi="宋体" w:hint="eastAsia"/>
            <w:sz w:val="24"/>
          </w:rPr>
          <w:t>41</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73" w:history="1">
        <w:r>
          <w:rPr>
            <w:rStyle w:val="Hyperlink"/>
            <w:rFonts w:ascii="宋体" w:hAnsi="宋体" w:hint="eastAsia"/>
            <w:sz w:val="24"/>
          </w:rPr>
          <w:t>2、根底条件</w:t>
        </w:r>
        <w:r>
          <w:rPr>
            <w:rStyle w:val="Hyperlink"/>
            <w:rFonts w:ascii="宋体" w:hAnsi="宋体" w:hint="eastAsia"/>
            <w:sz w:val="24"/>
          </w:rPr>
          <w:tab/>
        </w:r>
        <w:r w:rsidR="00A077C5">
          <w:rPr>
            <w:rStyle w:val="Hyperlink"/>
            <w:rFonts w:ascii="宋体" w:hAnsi="宋体" w:hint="eastAsia"/>
            <w:sz w:val="24"/>
          </w:rPr>
          <w:t>41</w:t>
        </w:r>
      </w:hyperlink>
    </w:p>
    <w:p w:rsidR="00C90C60">
      <w:pPr>
        <w:pStyle w:val="TOC2"/>
        <w:tabs>
          <w:tab w:val="right" w:leader="dot" w:pos="8302"/>
        </w:tabs>
        <w:spacing w:line="300" w:lineRule="auto"/>
        <w:ind w:left="0" w:firstLine="240" w:leftChars="0" w:firstLineChars="100"/>
        <w:rPr>
          <w:rFonts w:ascii="宋体" w:hAnsi="宋体" w:hint="eastAsia"/>
          <w:sz w:val="24"/>
        </w:rPr>
      </w:pPr>
      <w:hyperlink w:anchor="_Toc45100574" w:history="1">
        <w:r>
          <w:rPr>
            <w:rStyle w:val="Hyperlink"/>
            <w:rFonts w:ascii="宋体" w:hAnsi="宋体" w:hint="eastAsia"/>
            <w:sz w:val="24"/>
          </w:rPr>
          <w:t>3、自然条件</w:t>
        </w:r>
        <w:r>
          <w:rPr>
            <w:rStyle w:val="Hyperlink"/>
            <w:rFonts w:ascii="宋体" w:hAnsi="宋体" w:hint="eastAsia"/>
            <w:sz w:val="24"/>
          </w:rPr>
          <w:tab/>
        </w:r>
        <w:r w:rsidR="00A077C5">
          <w:rPr>
            <w:rStyle w:val="Hyperlink"/>
            <w:rFonts w:ascii="宋体" w:hAnsi="宋体" w:hint="eastAsia"/>
            <w:sz w:val="24"/>
          </w:rPr>
          <w:t>41</w:t>
        </w:r>
      </w:hyperlink>
    </w:p>
    <w:p w:rsidR="00C90C60">
      <w:pPr>
        <w:pStyle w:val="TOC1"/>
        <w:spacing w:line="300" w:lineRule="auto"/>
        <w:rPr>
          <w:rFonts w:ascii="宋体" w:eastAsia="宋体" w:hint="eastAsia"/>
        </w:rPr>
      </w:pPr>
      <w:hyperlink w:anchor="_Toc45100575" w:history="1">
        <w:r>
          <w:rPr>
            <w:rStyle w:val="Hyperlink"/>
            <w:rFonts w:ascii="宋体" w:eastAsia="宋体" w:hint="eastAsia"/>
            <w:b/>
          </w:rPr>
          <w:t>第六章 建设方案</w:t>
          <w:tab/>
        </w:r>
        <w:r w:rsidR="00A077C5">
          <w:rPr>
            <w:rStyle w:val="Hyperlink"/>
            <w:rFonts w:ascii="宋体" w:eastAsia="宋体" w:hint="eastAsia"/>
            <w:b/>
            <w:lang w:eastAsia="zh-CN"/>
          </w:rPr>
          <w:t>42</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76" w:history="1">
        <w:r>
          <w:rPr>
            <w:rStyle w:val="Hyperlink"/>
            <w:rFonts w:ascii="宋体" w:hAnsi="宋体" w:hint="eastAsia"/>
            <w:sz w:val="24"/>
          </w:rPr>
          <w:t>1、建设规模</w:t>
        </w:r>
        <w:r>
          <w:rPr>
            <w:rStyle w:val="Hyperlink"/>
            <w:rFonts w:ascii="宋体" w:hAnsi="宋体" w:hint="eastAsia"/>
            <w:sz w:val="24"/>
          </w:rPr>
          <w:tab/>
        </w:r>
        <w:r w:rsidR="00A077C5">
          <w:rPr>
            <w:rStyle w:val="Hyperlink"/>
            <w:rFonts w:ascii="宋体" w:hAnsi="宋体" w:hint="eastAsia"/>
            <w:sz w:val="24"/>
          </w:rPr>
          <w:t>42</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77" w:history="1">
        <w:r>
          <w:rPr>
            <w:rStyle w:val="Hyperlink"/>
            <w:rFonts w:ascii="宋体" w:hAnsi="宋体" w:hint="eastAsia"/>
            <w:sz w:val="24"/>
          </w:rPr>
          <w:t>2、建设原那么</w:t>
        </w:r>
        <w:r>
          <w:rPr>
            <w:rStyle w:val="Hyperlink"/>
            <w:rFonts w:ascii="宋体" w:hAnsi="宋体" w:hint="eastAsia"/>
            <w:sz w:val="24"/>
          </w:rPr>
          <w:tab/>
        </w:r>
        <w:r w:rsidR="00A077C5">
          <w:rPr>
            <w:rStyle w:val="Hyperlink"/>
            <w:rFonts w:ascii="宋体" w:hAnsi="宋体" w:hint="eastAsia"/>
            <w:sz w:val="24"/>
          </w:rPr>
          <w:t>43</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78" w:history="1">
        <w:r>
          <w:rPr>
            <w:rStyle w:val="Hyperlink"/>
            <w:rFonts w:ascii="宋体" w:hAnsi="宋体" w:hint="eastAsia"/>
            <w:sz w:val="24"/>
          </w:rPr>
          <w:t>3、建设目标</w:t>
        </w:r>
        <w:r>
          <w:rPr>
            <w:rStyle w:val="Hyperlink"/>
            <w:rFonts w:ascii="宋体" w:hAnsi="宋体" w:hint="eastAsia"/>
            <w:sz w:val="24"/>
          </w:rPr>
          <w:tab/>
        </w:r>
        <w:r w:rsidR="00A077C5">
          <w:rPr>
            <w:rStyle w:val="Hyperlink"/>
            <w:rFonts w:ascii="宋体" w:hAnsi="宋体" w:hint="eastAsia"/>
            <w:sz w:val="24"/>
          </w:rPr>
          <w:t>44</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79" w:history="1">
        <w:r>
          <w:rPr>
            <w:rStyle w:val="Hyperlink"/>
            <w:rFonts w:ascii="宋体" w:hAnsi="宋体" w:hint="eastAsia"/>
            <w:sz w:val="24"/>
          </w:rPr>
          <w:t>4、交易仓储中心功能定位及结构设计</w:t>
        </w:r>
        <w:r>
          <w:rPr>
            <w:rStyle w:val="Hyperlink"/>
            <w:rFonts w:ascii="宋体" w:hAnsi="宋体" w:hint="eastAsia"/>
            <w:sz w:val="24"/>
          </w:rPr>
          <w:tab/>
        </w:r>
        <w:r w:rsidR="00A077C5">
          <w:rPr>
            <w:rStyle w:val="Hyperlink"/>
            <w:rFonts w:ascii="宋体" w:hAnsi="宋体" w:hint="eastAsia"/>
            <w:sz w:val="24"/>
          </w:rPr>
          <w:t>45</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80" w:history="1">
        <w:r>
          <w:rPr>
            <w:rStyle w:val="Hyperlink"/>
            <w:rFonts w:ascii="宋体" w:hAnsi="宋体" w:hint="eastAsia"/>
            <w:sz w:val="24"/>
          </w:rPr>
          <w:t>5、信息平台功能</w:t>
        </w:r>
        <w:r>
          <w:rPr>
            <w:rStyle w:val="Hyperlink"/>
            <w:rFonts w:ascii="宋体" w:hAnsi="宋体" w:hint="eastAsia"/>
            <w:sz w:val="24"/>
          </w:rPr>
          <w:tab/>
        </w:r>
        <w:r w:rsidR="00A077C5">
          <w:rPr>
            <w:rStyle w:val="Hyperlink"/>
            <w:rFonts w:ascii="宋体" w:hAnsi="宋体" w:hint="eastAsia"/>
            <w:sz w:val="24"/>
          </w:rPr>
          <w:t>46</w:t>
        </w:r>
      </w:hyperlink>
    </w:p>
    <w:p w:rsidR="00C90C60">
      <w:pPr>
        <w:pStyle w:val="TOC1"/>
        <w:spacing w:line="300" w:lineRule="auto"/>
        <w:rPr>
          <w:rFonts w:ascii="宋体" w:eastAsia="宋体" w:hint="eastAsia"/>
        </w:rPr>
      </w:pPr>
      <w:hyperlink w:anchor="_Toc45100582" w:history="1">
        <w:r>
          <w:rPr>
            <w:rStyle w:val="Hyperlink"/>
            <w:rFonts w:ascii="宋体" w:eastAsia="宋体" w:hint="eastAsia"/>
            <w:b/>
          </w:rPr>
          <w:t>第七章 专业技术方案</w:t>
          <w:tab/>
        </w:r>
        <w:r w:rsidR="00A077C5">
          <w:rPr>
            <w:rStyle w:val="Hyperlink"/>
            <w:rFonts w:ascii="宋体" w:eastAsia="宋体" w:hint="eastAsia"/>
            <w:b/>
            <w:lang w:eastAsia="zh-CN"/>
          </w:rPr>
          <w:t>47</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83" w:history="1">
        <w:r>
          <w:rPr>
            <w:rStyle w:val="Hyperlink"/>
            <w:rFonts w:ascii="宋体" w:hAnsi="宋体" w:hint="eastAsia"/>
            <w:sz w:val="24"/>
          </w:rPr>
          <w:t>1、总平面布置</w:t>
        </w:r>
        <w:r>
          <w:rPr>
            <w:rStyle w:val="Hyperlink"/>
            <w:rFonts w:ascii="宋体" w:hAnsi="宋体" w:hint="eastAsia"/>
            <w:sz w:val="24"/>
          </w:rPr>
          <w:tab/>
        </w:r>
        <w:r w:rsidR="00A077C5">
          <w:rPr>
            <w:rStyle w:val="Hyperlink"/>
            <w:rFonts w:ascii="宋体" w:hAnsi="宋体" w:hint="eastAsia"/>
            <w:sz w:val="24"/>
          </w:rPr>
          <w:t>47</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84" w:history="1">
        <w:r>
          <w:rPr>
            <w:rStyle w:val="Hyperlink"/>
            <w:rFonts w:ascii="宋体" w:hAnsi="宋体" w:hint="eastAsia"/>
            <w:sz w:val="24"/>
          </w:rPr>
          <w:t>2、建筑结构</w:t>
        </w:r>
        <w:r>
          <w:rPr>
            <w:rStyle w:val="Hyperlink"/>
            <w:rFonts w:ascii="宋体" w:hAnsi="宋体" w:hint="eastAsia"/>
            <w:sz w:val="24"/>
          </w:rPr>
          <w:tab/>
        </w:r>
        <w:r w:rsidR="00A077C5">
          <w:rPr>
            <w:rStyle w:val="Hyperlink"/>
            <w:rFonts w:ascii="宋体" w:hAnsi="宋体" w:hint="eastAsia"/>
            <w:sz w:val="24"/>
          </w:rPr>
          <w:t>48</w:t>
        </w:r>
      </w:hyperlink>
    </w:p>
    <w:p w:rsidR="00C90C60" w:rsidRPr="005A3478" w:rsidP="005A3478">
      <w:pPr>
        <w:pStyle w:val="TOC2"/>
        <w:tabs>
          <w:tab w:val="right" w:leader="dot" w:pos="8302"/>
        </w:tabs>
        <w:spacing w:line="300" w:lineRule="auto"/>
        <w:ind w:left="0" w:firstLine="240" w:leftChars="0" w:firstLineChars="100"/>
        <w:rPr>
          <w:rStyle w:val="Hyperlink"/>
          <w:rFonts w:ascii="宋体" w:hAnsi="宋体" w:hint="eastAsia"/>
          <w:color w:val="auto"/>
          <w:sz w:val="24"/>
          <w:u w:val="none"/>
        </w:rPr>
        <w:sectPr>
          <w:pgSz w:w="11906" w:h="16838"/>
          <w:pgMar w:top="1162" w:right="1270" w:bottom="1162" w:left="1230" w:header="851" w:footer="992" w:gutter="0"/>
          <w:cols w:space="720"/>
          <w:docGrid w:type="lines" w:linePitch="312"/>
        </w:sectPr>
      </w:pPr>
      <w:hyperlink w:anchor="_Toc45100585" w:history="1">
        <w:r>
          <w:rPr>
            <w:rStyle w:val="Hyperlink"/>
            <w:rFonts w:ascii="宋体" w:hAnsi="宋体" w:hint="eastAsia"/>
            <w:sz w:val="24"/>
          </w:rPr>
          <w:t>3、供电方案</w:t>
        </w:r>
        <w:r>
          <w:rPr>
            <w:rStyle w:val="Hyperlink"/>
            <w:rFonts w:ascii="宋体" w:hAnsi="宋体" w:hint="eastAsia"/>
            <w:sz w:val="24"/>
          </w:rPr>
          <w:tab/>
        </w:r>
      </w:hyperlink>
      <w:r w:rsidR="00A077C5">
        <w:rPr>
          <w:rStyle w:val="Hyperlink"/>
          <w:rFonts w:ascii="宋体" w:hAnsi="宋体" w:hint="eastAsia"/>
          <w:color w:val="auto"/>
          <w:sz w:val="24"/>
          <w:u w:val="none"/>
        </w:rPr>
        <w:t>48</w:t>
      </w:r>
    </w:p>
    <w:p w:rsidR="00C90C60">
      <w:pPr>
        <w:pStyle w:val="TOC2"/>
        <w:tabs>
          <w:tab w:val="right" w:leader="dot" w:pos="8302"/>
        </w:tabs>
        <w:spacing w:before="312" w:beforeLines="100" w:line="300" w:lineRule="auto"/>
        <w:ind w:left="0" w:firstLine="240" w:leftChars="0" w:firstLineChars="100"/>
        <w:rPr>
          <w:rStyle w:val="Hyperlink"/>
          <w:rFonts w:ascii="宋体" w:hAnsi="宋体" w:hint="eastAsia"/>
          <w:color w:val="auto"/>
          <w:sz w:val="24"/>
          <w:u w:val="none"/>
        </w:rPr>
      </w:pPr>
      <w:hyperlink w:anchor="_Toc45100585" w:history="1">
        <w:r>
          <w:rPr>
            <w:rStyle w:val="Hyperlink"/>
            <w:rFonts w:ascii="宋体" w:hAnsi="宋体" w:hint="eastAsia"/>
            <w:sz w:val="24"/>
          </w:rPr>
          <w:t>4、通讯、电视网络系统</w:t>
        </w:r>
        <w:r>
          <w:rPr>
            <w:rStyle w:val="Hyperlink"/>
            <w:rFonts w:ascii="宋体" w:hAnsi="宋体" w:hint="eastAsia"/>
            <w:sz w:val="24"/>
          </w:rPr>
          <w:tab/>
        </w:r>
      </w:hyperlink>
      <w:r w:rsidR="00A077C5">
        <w:rPr>
          <w:rStyle w:val="Hyperlink"/>
          <w:rFonts w:ascii="宋体" w:hAnsi="宋体" w:hint="eastAsia"/>
          <w:color w:val="auto"/>
          <w:sz w:val="24"/>
          <w:u w:val="none"/>
        </w:rPr>
        <w:t>49</w:t>
      </w:r>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87" w:history="1">
        <w:r>
          <w:rPr>
            <w:rStyle w:val="Hyperlink"/>
            <w:rFonts w:ascii="宋体" w:hAnsi="宋体" w:hint="eastAsia"/>
            <w:sz w:val="24"/>
          </w:rPr>
          <w:t>5、给排水设施</w:t>
        </w:r>
        <w:r>
          <w:rPr>
            <w:rStyle w:val="Hyperlink"/>
            <w:rFonts w:ascii="宋体" w:hAnsi="宋体" w:hint="eastAsia"/>
            <w:sz w:val="24"/>
          </w:rPr>
          <w:tab/>
        </w:r>
        <w:r w:rsidR="00A077C5">
          <w:rPr>
            <w:rStyle w:val="Hyperlink"/>
            <w:rFonts w:ascii="宋体" w:hAnsi="宋体" w:hint="eastAsia"/>
            <w:sz w:val="24"/>
          </w:rPr>
          <w:t>50</w:t>
        </w:r>
      </w:hyperlink>
    </w:p>
    <w:p w:rsidR="00C90C60">
      <w:pPr>
        <w:pStyle w:val="TOC2"/>
        <w:tabs>
          <w:tab w:val="right" w:leader="dot" w:pos="8302"/>
        </w:tabs>
        <w:spacing w:line="300" w:lineRule="auto"/>
        <w:ind w:left="0" w:firstLine="240" w:leftChars="0" w:firstLineChars="100"/>
        <w:rPr>
          <w:rFonts w:ascii="宋体" w:hAnsi="宋体" w:hint="eastAsia"/>
          <w:sz w:val="24"/>
        </w:rPr>
      </w:pPr>
      <w:hyperlink w:anchor="_Toc45100588" w:history="1">
        <w:r>
          <w:rPr>
            <w:rStyle w:val="Hyperlink"/>
            <w:rFonts w:ascii="宋体" w:hAnsi="宋体" w:hint="eastAsia"/>
            <w:sz w:val="24"/>
          </w:rPr>
          <w:t>6、消防</w:t>
        </w:r>
        <w:r>
          <w:rPr>
            <w:rStyle w:val="Hyperlink"/>
            <w:rFonts w:ascii="宋体" w:hAnsi="宋体" w:hint="eastAsia"/>
            <w:sz w:val="24"/>
          </w:rPr>
          <w:tab/>
        </w:r>
        <w:r w:rsidR="00A077C5">
          <w:rPr>
            <w:rStyle w:val="Hyperlink"/>
            <w:rFonts w:ascii="宋体" w:hAnsi="宋体" w:hint="eastAsia"/>
            <w:sz w:val="24"/>
          </w:rPr>
          <w:t>50</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89" w:history="1">
        <w:r>
          <w:rPr>
            <w:rStyle w:val="Hyperlink"/>
            <w:rFonts w:ascii="宋体" w:hAnsi="宋体" w:hint="eastAsia"/>
            <w:sz w:val="24"/>
          </w:rPr>
          <w:t>7、通风空调</w:t>
        </w:r>
        <w:r>
          <w:rPr>
            <w:rStyle w:val="Hyperlink"/>
            <w:rFonts w:ascii="宋体" w:hAnsi="宋体" w:hint="eastAsia"/>
            <w:sz w:val="24"/>
          </w:rPr>
          <w:tab/>
        </w:r>
        <w:r w:rsidR="00A077C5">
          <w:rPr>
            <w:rStyle w:val="Hyperlink"/>
            <w:rFonts w:ascii="宋体" w:hAnsi="宋体" w:hint="eastAsia"/>
            <w:sz w:val="24"/>
          </w:rPr>
          <w:t>50</w:t>
        </w:r>
      </w:hyperlink>
    </w:p>
    <w:p w:rsidR="00C90C60">
      <w:pPr>
        <w:pStyle w:val="TOC2"/>
        <w:tabs>
          <w:tab w:val="right" w:leader="dot" w:pos="8302"/>
        </w:tabs>
        <w:spacing w:line="300" w:lineRule="auto"/>
        <w:ind w:left="0" w:firstLine="240" w:leftChars="0" w:firstLineChars="100"/>
        <w:rPr>
          <w:rStyle w:val="Hyperlink"/>
          <w:rFonts w:ascii="宋体" w:hAnsi="宋体" w:hint="eastAsia"/>
          <w:sz w:val="24"/>
        </w:rPr>
      </w:pPr>
      <w:hyperlink w:anchor="_Toc45100589" w:history="1">
        <w:r>
          <w:rPr>
            <w:rStyle w:val="Hyperlink"/>
            <w:rFonts w:ascii="宋体" w:hAnsi="宋体" w:hint="eastAsia"/>
            <w:sz w:val="24"/>
          </w:rPr>
          <w:t>8、节能</w:t>
        </w:r>
        <w:r>
          <w:rPr>
            <w:rStyle w:val="Hyperlink"/>
            <w:rFonts w:ascii="宋体" w:hAnsi="宋体" w:hint="eastAsia"/>
            <w:sz w:val="24"/>
          </w:rPr>
          <w:tab/>
        </w:r>
        <w:r w:rsidR="00A077C5">
          <w:rPr>
            <w:rStyle w:val="Hyperlink"/>
            <w:rFonts w:ascii="宋体" w:hAnsi="宋体" w:hint="eastAsia"/>
            <w:sz w:val="24"/>
          </w:rPr>
          <w:t>51</w:t>
        </w:r>
      </w:hyperlink>
    </w:p>
    <w:p w:rsidR="00C90C60">
      <w:pPr>
        <w:pStyle w:val="TOC1"/>
        <w:spacing w:line="300" w:lineRule="auto"/>
        <w:rPr>
          <w:rFonts w:ascii="宋体" w:eastAsia="宋体" w:hint="eastAsia"/>
        </w:rPr>
      </w:pPr>
      <w:hyperlink w:anchor="_Toc45100592" w:history="1">
        <w:r>
          <w:rPr>
            <w:rStyle w:val="Hyperlink"/>
            <w:rFonts w:ascii="宋体" w:eastAsia="宋体" w:hint="eastAsia"/>
            <w:b/>
          </w:rPr>
          <w:t>第八章 环境保护与平安卫生</w:t>
          <w:tab/>
        </w:r>
        <w:r w:rsidR="00A077C5">
          <w:rPr>
            <w:rStyle w:val="Hyperlink"/>
            <w:rFonts w:ascii="宋体" w:eastAsia="宋体" w:hint="eastAsia"/>
            <w:b/>
            <w:lang w:eastAsia="zh-CN"/>
          </w:rPr>
          <w:t>52</w:t>
        </w:r>
      </w:hyperlink>
    </w:p>
    <w:p w:rsidR="00C90C60">
      <w:pPr>
        <w:pStyle w:val="TOC2"/>
        <w:tabs>
          <w:tab w:val="right" w:leader="dot" w:pos="8302"/>
        </w:tabs>
        <w:spacing w:line="300" w:lineRule="auto"/>
        <w:ind w:left="0" w:firstLine="360" w:leftChars="0" w:firstLineChars="150"/>
        <w:rPr>
          <w:rStyle w:val="Hyperlink"/>
          <w:rFonts w:ascii="宋体" w:hAnsi="宋体" w:hint="eastAsia"/>
          <w:sz w:val="24"/>
        </w:rPr>
      </w:pPr>
      <w:hyperlink w:anchor="_Toc45100593" w:history="1">
        <w:r>
          <w:rPr>
            <w:rStyle w:val="Hyperlink"/>
            <w:rFonts w:ascii="宋体" w:hAnsi="宋体" w:hint="eastAsia"/>
            <w:sz w:val="24"/>
          </w:rPr>
          <w:t>1、环境保护</w:t>
        </w:r>
        <w:r>
          <w:rPr>
            <w:rStyle w:val="Hyperlink"/>
            <w:rFonts w:ascii="宋体" w:hAnsi="宋体" w:hint="eastAsia"/>
            <w:sz w:val="24"/>
          </w:rPr>
          <w:tab/>
        </w:r>
      </w:hyperlink>
      <w:r w:rsidR="00A077C5">
        <w:rPr>
          <w:rStyle w:val="Hyperlink"/>
          <w:rFonts w:ascii="宋体" w:hAnsi="宋体" w:hint="eastAsia"/>
          <w:color w:val="auto"/>
          <w:sz w:val="24"/>
          <w:u w:val="none"/>
        </w:rPr>
        <w:t>52</w:t>
      </w:r>
    </w:p>
    <w:p w:rsidR="00C90C60">
      <w:pPr>
        <w:pStyle w:val="TOC2"/>
        <w:tabs>
          <w:tab w:val="right" w:leader="dot" w:pos="8302"/>
        </w:tabs>
        <w:spacing w:line="300" w:lineRule="auto"/>
        <w:ind w:left="0" w:firstLine="360" w:leftChars="0" w:firstLineChars="150"/>
        <w:rPr>
          <w:rFonts w:ascii="宋体" w:hAnsi="宋体" w:hint="eastAsia"/>
          <w:sz w:val="24"/>
        </w:rPr>
      </w:pPr>
      <w:hyperlink w:anchor="_Toc45100594" w:history="1">
        <w:r>
          <w:rPr>
            <w:rStyle w:val="Hyperlink"/>
            <w:rFonts w:ascii="宋体" w:hAnsi="宋体" w:hint="eastAsia"/>
            <w:sz w:val="24"/>
          </w:rPr>
          <w:t>2、平安卫生</w:t>
        </w:r>
        <w:r>
          <w:rPr>
            <w:rStyle w:val="Hyperlink"/>
            <w:rFonts w:ascii="宋体" w:hAnsi="宋体" w:hint="eastAsia"/>
            <w:sz w:val="24"/>
          </w:rPr>
          <w:tab/>
        </w:r>
        <w:r w:rsidR="00A077C5">
          <w:rPr>
            <w:rStyle w:val="Hyperlink"/>
            <w:rFonts w:ascii="宋体" w:hAnsi="宋体" w:hint="eastAsia"/>
            <w:sz w:val="24"/>
          </w:rPr>
          <w:t>52</w:t>
        </w:r>
      </w:hyperlink>
    </w:p>
    <w:p w:rsidR="00C90C60">
      <w:pPr>
        <w:pStyle w:val="TOC1"/>
        <w:spacing w:line="300" w:lineRule="auto"/>
        <w:rPr>
          <w:rFonts w:ascii="宋体" w:eastAsia="宋体" w:hint="eastAsia"/>
        </w:rPr>
      </w:pPr>
      <w:hyperlink w:anchor="_Toc45100595" w:history="1">
        <w:r>
          <w:rPr>
            <w:rStyle w:val="Hyperlink"/>
            <w:rFonts w:ascii="宋体" w:eastAsia="宋体" w:hint="eastAsia"/>
            <w:b/>
          </w:rPr>
          <w:t>第九章 工程组织及运营</w:t>
          <w:tab/>
        </w:r>
        <w:r w:rsidR="006967AA">
          <w:rPr>
            <w:rStyle w:val="Hyperlink"/>
            <w:rFonts w:ascii="宋体" w:eastAsia="宋体" w:hint="eastAsia"/>
            <w:b/>
            <w:lang w:eastAsia="zh-CN"/>
          </w:rPr>
          <w:t>5</w:t>
        </w:r>
        <w:r w:rsidR="00A077C5">
          <w:rPr>
            <w:rStyle w:val="Hyperlink"/>
            <w:rFonts w:ascii="宋体" w:eastAsia="宋体" w:hint="eastAsia"/>
            <w:b/>
            <w:lang w:eastAsia="zh-CN"/>
          </w:rPr>
          <w:t>3</w:t>
        </w:r>
      </w:hyperlink>
    </w:p>
    <w:p w:rsidR="00C90C60">
      <w:pPr>
        <w:pStyle w:val="TOC2"/>
        <w:tabs>
          <w:tab w:val="right" w:leader="dot" w:pos="8302"/>
        </w:tabs>
        <w:spacing w:line="300" w:lineRule="auto"/>
        <w:ind w:left="0" w:firstLine="360" w:leftChars="0" w:firstLineChars="150"/>
        <w:rPr>
          <w:rStyle w:val="Hyperlink"/>
          <w:rFonts w:ascii="宋体" w:hAnsi="宋体" w:hint="eastAsia"/>
          <w:sz w:val="24"/>
        </w:rPr>
      </w:pPr>
      <w:hyperlink w:anchor="_Toc45100597" w:history="1">
        <w:r>
          <w:rPr>
            <w:rStyle w:val="Hyperlink"/>
            <w:rFonts w:ascii="宋体" w:hAnsi="宋体" w:hint="eastAsia"/>
            <w:sz w:val="24"/>
          </w:rPr>
          <w:t>1、园区管理系统</w:t>
        </w:r>
        <w:r>
          <w:rPr>
            <w:rStyle w:val="Hyperlink"/>
            <w:rFonts w:ascii="宋体" w:hAnsi="宋体" w:hint="eastAsia"/>
            <w:sz w:val="24"/>
          </w:rPr>
          <w:tab/>
        </w:r>
        <w:r w:rsidR="006967AA">
          <w:rPr>
            <w:rStyle w:val="Hyperlink"/>
            <w:rFonts w:ascii="宋体" w:hAnsi="宋体" w:hint="eastAsia"/>
            <w:sz w:val="24"/>
          </w:rPr>
          <w:t>5</w:t>
        </w:r>
        <w:r w:rsidR="00A077C5">
          <w:rPr>
            <w:rStyle w:val="Hyperlink"/>
            <w:rFonts w:ascii="宋体" w:hAnsi="宋体" w:hint="eastAsia"/>
            <w:sz w:val="24"/>
          </w:rPr>
          <w:t>3</w:t>
        </w:r>
      </w:hyperlink>
    </w:p>
    <w:p w:rsidR="00C90C60">
      <w:pPr>
        <w:pStyle w:val="TOC2"/>
        <w:tabs>
          <w:tab w:val="right" w:leader="dot" w:pos="8302"/>
        </w:tabs>
        <w:spacing w:line="300" w:lineRule="auto"/>
        <w:ind w:left="0" w:firstLine="360" w:leftChars="0" w:firstLineChars="150"/>
        <w:rPr>
          <w:rFonts w:ascii="宋体" w:hAnsi="宋体" w:hint="eastAsia"/>
          <w:sz w:val="24"/>
        </w:rPr>
      </w:pPr>
      <w:hyperlink w:anchor="_Toc45100598" w:history="1">
        <w:r>
          <w:rPr>
            <w:rStyle w:val="Hyperlink"/>
            <w:rFonts w:ascii="宋体" w:hAnsi="宋体" w:hint="eastAsia"/>
            <w:sz w:val="24"/>
          </w:rPr>
          <w:t>2、工程实施方案</w:t>
        </w:r>
        <w:r>
          <w:rPr>
            <w:rStyle w:val="Hyperlink"/>
            <w:rFonts w:ascii="宋体" w:hAnsi="宋体" w:hint="eastAsia"/>
            <w:sz w:val="24"/>
          </w:rPr>
          <w:tab/>
        </w:r>
        <w:r w:rsidR="006967AA">
          <w:rPr>
            <w:rStyle w:val="Hyperlink"/>
            <w:rFonts w:ascii="宋体" w:hAnsi="宋体" w:hint="eastAsia"/>
            <w:sz w:val="24"/>
          </w:rPr>
          <w:t>53</w:t>
        </w:r>
      </w:hyperlink>
    </w:p>
    <w:p w:rsidR="00C90C60">
      <w:pPr>
        <w:pStyle w:val="TOC1"/>
        <w:spacing w:line="300" w:lineRule="auto"/>
        <w:rPr>
          <w:rFonts w:ascii="宋体" w:eastAsia="宋体" w:hint="eastAsia"/>
        </w:rPr>
      </w:pPr>
      <w:hyperlink w:anchor="_Toc45100599" w:history="1">
        <w:r>
          <w:rPr>
            <w:rStyle w:val="Hyperlink"/>
            <w:rFonts w:ascii="宋体" w:eastAsia="宋体" w:hint="eastAsia"/>
            <w:b/>
          </w:rPr>
          <w:t>第十章 工程进度方案</w:t>
          <w:tab/>
        </w:r>
        <w:r w:rsidR="006967AA">
          <w:rPr>
            <w:rStyle w:val="Hyperlink"/>
            <w:rFonts w:ascii="宋体" w:eastAsia="宋体" w:hint="eastAsia"/>
            <w:b/>
            <w:lang w:eastAsia="zh-CN"/>
          </w:rPr>
          <w:t>54</w:t>
        </w:r>
      </w:hyperlink>
    </w:p>
    <w:p w:rsidR="00C90C60">
      <w:pPr>
        <w:pStyle w:val="TOC2"/>
        <w:tabs>
          <w:tab w:val="right" w:leader="dot" w:pos="8302"/>
        </w:tabs>
        <w:spacing w:line="300" w:lineRule="auto"/>
        <w:ind w:left="0" w:firstLine="360" w:leftChars="0" w:firstLineChars="150"/>
        <w:rPr>
          <w:rStyle w:val="Hyperlink"/>
          <w:rFonts w:ascii="宋体" w:hAnsi="宋体" w:hint="eastAsia"/>
          <w:sz w:val="24"/>
        </w:rPr>
      </w:pPr>
      <w:hyperlink w:anchor="_Toc45100600" w:history="1">
        <w:r>
          <w:rPr>
            <w:rStyle w:val="Hyperlink"/>
            <w:rFonts w:ascii="宋体" w:hAnsi="宋体" w:hint="eastAsia"/>
            <w:sz w:val="24"/>
          </w:rPr>
          <w:t>1、工程进度方案</w:t>
        </w:r>
        <w:r>
          <w:rPr>
            <w:rStyle w:val="Hyperlink"/>
            <w:rFonts w:ascii="宋体" w:hAnsi="宋体" w:hint="eastAsia"/>
            <w:sz w:val="24"/>
          </w:rPr>
          <w:tab/>
        </w:r>
        <w:r w:rsidR="006967AA">
          <w:rPr>
            <w:rStyle w:val="Hyperlink"/>
            <w:rFonts w:ascii="宋体" w:hAnsi="宋体" w:hint="eastAsia"/>
            <w:sz w:val="24"/>
          </w:rPr>
          <w:t>54</w:t>
        </w:r>
      </w:hyperlink>
    </w:p>
    <w:p w:rsidR="00C90C60">
      <w:pPr>
        <w:pStyle w:val="TOC2"/>
        <w:tabs>
          <w:tab w:val="right" w:leader="dot" w:pos="8302"/>
        </w:tabs>
        <w:spacing w:line="300" w:lineRule="auto"/>
        <w:ind w:left="0" w:firstLine="360" w:leftChars="0" w:firstLineChars="150"/>
        <w:rPr>
          <w:rFonts w:ascii="宋体" w:hAnsi="宋体" w:hint="eastAsia"/>
          <w:sz w:val="24"/>
        </w:rPr>
      </w:pPr>
      <w:hyperlink w:anchor="_Toc45100601" w:history="1">
        <w:r>
          <w:rPr>
            <w:rStyle w:val="Hyperlink"/>
            <w:rFonts w:ascii="宋体" w:hAnsi="宋体" w:hint="eastAsia"/>
            <w:sz w:val="24"/>
          </w:rPr>
          <w:t>2、工程实施进度表</w:t>
        </w:r>
        <w:r>
          <w:rPr>
            <w:rStyle w:val="Hyperlink"/>
            <w:rFonts w:ascii="宋体" w:hAnsi="宋体" w:hint="eastAsia"/>
            <w:sz w:val="24"/>
          </w:rPr>
          <w:tab/>
        </w:r>
        <w:r w:rsidR="006967AA">
          <w:rPr>
            <w:rStyle w:val="Hyperlink"/>
            <w:rFonts w:ascii="宋体" w:hAnsi="宋体" w:hint="eastAsia"/>
            <w:sz w:val="24"/>
          </w:rPr>
          <w:t>54</w:t>
        </w:r>
      </w:hyperlink>
    </w:p>
    <w:p w:rsidR="00C90C60">
      <w:pPr>
        <w:pStyle w:val="TOC1"/>
        <w:spacing w:line="300" w:lineRule="auto"/>
        <w:rPr>
          <w:rFonts w:ascii="宋体" w:eastAsia="宋体" w:hint="eastAsia"/>
          <w:lang w:eastAsia="zh-CN"/>
        </w:rPr>
      </w:pPr>
      <w:hyperlink w:anchor="_Toc45100602" w:history="1">
        <w:r>
          <w:rPr>
            <w:rStyle w:val="Hyperlink"/>
            <w:rFonts w:ascii="宋体" w:eastAsia="宋体" w:hint="eastAsia"/>
            <w:b/>
          </w:rPr>
          <w:t>第十一章 投资估算与资金筹措</w:t>
          <w:tab/>
        </w:r>
        <w:r w:rsidR="007967E8">
          <w:rPr>
            <w:rStyle w:val="Hyperlink"/>
            <w:rFonts w:ascii="宋体" w:eastAsia="宋体" w:hint="eastAsia"/>
            <w:b/>
            <w:lang w:eastAsia="zh-CN"/>
          </w:rPr>
          <w:t>56</w:t>
        </w:r>
      </w:hyperlink>
    </w:p>
    <w:p w:rsidR="00C90C60">
      <w:pPr>
        <w:pStyle w:val="TOC2"/>
        <w:tabs>
          <w:tab w:val="right" w:leader="dot" w:pos="8302"/>
        </w:tabs>
        <w:spacing w:line="300" w:lineRule="auto"/>
        <w:ind w:left="0" w:firstLine="360" w:leftChars="0" w:firstLineChars="150"/>
        <w:rPr>
          <w:rStyle w:val="Hyperlink"/>
          <w:rFonts w:ascii="宋体" w:hAnsi="宋体" w:hint="eastAsia"/>
          <w:sz w:val="24"/>
        </w:rPr>
      </w:pPr>
      <w:hyperlink w:anchor="_Toc45100603" w:history="1">
        <w:r>
          <w:rPr>
            <w:rStyle w:val="Hyperlink"/>
            <w:rFonts w:ascii="宋体" w:hAnsi="宋体" w:hint="eastAsia"/>
            <w:sz w:val="24"/>
          </w:rPr>
          <w:t>1、投资估算依据</w:t>
        </w:r>
        <w:r>
          <w:rPr>
            <w:rStyle w:val="Hyperlink"/>
            <w:rFonts w:ascii="宋体" w:hAnsi="宋体" w:hint="eastAsia"/>
            <w:sz w:val="24"/>
          </w:rPr>
          <w:tab/>
        </w:r>
        <w:r w:rsidR="007967E8">
          <w:rPr>
            <w:rStyle w:val="Hyperlink"/>
            <w:rFonts w:ascii="宋体" w:hAnsi="宋体" w:hint="eastAsia"/>
            <w:sz w:val="24"/>
          </w:rPr>
          <w:t>56</w:t>
        </w:r>
      </w:hyperlink>
    </w:p>
    <w:p w:rsidR="00C90C60">
      <w:pPr>
        <w:pStyle w:val="TOC2"/>
        <w:tabs>
          <w:tab w:val="right" w:leader="dot" w:pos="8302"/>
        </w:tabs>
        <w:spacing w:line="300" w:lineRule="auto"/>
        <w:ind w:left="0" w:firstLine="360" w:leftChars="0" w:firstLineChars="150"/>
        <w:rPr>
          <w:rStyle w:val="Hyperlink"/>
          <w:rFonts w:ascii="宋体" w:hAnsi="宋体" w:hint="eastAsia"/>
          <w:sz w:val="24"/>
        </w:rPr>
      </w:pPr>
      <w:hyperlink w:anchor="_Toc45100604" w:history="1">
        <w:r>
          <w:rPr>
            <w:rStyle w:val="Hyperlink"/>
            <w:rFonts w:ascii="宋体" w:hAnsi="宋体" w:hint="eastAsia"/>
            <w:sz w:val="24"/>
          </w:rPr>
          <w:t>2、价格及取费依据：</w:t>
        </w:r>
        <w:r>
          <w:rPr>
            <w:rStyle w:val="Hyperlink"/>
            <w:rFonts w:ascii="宋体" w:hAnsi="宋体" w:hint="eastAsia"/>
            <w:sz w:val="24"/>
          </w:rPr>
          <w:tab/>
        </w:r>
        <w:r w:rsidR="007967E8">
          <w:rPr>
            <w:rStyle w:val="Hyperlink"/>
            <w:rFonts w:ascii="宋体" w:hAnsi="宋体" w:hint="eastAsia"/>
            <w:sz w:val="24"/>
          </w:rPr>
          <w:t>56</w:t>
        </w:r>
      </w:hyperlink>
    </w:p>
    <w:p w:rsidR="00C90C60">
      <w:pPr>
        <w:pStyle w:val="TOC2"/>
        <w:tabs>
          <w:tab w:val="right" w:leader="dot" w:pos="8302"/>
        </w:tabs>
        <w:spacing w:line="300" w:lineRule="auto"/>
        <w:ind w:left="0" w:firstLine="360" w:leftChars="0" w:firstLineChars="150"/>
        <w:rPr>
          <w:rStyle w:val="Hyperlink"/>
          <w:rFonts w:ascii="宋体" w:hAnsi="宋体" w:hint="eastAsia"/>
          <w:sz w:val="24"/>
        </w:rPr>
      </w:pPr>
      <w:hyperlink w:anchor="_Toc45100605" w:history="1">
        <w:r>
          <w:rPr>
            <w:rStyle w:val="Hyperlink"/>
            <w:rFonts w:ascii="宋体" w:hAnsi="宋体" w:hint="eastAsia"/>
            <w:sz w:val="24"/>
          </w:rPr>
          <w:t>3、工程总投资</w:t>
        </w:r>
        <w:r>
          <w:rPr>
            <w:rStyle w:val="Hyperlink"/>
            <w:rFonts w:ascii="宋体" w:hAnsi="宋体" w:hint="eastAsia"/>
            <w:sz w:val="24"/>
          </w:rPr>
          <w:tab/>
        </w:r>
        <w:r w:rsidR="007967E8">
          <w:rPr>
            <w:rStyle w:val="Hyperlink"/>
            <w:rFonts w:ascii="宋体" w:hAnsi="宋体" w:hint="eastAsia"/>
            <w:sz w:val="24"/>
          </w:rPr>
          <w:t>56</w:t>
        </w:r>
      </w:hyperlink>
    </w:p>
    <w:p w:rsidR="00C90C60">
      <w:pPr>
        <w:pStyle w:val="TOC2"/>
        <w:tabs>
          <w:tab w:val="right" w:leader="dot" w:pos="8302"/>
        </w:tabs>
        <w:spacing w:line="300" w:lineRule="auto"/>
        <w:ind w:left="0" w:firstLine="360" w:leftChars="0" w:firstLineChars="150"/>
        <w:rPr>
          <w:rStyle w:val="Hyperlink"/>
          <w:rFonts w:ascii="宋体" w:hAnsi="宋体" w:hint="eastAsia"/>
          <w:sz w:val="24"/>
        </w:rPr>
      </w:pPr>
      <w:hyperlink w:anchor="_Toc45100606" w:history="1">
        <w:r>
          <w:rPr>
            <w:rStyle w:val="Hyperlink"/>
            <w:rFonts w:ascii="宋体" w:hAnsi="宋体" w:hint="eastAsia"/>
            <w:sz w:val="24"/>
          </w:rPr>
          <w:t>4、资金筹措方案</w:t>
        </w:r>
        <w:r>
          <w:rPr>
            <w:rStyle w:val="Hyperlink"/>
            <w:rFonts w:ascii="宋体" w:hAnsi="宋体" w:hint="eastAsia"/>
            <w:sz w:val="24"/>
          </w:rPr>
          <w:tab/>
        </w:r>
        <w:r w:rsidR="007967E8">
          <w:rPr>
            <w:rStyle w:val="Hyperlink"/>
            <w:rFonts w:ascii="宋体" w:hAnsi="宋体" w:hint="eastAsia"/>
            <w:sz w:val="24"/>
          </w:rPr>
          <w:t>5</w:t>
        </w:r>
        <w:r w:rsidR="009F4A2F">
          <w:rPr>
            <w:rStyle w:val="Hyperlink"/>
            <w:rFonts w:ascii="宋体" w:hAnsi="宋体" w:hint="eastAsia"/>
            <w:sz w:val="24"/>
          </w:rPr>
          <w:t>6</w:t>
        </w:r>
      </w:hyperlink>
    </w:p>
    <w:p w:rsidR="00C90C60">
      <w:pPr>
        <w:pStyle w:val="TOC1"/>
        <w:spacing w:line="300" w:lineRule="auto"/>
        <w:rPr>
          <w:rFonts w:ascii="宋体" w:eastAsia="宋体" w:hint="eastAsia"/>
        </w:rPr>
      </w:pPr>
      <w:hyperlink w:anchor="_Toc45100609" w:history="1">
        <w:r>
          <w:rPr>
            <w:rStyle w:val="Hyperlink"/>
            <w:rFonts w:ascii="宋体" w:eastAsia="宋体" w:hint="eastAsia"/>
            <w:b/>
          </w:rPr>
          <w:t>第十二章 工程财务评价</w:t>
          <w:tab/>
        </w:r>
        <w:r w:rsidR="00591D05">
          <w:rPr>
            <w:rStyle w:val="Hyperlink"/>
            <w:rFonts w:ascii="宋体" w:eastAsia="宋体" w:hint="eastAsia"/>
            <w:b/>
            <w:lang w:eastAsia="zh-CN"/>
          </w:rPr>
          <w:t>5</w:t>
        </w:r>
        <w:r w:rsidR="009F4A2F">
          <w:rPr>
            <w:rStyle w:val="Hyperlink"/>
            <w:rFonts w:ascii="宋体" w:eastAsia="宋体" w:hint="eastAsia"/>
            <w:b/>
            <w:lang w:eastAsia="zh-CN"/>
          </w:rPr>
          <w:t>7</w:t>
        </w:r>
      </w:hyperlink>
    </w:p>
    <w:p w:rsidR="00C90C60">
      <w:pPr>
        <w:pStyle w:val="TOC2"/>
        <w:tabs>
          <w:tab w:val="right" w:leader="dot" w:pos="8302"/>
        </w:tabs>
        <w:spacing w:line="300" w:lineRule="auto"/>
        <w:ind w:left="0" w:firstLine="360" w:leftChars="0" w:firstLineChars="150"/>
        <w:rPr>
          <w:rStyle w:val="Hyperlink"/>
          <w:rFonts w:ascii="宋体" w:hAnsi="宋体" w:hint="eastAsia"/>
          <w:sz w:val="24"/>
        </w:rPr>
      </w:pPr>
      <w:hyperlink w:anchor="_Toc45100610" w:history="1">
        <w:r>
          <w:rPr>
            <w:rStyle w:val="Hyperlink"/>
            <w:rFonts w:ascii="宋体" w:hAnsi="宋体" w:hint="eastAsia"/>
            <w:sz w:val="24"/>
          </w:rPr>
          <w:t>1、财务计算依据</w:t>
        </w:r>
        <w:r>
          <w:rPr>
            <w:rStyle w:val="Hyperlink"/>
            <w:rFonts w:ascii="宋体" w:hAnsi="宋体" w:hint="eastAsia"/>
            <w:sz w:val="24"/>
          </w:rPr>
          <w:tab/>
        </w:r>
      </w:hyperlink>
      <w:r w:rsidR="00591D05">
        <w:rPr>
          <w:rFonts w:ascii="宋体" w:hAnsi="宋体" w:hint="eastAsia"/>
          <w:sz w:val="24"/>
        </w:rPr>
        <w:t>5</w:t>
      </w:r>
      <w:r w:rsidR="007F71BC">
        <w:rPr>
          <w:rFonts w:ascii="宋体" w:hAnsi="宋体" w:hint="eastAsia"/>
          <w:sz w:val="24"/>
        </w:rPr>
        <w:t>7</w:t>
      </w:r>
    </w:p>
    <w:p w:rsidR="00C90C60">
      <w:pPr>
        <w:pStyle w:val="TOC2"/>
        <w:tabs>
          <w:tab w:val="right" w:leader="dot" w:pos="8302"/>
        </w:tabs>
        <w:spacing w:line="300" w:lineRule="auto"/>
        <w:ind w:left="0" w:firstLine="360" w:leftChars="0" w:firstLineChars="150"/>
        <w:rPr>
          <w:rStyle w:val="Hyperlink"/>
          <w:rFonts w:ascii="宋体" w:hAnsi="宋体" w:hint="eastAsia"/>
          <w:sz w:val="24"/>
        </w:rPr>
      </w:pPr>
      <w:hyperlink w:anchor="_Toc45100612" w:history="1">
        <w:r>
          <w:rPr>
            <w:rStyle w:val="Hyperlink"/>
            <w:rFonts w:ascii="宋体" w:hAnsi="宋体" w:hint="eastAsia"/>
            <w:sz w:val="24"/>
          </w:rPr>
          <w:t>2、税率及利润预测</w:t>
        </w:r>
        <w:r>
          <w:rPr>
            <w:rStyle w:val="Hyperlink"/>
            <w:rFonts w:ascii="宋体" w:hAnsi="宋体" w:hint="eastAsia"/>
            <w:sz w:val="24"/>
          </w:rPr>
          <w:tab/>
        </w:r>
        <w:r w:rsidR="00591D05">
          <w:rPr>
            <w:rStyle w:val="Hyperlink"/>
            <w:rFonts w:ascii="宋体" w:hAnsi="宋体" w:hint="eastAsia"/>
            <w:sz w:val="24"/>
          </w:rPr>
          <w:t>5</w:t>
        </w:r>
        <w:r w:rsidR="007F71BC">
          <w:rPr>
            <w:rStyle w:val="Hyperlink"/>
            <w:rFonts w:ascii="宋体" w:hAnsi="宋体" w:hint="eastAsia"/>
            <w:sz w:val="24"/>
          </w:rPr>
          <w:t>8</w:t>
        </w:r>
      </w:hyperlink>
    </w:p>
    <w:p w:rsidR="00C90C60">
      <w:pPr>
        <w:pStyle w:val="TOC2"/>
        <w:tabs>
          <w:tab w:val="right" w:leader="dot" w:pos="8302"/>
        </w:tabs>
        <w:spacing w:line="300" w:lineRule="auto"/>
        <w:ind w:left="0" w:firstLine="360" w:leftChars="0" w:firstLineChars="150"/>
        <w:rPr>
          <w:rStyle w:val="Hyperlink"/>
          <w:rFonts w:ascii="宋体" w:hAnsi="宋体" w:hint="eastAsia"/>
          <w:sz w:val="24"/>
        </w:rPr>
      </w:pPr>
      <w:hyperlink w:anchor="_Toc45100613" w:history="1">
        <w:r>
          <w:rPr>
            <w:rStyle w:val="Hyperlink"/>
            <w:rFonts w:ascii="宋体" w:hAnsi="宋体" w:hint="eastAsia"/>
            <w:sz w:val="24"/>
          </w:rPr>
          <w:t>3、不确定性分析</w:t>
        </w:r>
        <w:r>
          <w:rPr>
            <w:rStyle w:val="Hyperlink"/>
            <w:rFonts w:ascii="宋体" w:hAnsi="宋体" w:hint="eastAsia"/>
            <w:sz w:val="24"/>
          </w:rPr>
          <w:tab/>
        </w:r>
        <w:r w:rsidR="00591D05">
          <w:rPr>
            <w:rStyle w:val="Hyperlink"/>
            <w:rFonts w:ascii="宋体" w:hAnsi="宋体" w:hint="eastAsia"/>
            <w:sz w:val="24"/>
          </w:rPr>
          <w:t>5</w:t>
        </w:r>
        <w:r w:rsidR="007F71BC">
          <w:rPr>
            <w:rStyle w:val="Hyperlink"/>
            <w:rFonts w:ascii="宋体" w:hAnsi="宋体" w:hint="eastAsia"/>
            <w:sz w:val="24"/>
          </w:rPr>
          <w:t>8</w:t>
        </w:r>
      </w:hyperlink>
    </w:p>
    <w:p w:rsidR="00C90C60">
      <w:pPr>
        <w:pStyle w:val="TOC1"/>
        <w:spacing w:line="300" w:lineRule="auto"/>
        <w:rPr>
          <w:rFonts w:ascii="宋体" w:eastAsia="宋体" w:hint="eastAsia"/>
          <w:lang w:eastAsia="zh-CN"/>
        </w:rPr>
      </w:pPr>
      <w:hyperlink w:anchor="_Toc45100615" w:history="1">
        <w:r>
          <w:rPr>
            <w:rStyle w:val="Hyperlink"/>
            <w:rFonts w:ascii="宋体" w:eastAsia="宋体" w:hint="eastAsia"/>
            <w:b/>
          </w:rPr>
          <w:t>第十三章 可行性报告结论</w:t>
        </w:r>
        <w:r>
          <w:rPr>
            <w:rFonts w:ascii="宋体" w:eastAsia="宋体" w:hint="eastAsia"/>
            <w:b/>
          </w:rPr>
          <w:tab/>
        </w:r>
        <w:r w:rsidR="00681879">
          <w:rPr>
            <w:rFonts w:ascii="宋体" w:eastAsia="宋体" w:hint="eastAsia"/>
            <w:b/>
            <w:lang w:eastAsia="zh-CN"/>
          </w:rPr>
          <w:t>6</w:t>
        </w:r>
        <w:r w:rsidR="007F71BC">
          <w:rPr>
            <w:rFonts w:ascii="宋体" w:eastAsia="宋体" w:hint="eastAsia"/>
            <w:b/>
            <w:lang w:eastAsia="zh-CN"/>
          </w:rPr>
          <w:t>0</w:t>
        </w:r>
      </w:hyperlink>
    </w:p>
    <w:p w:rsidR="00C90C60">
      <w:pPr>
        <w:spacing w:line="360" w:lineRule="auto"/>
        <w:ind w:firstLine="461" w:firstLineChars="192"/>
        <w:rPr>
          <w:rFonts w:ascii="宋体" w:hAnsi="宋体" w:hint="eastAsia"/>
          <w:b/>
          <w:sz w:val="24"/>
        </w:rPr>
      </w:pPr>
      <w:r>
        <w:rPr>
          <w:rFonts w:ascii="宋体" w:hAnsi="宋体" w:hint="eastAsia"/>
          <w:sz w:val="24"/>
        </w:rPr>
        <w:fldChar w:fldCharType="end"/>
      </w:r>
      <w:r>
        <w:rPr>
          <w:rFonts w:ascii="宋体" w:hAnsi="宋体" w:hint="eastAsia"/>
          <w:b/>
          <w:sz w:val="24"/>
        </w:rPr>
        <w:t>附 件：</w:t>
      </w:r>
    </w:p>
    <w:p w:rsidR="00C90C60">
      <w:pPr>
        <w:pStyle w:val="BodyText2"/>
        <w:spacing w:line="360" w:lineRule="auto"/>
        <w:ind w:firstLine="840" w:firstLineChars="350"/>
        <w:rPr>
          <w:rFonts w:ascii="宋体" w:hAnsi="宋体" w:hint="eastAsia"/>
        </w:rPr>
      </w:pPr>
      <w:r>
        <w:rPr>
          <w:rFonts w:ascii="宋体" w:hAnsi="宋体" w:hint="eastAsia"/>
        </w:rPr>
        <w:t>1、工程投资估算表</w:t>
        <w:tab/>
      </w:r>
    </w:p>
    <w:p w:rsidR="00C90C60">
      <w:pPr>
        <w:pStyle w:val="BodyText2"/>
        <w:spacing w:line="360" w:lineRule="auto"/>
        <w:ind w:firstLine="840" w:firstLineChars="350"/>
        <w:rPr>
          <w:rFonts w:ascii="宋体" w:hAnsi="宋体" w:hint="eastAsia"/>
        </w:rPr>
        <w:sectPr>
          <w:type w:val="nextPage"/>
          <w:pgSz w:w="11906" w:h="16838"/>
          <w:pgMar w:top="1162" w:right="1270" w:bottom="1162" w:left="1230" w:header="851" w:footer="992" w:gutter="0"/>
          <w:pgNumType w:start="2"/>
          <w:cols w:space="720"/>
          <w:titlePg w:val="0"/>
          <w:docGrid w:type="lines" w:linePitch="312"/>
        </w:sectPr>
      </w:pPr>
      <w:r>
        <w:rPr>
          <w:rFonts w:ascii="宋体" w:hAnsi="宋体" w:hint="eastAsia"/>
        </w:rPr>
        <w:t>2、销售与运营收入测算表</w:t>
      </w:r>
    </w:p>
    <w:p w:rsidR="00C90C60">
      <w:pPr>
        <w:pStyle w:val="Heading1"/>
        <w:spacing w:before="312" w:beforeLines="100" w:after="0" w:line="360" w:lineRule="auto"/>
        <w:ind w:firstLine="3024" w:firstLineChars="945"/>
        <w:jc w:val="both"/>
        <w:rPr>
          <w:rFonts w:ascii="宋体" w:eastAsia="宋体" w:hAnsi="宋体" w:hint="eastAsia"/>
          <w:sz w:val="32"/>
        </w:rPr>
      </w:pPr>
      <w:bookmarkStart w:id="0" w:name="_Toc9141244"/>
      <w:bookmarkStart w:id="1" w:name="_Toc19449416"/>
      <w:bookmarkStart w:id="2" w:name="_Toc20275449"/>
      <w:bookmarkStart w:id="3" w:name="_Toc20275629"/>
      <w:bookmarkStart w:id="4" w:name="_Toc45100298"/>
      <w:bookmarkStart w:id="5" w:name="_Toc45100423"/>
      <w:bookmarkStart w:id="6" w:name="_Toc45100559"/>
    </w:p>
    <w:p w:rsidR="00C90C60">
      <w:pPr>
        <w:pStyle w:val="Heading1"/>
        <w:spacing w:before="312" w:beforeLines="100" w:after="0" w:line="360" w:lineRule="auto"/>
        <w:ind w:firstLine="3024" w:firstLineChars="945"/>
        <w:jc w:val="both"/>
        <w:rPr>
          <w:rFonts w:ascii="宋体" w:eastAsia="宋体" w:hAnsi="宋体" w:hint="eastAsia"/>
          <w:sz w:val="32"/>
        </w:rPr>
      </w:pPr>
      <w:r>
        <w:rPr>
          <w:rFonts w:ascii="宋体" w:eastAsia="宋体" w:hAnsi="宋体" w:hint="eastAsia"/>
          <w:sz w:val="32"/>
        </w:rPr>
        <w:t>第一章  总  论</w:t>
      </w:r>
      <w:bookmarkStart w:id="7" w:name="_Toc526301327"/>
      <w:bookmarkEnd w:id="0"/>
      <w:bookmarkEnd w:id="1"/>
      <w:bookmarkEnd w:id="2"/>
      <w:bookmarkEnd w:id="3"/>
      <w:bookmarkEnd w:id="4"/>
      <w:bookmarkEnd w:id="5"/>
      <w:bookmarkEnd w:id="6"/>
    </w:p>
    <w:p w:rsidR="00C90C60">
      <w:pPr>
        <w:pStyle w:val="NormalIndent"/>
        <w:spacing w:line="360" w:lineRule="auto"/>
        <w:ind w:firstLine="560" w:firstLineChars="200"/>
        <w:rPr>
          <w:rFonts w:ascii="宋体" w:hAnsi="宋体" w:hint="eastAsia"/>
          <w:sz w:val="28"/>
        </w:rPr>
      </w:pPr>
      <w:r w:rsidR="00866766">
        <w:rPr>
          <w:rFonts w:ascii="宋体" w:hAnsi="宋体" w:hint="eastAsia"/>
          <w:sz w:val="28"/>
        </w:rPr>
        <w:t>四川隆昌</w:t>
      </w:r>
      <w:r>
        <w:rPr>
          <w:rFonts w:ascii="宋体" w:hAnsi="宋体" w:hint="eastAsia"/>
          <w:sz w:val="28"/>
        </w:rPr>
        <w:t>投资管理在对</w:t>
      </w:r>
      <w:r w:rsidR="003A6D3C">
        <w:rPr>
          <w:rFonts w:ascii="宋体" w:hAnsi="宋体" w:hint="eastAsia"/>
          <w:sz w:val="28"/>
        </w:rPr>
        <w:t>宜宾</w:t>
      </w:r>
      <w:r>
        <w:rPr>
          <w:rFonts w:ascii="宋体" w:hAnsi="宋体" w:hint="eastAsia"/>
          <w:sz w:val="28"/>
        </w:rPr>
        <w:t>市</w:t>
      </w:r>
      <w:r w:rsidR="00866766">
        <w:rPr>
          <w:rFonts w:ascii="宋体" w:hAnsi="宋体" w:hint="eastAsia"/>
          <w:sz w:val="28"/>
        </w:rPr>
        <w:t>新隆</w:t>
      </w:r>
      <w:r w:rsidR="003A6D3C">
        <w:rPr>
          <w:rFonts w:ascii="宋体" w:hAnsi="宋体" w:hint="eastAsia"/>
          <w:sz w:val="28"/>
        </w:rPr>
        <w:t>县新县城</w:t>
      </w:r>
      <w:r w:rsidR="00B4077A">
        <w:rPr>
          <w:rFonts w:ascii="宋体" w:hAnsi="宋体" w:hint="eastAsia"/>
          <w:sz w:val="28"/>
        </w:rPr>
        <w:t>进行了</w:t>
      </w:r>
      <w:r w:rsidR="003A6D3C">
        <w:rPr>
          <w:rFonts w:ascii="宋体" w:hAnsi="宋体" w:hint="eastAsia"/>
          <w:sz w:val="28"/>
        </w:rPr>
        <w:t>考察和</w:t>
      </w:r>
      <w:r w:rsidR="00B4077A">
        <w:rPr>
          <w:rFonts w:ascii="宋体" w:hAnsi="宋体" w:hint="eastAsia"/>
          <w:sz w:val="28"/>
        </w:rPr>
        <w:t>分析；并对</w:t>
      </w:r>
      <w:r w:rsidR="00866766">
        <w:rPr>
          <w:rFonts w:ascii="宋体" w:hAnsi="宋体" w:hint="eastAsia"/>
          <w:sz w:val="28"/>
        </w:rPr>
        <w:t>新隆</w:t>
      </w:r>
      <w:r w:rsidR="00B4077A">
        <w:rPr>
          <w:rFonts w:ascii="宋体" w:hAnsi="宋体" w:hint="eastAsia"/>
          <w:sz w:val="28"/>
        </w:rPr>
        <w:t>国际</w:t>
      </w:r>
      <w:r w:rsidR="003A6D3C">
        <w:rPr>
          <w:rFonts w:ascii="宋体" w:hAnsi="宋体" w:hint="eastAsia"/>
          <w:sz w:val="28"/>
        </w:rPr>
        <w:t>装饰</w:t>
      </w:r>
      <w:r w:rsidR="00B4077A">
        <w:rPr>
          <w:rFonts w:ascii="宋体" w:hAnsi="宋体" w:hint="eastAsia"/>
          <w:sz w:val="28"/>
        </w:rPr>
        <w:t>建材</w:t>
      </w:r>
      <w:r w:rsidR="003A6D3C">
        <w:rPr>
          <w:rFonts w:ascii="宋体" w:hAnsi="宋体" w:hint="eastAsia"/>
          <w:sz w:val="28"/>
        </w:rPr>
        <w:t>城</w:t>
      </w:r>
      <w:r>
        <w:rPr>
          <w:rFonts w:ascii="宋体" w:hAnsi="宋体" w:hint="eastAsia"/>
          <w:sz w:val="28"/>
        </w:rPr>
        <w:t>工程可行性展开了研究，通过对</w:t>
      </w:r>
      <w:r w:rsidR="00866766">
        <w:rPr>
          <w:rFonts w:ascii="宋体" w:hAnsi="宋体" w:hint="eastAsia"/>
          <w:sz w:val="28"/>
        </w:rPr>
        <w:t>新隆</w:t>
      </w:r>
      <w:r w:rsidR="003A6D3C">
        <w:rPr>
          <w:rFonts w:ascii="宋体" w:hAnsi="宋体" w:hint="eastAsia"/>
          <w:sz w:val="28"/>
        </w:rPr>
        <w:t>县新县城的总体规划和</w:t>
      </w:r>
      <w:r>
        <w:rPr>
          <w:rFonts w:ascii="宋体" w:hAnsi="宋体" w:hint="eastAsia"/>
          <w:sz w:val="28"/>
        </w:rPr>
        <w:t>该工程</w:t>
      </w:r>
      <w:r w:rsidR="003A6D3C">
        <w:rPr>
          <w:rFonts w:ascii="宋体" w:hAnsi="宋体" w:hint="eastAsia"/>
          <w:sz w:val="28"/>
        </w:rPr>
        <w:t>建设的必要性、优势劣势、工程背景等内容进行</w:t>
      </w:r>
      <w:r>
        <w:rPr>
          <w:rFonts w:ascii="宋体" w:hAnsi="宋体" w:hint="eastAsia"/>
          <w:sz w:val="28"/>
        </w:rPr>
        <w:t>调</w:t>
      </w:r>
      <w:r w:rsidR="00B4077A">
        <w:rPr>
          <w:rFonts w:ascii="宋体" w:hAnsi="宋体" w:hint="eastAsia"/>
          <w:sz w:val="28"/>
        </w:rPr>
        <w:t>查，收集有关根底资料，在此根底上编制了《</w:t>
      </w:r>
      <w:r w:rsidR="00866766">
        <w:rPr>
          <w:rFonts w:ascii="宋体" w:hAnsi="宋体" w:hint="eastAsia"/>
          <w:sz w:val="28"/>
        </w:rPr>
        <w:t>新隆</w:t>
      </w:r>
      <w:r w:rsidR="003A6D3C">
        <w:rPr>
          <w:rFonts w:ascii="宋体" w:hAnsi="宋体" w:hint="eastAsia"/>
          <w:sz w:val="28"/>
        </w:rPr>
        <w:t>国际装饰建材城</w:t>
      </w:r>
      <w:r>
        <w:rPr>
          <w:rFonts w:ascii="宋体" w:hAnsi="宋体" w:hint="eastAsia"/>
          <w:sz w:val="28"/>
        </w:rPr>
        <w:t>工程可行性研究报告》。</w:t>
      </w:r>
    </w:p>
    <w:p w:rsidR="00C90C60">
      <w:pPr>
        <w:pStyle w:val="Heading2"/>
        <w:spacing w:before="312" w:beforeLines="100"/>
        <w:ind w:firstLine="412" w:firstLineChars="147"/>
        <w:rPr>
          <w:rFonts w:hint="eastAsia"/>
          <w:color w:val="auto"/>
          <w:sz w:val="28"/>
        </w:rPr>
      </w:pPr>
      <w:bookmarkStart w:id="8" w:name="_Toc8921413"/>
      <w:bookmarkStart w:id="9" w:name="_Toc9141245"/>
      <w:bookmarkStart w:id="10" w:name="_Toc19449417"/>
      <w:bookmarkStart w:id="11" w:name="_Toc20275450"/>
      <w:bookmarkStart w:id="12" w:name="_Toc20275630"/>
      <w:bookmarkStart w:id="13" w:name="_Toc45100299"/>
      <w:bookmarkStart w:id="14" w:name="_Toc45100424"/>
      <w:bookmarkStart w:id="15" w:name="_Toc45100560"/>
      <w:r>
        <w:rPr>
          <w:rFonts w:hint="eastAsia"/>
          <w:color w:val="auto"/>
          <w:sz w:val="28"/>
        </w:rPr>
        <w:t>一、工程概况</w:t>
      </w:r>
      <w:bookmarkEnd w:id="7"/>
      <w:r>
        <w:rPr>
          <w:rFonts w:hint="eastAsia"/>
          <w:color w:val="auto"/>
          <w:sz w:val="28"/>
        </w:rPr>
        <w:t>及目标</w:t>
      </w:r>
      <w:bookmarkEnd w:id="8"/>
      <w:bookmarkEnd w:id="9"/>
      <w:bookmarkEnd w:id="10"/>
      <w:bookmarkEnd w:id="11"/>
      <w:bookmarkEnd w:id="12"/>
      <w:bookmarkEnd w:id="13"/>
      <w:bookmarkEnd w:id="14"/>
      <w:bookmarkEnd w:id="15"/>
    </w:p>
    <w:p w:rsidR="00C90C60">
      <w:pPr>
        <w:spacing w:line="360" w:lineRule="auto"/>
        <w:ind w:firstLine="549" w:firstLineChars="196"/>
        <w:rPr>
          <w:rFonts w:ascii="宋体" w:hAnsi="宋体" w:hint="eastAsia"/>
          <w:sz w:val="28"/>
        </w:rPr>
      </w:pPr>
      <w:r>
        <w:rPr>
          <w:rFonts w:ascii="宋体" w:hAnsi="宋体" w:hint="eastAsia"/>
          <w:b/>
          <w:sz w:val="28"/>
        </w:rPr>
        <w:t>工程名称：</w:t>
      </w:r>
      <w:r w:rsidR="003A6D3C">
        <w:rPr>
          <w:rFonts w:ascii="宋体" w:hAnsi="宋体" w:hint="eastAsia"/>
          <w:sz w:val="28"/>
        </w:rPr>
        <w:t>装饰建材城</w:t>
      </w:r>
    </w:p>
    <w:p w:rsidR="00C90C60">
      <w:pPr>
        <w:spacing w:line="360" w:lineRule="auto"/>
        <w:ind w:firstLine="549" w:firstLineChars="196"/>
        <w:rPr>
          <w:rFonts w:ascii="宋体" w:hAnsi="宋体" w:hint="eastAsia"/>
          <w:sz w:val="28"/>
        </w:rPr>
      </w:pPr>
      <w:r>
        <w:rPr>
          <w:rFonts w:ascii="宋体" w:hAnsi="宋体" w:hint="eastAsia"/>
          <w:b/>
          <w:sz w:val="28"/>
        </w:rPr>
        <w:t>建设地点：</w:t>
      </w:r>
      <w:r w:rsidR="00866766">
        <w:rPr>
          <w:rFonts w:ascii="宋体" w:hAnsi="宋体" w:hint="eastAsia"/>
          <w:sz w:val="28"/>
        </w:rPr>
        <w:t xml:space="preserve"> </w:t>
      </w:r>
    </w:p>
    <w:p w:rsidR="003A6D3C" w:rsidP="003A6D3C">
      <w:pPr>
        <w:spacing w:line="360" w:lineRule="auto"/>
        <w:ind w:firstLine="549" w:firstLineChars="196"/>
        <w:rPr>
          <w:rFonts w:ascii="宋体" w:hAnsi="宋体" w:hint="eastAsia"/>
          <w:sz w:val="28"/>
        </w:rPr>
      </w:pPr>
      <w:r>
        <w:rPr>
          <w:rFonts w:ascii="宋体" w:hAnsi="宋体" w:hint="eastAsia"/>
          <w:b/>
          <w:sz w:val="28"/>
        </w:rPr>
        <w:t>投资单位：</w:t>
      </w:r>
      <w:r w:rsidR="00866766">
        <w:rPr>
          <w:rFonts w:ascii="宋体" w:hAnsi="宋体" w:hint="eastAsia"/>
          <w:sz w:val="28"/>
        </w:rPr>
        <w:t xml:space="preserve"> </w:t>
      </w:r>
    </w:p>
    <w:p w:rsidR="00C90C60" w:rsidP="003A6D3C">
      <w:pPr>
        <w:spacing w:line="360" w:lineRule="auto"/>
        <w:ind w:firstLine="560" w:firstLineChars="200"/>
        <w:rPr>
          <w:rFonts w:ascii="宋体" w:hAnsi="宋体" w:hint="eastAsia"/>
          <w:sz w:val="28"/>
        </w:rPr>
      </w:pPr>
      <w:r w:rsidR="003A6D3C">
        <w:rPr>
          <w:rFonts w:ascii="宋体" w:hAnsi="宋体" w:hint="eastAsia"/>
          <w:b/>
          <w:sz w:val="28"/>
        </w:rPr>
        <w:t>执行</w:t>
      </w:r>
      <w:r>
        <w:rPr>
          <w:rFonts w:ascii="宋体" w:hAnsi="宋体" w:hint="eastAsia"/>
          <w:b/>
          <w:sz w:val="28"/>
        </w:rPr>
        <w:t>单位：</w:t>
      </w:r>
      <w:r w:rsidR="00866766">
        <w:rPr>
          <w:rFonts w:ascii="宋体" w:hAnsi="宋体" w:hint="eastAsia"/>
          <w:sz w:val="28"/>
        </w:rPr>
        <w:t xml:space="preserve"> </w:t>
      </w:r>
    </w:p>
    <w:p w:rsidR="003A6D3C" w:rsidP="003A6D3C">
      <w:pPr>
        <w:spacing w:line="360" w:lineRule="auto"/>
        <w:ind w:firstLine="549" w:firstLineChars="196"/>
        <w:rPr>
          <w:rFonts w:ascii="宋体" w:hAnsi="宋体" w:hint="eastAsia"/>
          <w:sz w:val="28"/>
        </w:rPr>
      </w:pPr>
      <w:r>
        <w:rPr>
          <w:rFonts w:ascii="宋体" w:hAnsi="宋体" w:hint="eastAsia"/>
          <w:b/>
          <w:sz w:val="28"/>
        </w:rPr>
        <w:t>工程占地：</w:t>
      </w:r>
      <w:r w:rsidR="00567FFB">
        <w:rPr>
          <w:rFonts w:ascii="宋体" w:hAnsi="宋体" w:hint="eastAsia"/>
          <w:sz w:val="28"/>
        </w:rPr>
        <w:t>60</w:t>
      </w:r>
      <w:r>
        <w:rPr>
          <w:rFonts w:ascii="宋体" w:hAnsi="宋体" w:hint="eastAsia"/>
          <w:sz w:val="28"/>
        </w:rPr>
        <w:t>亩</w:t>
      </w:r>
      <w:r w:rsidR="00BD696A">
        <w:rPr>
          <w:rFonts w:ascii="宋体" w:hAnsi="宋体" w:hint="eastAsia"/>
          <w:sz w:val="28"/>
        </w:rPr>
        <w:t>-100亩</w:t>
      </w:r>
    </w:p>
    <w:p w:rsidR="003A6D3C" w:rsidP="003A6D3C">
      <w:pPr>
        <w:spacing w:line="360" w:lineRule="auto"/>
        <w:ind w:firstLine="549" w:firstLineChars="196"/>
        <w:rPr>
          <w:rFonts w:ascii="宋体" w:hAnsi="宋体" w:hint="eastAsia"/>
          <w:sz w:val="28"/>
        </w:rPr>
      </w:pPr>
      <w:r>
        <w:rPr>
          <w:rFonts w:ascii="宋体" w:hAnsi="宋体" w:hint="eastAsia"/>
          <w:b/>
          <w:sz w:val="28"/>
        </w:rPr>
        <w:t>建筑面积：</w:t>
      </w:r>
      <w:r w:rsidRPr="00567FFB" w:rsidR="00567FFB">
        <w:rPr>
          <w:rFonts w:ascii="宋体" w:hAnsi="宋体" w:hint="eastAsia"/>
          <w:sz w:val="28"/>
        </w:rPr>
        <w:t>8</w:t>
      </w:r>
      <w:r w:rsidR="00567FFB">
        <w:rPr>
          <w:rFonts w:ascii="宋体" w:hAnsi="宋体" w:hint="eastAsia"/>
          <w:b/>
          <w:sz w:val="28"/>
        </w:rPr>
        <w:t>-</w:t>
      </w:r>
      <w:r>
        <w:rPr>
          <w:rFonts w:ascii="宋体" w:hAnsi="宋体" w:hint="eastAsia"/>
          <w:sz w:val="28"/>
        </w:rPr>
        <w:t>10万平方米</w:t>
      </w:r>
    </w:p>
    <w:p w:rsidR="003A6D3C" w:rsidP="003A6D3C">
      <w:pPr>
        <w:spacing w:line="360" w:lineRule="auto"/>
        <w:ind w:firstLine="549" w:firstLineChars="196"/>
        <w:rPr>
          <w:rFonts w:ascii="宋体" w:hAnsi="宋体" w:hint="eastAsia"/>
          <w:sz w:val="28"/>
        </w:rPr>
      </w:pPr>
      <w:r>
        <w:rPr>
          <w:rFonts w:ascii="宋体" w:hAnsi="宋体" w:hint="eastAsia"/>
          <w:b/>
          <w:sz w:val="28"/>
        </w:rPr>
        <w:t>建设周期：</w:t>
      </w:r>
      <w:r w:rsidRPr="00567FFB" w:rsidR="00567FFB">
        <w:rPr>
          <w:rFonts w:ascii="宋体" w:hAnsi="宋体" w:hint="eastAsia"/>
          <w:sz w:val="28"/>
        </w:rPr>
        <w:t>6-</w:t>
      </w:r>
      <w:r w:rsidR="00B76BBC">
        <w:rPr>
          <w:rFonts w:ascii="宋体" w:hAnsi="宋体" w:hint="eastAsia"/>
          <w:sz w:val="28"/>
        </w:rPr>
        <w:t>8</w:t>
      </w:r>
      <w:r>
        <w:rPr>
          <w:rFonts w:ascii="宋体" w:hAnsi="宋体" w:hint="eastAsia"/>
          <w:sz w:val="28"/>
        </w:rPr>
        <w:t>个月</w:t>
      </w:r>
    </w:p>
    <w:p w:rsidR="003A6D3C" w:rsidP="003A6D3C">
      <w:pPr>
        <w:spacing w:line="360" w:lineRule="auto"/>
        <w:ind w:firstLine="560" w:firstLineChars="200"/>
        <w:rPr>
          <w:rFonts w:ascii="宋体" w:hAnsi="宋体" w:hint="eastAsia"/>
          <w:sz w:val="28"/>
        </w:rPr>
      </w:pPr>
      <w:r>
        <w:rPr>
          <w:rFonts w:ascii="宋体" w:hAnsi="宋体" w:hint="eastAsia"/>
          <w:b/>
          <w:sz w:val="28"/>
        </w:rPr>
        <w:t>投资金额：</w:t>
      </w:r>
      <w:r w:rsidRPr="00567FFB" w:rsidR="00567FFB">
        <w:rPr>
          <w:rFonts w:ascii="宋体" w:hAnsi="宋体" w:hint="eastAsia"/>
          <w:sz w:val="28"/>
        </w:rPr>
        <w:t>1.6</w:t>
      </w:r>
      <w:r w:rsidR="00567FFB">
        <w:rPr>
          <w:rFonts w:ascii="宋体" w:hAnsi="宋体" w:hint="eastAsia"/>
          <w:b/>
          <w:sz w:val="28"/>
        </w:rPr>
        <w:t>-</w:t>
      </w:r>
      <w:r>
        <w:rPr>
          <w:rFonts w:ascii="宋体" w:hAnsi="宋体" w:hint="eastAsia"/>
          <w:sz w:val="28"/>
        </w:rPr>
        <w:t>2.2</w:t>
      </w:r>
      <w:r w:rsidRPr="00BB002D">
        <w:rPr>
          <w:rFonts w:ascii="宋体" w:hAnsi="宋体" w:hint="eastAsia"/>
          <w:sz w:val="28"/>
        </w:rPr>
        <w:t>亿</w:t>
      </w:r>
      <w:r>
        <w:rPr>
          <w:rFonts w:ascii="宋体" w:hAnsi="宋体" w:hint="eastAsia"/>
          <w:sz w:val="28"/>
        </w:rPr>
        <w:t>元</w:t>
      </w:r>
    </w:p>
    <w:p w:rsidR="003A6D3C" w:rsidRPr="00BB002D" w:rsidP="003A6D3C">
      <w:pPr>
        <w:spacing w:line="360" w:lineRule="auto"/>
        <w:ind w:firstLine="549" w:firstLineChars="196"/>
        <w:rPr>
          <w:rFonts w:ascii="宋体" w:hAnsi="宋体" w:hint="eastAsia"/>
          <w:b/>
          <w:sz w:val="28"/>
        </w:rPr>
      </w:pPr>
      <w:r>
        <w:rPr>
          <w:rFonts w:ascii="宋体" w:hAnsi="宋体" w:hint="eastAsia"/>
          <w:b/>
          <w:sz w:val="28"/>
        </w:rPr>
        <w:t>资金来源：</w:t>
      </w:r>
      <w:r>
        <w:rPr>
          <w:rFonts w:ascii="宋体" w:hAnsi="宋体" w:hint="eastAsia"/>
          <w:sz w:val="28"/>
        </w:rPr>
        <w:t>企业自备</w:t>
      </w:r>
    </w:p>
    <w:p w:rsidR="003A6D3C" w:rsidRPr="00BB002D" w:rsidP="003A6D3C">
      <w:pPr>
        <w:spacing w:line="360" w:lineRule="auto"/>
        <w:ind w:firstLine="549" w:firstLineChars="196"/>
        <w:rPr>
          <w:rFonts w:ascii="宋体" w:hAnsi="宋体" w:hint="eastAsia"/>
          <w:b/>
          <w:sz w:val="28"/>
        </w:rPr>
      </w:pPr>
      <w:r>
        <w:rPr>
          <w:rFonts w:ascii="宋体" w:hAnsi="宋体" w:hint="eastAsia"/>
          <w:b/>
          <w:sz w:val="28"/>
        </w:rPr>
        <w:t>就业岗位：</w:t>
      </w:r>
      <w:r w:rsidR="004C5441">
        <w:rPr>
          <w:rFonts w:ascii="宋体" w:hAnsi="宋体" w:hint="eastAsia"/>
          <w:sz w:val="28"/>
        </w:rPr>
        <w:t>5</w:t>
      </w:r>
      <w:r>
        <w:rPr>
          <w:rFonts w:ascii="宋体" w:hAnsi="宋体" w:hint="eastAsia"/>
          <w:sz w:val="28"/>
        </w:rPr>
        <w:t>000人</w:t>
      </w:r>
    </w:p>
    <w:p w:rsidR="003A6D3C" w:rsidP="003A6D3C">
      <w:pPr>
        <w:spacing w:line="360" w:lineRule="auto"/>
        <w:ind w:firstLine="549" w:firstLineChars="196"/>
        <w:rPr>
          <w:rFonts w:ascii="宋体" w:hAnsi="宋体" w:hint="eastAsia"/>
          <w:sz w:val="28"/>
        </w:rPr>
      </w:pPr>
      <w:r>
        <w:rPr>
          <w:rFonts w:ascii="宋体" w:hAnsi="宋体" w:hint="eastAsia"/>
          <w:b/>
          <w:sz w:val="28"/>
        </w:rPr>
        <w:t>创造税收：</w:t>
      </w:r>
      <w:r w:rsidRPr="00567FFB">
        <w:rPr>
          <w:rFonts w:ascii="宋体" w:hAnsi="宋体" w:hint="eastAsia"/>
          <w:sz w:val="28"/>
        </w:rPr>
        <w:t>7000</w:t>
      </w:r>
      <w:r>
        <w:rPr>
          <w:rFonts w:ascii="宋体" w:hAnsi="宋体" w:hint="eastAsia"/>
          <w:sz w:val="28"/>
        </w:rPr>
        <w:t>万元/年</w:t>
      </w:r>
    </w:p>
    <w:p w:rsidR="003A6D3C" w:rsidRPr="003A6D3C" w:rsidP="003A6D3C">
      <w:pPr>
        <w:spacing w:line="360" w:lineRule="auto"/>
        <w:ind w:firstLine="560" w:firstLineChars="200"/>
        <w:rPr>
          <w:rFonts w:ascii="宋体" w:hAnsi="宋体" w:hint="eastAsia"/>
          <w:sz w:val="28"/>
        </w:rPr>
      </w:pPr>
    </w:p>
    <w:p w:rsidR="00C90C60">
      <w:pPr>
        <w:spacing w:line="360" w:lineRule="auto"/>
        <w:ind w:firstLine="560" w:firstLineChars="200"/>
        <w:rPr>
          <w:rFonts w:ascii="宋体" w:hAnsi="宋体" w:hint="eastAsia"/>
          <w:sz w:val="28"/>
        </w:rPr>
        <w:sectPr>
          <w:type w:val="nextPage"/>
          <w:pgSz w:w="11906" w:h="16838"/>
          <w:pgMar w:top="1162" w:right="1270" w:bottom="1162" w:left="1230" w:header="851" w:footer="992" w:gutter="0"/>
          <w:pgNumType w:start="3"/>
          <w:cols w:space="720"/>
          <w:titlePg w:val="0"/>
          <w:docGrid w:type="lines" w:linePitch="312"/>
        </w:sectPr>
      </w:pPr>
      <w:r w:rsidR="00866766">
        <w:rPr>
          <w:rFonts w:ascii="宋体" w:hAnsi="宋体" w:hint="eastAsia"/>
          <w:sz w:val="28"/>
        </w:rPr>
        <w:t>新隆</w:t>
      </w:r>
      <w:r w:rsidR="003A6D3C">
        <w:rPr>
          <w:rFonts w:ascii="宋体" w:hAnsi="宋体" w:hint="eastAsia"/>
          <w:sz w:val="28"/>
        </w:rPr>
        <w:t>国际装饰建材城</w:t>
      </w:r>
      <w:r>
        <w:rPr>
          <w:rFonts w:ascii="宋体" w:hAnsi="宋体" w:hint="eastAsia"/>
          <w:sz w:val="28"/>
        </w:rPr>
        <w:t>工程拟建在</w:t>
      </w:r>
      <w:r w:rsidR="003A6D3C">
        <w:rPr>
          <w:rFonts w:ascii="宋体" w:hAnsi="宋体" w:hint="eastAsia"/>
          <w:sz w:val="28"/>
        </w:rPr>
        <w:t>宜宾</w:t>
      </w:r>
      <w:r>
        <w:rPr>
          <w:rFonts w:ascii="宋体" w:hAnsi="宋体" w:hint="eastAsia"/>
          <w:sz w:val="28"/>
        </w:rPr>
        <w:t>市</w:t>
      </w:r>
      <w:r w:rsidR="00866766">
        <w:rPr>
          <w:rFonts w:ascii="宋体" w:hAnsi="宋体" w:hint="eastAsia"/>
          <w:sz w:val="28"/>
        </w:rPr>
        <w:t>新隆</w:t>
      </w:r>
      <w:r w:rsidR="003A6D3C">
        <w:rPr>
          <w:rFonts w:ascii="宋体" w:hAnsi="宋体" w:hint="eastAsia"/>
          <w:sz w:val="28"/>
        </w:rPr>
        <w:t>县</w:t>
      </w:r>
      <w:r>
        <w:rPr>
          <w:rFonts w:ascii="宋体" w:hAnsi="宋体" w:hint="eastAsia"/>
          <w:sz w:val="28"/>
        </w:rPr>
        <w:t>的</w:t>
      </w:r>
      <w:r w:rsidR="003A6D3C">
        <w:rPr>
          <w:rFonts w:ascii="宋体" w:hAnsi="宋体" w:hint="eastAsia"/>
          <w:sz w:val="28"/>
        </w:rPr>
        <w:t>新县城</w:t>
      </w:r>
      <w:r>
        <w:rPr>
          <w:rFonts w:ascii="宋体" w:hAnsi="宋体" w:hint="eastAsia"/>
          <w:sz w:val="28"/>
        </w:rPr>
        <w:t>，</w:t>
      </w:r>
      <w:r w:rsidR="001A18C9">
        <w:rPr>
          <w:rFonts w:ascii="宋体" w:hAnsi="宋体" w:hint="eastAsia"/>
          <w:sz w:val="28"/>
        </w:rPr>
        <w:t>由于</w:t>
      </w:r>
      <w:r w:rsidR="001A18C9">
        <w:rPr>
          <w:rFonts w:ascii="宋体" w:hAnsi="宋体" w:hint="eastAsia"/>
          <w:sz w:val="28"/>
          <w:szCs w:val="28"/>
        </w:rPr>
        <w:t>新县城的建设</w:t>
      </w:r>
      <w:r w:rsidR="00292BD2">
        <w:rPr>
          <w:rFonts w:ascii="宋体" w:hAnsi="宋体" w:hint="eastAsia"/>
          <w:sz w:val="28"/>
          <w:szCs w:val="28"/>
        </w:rPr>
        <w:t>需求，</w:t>
      </w:r>
      <w:r w:rsidR="00866766">
        <w:rPr>
          <w:rFonts w:ascii="宋体" w:hAnsi="宋体" w:hint="eastAsia"/>
          <w:sz w:val="28"/>
          <w:szCs w:val="28"/>
        </w:rPr>
        <w:t>新隆</w:t>
      </w:r>
      <w:r w:rsidR="00292BD2">
        <w:rPr>
          <w:rFonts w:ascii="宋体" w:hAnsi="宋体" w:hint="eastAsia"/>
          <w:sz w:val="28"/>
          <w:szCs w:val="28"/>
        </w:rPr>
        <w:t>县对装饰建材的需求量将非常庞大</w:t>
      </w:r>
      <w:bookmarkStart w:id="16" w:name="_Toc526301444"/>
      <w:bookmarkStart w:id="17" w:name="_Toc513431323"/>
      <w:bookmarkStart w:id="18" w:name="_Toc513431153"/>
      <w:bookmarkStart w:id="19" w:name="_Toc513430974"/>
      <w:r w:rsidR="00BD696A">
        <w:rPr>
          <w:rFonts w:ascii="宋体" w:hAnsi="宋体" w:hint="eastAsia"/>
          <w:sz w:val="28"/>
        </w:rPr>
        <w:t>，建设一个专业的建材市场就是满足这庞大需求的最好方法</w:t>
      </w:r>
      <w:r w:rsidR="00292BD2">
        <w:rPr>
          <w:rFonts w:ascii="宋体" w:hAnsi="宋体" w:hint="eastAsia"/>
          <w:sz w:val="28"/>
        </w:rPr>
        <w:t>。</w:t>
      </w:r>
      <w:r w:rsidR="00866766">
        <w:rPr>
          <w:rFonts w:ascii="宋体" w:hAnsi="宋体" w:hint="eastAsia"/>
          <w:sz w:val="28"/>
        </w:rPr>
        <w:t>新隆</w:t>
      </w:r>
      <w:r w:rsidR="00292BD2">
        <w:rPr>
          <w:rFonts w:ascii="宋体" w:hAnsi="宋体" w:hint="eastAsia"/>
          <w:sz w:val="28"/>
        </w:rPr>
        <w:t>国际装饰建材城</w:t>
      </w:r>
      <w:r>
        <w:rPr>
          <w:rFonts w:ascii="宋体" w:hAnsi="宋体" w:hint="eastAsia"/>
          <w:sz w:val="28"/>
        </w:rPr>
        <w:t>工程规划占地约</w:t>
      </w:r>
      <w:r w:rsidR="00567FFB">
        <w:rPr>
          <w:rFonts w:ascii="宋体" w:hAnsi="宋体" w:hint="eastAsia"/>
          <w:sz w:val="28"/>
        </w:rPr>
        <w:t>6</w:t>
      </w:r>
    </w:p>
    <w:p w:rsidR="00C90C60">
      <w:pPr>
        <w:spacing w:line="360" w:lineRule="auto"/>
        <w:ind w:firstLine="560" w:firstLineChars="200"/>
        <w:rPr>
          <w:rFonts w:ascii="宋体" w:hAnsi="宋体" w:hint="eastAsia"/>
          <w:sz w:val="28"/>
        </w:rPr>
      </w:pPr>
      <w:r w:rsidR="00BD696A">
        <w:rPr>
          <w:rFonts w:ascii="宋体" w:hAnsi="宋体" w:hint="eastAsia"/>
          <w:sz w:val="28"/>
        </w:rPr>
        <w:t>0亩-</w:t>
      </w:r>
      <w:r w:rsidR="00292BD2">
        <w:rPr>
          <w:rFonts w:ascii="宋体" w:hAnsi="宋体" w:hint="eastAsia"/>
          <w:sz w:val="28"/>
        </w:rPr>
        <w:t>100</w:t>
      </w:r>
      <w:r>
        <w:rPr>
          <w:rFonts w:ascii="宋体" w:hAnsi="宋体" w:hint="eastAsia"/>
          <w:sz w:val="28"/>
        </w:rPr>
        <w:t>亩，总投资</w:t>
      </w:r>
      <w:r w:rsidR="00567FFB">
        <w:rPr>
          <w:rFonts w:ascii="宋体" w:hAnsi="宋体" w:hint="eastAsia"/>
          <w:sz w:val="28"/>
        </w:rPr>
        <w:t>1.6-</w:t>
      </w:r>
      <w:r w:rsidR="00292BD2">
        <w:rPr>
          <w:rFonts w:ascii="宋体" w:hAnsi="宋体" w:hint="eastAsia"/>
          <w:sz w:val="28"/>
        </w:rPr>
        <w:t>2.2</w:t>
      </w:r>
      <w:r>
        <w:rPr>
          <w:rFonts w:ascii="宋体" w:hAnsi="宋体" w:hint="eastAsia"/>
          <w:sz w:val="28"/>
        </w:rPr>
        <w:t>亿元人民币。工程拟建总建筑面积</w:t>
      </w:r>
      <w:r w:rsidR="00567FFB">
        <w:rPr>
          <w:rFonts w:ascii="宋体" w:hAnsi="宋体" w:hint="eastAsia"/>
          <w:sz w:val="28"/>
        </w:rPr>
        <w:t>8-</w:t>
      </w:r>
      <w:r w:rsidR="00292BD2">
        <w:rPr>
          <w:rFonts w:ascii="宋体" w:hAnsi="宋体" w:hint="eastAsia"/>
          <w:sz w:val="28"/>
        </w:rPr>
        <w:t>10万</w:t>
      </w:r>
      <w:r w:rsidR="005C2822">
        <w:rPr>
          <w:rFonts w:ascii="宋体" w:hAnsi="宋体" w:hint="eastAsia"/>
          <w:sz w:val="28"/>
        </w:rPr>
        <w:t>平方米。</w:t>
      </w:r>
    </w:p>
    <w:p w:rsidR="00C90C60">
      <w:pPr>
        <w:spacing w:line="360" w:lineRule="auto"/>
        <w:ind w:firstLine="560" w:firstLineChars="200"/>
        <w:rPr>
          <w:rFonts w:ascii="宋体" w:hAnsi="宋体" w:hint="eastAsia"/>
          <w:sz w:val="28"/>
        </w:rPr>
      </w:pPr>
      <w:r>
        <w:rPr>
          <w:rFonts w:ascii="宋体" w:hAnsi="宋体" w:hint="eastAsia"/>
          <w:sz w:val="28"/>
        </w:rPr>
        <w:t>工程建设</w:t>
      </w:r>
      <w:r w:rsidR="005C2822">
        <w:rPr>
          <w:rFonts w:ascii="宋体" w:hAnsi="宋体" w:hint="eastAsia"/>
          <w:sz w:val="28"/>
        </w:rPr>
        <w:t>周期为</w:t>
      </w:r>
      <w:r w:rsidR="00567FFB">
        <w:rPr>
          <w:rFonts w:ascii="宋体" w:hAnsi="宋体" w:hint="eastAsia"/>
          <w:sz w:val="28"/>
        </w:rPr>
        <w:t>6-</w:t>
      </w:r>
      <w:r w:rsidR="00627834">
        <w:rPr>
          <w:rFonts w:ascii="宋体" w:hAnsi="宋体" w:hint="eastAsia"/>
          <w:sz w:val="28"/>
        </w:rPr>
        <w:t>8</w:t>
      </w:r>
      <w:r w:rsidR="005C2822">
        <w:rPr>
          <w:rFonts w:ascii="宋体" w:hAnsi="宋体" w:hint="eastAsia"/>
          <w:sz w:val="28"/>
        </w:rPr>
        <w:t>个月。</w:t>
      </w:r>
    </w:p>
    <w:p w:rsidR="00C90C60">
      <w:pPr>
        <w:spacing w:before="156" w:beforeLines="50" w:line="360" w:lineRule="auto"/>
        <w:ind w:firstLine="560" w:firstLineChars="200"/>
        <w:rPr>
          <w:rFonts w:ascii="宋体" w:hAnsi="宋体" w:hint="eastAsia"/>
          <w:b/>
          <w:sz w:val="28"/>
        </w:rPr>
      </w:pPr>
      <w:r>
        <w:rPr>
          <w:rFonts w:ascii="宋体" w:hAnsi="宋体" w:hint="eastAsia"/>
          <w:b/>
          <w:sz w:val="28"/>
        </w:rPr>
        <w:t>工程建设目标：</w:t>
      </w:r>
    </w:p>
    <w:p w:rsidR="00C90C60">
      <w:pPr>
        <w:numPr>
          <w:ilvl w:val="1"/>
          <w:numId w:val="2"/>
        </w:numPr>
        <w:spacing w:line="360" w:lineRule="auto"/>
        <w:rPr>
          <w:rFonts w:ascii="宋体" w:hAnsi="宋体" w:hint="eastAsia"/>
          <w:sz w:val="28"/>
        </w:rPr>
      </w:pPr>
      <w:r>
        <w:rPr>
          <w:rFonts w:ascii="宋体" w:hAnsi="宋体" w:hint="eastAsia"/>
          <w:sz w:val="28"/>
        </w:rPr>
        <w:t>建材及家居仓储月吞吐量到达</w:t>
      </w:r>
      <w:r w:rsidR="005C2822">
        <w:rPr>
          <w:rFonts w:ascii="宋体" w:hAnsi="宋体" w:hint="eastAsia"/>
          <w:sz w:val="28"/>
        </w:rPr>
        <w:t>40</w:t>
      </w:r>
      <w:r>
        <w:rPr>
          <w:rFonts w:ascii="宋体" w:hAnsi="宋体" w:hint="eastAsia"/>
          <w:sz w:val="28"/>
        </w:rPr>
        <w:t>万立方米以上，年宏观建材交易仓储产值</w:t>
      </w:r>
      <w:r w:rsidR="005C2822">
        <w:rPr>
          <w:rFonts w:ascii="宋体" w:hAnsi="宋体" w:hint="eastAsia"/>
          <w:sz w:val="28"/>
        </w:rPr>
        <w:t>12</w:t>
      </w:r>
      <w:r>
        <w:rPr>
          <w:rFonts w:ascii="宋体" w:hAnsi="宋体" w:hint="eastAsia"/>
          <w:sz w:val="28"/>
        </w:rPr>
        <w:t>亿元以上；</w:t>
      </w:r>
    </w:p>
    <w:p w:rsidR="00C90C60">
      <w:pPr>
        <w:numPr>
          <w:ilvl w:val="1"/>
          <w:numId w:val="2"/>
        </w:numPr>
        <w:spacing w:line="360" w:lineRule="auto"/>
        <w:rPr>
          <w:rFonts w:ascii="宋体" w:hAnsi="宋体" w:hint="eastAsia"/>
          <w:sz w:val="28"/>
        </w:rPr>
      </w:pPr>
      <w:r>
        <w:rPr>
          <w:rFonts w:ascii="宋体" w:hAnsi="宋体" w:hint="eastAsia"/>
          <w:sz w:val="28"/>
        </w:rPr>
        <w:t>与近</w:t>
      </w:r>
      <w:r w:rsidR="005C2822">
        <w:rPr>
          <w:rFonts w:ascii="宋体" w:hAnsi="宋体" w:hint="eastAsia"/>
          <w:sz w:val="28"/>
        </w:rPr>
        <w:t>1000</w:t>
      </w:r>
      <w:r>
        <w:rPr>
          <w:rFonts w:ascii="宋体" w:hAnsi="宋体" w:hint="eastAsia"/>
          <w:sz w:val="28"/>
        </w:rPr>
        <w:t>家品牌建材商设施通用、功能齐全、效劳完善的建材仓储配送为主，交易为辅的建材综合效劳中心同盟；形成高效的建材仓储交易效劳网络，为顾客提供全方位、全过程、全天候的现代建材效劳；</w:t>
      </w:r>
    </w:p>
    <w:p w:rsidR="00C90C60">
      <w:pPr>
        <w:numPr>
          <w:ilvl w:val="1"/>
          <w:numId w:val="2"/>
        </w:numPr>
        <w:spacing w:line="360" w:lineRule="auto"/>
        <w:rPr>
          <w:rFonts w:ascii="宋体" w:hAnsi="宋体" w:hint="eastAsia"/>
          <w:sz w:val="28"/>
        </w:rPr>
      </w:pPr>
      <w:r>
        <w:rPr>
          <w:rFonts w:ascii="宋体" w:hAnsi="宋体" w:hint="eastAsia"/>
          <w:sz w:val="28"/>
        </w:rPr>
        <w:t>建立健全建材效劳管理信息系统，使之具有仓储管理、信息传递、库存控制、货位管理、配载管理和本钱控制等功能；</w:t>
      </w:r>
    </w:p>
    <w:p w:rsidR="00C90C60">
      <w:pPr>
        <w:numPr>
          <w:ilvl w:val="1"/>
          <w:numId w:val="2"/>
        </w:numPr>
        <w:spacing w:line="360" w:lineRule="auto"/>
        <w:rPr>
          <w:rFonts w:ascii="宋体" w:hAnsi="宋体" w:hint="eastAsia"/>
          <w:sz w:val="28"/>
        </w:rPr>
      </w:pPr>
      <w:r>
        <w:rPr>
          <w:rFonts w:ascii="宋体" w:hAnsi="宋体" w:hint="eastAsia"/>
          <w:sz w:val="28"/>
        </w:rPr>
        <w:t>引进第三方建材家居企业</w:t>
      </w:r>
      <w:r w:rsidR="005C2822">
        <w:rPr>
          <w:rFonts w:ascii="宋体" w:hAnsi="宋体" w:hint="eastAsia"/>
          <w:sz w:val="28"/>
        </w:rPr>
        <w:t>600</w:t>
      </w:r>
      <w:r>
        <w:rPr>
          <w:rFonts w:ascii="宋体" w:hAnsi="宋体" w:hint="eastAsia"/>
          <w:sz w:val="28"/>
        </w:rPr>
        <w:t>家以上，为</w:t>
      </w:r>
      <w:r w:rsidR="00866766">
        <w:rPr>
          <w:rFonts w:ascii="宋体" w:hAnsi="宋体" w:hint="eastAsia"/>
          <w:sz w:val="28"/>
        </w:rPr>
        <w:t>新隆</w:t>
      </w:r>
      <w:r>
        <w:rPr>
          <w:rFonts w:ascii="宋体" w:hAnsi="宋体" w:hint="eastAsia"/>
          <w:sz w:val="28"/>
        </w:rPr>
        <w:t>及周边各</w:t>
      </w:r>
      <w:r w:rsidR="005C2822">
        <w:rPr>
          <w:rFonts w:ascii="宋体" w:hAnsi="宋体" w:hint="eastAsia"/>
          <w:sz w:val="28"/>
        </w:rPr>
        <w:t>县</w:t>
      </w:r>
      <w:r>
        <w:rPr>
          <w:rFonts w:ascii="宋体" w:hAnsi="宋体" w:hint="eastAsia"/>
          <w:sz w:val="28"/>
        </w:rPr>
        <w:t>市等家居/建材等专业市场，提供全程仓储物流供给链效劳；</w:t>
      </w:r>
    </w:p>
    <w:p w:rsidR="00C90C60">
      <w:pPr>
        <w:numPr>
          <w:ilvl w:val="1"/>
          <w:numId w:val="2"/>
        </w:numPr>
        <w:spacing w:line="360" w:lineRule="auto"/>
        <w:rPr>
          <w:rFonts w:ascii="宋体" w:hAnsi="宋体" w:hint="eastAsia"/>
          <w:sz w:val="28"/>
        </w:rPr>
      </w:pPr>
      <w:r>
        <w:rPr>
          <w:rFonts w:ascii="宋体" w:hAnsi="宋体" w:hint="eastAsia"/>
          <w:sz w:val="28"/>
        </w:rPr>
        <w:t xml:space="preserve">现代建材仓储交易综合效劳体系初步形成。 </w:t>
      </w:r>
    </w:p>
    <w:p w:rsidR="00C90C60">
      <w:pPr>
        <w:pStyle w:val="NormalIndent"/>
        <w:spacing w:line="360" w:lineRule="auto"/>
        <w:ind w:firstLine="560" w:firstLineChars="200"/>
        <w:rPr>
          <w:rFonts w:ascii="宋体" w:hAnsi="宋体" w:hint="eastAsia"/>
          <w:sz w:val="28"/>
        </w:rPr>
      </w:pPr>
      <w:bookmarkEnd w:id="16"/>
      <w:bookmarkEnd w:id="17"/>
      <w:bookmarkEnd w:id="18"/>
      <w:bookmarkEnd w:id="19"/>
    </w:p>
    <w:p w:rsidR="00C90C60">
      <w:pPr>
        <w:pStyle w:val="NormalIndent"/>
        <w:spacing w:line="360" w:lineRule="auto"/>
        <w:ind w:firstLine="560" w:firstLineChars="200"/>
        <w:rPr>
          <w:rFonts w:ascii="宋体" w:hAnsi="宋体" w:hint="eastAsia"/>
          <w:sz w:val="28"/>
        </w:rPr>
      </w:pPr>
      <w:r>
        <w:rPr>
          <w:rFonts w:ascii="宋体" w:hAnsi="宋体" w:hint="eastAsia"/>
          <w:sz w:val="28"/>
        </w:rPr>
        <w:t>本工程的建设对促进中国西部品牌家居/建材城做到了综合的效劳和优越配套；实现了在中国西部家居/</w:t>
      </w:r>
      <w:r w:rsidR="007C7068">
        <w:rPr>
          <w:rFonts w:ascii="宋体" w:hAnsi="宋体" w:hint="eastAsia"/>
          <w:sz w:val="28"/>
        </w:rPr>
        <w:t>建材业剧烈竞争的差异化开展。促进中国西部建材</w:t>
      </w:r>
      <w:r>
        <w:rPr>
          <w:rFonts w:ascii="宋体" w:hAnsi="宋体" w:hint="eastAsia"/>
          <w:sz w:val="28"/>
        </w:rPr>
        <w:t>的优化开展，减轻由于品牌家居/建材城处于商业区位配置高本钱</w:t>
      </w:r>
      <w:r w:rsidR="007C7068">
        <w:rPr>
          <w:rFonts w:ascii="宋体" w:hAnsi="宋体" w:hint="eastAsia"/>
          <w:sz w:val="28"/>
        </w:rPr>
        <w:t>运作的压力；促进中国西部家居、建材市场的良性开展。宏观上对</w:t>
      </w:r>
      <w:r w:rsidR="00866766">
        <w:rPr>
          <w:rFonts w:ascii="宋体" w:hAnsi="宋体" w:hint="eastAsia"/>
          <w:sz w:val="28"/>
        </w:rPr>
        <w:t>新隆</w:t>
      </w:r>
      <w:r w:rsidR="005C2822">
        <w:rPr>
          <w:rFonts w:ascii="宋体" w:hAnsi="宋体" w:hint="eastAsia"/>
          <w:sz w:val="28"/>
        </w:rPr>
        <w:t>县</w:t>
      </w:r>
      <w:r>
        <w:rPr>
          <w:rFonts w:ascii="宋体" w:hAnsi="宋体" w:hint="eastAsia"/>
          <w:sz w:val="28"/>
        </w:rPr>
        <w:t>城市建设和市民家居及建材需求起到促进作用。具有十分重要的现实意义和经济社会效益。</w:t>
      </w:r>
    </w:p>
    <w:p w:rsidR="00C90C60">
      <w:pPr>
        <w:pStyle w:val="Heading2"/>
        <w:spacing w:before="312" w:beforeLines="100"/>
        <w:ind w:firstLine="412" w:firstLineChars="147"/>
        <w:rPr>
          <w:rFonts w:hint="eastAsia"/>
          <w:color w:val="auto"/>
          <w:sz w:val="28"/>
        </w:rPr>
      </w:pPr>
      <w:bookmarkStart w:id="20" w:name="_Toc8921414"/>
      <w:bookmarkStart w:id="21" w:name="_Toc9141246"/>
      <w:bookmarkStart w:id="22" w:name="_Toc19449418"/>
      <w:bookmarkStart w:id="23" w:name="_Toc20275451"/>
      <w:bookmarkStart w:id="24" w:name="_Toc20275631"/>
      <w:bookmarkStart w:id="25" w:name="_Toc45100300"/>
      <w:bookmarkStart w:id="26" w:name="_Toc45100425"/>
      <w:bookmarkStart w:id="27" w:name="_Toc45100561"/>
      <w:bookmarkStart w:id="28" w:name="_Toc526301328"/>
      <w:r>
        <w:rPr>
          <w:rFonts w:hint="eastAsia"/>
          <w:color w:val="auto"/>
          <w:sz w:val="28"/>
        </w:rPr>
        <w:t>二、编制依据</w:t>
      </w:r>
      <w:bookmarkEnd w:id="28"/>
      <w:r>
        <w:rPr>
          <w:rFonts w:hint="eastAsia"/>
          <w:color w:val="auto"/>
          <w:sz w:val="28"/>
        </w:rPr>
        <w:t>及研究范围</w:t>
      </w:r>
      <w:bookmarkEnd w:id="20"/>
      <w:bookmarkEnd w:id="21"/>
      <w:bookmarkEnd w:id="22"/>
      <w:bookmarkEnd w:id="23"/>
      <w:bookmarkEnd w:id="24"/>
      <w:bookmarkEnd w:id="25"/>
      <w:bookmarkEnd w:id="26"/>
      <w:bookmarkEnd w:id="27"/>
    </w:p>
    <w:p w:rsidR="00C90C60">
      <w:pPr>
        <w:pStyle w:val="Heading3"/>
        <w:spacing w:before="0" w:after="0" w:line="360" w:lineRule="auto"/>
        <w:ind w:firstLine="560" w:firstLineChars="200"/>
        <w:rPr>
          <w:rFonts w:ascii="宋体" w:eastAsia="宋体" w:hAnsi="宋体" w:hint="eastAsia"/>
        </w:rPr>
      </w:pPr>
      <w:bookmarkStart w:id="29" w:name="_Toc20275452"/>
      <w:bookmarkStart w:id="30" w:name="_Toc19449419"/>
      <w:bookmarkStart w:id="31" w:name="_Toc9141247"/>
      <w:bookmarkStart w:id="32" w:name="_Toc8921415"/>
      <w:r>
        <w:rPr>
          <w:rFonts w:ascii="宋体" w:eastAsia="宋体" w:hAnsi="宋体" w:hint="eastAsia"/>
        </w:rPr>
        <w:t>2.1、编制依据</w:t>
      </w:r>
      <w:bookmarkEnd w:id="29"/>
      <w:bookmarkEnd w:id="30"/>
      <w:bookmarkEnd w:id="31"/>
      <w:bookmarkEnd w:id="32"/>
    </w:p>
    <w:p w:rsidR="00C90C60">
      <w:pPr>
        <w:pStyle w:val="BodyText2"/>
        <w:spacing w:line="360" w:lineRule="auto"/>
        <w:ind w:firstLine="420" w:firstLineChars="150"/>
        <w:rPr>
          <w:rFonts w:ascii="宋体" w:hAnsi="宋体" w:hint="eastAsia"/>
          <w:sz w:val="28"/>
        </w:rPr>
        <w:sectPr>
          <w:type w:val="nextPage"/>
          <w:pgSz w:w="11906" w:h="16838"/>
          <w:pgMar w:top="1162" w:right="1270" w:bottom="1162" w:left="1230" w:header="851" w:footer="992" w:gutter="0"/>
          <w:pgNumType w:start="4"/>
          <w:cols w:space="720"/>
          <w:titlePg w:val="0"/>
          <w:docGrid w:type="lines" w:linePitch="312"/>
        </w:sectPr>
      </w:pPr>
      <w:r>
        <w:rPr>
          <w:rFonts w:ascii="宋体" w:hAnsi="宋体" w:hint="eastAsia"/>
          <w:sz w:val="28"/>
        </w:rPr>
        <w:t>〔1〕国家、四川省、</w:t>
      </w:r>
      <w:r w:rsidR="005C2822">
        <w:rPr>
          <w:rFonts w:ascii="宋体" w:hAnsi="宋体" w:hint="eastAsia"/>
          <w:sz w:val="28"/>
        </w:rPr>
        <w:t>宜宾</w:t>
      </w:r>
      <w:r>
        <w:rPr>
          <w:rFonts w:ascii="宋体" w:hAnsi="宋体" w:hint="eastAsia"/>
          <w:sz w:val="28"/>
        </w:rPr>
        <w:t>市国民经济和社会开展方案；</w:t>
      </w:r>
    </w:p>
    <w:p w:rsidR="00C90C60">
      <w:pPr>
        <w:pStyle w:val="Heading1"/>
        <w:ind w:firstLine="412" w:firstLineChars="147"/>
        <w:jc w:val="both"/>
        <w:rPr>
          <w:rFonts w:ascii="宋体" w:eastAsia="宋体" w:hAnsi="宋体" w:hint="eastAsia"/>
          <w:color w:val="333333"/>
          <w:sz w:val="28"/>
        </w:rPr>
      </w:pPr>
      <w:r>
        <w:rPr>
          <w:rFonts w:ascii="宋体" w:eastAsia="宋体" w:hAnsi="宋体" w:hint="eastAsia"/>
          <w:b w:val="0"/>
          <w:sz w:val="28"/>
        </w:rPr>
        <w:t>〔2〕</w:t>
      </w:r>
      <w:r>
        <w:rPr>
          <w:rFonts w:ascii="宋体" w:eastAsia="宋体" w:hAnsi="宋体"/>
          <w:b w:val="0"/>
          <w:color w:val="000000"/>
          <w:kern w:val="0"/>
          <w:sz w:val="28"/>
        </w:rPr>
        <w:t>《四川省西部物流中心建设规划》</w:t>
      </w:r>
      <w:r>
        <w:rPr>
          <w:rFonts w:ascii="宋体" w:eastAsia="宋体" w:hAnsi="宋体" w:hint="eastAsia"/>
          <w:b w:val="0"/>
          <w:sz w:val="28"/>
        </w:rPr>
        <w:t>；</w:t>
      </w:r>
    </w:p>
    <w:p w:rsidR="00C90C60">
      <w:pPr>
        <w:pStyle w:val="BodyText2"/>
        <w:spacing w:line="360" w:lineRule="auto"/>
        <w:ind w:firstLine="420" w:firstLineChars="150"/>
        <w:rPr>
          <w:rFonts w:ascii="宋体" w:hAnsi="宋体" w:hint="eastAsia"/>
          <w:sz w:val="28"/>
        </w:rPr>
      </w:pPr>
      <w:r>
        <w:rPr>
          <w:rFonts w:ascii="宋体" w:hAnsi="宋体" w:hint="eastAsia"/>
          <w:sz w:val="28"/>
        </w:rPr>
        <w:t>〔3〕国家计委、建设部公布的《建设工程工程经济评价方法与参数》；</w:t>
      </w:r>
    </w:p>
    <w:p w:rsidR="00C90C60">
      <w:pPr>
        <w:pStyle w:val="BodyText2"/>
        <w:spacing w:line="360" w:lineRule="auto"/>
        <w:ind w:firstLine="420" w:firstLineChars="150"/>
        <w:rPr>
          <w:rFonts w:ascii="宋体" w:hAnsi="宋体" w:hint="eastAsia"/>
          <w:sz w:val="28"/>
        </w:rPr>
      </w:pPr>
      <w:r>
        <w:rPr>
          <w:rFonts w:ascii="宋体" w:hAnsi="宋体" w:hint="eastAsia"/>
          <w:sz w:val="28"/>
        </w:rPr>
        <w:t>〔4〕</w:t>
      </w:r>
      <w:r w:rsidR="005C2822">
        <w:rPr>
          <w:rFonts w:ascii="宋体" w:hAnsi="宋体" w:hint="eastAsia"/>
          <w:sz w:val="28"/>
        </w:rPr>
        <w:t>宜宾</w:t>
      </w:r>
      <w:r>
        <w:rPr>
          <w:rFonts w:ascii="宋体" w:hAnsi="宋体" w:hint="eastAsia"/>
          <w:sz w:val="28"/>
        </w:rPr>
        <w:t>市</w:t>
      </w:r>
      <w:r w:rsidR="00866766">
        <w:rPr>
          <w:rFonts w:ascii="宋体" w:hAnsi="宋体" w:hint="eastAsia"/>
          <w:sz w:val="28"/>
        </w:rPr>
        <w:t>新隆</w:t>
      </w:r>
      <w:r w:rsidR="005C2822">
        <w:rPr>
          <w:rFonts w:ascii="宋体" w:hAnsi="宋体" w:hint="eastAsia"/>
          <w:sz w:val="28"/>
        </w:rPr>
        <w:t>县</w:t>
      </w:r>
      <w:r>
        <w:rPr>
          <w:rFonts w:ascii="宋体" w:hAnsi="宋体" w:hint="eastAsia"/>
          <w:sz w:val="28"/>
        </w:rPr>
        <w:t>关于</w:t>
      </w:r>
      <w:r>
        <w:rPr>
          <w:rFonts w:hint="eastAsia"/>
          <w:sz w:val="28"/>
        </w:rPr>
        <w:t>商贸、物流等现代效劳业开展</w:t>
      </w:r>
      <w:r>
        <w:rPr>
          <w:rFonts w:ascii="宋体" w:hAnsi="宋体" w:hint="eastAsia"/>
          <w:sz w:val="28"/>
        </w:rPr>
        <w:t>规划；</w:t>
      </w:r>
    </w:p>
    <w:p w:rsidR="00C90C60">
      <w:pPr>
        <w:pStyle w:val="BodyText2"/>
        <w:spacing w:line="360" w:lineRule="auto"/>
        <w:ind w:firstLine="420" w:firstLineChars="150"/>
        <w:rPr>
          <w:rFonts w:ascii="宋体" w:hAnsi="宋体" w:hint="eastAsia"/>
          <w:sz w:val="28"/>
        </w:rPr>
      </w:pPr>
      <w:r>
        <w:rPr>
          <w:rFonts w:ascii="宋体" w:hAnsi="宋体" w:hint="eastAsia"/>
          <w:sz w:val="28"/>
        </w:rPr>
        <w:t>〔5</w:t>
      </w:r>
      <w:r w:rsidR="007C7068">
        <w:rPr>
          <w:rFonts w:ascii="宋体" w:hAnsi="宋体" w:hint="eastAsia"/>
          <w:sz w:val="28"/>
        </w:rPr>
        <w:t>〕</w:t>
      </w:r>
      <w:r w:rsidR="00866766">
        <w:rPr>
          <w:rFonts w:ascii="宋体" w:hAnsi="宋体" w:hint="eastAsia"/>
          <w:sz w:val="28"/>
        </w:rPr>
        <w:t>新隆</w:t>
      </w:r>
      <w:r w:rsidR="005C2822">
        <w:rPr>
          <w:rFonts w:ascii="宋体" w:hAnsi="宋体" w:hint="eastAsia"/>
          <w:sz w:val="28"/>
        </w:rPr>
        <w:t>国际装饰建材城</w:t>
      </w:r>
      <w:r>
        <w:rPr>
          <w:rFonts w:ascii="宋体" w:hAnsi="宋体" w:hint="eastAsia"/>
          <w:sz w:val="28"/>
        </w:rPr>
        <w:t>工程意向性规划布局；</w:t>
      </w:r>
    </w:p>
    <w:p w:rsidR="00C90C60">
      <w:pPr>
        <w:pStyle w:val="BodyText2"/>
        <w:spacing w:line="360" w:lineRule="auto"/>
        <w:ind w:firstLine="420" w:firstLineChars="150"/>
        <w:rPr>
          <w:rFonts w:ascii="宋体" w:hAnsi="宋体" w:hint="eastAsia"/>
          <w:sz w:val="28"/>
        </w:rPr>
      </w:pPr>
      <w:r>
        <w:rPr>
          <w:rFonts w:ascii="宋体" w:hAnsi="宋体" w:hint="eastAsia"/>
          <w:sz w:val="28"/>
        </w:rPr>
        <w:t>〔6〕其他文件和协议；</w:t>
      </w:r>
    </w:p>
    <w:p w:rsidR="00C90C60">
      <w:pPr>
        <w:pStyle w:val="Heading3"/>
        <w:spacing w:before="0" w:after="0" w:line="360" w:lineRule="auto"/>
        <w:ind w:firstLine="560" w:firstLineChars="200"/>
        <w:rPr>
          <w:rFonts w:ascii="宋体" w:eastAsia="宋体" w:hAnsi="宋体" w:hint="eastAsia"/>
        </w:rPr>
      </w:pPr>
      <w:bookmarkStart w:id="33" w:name="_Toc20275453"/>
      <w:bookmarkStart w:id="34" w:name="_Toc19449421"/>
      <w:bookmarkStart w:id="35" w:name="_Toc9141249"/>
      <w:bookmarkStart w:id="36" w:name="_Toc8921417"/>
      <w:r>
        <w:rPr>
          <w:rFonts w:ascii="宋体" w:eastAsia="宋体" w:hAnsi="宋体" w:hint="eastAsia"/>
        </w:rPr>
        <w:t>2.2、研究范围</w:t>
      </w:r>
      <w:bookmarkEnd w:id="33"/>
      <w:bookmarkEnd w:id="34"/>
      <w:bookmarkEnd w:id="35"/>
      <w:bookmarkEnd w:id="36"/>
    </w:p>
    <w:p w:rsidR="00C90C60">
      <w:pPr>
        <w:pStyle w:val="BodyTextIndent2"/>
        <w:ind w:firstLine="420" w:firstLineChars="150"/>
        <w:rPr>
          <w:rFonts w:hint="eastAsia"/>
          <w:color w:val="auto"/>
          <w:sz w:val="28"/>
        </w:rPr>
      </w:pPr>
      <w:r>
        <w:rPr>
          <w:rFonts w:hint="eastAsia"/>
          <w:color w:val="auto"/>
          <w:sz w:val="28"/>
        </w:rPr>
        <w:t>〔1〕工程建设的背景和必要性</w:t>
      </w:r>
    </w:p>
    <w:p w:rsidR="00C90C60">
      <w:pPr>
        <w:pStyle w:val="BodyTextIndent2"/>
        <w:ind w:firstLine="420" w:firstLineChars="150"/>
        <w:rPr>
          <w:rFonts w:hint="eastAsia"/>
          <w:color w:val="auto"/>
          <w:sz w:val="28"/>
        </w:rPr>
      </w:pPr>
      <w:r>
        <w:rPr>
          <w:rFonts w:hint="eastAsia"/>
          <w:color w:val="auto"/>
          <w:sz w:val="28"/>
        </w:rPr>
        <w:t>〔2〕工程投资主体的情况</w:t>
      </w:r>
    </w:p>
    <w:p w:rsidR="00C90C60">
      <w:pPr>
        <w:pStyle w:val="BodyTextIndent2"/>
        <w:ind w:firstLine="420" w:firstLineChars="150"/>
        <w:rPr>
          <w:rFonts w:hint="eastAsia"/>
          <w:color w:val="auto"/>
          <w:sz w:val="28"/>
        </w:rPr>
      </w:pPr>
      <w:r>
        <w:rPr>
          <w:rFonts w:hint="eastAsia"/>
          <w:color w:val="auto"/>
          <w:sz w:val="28"/>
        </w:rPr>
        <w:t>〔3〕行业分析及市场预测</w:t>
      </w:r>
    </w:p>
    <w:p w:rsidR="00C90C60">
      <w:pPr>
        <w:pStyle w:val="BodyTextIndent2"/>
        <w:ind w:firstLine="420" w:firstLineChars="150"/>
        <w:rPr>
          <w:rFonts w:hint="eastAsia"/>
          <w:color w:val="auto"/>
          <w:sz w:val="28"/>
        </w:rPr>
      </w:pPr>
      <w:r>
        <w:rPr>
          <w:rFonts w:hint="eastAsia"/>
          <w:color w:val="auto"/>
          <w:sz w:val="28"/>
        </w:rPr>
        <w:t>〔4〕工程选址及建设条件</w:t>
      </w:r>
    </w:p>
    <w:p w:rsidR="00C90C60">
      <w:pPr>
        <w:pStyle w:val="BodyTextIndent2"/>
        <w:ind w:firstLine="420" w:firstLineChars="150"/>
        <w:rPr>
          <w:rFonts w:hint="eastAsia"/>
          <w:color w:val="auto"/>
          <w:sz w:val="28"/>
        </w:rPr>
      </w:pPr>
      <w:r>
        <w:rPr>
          <w:rFonts w:hint="eastAsia"/>
          <w:color w:val="auto"/>
          <w:sz w:val="28"/>
        </w:rPr>
        <w:t>〔5〕工程布局及及各局部功能定位</w:t>
      </w:r>
    </w:p>
    <w:p w:rsidR="00C90C60">
      <w:pPr>
        <w:pStyle w:val="BodyTextIndent2"/>
        <w:ind w:firstLine="420" w:firstLineChars="150"/>
        <w:rPr>
          <w:rFonts w:hint="eastAsia"/>
          <w:color w:val="auto"/>
          <w:sz w:val="28"/>
        </w:rPr>
      </w:pPr>
      <w:r>
        <w:rPr>
          <w:rFonts w:hint="eastAsia"/>
          <w:color w:val="auto"/>
          <w:sz w:val="28"/>
        </w:rPr>
        <w:t>〔6〕工程组织及管理系统</w:t>
      </w:r>
    </w:p>
    <w:p w:rsidR="00C90C60">
      <w:pPr>
        <w:pStyle w:val="BodyTextIndent2"/>
        <w:ind w:firstLine="420" w:firstLineChars="150"/>
        <w:rPr>
          <w:rFonts w:hint="eastAsia"/>
          <w:color w:val="auto"/>
          <w:sz w:val="28"/>
        </w:rPr>
      </w:pPr>
      <w:r>
        <w:rPr>
          <w:rFonts w:hint="eastAsia"/>
          <w:color w:val="auto"/>
          <w:sz w:val="28"/>
        </w:rPr>
        <w:t>〔7〕工程效益评价及不确定性分析</w:t>
      </w:r>
    </w:p>
    <w:p w:rsidR="00C90C60">
      <w:pPr>
        <w:pStyle w:val="Heading2"/>
        <w:spacing w:before="312" w:beforeLines="100"/>
        <w:ind w:firstLine="412" w:firstLineChars="147"/>
        <w:rPr>
          <w:rFonts w:hint="eastAsia"/>
          <w:color w:val="auto"/>
          <w:sz w:val="28"/>
        </w:rPr>
      </w:pPr>
      <w:bookmarkStart w:id="37" w:name="_Toc8921418"/>
      <w:bookmarkStart w:id="38" w:name="_Toc9141250"/>
      <w:bookmarkStart w:id="39" w:name="_Toc19449422"/>
      <w:bookmarkStart w:id="40" w:name="_Toc20275454"/>
      <w:bookmarkStart w:id="41" w:name="_Toc20275632"/>
      <w:bookmarkStart w:id="42" w:name="_Toc45100301"/>
      <w:bookmarkStart w:id="43" w:name="_Toc45100426"/>
      <w:bookmarkStart w:id="44" w:name="_Toc45100562"/>
      <w:r>
        <w:rPr>
          <w:rFonts w:hint="eastAsia"/>
          <w:color w:val="auto"/>
          <w:sz w:val="28"/>
        </w:rPr>
        <w:t>三、编制原那么</w:t>
      </w:r>
      <w:bookmarkEnd w:id="37"/>
      <w:bookmarkEnd w:id="38"/>
      <w:bookmarkEnd w:id="39"/>
      <w:bookmarkEnd w:id="40"/>
      <w:bookmarkEnd w:id="41"/>
      <w:bookmarkEnd w:id="42"/>
      <w:bookmarkEnd w:id="43"/>
      <w:bookmarkEnd w:id="44"/>
    </w:p>
    <w:p w:rsidR="00C90C60">
      <w:pPr>
        <w:spacing w:line="360" w:lineRule="auto"/>
        <w:ind w:firstLine="560" w:firstLineChars="200"/>
        <w:rPr>
          <w:rFonts w:ascii="宋体" w:hAnsi="宋体" w:hint="eastAsia"/>
          <w:sz w:val="28"/>
        </w:rPr>
      </w:pPr>
      <w:r>
        <w:rPr>
          <w:rFonts w:ascii="宋体" w:hAnsi="宋体" w:hint="eastAsia"/>
          <w:sz w:val="28"/>
        </w:rPr>
        <w:t>3.1遵照国民经济和社会开展第十一个五年方案关于</w:t>
      </w:r>
      <w:r>
        <w:rPr>
          <w:rFonts w:ascii="宋体" w:hAnsi="宋体" w:hint="eastAsia"/>
          <w:sz w:val="28"/>
        </w:rPr>
        <w:t>“</w:t>
      </w:r>
      <w:r>
        <w:rPr>
          <w:rFonts w:hint="eastAsia"/>
          <w:sz w:val="28"/>
        </w:rPr>
        <w:t>鼓励开展所有制形式和经营业态多样化、诚信便民的零售等商贸效劳；积极开展物流配送等现代流通方式和组织形式；按照优化城市功能、疏解交通的要求，合理调整城市商业网点结构和布局</w:t>
      </w:r>
      <w:r>
        <w:rPr>
          <w:rFonts w:hint="eastAsia"/>
        </w:rPr>
        <w:t>。</w:t>
      </w:r>
      <w:r>
        <w:rPr>
          <w:rFonts w:hint="eastAsia"/>
          <w:sz w:val="28"/>
        </w:rPr>
        <w:t>打破垄断，放宽准入领域，建立公开、平等、标准的行业准入制度。采取积极的财税、土地、价格等政策，支持效劳业关键领域、薄弱环节、新兴产业和新型业态的开展；健全效劳业标准体系，推进效劳业标准化；大城市要把开展效劳业放在优先位置，有条件的要逐步形成效劳经济为主的产业结构。</w:t>
      </w:r>
      <w:r>
        <w:rPr>
          <w:rFonts w:ascii="宋体" w:hAnsi="宋体" w:hint="eastAsia"/>
          <w:sz w:val="28"/>
        </w:rPr>
        <w:t>”</w:t>
      </w:r>
      <w:r>
        <w:rPr>
          <w:rFonts w:ascii="宋体" w:hAnsi="宋体" w:hint="eastAsia"/>
          <w:sz w:val="28"/>
        </w:rPr>
        <w:t>来做好工程定位、进行工程设计。</w:t>
      </w:r>
    </w:p>
    <w:p w:rsidR="00C90C60">
      <w:pPr>
        <w:spacing w:line="360" w:lineRule="auto"/>
        <w:ind w:firstLine="560" w:firstLineChars="200"/>
        <w:rPr>
          <w:rFonts w:ascii="宋体" w:hAnsi="宋体" w:hint="eastAsia"/>
          <w:sz w:val="28"/>
        </w:rPr>
        <w:sectPr>
          <w:type w:val="nextPage"/>
          <w:pgSz w:w="11906" w:h="16838"/>
          <w:pgMar w:top="1162" w:right="1270" w:bottom="1162" w:left="1230" w:header="851" w:footer="992" w:gutter="0"/>
          <w:pgNumType w:start="5"/>
          <w:cols w:space="720"/>
          <w:titlePg w:val="0"/>
          <w:docGrid w:type="lines" w:linePitch="312"/>
        </w:sectPr>
      </w:pPr>
    </w:p>
    <w:p w:rsidR="00C90C60">
      <w:pPr>
        <w:spacing w:line="360" w:lineRule="auto"/>
        <w:ind w:firstLine="560" w:firstLineChars="200"/>
        <w:rPr>
          <w:rFonts w:ascii="宋体" w:hAnsi="宋体" w:hint="eastAsia"/>
          <w:sz w:val="28"/>
        </w:rPr>
      </w:pPr>
      <w:r>
        <w:rPr>
          <w:rFonts w:ascii="宋体" w:hAnsi="宋体" w:hint="eastAsia"/>
          <w:sz w:val="28"/>
        </w:rPr>
        <w:t>3.2按照国家经贸委等六部委《关于加快我国现代物流开展的假设干意见》的通知要求，明确工程开展总体目标。</w:t>
      </w:r>
    </w:p>
    <w:p w:rsidR="00C90C60">
      <w:pPr>
        <w:spacing w:line="360" w:lineRule="auto"/>
        <w:ind w:firstLine="560" w:firstLineChars="200"/>
        <w:rPr>
          <w:rFonts w:ascii="宋体" w:hAnsi="宋体" w:hint="eastAsia"/>
          <w:sz w:val="28"/>
        </w:rPr>
      </w:pPr>
      <w:r>
        <w:rPr>
          <w:rFonts w:ascii="宋体" w:hAnsi="宋体" w:hint="eastAsia"/>
          <w:sz w:val="28"/>
        </w:rPr>
        <w:t>3.3根据四川省和西部开展方案，融入区域经济、合理安排进度。</w:t>
      </w:r>
    </w:p>
    <w:p w:rsidR="00C90C60">
      <w:pPr>
        <w:spacing w:line="360" w:lineRule="auto"/>
        <w:ind w:firstLine="560" w:firstLineChars="200"/>
        <w:rPr>
          <w:rFonts w:ascii="宋体" w:hAnsi="宋体" w:hint="eastAsia"/>
          <w:sz w:val="28"/>
        </w:rPr>
      </w:pPr>
      <w:r>
        <w:rPr>
          <w:rFonts w:ascii="宋体" w:hAnsi="宋体" w:hint="eastAsia"/>
          <w:sz w:val="28"/>
        </w:rPr>
        <w:t>3.4按照国家有关产业政策及可行性研究报告编制工作的根本工作程序和要求，做到实事求是、客观公正。</w:t>
      </w:r>
    </w:p>
    <w:p w:rsidR="00C90C60">
      <w:pPr>
        <w:spacing w:line="360" w:lineRule="auto"/>
        <w:ind w:firstLine="560" w:firstLineChars="200"/>
        <w:rPr>
          <w:rFonts w:ascii="宋体" w:hAnsi="宋体" w:hint="eastAsia"/>
          <w:sz w:val="28"/>
        </w:rPr>
      </w:pPr>
      <w:r>
        <w:rPr>
          <w:rFonts w:ascii="宋体" w:hAnsi="宋体" w:hint="eastAsia"/>
          <w:sz w:val="28"/>
        </w:rPr>
        <w:t>3.5四川省及西部各省目前国民经济水平，现代商贸效劳产业开展现状及前景为依据，借鉴国外行业开展经验，明确工程建成以后的管理模式、运营模式。</w:t>
      </w:r>
    </w:p>
    <w:p w:rsidR="00C90C60">
      <w:pPr>
        <w:spacing w:line="360" w:lineRule="auto"/>
        <w:ind w:firstLine="560" w:firstLineChars="200"/>
        <w:rPr>
          <w:rFonts w:ascii="宋体" w:hAnsi="宋体" w:hint="eastAsia"/>
          <w:sz w:val="28"/>
        </w:rPr>
      </w:pPr>
      <w:r>
        <w:rPr>
          <w:rFonts w:ascii="宋体" w:hAnsi="宋体" w:hint="eastAsia"/>
          <w:sz w:val="28"/>
        </w:rPr>
        <w:t>3.6</w:t>
      </w:r>
      <w:r w:rsidR="007C7068">
        <w:rPr>
          <w:rFonts w:ascii="宋体" w:hAnsi="宋体" w:hint="eastAsia"/>
          <w:sz w:val="28"/>
        </w:rPr>
        <w:t>工程建设以国际</w:t>
      </w:r>
      <w:r>
        <w:rPr>
          <w:rFonts w:ascii="宋体" w:hAnsi="宋体" w:hint="eastAsia"/>
          <w:sz w:val="28"/>
        </w:rPr>
        <w:t>建材\家居的需求为依据，以现有设施及资源为根底，防止盲目投资和重复建设。</w:t>
      </w:r>
    </w:p>
    <w:p w:rsidR="00C90C60">
      <w:pPr>
        <w:spacing w:line="360" w:lineRule="auto"/>
        <w:ind w:firstLine="560" w:firstLineChars="200"/>
        <w:rPr>
          <w:rFonts w:ascii="宋体" w:hAnsi="宋体" w:hint="eastAsia"/>
          <w:sz w:val="28"/>
        </w:rPr>
      </w:pPr>
      <w:r>
        <w:rPr>
          <w:rFonts w:ascii="宋体" w:hAnsi="宋体" w:hint="eastAsia"/>
          <w:sz w:val="28"/>
        </w:rPr>
        <w:t>3.7工程建设积极采用先进技术和设备，采购工作实行招标采购及比质比价采购。</w:t>
      </w:r>
    </w:p>
    <w:p w:rsidR="00C90C60">
      <w:pPr>
        <w:spacing w:line="360" w:lineRule="auto"/>
        <w:ind w:firstLine="560" w:firstLineChars="200"/>
        <w:rPr>
          <w:rFonts w:ascii="宋体" w:hAnsi="宋体" w:hint="eastAsia"/>
          <w:sz w:val="28"/>
        </w:rPr>
      </w:pPr>
      <w:r>
        <w:rPr>
          <w:rFonts w:ascii="宋体" w:hAnsi="宋体" w:hint="eastAsia"/>
          <w:sz w:val="28"/>
        </w:rPr>
        <w:t>3.8消防、环保、平安设施建设符合国家和地方法规。</w:t>
      </w:r>
    </w:p>
    <w:p w:rsidR="00C90C60">
      <w:pPr>
        <w:spacing w:line="360" w:lineRule="auto"/>
        <w:ind w:firstLine="560" w:firstLineChars="200"/>
        <w:rPr>
          <w:rFonts w:ascii="宋体" w:hAnsi="宋体" w:hint="eastAsia"/>
          <w:sz w:val="28"/>
        </w:rPr>
      </w:pPr>
      <w:r>
        <w:rPr>
          <w:rFonts w:ascii="宋体" w:hAnsi="宋体" w:hint="eastAsia"/>
          <w:sz w:val="28"/>
        </w:rPr>
        <w:t>3.9其它规定及客户要求。</w:t>
      </w:r>
    </w:p>
    <w:p w:rsidR="00C90C60">
      <w:pPr>
        <w:pStyle w:val="Heading2"/>
        <w:spacing w:before="312" w:beforeLines="100"/>
        <w:ind w:firstLine="412" w:firstLineChars="147"/>
        <w:rPr>
          <w:rFonts w:hint="eastAsia"/>
          <w:color w:val="auto"/>
          <w:sz w:val="28"/>
        </w:rPr>
      </w:pPr>
      <w:bookmarkStart w:id="45" w:name="_Toc8921419"/>
      <w:bookmarkStart w:id="46" w:name="_Toc9141251"/>
      <w:bookmarkStart w:id="47" w:name="_Toc19449423"/>
      <w:bookmarkStart w:id="48" w:name="_Toc20275455"/>
      <w:bookmarkStart w:id="49" w:name="_Toc20275633"/>
      <w:bookmarkStart w:id="50" w:name="_Toc45100302"/>
      <w:bookmarkStart w:id="51" w:name="_Toc45100427"/>
      <w:bookmarkStart w:id="52" w:name="_Toc45100563"/>
      <w:r>
        <w:rPr>
          <w:rFonts w:hint="eastAsia"/>
          <w:color w:val="auto"/>
          <w:sz w:val="28"/>
        </w:rPr>
        <w:t>四、主要经济技术指标</w:t>
      </w:r>
      <w:bookmarkEnd w:id="45"/>
      <w:bookmarkEnd w:id="46"/>
      <w:bookmarkEnd w:id="47"/>
      <w:bookmarkEnd w:id="48"/>
      <w:bookmarkEnd w:id="49"/>
      <w:bookmarkEnd w:id="50"/>
      <w:bookmarkEnd w:id="51"/>
      <w:bookmarkEnd w:id="52"/>
    </w:p>
    <w:p w:rsidR="00C90C60">
      <w:pPr>
        <w:widowControl/>
        <w:spacing w:line="360" w:lineRule="auto"/>
        <w:ind w:firstLine="420" w:firstLineChars="150"/>
        <w:jc w:val="left"/>
        <w:rPr>
          <w:rFonts w:ascii="宋体" w:hAnsi="宋体" w:hint="eastAsia"/>
          <w:color w:val="FF0000"/>
          <w:kern w:val="0"/>
          <w:sz w:val="28"/>
        </w:rPr>
      </w:pPr>
      <w:bookmarkStart w:id="53" w:name="_Toc45100564"/>
      <w:bookmarkStart w:id="54" w:name="_Toc45100428"/>
      <w:bookmarkStart w:id="55" w:name="_Toc45100303"/>
      <w:r>
        <w:rPr>
          <w:rFonts w:ascii="宋体" w:hAnsi="宋体" w:hint="eastAsia"/>
          <w:kern w:val="0"/>
          <w:sz w:val="28"/>
        </w:rPr>
        <w:t>工程于201</w:t>
      </w:r>
      <w:r w:rsidR="005C2822">
        <w:rPr>
          <w:rFonts w:ascii="宋体" w:hAnsi="宋体" w:hint="eastAsia"/>
          <w:kern w:val="0"/>
          <w:sz w:val="28"/>
        </w:rPr>
        <w:t>1</w:t>
      </w:r>
      <w:r>
        <w:rPr>
          <w:rFonts w:ascii="宋体" w:hAnsi="宋体" w:hint="eastAsia"/>
          <w:kern w:val="0"/>
          <w:sz w:val="28"/>
        </w:rPr>
        <w:t>年建设，并可于201</w:t>
      </w:r>
      <w:r w:rsidR="005C2822">
        <w:rPr>
          <w:rFonts w:ascii="宋体" w:hAnsi="宋体" w:hint="eastAsia"/>
          <w:kern w:val="0"/>
          <w:sz w:val="28"/>
        </w:rPr>
        <w:t>2</w:t>
      </w:r>
      <w:r>
        <w:rPr>
          <w:rFonts w:ascii="宋体" w:hAnsi="宋体" w:hint="eastAsia"/>
          <w:kern w:val="0"/>
          <w:sz w:val="28"/>
        </w:rPr>
        <w:t>年完工。整个工程预计于201</w:t>
      </w:r>
      <w:r w:rsidR="005C2822">
        <w:rPr>
          <w:rFonts w:ascii="宋体" w:hAnsi="宋体" w:hint="eastAsia"/>
          <w:kern w:val="0"/>
          <w:sz w:val="28"/>
        </w:rPr>
        <w:t>2</w:t>
      </w:r>
      <w:r>
        <w:rPr>
          <w:rFonts w:ascii="宋体" w:hAnsi="宋体" w:hint="eastAsia"/>
          <w:kern w:val="0"/>
          <w:sz w:val="28"/>
        </w:rPr>
        <w:t>年到达全部的生产能力，进入正常营运。</w:t>
      </w:r>
    </w:p>
    <w:tbl>
      <w:tblPr>
        <w:tblStyle w:val="TableNormal"/>
        <w:tblpPr w:leftFromText="180" w:rightFromText="180" w:vertAnchor="page" w:horzAnchor="margin" w:tblpY="40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40"/>
        <w:gridCol w:w="2160"/>
        <w:gridCol w:w="1980"/>
        <w:gridCol w:w="1744"/>
        <w:gridCol w:w="23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630"/>
        </w:trPr>
        <w:tc>
          <w:tcPr>
            <w:tcW w:w="8460" w:type="dxa"/>
            <w:gridSpan w:val="5"/>
          </w:tcPr>
          <w:p w:rsidR="00C90C60">
            <w:pPr>
              <w:pStyle w:val="Heading1"/>
              <w:rPr>
                <w:rFonts w:hint="eastAsia"/>
              </w:rPr>
            </w:pPr>
            <w:r>
              <w:rPr>
                <w:rFonts w:hint="eastAsia"/>
              </w:rPr>
              <w:t xml:space="preserve">         年度建筑面积示意表</w:t>
            </w:r>
          </w:p>
        </w:tc>
      </w:tr>
      <w:tr>
        <w:tblPrEx>
          <w:tblW w:w="0" w:type="auto"/>
          <w:tblLayout w:type="fixed"/>
          <w:tblLook w:val="0000"/>
        </w:tblPrEx>
        <w:trPr>
          <w:trHeight w:val="450"/>
        </w:trPr>
        <w:tc>
          <w:tcPr>
            <w:tcW w:w="2340" w:type="dxa"/>
            <w:vMerge w:val="restart"/>
          </w:tcPr>
          <w:p w:rsidR="00C90C60">
            <w:pPr>
              <w:pStyle w:val="Heading1"/>
              <w:ind w:firstLine="360" w:firstLineChars="100"/>
              <w:rPr>
                <w:rFonts w:hint="eastAsia"/>
              </w:rPr>
            </w:pPr>
            <w:r>
              <w:rPr>
                <w:rFonts w:hint="eastAsia"/>
              </w:rPr>
              <w:t>名  称</w:t>
            </w:r>
          </w:p>
        </w:tc>
        <w:tc>
          <w:tcPr>
            <w:tcW w:w="5884" w:type="dxa"/>
            <w:gridSpan w:val="3"/>
            <w:tcBorders>
              <w:right w:val="nil"/>
            </w:tcBorders>
          </w:tcPr>
          <w:p w:rsidR="00C90C60">
            <w:pPr>
              <w:ind w:left="0" w:hanging="288" w:leftChars="-137" w:hangingChars="137"/>
              <w:rPr>
                <w:rFonts w:hint="eastAsia"/>
              </w:rPr>
            </w:pPr>
            <w:r>
              <w:rPr>
                <w:rFonts w:hint="eastAsia"/>
              </w:rPr>
              <w:t xml:space="preserve">圾          </w:t>
            </w:r>
            <w:r>
              <w:rPr>
                <w:rStyle w:val="3Char"/>
                <w:rFonts w:hint="eastAsia"/>
              </w:rPr>
              <w:t>投  资  期</w:t>
            </w:r>
            <w:r>
              <w:rPr>
                <w:rFonts w:hint="eastAsia"/>
                <w:sz w:val="32"/>
              </w:rPr>
              <w:t>201</w:t>
            </w:r>
            <w:r w:rsidR="005C2822">
              <w:rPr>
                <w:rFonts w:hint="eastAsia"/>
                <w:sz w:val="32"/>
              </w:rPr>
              <w:t>1</w:t>
            </w:r>
            <w:r>
              <w:rPr>
                <w:rFonts w:hint="eastAsia"/>
                <w:sz w:val="32"/>
              </w:rPr>
              <w:t>年</w:t>
            </w:r>
          </w:p>
        </w:tc>
        <w:tc>
          <w:tcPr>
            <w:tcW w:w="236" w:type="dxa"/>
            <w:tcBorders>
              <w:left w:val="nil"/>
              <w:bottom w:val="single" w:sz="12" w:space="0" w:color="auto"/>
            </w:tcBorders>
          </w:tcPr>
          <w:p w:rsidR="00C90C60">
            <w:pPr>
              <w:rPr>
                <w:rFonts w:hint="eastAsia"/>
                <w:sz w:val="28"/>
              </w:rPr>
            </w:pPr>
          </w:p>
        </w:tc>
      </w:tr>
      <w:tr>
        <w:tblPrEx>
          <w:tblW w:w="0" w:type="auto"/>
          <w:tblLayout w:type="fixed"/>
          <w:tblLook w:val="0000"/>
        </w:tblPrEx>
        <w:trPr>
          <w:trHeight w:val="450"/>
        </w:trPr>
        <w:tc>
          <w:tcPr>
            <w:tcW w:w="2340" w:type="dxa"/>
            <w:vMerge/>
          </w:tcPr>
          <w:p w:rsidR="00C90C60"/>
        </w:tc>
        <w:tc>
          <w:tcPr>
            <w:tcW w:w="2160" w:type="dxa"/>
          </w:tcPr>
          <w:p w:rsidR="00C90C60">
            <w:pPr>
              <w:ind w:left="1575" w:hanging="1863" w:leftChars="-137" w:hangingChars="887"/>
              <w:rPr>
                <w:rFonts w:hint="eastAsia"/>
              </w:rPr>
            </w:pPr>
            <w:r>
              <w:t>G</w:t>
            </w:r>
            <w:r>
              <w:rPr>
                <w:rFonts w:hint="eastAsia"/>
              </w:rPr>
              <w:t xml:space="preserve"> </w:t>
            </w:r>
            <w:r>
              <w:rPr>
                <w:rFonts w:hint="eastAsia"/>
                <w:sz w:val="30"/>
              </w:rPr>
              <w:t xml:space="preserve">用地面积    </w:t>
            </w:r>
            <w:r>
              <w:rPr>
                <w:rFonts w:hint="eastAsia"/>
                <w:sz w:val="18"/>
              </w:rPr>
              <w:t>(亩)</w:t>
            </w:r>
          </w:p>
        </w:tc>
        <w:tc>
          <w:tcPr>
            <w:tcW w:w="1980" w:type="dxa"/>
          </w:tcPr>
          <w:p w:rsidR="00C90C60">
            <w:pPr>
              <w:ind w:left="1050" w:hanging="1338" w:leftChars="-137" w:hangingChars="637"/>
              <w:rPr>
                <w:rFonts w:hint="eastAsia"/>
              </w:rPr>
            </w:pPr>
            <w:r>
              <w:rPr>
                <w:rFonts w:hint="eastAsia"/>
              </w:rPr>
              <w:t xml:space="preserve">2    </w:t>
            </w:r>
            <w:r>
              <w:rPr>
                <w:rFonts w:hint="eastAsia"/>
                <w:sz w:val="30"/>
              </w:rPr>
              <w:t>建筑面积</w:t>
            </w:r>
            <w:r>
              <w:rPr>
                <w:rFonts w:hint="eastAsia"/>
                <w:sz w:val="18"/>
              </w:rPr>
              <w:t xml:space="preserve"> </w:t>
            </w:r>
          </w:p>
        </w:tc>
        <w:tc>
          <w:tcPr>
            <w:tcW w:w="1744" w:type="dxa"/>
            <w:tcBorders>
              <w:right w:val="nil"/>
            </w:tcBorders>
          </w:tcPr>
          <w:p w:rsidR="00C90C60">
            <w:pPr>
              <w:ind w:left="945" w:hanging="1233" w:leftChars="-137" w:hangingChars="587"/>
              <w:rPr>
                <w:rFonts w:hint="eastAsia"/>
              </w:rPr>
            </w:pPr>
            <w:r>
              <w:rPr>
                <w:rFonts w:hint="eastAsia"/>
              </w:rPr>
              <w:t xml:space="preserve">22  </w:t>
            </w:r>
            <w:r>
              <w:rPr>
                <w:rFonts w:hint="eastAsia"/>
                <w:sz w:val="30"/>
              </w:rPr>
              <w:t xml:space="preserve">投资额度 </w:t>
            </w:r>
          </w:p>
        </w:tc>
        <w:tc>
          <w:tcPr>
            <w:tcW w:w="236" w:type="dxa"/>
            <w:tcBorders>
              <w:top w:val="single" w:sz="12" w:space="0" w:color="auto"/>
              <w:left w:val="nil"/>
            </w:tcBorders>
          </w:tcPr>
          <w:p w:rsidR="00C90C60"/>
        </w:tc>
      </w:tr>
      <w:tr>
        <w:tblPrEx>
          <w:tblW w:w="0" w:type="auto"/>
          <w:tblLayout w:type="fixed"/>
          <w:tblLook w:val="0000"/>
        </w:tblPrEx>
        <w:trPr>
          <w:trHeight w:val="780"/>
        </w:trPr>
        <w:tc>
          <w:tcPr>
            <w:tcW w:w="2340" w:type="dxa"/>
          </w:tcPr>
          <w:p w:rsidR="00C90C60">
            <w:pPr>
              <w:ind w:firstLine="320" w:firstLineChars="100"/>
              <w:rPr>
                <w:rFonts w:hint="eastAsia"/>
                <w:sz w:val="32"/>
              </w:rPr>
            </w:pPr>
            <w:r>
              <w:rPr>
                <w:rFonts w:hint="eastAsia"/>
                <w:sz w:val="32"/>
              </w:rPr>
              <w:t>建成市场</w:t>
            </w:r>
          </w:p>
        </w:tc>
        <w:tc>
          <w:tcPr>
            <w:tcW w:w="2160" w:type="dxa"/>
          </w:tcPr>
          <w:p w:rsidR="00C90C60">
            <w:pPr>
              <w:ind w:left="0" w:hanging="288" w:leftChars="-137" w:hangingChars="137"/>
              <w:rPr>
                <w:rFonts w:hint="eastAsia"/>
              </w:rPr>
            </w:pPr>
            <w:r w:rsidR="00627834">
              <w:rPr>
                <w:rFonts w:hint="eastAsia"/>
              </w:rPr>
              <w:t xml:space="preserve">11 </w:t>
            </w:r>
            <w:r w:rsidR="00567FFB">
              <w:rPr>
                <w:rFonts w:hint="eastAsia"/>
                <w:sz w:val="32"/>
              </w:rPr>
              <w:t>6</w:t>
            </w:r>
            <w:r>
              <w:rPr>
                <w:rFonts w:hint="eastAsia"/>
                <w:sz w:val="32"/>
              </w:rPr>
              <w:t>0亩</w:t>
            </w:r>
            <w:r w:rsidR="00627834">
              <w:rPr>
                <w:rFonts w:hint="eastAsia"/>
                <w:sz w:val="32"/>
              </w:rPr>
              <w:t>-100亩</w:t>
            </w:r>
          </w:p>
        </w:tc>
        <w:tc>
          <w:tcPr>
            <w:tcW w:w="1980" w:type="dxa"/>
          </w:tcPr>
          <w:p w:rsidR="00C90C60">
            <w:pPr>
              <w:ind w:left="0" w:hanging="288" w:leftChars="-137" w:hangingChars="137"/>
              <w:rPr>
                <w:rFonts w:hint="eastAsia"/>
              </w:rPr>
            </w:pPr>
            <w:r>
              <w:rPr>
                <w:rFonts w:hint="eastAsia"/>
              </w:rPr>
              <w:t xml:space="preserve">46 </w:t>
            </w:r>
            <w:r w:rsidR="005C2822">
              <w:rPr>
                <w:rFonts w:hint="eastAsia"/>
              </w:rPr>
              <w:t xml:space="preserve">   </w:t>
            </w:r>
            <w:r w:rsidR="005C2822">
              <w:rPr>
                <w:rFonts w:hint="eastAsia"/>
                <w:sz w:val="32"/>
              </w:rPr>
              <w:t>10</w:t>
            </w:r>
            <w:r>
              <w:rPr>
                <w:rFonts w:hint="eastAsia"/>
                <w:sz w:val="30"/>
              </w:rPr>
              <w:t>平方</w:t>
            </w:r>
          </w:p>
        </w:tc>
        <w:tc>
          <w:tcPr>
            <w:tcW w:w="1980" w:type="dxa"/>
            <w:gridSpan w:val="2"/>
          </w:tcPr>
          <w:p w:rsidR="00C90C60">
            <w:pPr>
              <w:rPr>
                <w:rFonts w:hint="eastAsia"/>
                <w:sz w:val="30"/>
              </w:rPr>
            </w:pPr>
            <w:r w:rsidR="005C2822">
              <w:rPr>
                <w:rFonts w:hint="eastAsia"/>
                <w:sz w:val="30"/>
              </w:rPr>
              <w:t>22000</w:t>
            </w:r>
            <w:r>
              <w:rPr>
                <w:rFonts w:hint="eastAsia"/>
                <w:sz w:val="30"/>
              </w:rPr>
              <w:t>万元</w:t>
            </w:r>
          </w:p>
        </w:tc>
      </w:tr>
      <w:tr>
        <w:tblPrEx>
          <w:tblW w:w="0" w:type="auto"/>
          <w:tblLayout w:type="fixed"/>
          <w:tblLook w:val="0000"/>
        </w:tblPrEx>
        <w:trPr>
          <w:trHeight w:val="750"/>
        </w:trPr>
        <w:tc>
          <w:tcPr>
            <w:tcW w:w="2340" w:type="dxa"/>
          </w:tcPr>
          <w:p w:rsidR="00C90C60">
            <w:pPr>
              <w:rPr>
                <w:rFonts w:hint="eastAsia"/>
                <w:sz w:val="30"/>
              </w:rPr>
            </w:pPr>
            <w:r>
              <w:rPr>
                <w:rFonts w:hint="eastAsia"/>
                <w:sz w:val="30"/>
              </w:rPr>
              <w:t xml:space="preserve">  配套费用</w:t>
            </w:r>
          </w:p>
        </w:tc>
        <w:tc>
          <w:tcPr>
            <w:tcW w:w="2160" w:type="dxa"/>
          </w:tcPr>
          <w:p w:rsidR="00C90C60">
            <w:pPr>
              <w:ind w:left="123" w:hanging="411" w:leftChars="-137" w:hangingChars="137"/>
              <w:rPr>
                <w:sz w:val="30"/>
              </w:rPr>
            </w:pPr>
          </w:p>
        </w:tc>
        <w:tc>
          <w:tcPr>
            <w:tcW w:w="1980" w:type="dxa"/>
          </w:tcPr>
          <w:p w:rsidR="00C90C60">
            <w:pPr>
              <w:ind w:left="123" w:hanging="411" w:leftChars="-137" w:hangingChars="137"/>
              <w:rPr>
                <w:sz w:val="30"/>
              </w:rPr>
            </w:pPr>
          </w:p>
        </w:tc>
        <w:tc>
          <w:tcPr>
            <w:tcW w:w="1980" w:type="dxa"/>
            <w:gridSpan w:val="2"/>
          </w:tcPr>
          <w:p w:rsidR="00C90C60">
            <w:pPr>
              <w:rPr>
                <w:rFonts w:hint="eastAsia"/>
                <w:sz w:val="30"/>
              </w:rPr>
            </w:pPr>
            <w:r w:rsidR="00BD696A">
              <w:rPr>
                <w:rFonts w:hint="eastAsia"/>
                <w:sz w:val="30"/>
              </w:rPr>
              <w:t>1120</w:t>
            </w:r>
            <w:r>
              <w:rPr>
                <w:rFonts w:hint="eastAsia"/>
                <w:sz w:val="30"/>
              </w:rPr>
              <w:t>万元</w:t>
            </w:r>
          </w:p>
        </w:tc>
      </w:tr>
    </w:tbl>
    <w:p>
      <w:pPr>
        <w:sectPr>
          <w:type w:val="nextPage"/>
          <w:pgSz w:w="11906" w:h="16838"/>
          <w:pgMar w:top="1162" w:right="1270" w:bottom="1162" w:left="1230" w:header="851" w:footer="992" w:gutter="0"/>
          <w:pgNumType w:start="6"/>
          <w:cols w:space="720"/>
          <w:titlePg w:val="0"/>
          <w:docGrid w:type="lines" w:linePitch="312"/>
        </w:sectPr>
      </w:pPr>
    </w:p>
    <w:p w:rsidR="00DE5F22" w:rsidP="005C2822">
      <w:pPr>
        <w:spacing w:before="312" w:beforeLines="100" w:after="312" w:afterLines="100" w:line="360" w:lineRule="auto"/>
        <w:rPr>
          <w:rFonts w:ascii="仿宋_GB2312" w:eastAsia="仿宋_GB2312" w:hAnsi="宋体" w:hint="eastAsia"/>
          <w:sz w:val="28"/>
        </w:rPr>
      </w:pPr>
    </w:p>
    <w:p w:rsidR="00C90C60">
      <w:pPr>
        <w:spacing w:before="312" w:beforeLines="100" w:after="312" w:afterLines="100" w:line="360" w:lineRule="auto"/>
        <w:ind w:firstLine="274" w:firstLineChars="98"/>
        <w:rPr>
          <w:rFonts w:ascii="仿宋_GB2312" w:eastAsia="仿宋_GB2312" w:hAnsi="宋体" w:hint="eastAsia"/>
          <w:sz w:val="28"/>
        </w:rPr>
      </w:pPr>
      <w:r>
        <w:rPr>
          <w:rFonts w:ascii="宋体" w:hAnsi="宋体" w:hint="eastAsia"/>
          <w:b/>
          <w:kern w:val="0"/>
          <w:sz w:val="28"/>
        </w:rPr>
        <w:t>4.2销售及运营收入的测算如下表：</w:t>
      </w:r>
    </w:p>
    <w:tbl>
      <w:tblPr>
        <w:tblStyle w:val="TableNormal"/>
        <w:tblW w:w="8679" w:type="dxa"/>
        <w:tblInd w:w="93" w:type="dxa"/>
        <w:tblLayout w:type="fixed"/>
        <w:tblLook w:val="0000"/>
      </w:tblPr>
      <w:tblGrid>
        <w:gridCol w:w="2935"/>
        <w:gridCol w:w="135"/>
        <w:gridCol w:w="1258"/>
        <w:gridCol w:w="1258"/>
        <w:gridCol w:w="1296"/>
        <w:gridCol w:w="1797"/>
      </w:tblGrid>
      <w:tr>
        <w:tblPrEx>
          <w:tblW w:w="8679" w:type="dxa"/>
          <w:tblInd w:w="93" w:type="dxa"/>
          <w:tblLayout w:type="fixed"/>
          <w:tblLook w:val="0000"/>
        </w:tblPrEx>
        <w:trPr>
          <w:trHeight w:val="777"/>
        </w:trPr>
        <w:tc>
          <w:tcPr>
            <w:tcW w:w="8679" w:type="dxa"/>
            <w:gridSpan w:val="6"/>
            <w:tcBorders>
              <w:top w:val="nil"/>
              <w:left w:val="nil"/>
              <w:bottom w:val="nil"/>
              <w:right w:val="nil"/>
            </w:tcBorders>
            <w:vAlign w:val="center"/>
          </w:tcPr>
          <w:p w:rsidR="00C90C60">
            <w:pPr>
              <w:widowControl/>
              <w:jc w:val="center"/>
              <w:rPr>
                <w:rFonts w:ascii="宋体" w:hAnsi="宋体"/>
                <w:b/>
                <w:kern w:val="0"/>
                <w:sz w:val="24"/>
              </w:rPr>
            </w:pPr>
            <w:r>
              <w:rPr>
                <w:rFonts w:ascii="宋体" w:hAnsi="宋体" w:hint="eastAsia"/>
                <w:b/>
                <w:kern w:val="0"/>
                <w:sz w:val="24"/>
              </w:rPr>
              <w:t xml:space="preserve">三期工程销售及运营收入的测算表                  </w:t>
            </w:r>
          </w:p>
        </w:tc>
      </w:tr>
      <w:tr>
        <w:tblPrEx>
          <w:tblW w:w="8679" w:type="dxa"/>
          <w:tblInd w:w="93" w:type="dxa"/>
          <w:tblLayout w:type="fixed"/>
          <w:tblLook w:val="0000"/>
        </w:tblPrEx>
        <w:trPr>
          <w:trHeight w:val="300"/>
        </w:trPr>
        <w:tc>
          <w:tcPr>
            <w:tcW w:w="8679" w:type="dxa"/>
            <w:gridSpan w:val="6"/>
            <w:tcBorders>
              <w:top w:val="nil"/>
              <w:left w:val="nil"/>
              <w:bottom w:val="nil"/>
              <w:right w:val="nil"/>
            </w:tcBorders>
            <w:vAlign w:val="center"/>
          </w:tcPr>
          <w:p w:rsidR="00C90C60">
            <w:pPr>
              <w:widowControl/>
              <w:jc w:val="center"/>
              <w:rPr>
                <w:rFonts w:ascii="宋体" w:hAnsi="宋体"/>
                <w:kern w:val="0"/>
                <w:sz w:val="24"/>
              </w:rPr>
            </w:pPr>
            <w:r>
              <w:rPr>
                <w:rFonts w:ascii="宋体" w:hAnsi="宋体" w:hint="eastAsia"/>
                <w:kern w:val="0"/>
                <w:sz w:val="24"/>
              </w:rPr>
              <w:t xml:space="preserve">                                                             单位：万元</w:t>
            </w:r>
          </w:p>
        </w:tc>
      </w:tr>
      <w:tr>
        <w:tblPrEx>
          <w:tblW w:w="8679" w:type="dxa"/>
          <w:tblInd w:w="93" w:type="dxa"/>
          <w:tblLayout w:type="fixed"/>
          <w:tblLook w:val="0000"/>
        </w:tblPrEx>
        <w:trPr>
          <w:trHeight w:val="284"/>
        </w:trPr>
        <w:tc>
          <w:tcPr>
            <w:tcW w:w="3070" w:type="dxa"/>
            <w:gridSpan w:val="2"/>
            <w:vMerge w:val="restart"/>
            <w:tcBorders>
              <w:top w:val="nil"/>
              <w:left w:val="single" w:sz="8" w:space="0" w:color="auto"/>
              <w:bottom w:val="single" w:sz="8" w:space="0" w:color="000000"/>
              <w:right w:val="nil"/>
            </w:tcBorders>
            <w:vAlign w:val="center"/>
          </w:tcPr>
          <w:p w:rsidR="00C90C60">
            <w:pPr>
              <w:widowControl/>
              <w:spacing w:line="360" w:lineRule="auto"/>
              <w:jc w:val="center"/>
              <w:rPr>
                <w:rFonts w:ascii="宋体" w:hAnsi="宋体"/>
                <w:b/>
                <w:kern w:val="0"/>
                <w:sz w:val="24"/>
              </w:rPr>
            </w:pPr>
            <w:r>
              <w:rPr>
                <w:rFonts w:ascii="宋体" w:hAnsi="宋体" w:hint="eastAsia"/>
                <w:b/>
                <w:kern w:val="0"/>
                <w:sz w:val="24"/>
              </w:rPr>
              <w:t>名 称</w:t>
            </w:r>
          </w:p>
        </w:tc>
        <w:tc>
          <w:tcPr>
            <w:tcW w:w="3812" w:type="dxa"/>
            <w:gridSpan w:val="3"/>
            <w:tcBorders>
              <w:top w:val="nil"/>
              <w:left w:val="single" w:sz="4" w:space="0" w:color="auto"/>
              <w:bottom w:val="single" w:sz="4" w:space="0" w:color="auto"/>
              <w:right w:val="single" w:sz="4" w:space="0" w:color="auto"/>
            </w:tcBorders>
            <w:vAlign w:val="center"/>
          </w:tcPr>
          <w:p w:rsidR="00C90C60">
            <w:pPr>
              <w:widowControl/>
              <w:spacing w:line="360" w:lineRule="auto"/>
              <w:jc w:val="center"/>
              <w:rPr>
                <w:rFonts w:ascii="宋体" w:hAnsi="宋体"/>
                <w:b/>
                <w:kern w:val="0"/>
                <w:sz w:val="24"/>
              </w:rPr>
            </w:pPr>
            <w:r>
              <w:rPr>
                <w:rFonts w:ascii="宋体" w:hAnsi="宋体" w:hint="eastAsia"/>
                <w:b/>
                <w:kern w:val="0"/>
                <w:sz w:val="24"/>
              </w:rPr>
              <w:t>销售比例</w:t>
            </w:r>
          </w:p>
        </w:tc>
        <w:tc>
          <w:tcPr>
            <w:tcW w:w="1797" w:type="dxa"/>
            <w:tcBorders>
              <w:top w:val="nil"/>
              <w:left w:val="single" w:sz="4" w:space="0" w:color="auto"/>
              <w:bottom w:val="single" w:sz="4" w:space="0" w:color="auto"/>
              <w:right w:val="single" w:sz="4" w:space="0" w:color="000000"/>
            </w:tcBorders>
            <w:vAlign w:val="center"/>
          </w:tcPr>
          <w:p w:rsidR="00C90C60">
            <w:pPr>
              <w:spacing w:line="360" w:lineRule="auto"/>
              <w:ind w:left="27"/>
              <w:rPr>
                <w:rFonts w:ascii="宋体" w:hAnsi="宋体"/>
                <w:b/>
                <w:kern w:val="0"/>
                <w:sz w:val="24"/>
              </w:rPr>
            </w:pPr>
            <w:r>
              <w:rPr>
                <w:rFonts w:ascii="宋体" w:hAnsi="宋体" w:hint="eastAsia"/>
                <w:b/>
                <w:kern w:val="0"/>
                <w:sz w:val="24"/>
              </w:rPr>
              <w:t>销售收入</w:t>
            </w:r>
          </w:p>
        </w:tc>
      </w:tr>
      <w:tr>
        <w:tblPrEx>
          <w:tblW w:w="8679" w:type="dxa"/>
          <w:tblInd w:w="93" w:type="dxa"/>
          <w:tblLayout w:type="fixed"/>
          <w:tblLook w:val="0000"/>
        </w:tblPrEx>
        <w:trPr>
          <w:trHeight w:val="299"/>
        </w:trPr>
        <w:tc>
          <w:tcPr>
            <w:tcW w:w="3070" w:type="dxa"/>
            <w:gridSpan w:val="2"/>
            <w:vMerge/>
            <w:tcBorders>
              <w:top w:val="nil"/>
              <w:left w:val="single" w:sz="8" w:space="0" w:color="auto"/>
              <w:bottom w:val="single" w:sz="8" w:space="0" w:color="000000"/>
              <w:right w:val="nil"/>
            </w:tcBorders>
            <w:vAlign w:val="center"/>
          </w:tcPr>
          <w:p w:rsidR="00C90C60">
            <w:pPr>
              <w:widowControl/>
              <w:spacing w:line="360" w:lineRule="auto"/>
              <w:jc w:val="left"/>
              <w:rPr>
                <w:rFonts w:ascii="宋体" w:hAnsi="宋体"/>
                <w:kern w:val="0"/>
                <w:sz w:val="24"/>
              </w:rPr>
            </w:pPr>
          </w:p>
        </w:tc>
        <w:tc>
          <w:tcPr>
            <w:tcW w:w="1258" w:type="dxa"/>
            <w:tcBorders>
              <w:top w:val="nil"/>
              <w:left w:val="single" w:sz="4" w:space="0" w:color="auto"/>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sidR="005C2822">
              <w:rPr>
                <w:rFonts w:ascii="宋体" w:hAnsi="宋体" w:hint="eastAsia"/>
                <w:kern w:val="0"/>
                <w:sz w:val="24"/>
              </w:rPr>
              <w:t>2011</w:t>
            </w:r>
          </w:p>
        </w:tc>
        <w:tc>
          <w:tcPr>
            <w:tcW w:w="1258"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2011年</w:t>
            </w:r>
          </w:p>
        </w:tc>
        <w:tc>
          <w:tcPr>
            <w:tcW w:w="1296"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2012年</w:t>
            </w:r>
          </w:p>
        </w:tc>
        <w:tc>
          <w:tcPr>
            <w:tcW w:w="1797"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201</w:t>
            </w:r>
            <w:r w:rsidR="005C2822">
              <w:rPr>
                <w:rFonts w:ascii="宋体" w:hAnsi="宋体" w:hint="eastAsia"/>
                <w:kern w:val="0"/>
                <w:sz w:val="24"/>
              </w:rPr>
              <w:t>2</w:t>
            </w:r>
            <w:r>
              <w:rPr>
                <w:rFonts w:ascii="宋体" w:hAnsi="宋体" w:hint="eastAsia"/>
                <w:kern w:val="0"/>
                <w:sz w:val="24"/>
              </w:rPr>
              <w:t>年</w:t>
            </w:r>
          </w:p>
        </w:tc>
      </w:tr>
      <w:tr>
        <w:tblPrEx>
          <w:tblW w:w="8679" w:type="dxa"/>
          <w:tblInd w:w="93" w:type="dxa"/>
          <w:tblLayout w:type="fixed"/>
          <w:tblLook w:val="0000"/>
        </w:tblPrEx>
        <w:trPr>
          <w:trHeight w:val="401"/>
        </w:trPr>
        <w:tc>
          <w:tcPr>
            <w:tcW w:w="3070" w:type="dxa"/>
            <w:gridSpan w:val="2"/>
            <w:tcBorders>
              <w:top w:val="nil"/>
              <w:left w:val="single" w:sz="8" w:space="0" w:color="auto"/>
              <w:bottom w:val="single" w:sz="8" w:space="0" w:color="auto"/>
              <w:right w:val="single" w:sz="8" w:space="0" w:color="auto"/>
            </w:tcBorders>
            <w:vAlign w:val="center"/>
          </w:tcPr>
          <w:p w:rsidR="00C90C60">
            <w:pPr>
              <w:widowControl/>
              <w:spacing w:line="360" w:lineRule="auto"/>
              <w:ind w:firstLine="480" w:firstLineChars="200"/>
              <w:jc w:val="left"/>
              <w:rPr>
                <w:rFonts w:ascii="宋体" w:hAnsi="宋体" w:hint="eastAsia"/>
                <w:b/>
                <w:kern w:val="0"/>
                <w:sz w:val="24"/>
              </w:rPr>
            </w:pPr>
            <w:r>
              <w:rPr>
                <w:rFonts w:ascii="宋体" w:hAnsi="宋体" w:hint="eastAsia"/>
                <w:b/>
                <w:kern w:val="0"/>
                <w:sz w:val="24"/>
              </w:rPr>
              <w:t>商铺</w:t>
            </w:r>
            <w:r w:rsidR="00AB2C1E">
              <w:rPr>
                <w:rFonts w:ascii="宋体" w:hAnsi="宋体" w:hint="eastAsia"/>
                <w:b/>
                <w:kern w:val="0"/>
                <w:sz w:val="24"/>
              </w:rPr>
              <w:t>70000</w:t>
            </w:r>
            <w:r>
              <w:rPr>
                <w:rFonts w:ascii="宋体" w:hAnsi="宋体" w:hint="eastAsia"/>
                <w:b/>
                <w:kern w:val="0"/>
                <w:sz w:val="24"/>
              </w:rPr>
              <w:t>平方</w:t>
            </w:r>
          </w:p>
        </w:tc>
        <w:tc>
          <w:tcPr>
            <w:tcW w:w="1258" w:type="dxa"/>
            <w:tcBorders>
              <w:top w:val="nil"/>
              <w:left w:val="nil"/>
              <w:bottom w:val="nil"/>
              <w:right w:val="single" w:sz="8" w:space="0" w:color="auto"/>
              <w:tr2bl w:val="single" w:sz="4" w:space="0" w:color="auto"/>
            </w:tcBorders>
            <w:vAlign w:val="center"/>
          </w:tcPr>
          <w:p w:rsidR="00C90C60">
            <w:pPr>
              <w:widowControl/>
              <w:spacing w:line="360" w:lineRule="auto"/>
              <w:rPr>
                <w:rFonts w:ascii="宋体" w:hAnsi="宋体" w:hint="eastAsia"/>
                <w:color w:val="000000"/>
                <w:kern w:val="0"/>
                <w:sz w:val="24"/>
              </w:rPr>
            </w:pPr>
            <w:r>
              <w:rPr>
                <w:rFonts w:ascii="宋体" w:hAnsi="宋体" w:hint="eastAsia"/>
                <w:color w:val="000000"/>
                <w:kern w:val="0"/>
                <w:sz w:val="24"/>
              </w:rPr>
              <w:t xml:space="preserve">   </w:t>
            </w:r>
          </w:p>
        </w:tc>
        <w:tc>
          <w:tcPr>
            <w:tcW w:w="1258" w:type="dxa"/>
            <w:tcBorders>
              <w:top w:val="nil"/>
              <w:left w:val="nil"/>
              <w:bottom w:val="nil"/>
              <w:right w:val="nil"/>
              <w:tr2bl w:val="single" w:sz="4" w:space="0" w:color="auto"/>
            </w:tcBorders>
            <w:vAlign w:val="center"/>
          </w:tcPr>
          <w:p w:rsidR="00C90C60">
            <w:pPr>
              <w:widowControl/>
              <w:spacing w:line="360" w:lineRule="auto"/>
              <w:rPr>
                <w:rFonts w:ascii="宋体" w:hAnsi="宋体"/>
                <w:color w:val="000000"/>
                <w:kern w:val="0"/>
                <w:sz w:val="24"/>
              </w:rPr>
            </w:pPr>
            <w:r>
              <w:rPr>
                <w:rFonts w:ascii="宋体" w:hAnsi="宋体" w:hint="eastAsia"/>
                <w:color w:val="000000"/>
                <w:kern w:val="0"/>
                <w:sz w:val="24"/>
              </w:rPr>
              <w:t xml:space="preserve"> </w:t>
            </w:r>
          </w:p>
        </w:tc>
        <w:tc>
          <w:tcPr>
            <w:tcW w:w="1296" w:type="dxa"/>
            <w:tcBorders>
              <w:top w:val="nil"/>
              <w:left w:val="single" w:sz="4" w:space="0" w:color="auto"/>
              <w:bottom w:val="nil"/>
              <w:right w:val="single" w:sz="4" w:space="0" w:color="auto"/>
            </w:tcBorders>
            <w:vAlign w:val="center"/>
          </w:tcPr>
          <w:p w:rsidR="00C90C60">
            <w:pPr>
              <w:widowControl/>
              <w:spacing w:line="360" w:lineRule="auto"/>
              <w:jc w:val="center"/>
              <w:rPr>
                <w:rFonts w:ascii="宋体" w:hAnsi="宋体"/>
                <w:color w:val="000000"/>
                <w:kern w:val="0"/>
                <w:sz w:val="24"/>
              </w:rPr>
            </w:pPr>
            <w:r>
              <w:rPr>
                <w:rFonts w:ascii="宋体" w:hAnsi="宋体" w:hint="eastAsia"/>
                <w:color w:val="000000"/>
                <w:kern w:val="0"/>
                <w:sz w:val="24"/>
              </w:rPr>
              <w:t xml:space="preserve"> </w:t>
            </w:r>
            <w:r w:rsidR="00BD696A">
              <w:rPr>
                <w:rFonts w:ascii="宋体" w:hAnsi="宋体" w:hint="eastAsia"/>
                <w:color w:val="000000"/>
                <w:kern w:val="0"/>
                <w:sz w:val="24"/>
              </w:rPr>
              <w:t>7</w:t>
            </w:r>
            <w:r w:rsidR="005C2822">
              <w:rPr>
                <w:rFonts w:ascii="宋体" w:hAnsi="宋体" w:hint="eastAsia"/>
                <w:color w:val="000000"/>
                <w:kern w:val="0"/>
                <w:sz w:val="24"/>
              </w:rPr>
              <w:t>0</w:t>
            </w:r>
            <w:r>
              <w:rPr>
                <w:rFonts w:ascii="宋体" w:hAnsi="宋体" w:hint="eastAsia"/>
                <w:color w:val="000000"/>
                <w:kern w:val="0"/>
                <w:sz w:val="24"/>
              </w:rPr>
              <w:t>%</w:t>
            </w:r>
          </w:p>
        </w:tc>
        <w:tc>
          <w:tcPr>
            <w:tcW w:w="1797" w:type="dxa"/>
            <w:tcBorders>
              <w:top w:val="nil"/>
              <w:left w:val="nil"/>
              <w:bottom w:val="nil"/>
              <w:right w:val="single" w:sz="4" w:space="0" w:color="auto"/>
            </w:tcBorders>
            <w:vAlign w:val="center"/>
          </w:tcPr>
          <w:p w:rsidR="00C90C60">
            <w:pPr>
              <w:widowControl/>
              <w:spacing w:line="360" w:lineRule="auto"/>
              <w:jc w:val="center"/>
              <w:rPr>
                <w:rFonts w:ascii="宋体" w:hAnsi="宋体" w:hint="eastAsia"/>
                <w:color w:val="000000"/>
                <w:kern w:val="0"/>
                <w:sz w:val="24"/>
              </w:rPr>
            </w:pPr>
            <w:r w:rsidR="005C2822">
              <w:rPr>
                <w:rFonts w:ascii="宋体" w:hAnsi="宋体" w:hint="eastAsia"/>
                <w:color w:val="000000"/>
                <w:kern w:val="0"/>
                <w:sz w:val="24"/>
              </w:rPr>
              <w:t>42000</w:t>
            </w:r>
          </w:p>
        </w:tc>
      </w:tr>
      <w:tr>
        <w:tblPrEx>
          <w:tblW w:w="8679" w:type="dxa"/>
          <w:tblInd w:w="93" w:type="dxa"/>
          <w:tblLayout w:type="fixed"/>
          <w:tblLook w:val="0000"/>
        </w:tblPrEx>
        <w:trPr>
          <w:trHeight w:val="401"/>
        </w:trPr>
        <w:tc>
          <w:tcPr>
            <w:tcW w:w="3070" w:type="dxa"/>
            <w:gridSpan w:val="2"/>
            <w:tcBorders>
              <w:top w:val="nil"/>
              <w:left w:val="single" w:sz="8" w:space="0" w:color="auto"/>
              <w:bottom w:val="single" w:sz="8" w:space="0" w:color="auto"/>
              <w:right w:val="nil"/>
            </w:tcBorders>
            <w:vAlign w:val="center"/>
          </w:tcPr>
          <w:p w:rsidR="00C90C60" w:rsidP="00AB2C1E">
            <w:pPr>
              <w:widowControl/>
              <w:spacing w:line="360" w:lineRule="auto"/>
              <w:ind w:firstLine="480" w:firstLineChars="200"/>
              <w:jc w:val="left"/>
              <w:rPr>
                <w:rFonts w:ascii="宋体" w:hAnsi="宋体" w:hint="eastAsia"/>
                <w:kern w:val="0"/>
                <w:sz w:val="24"/>
              </w:rPr>
            </w:pPr>
            <w:r w:rsidR="00AB2C1E">
              <w:rPr>
                <w:rFonts w:ascii="宋体" w:hAnsi="宋体" w:hint="eastAsia"/>
                <w:b/>
                <w:kern w:val="0"/>
                <w:sz w:val="24"/>
              </w:rPr>
              <w:t>商铺30000平方</w:t>
            </w:r>
          </w:p>
        </w:tc>
        <w:tc>
          <w:tcPr>
            <w:tcW w:w="1258" w:type="dxa"/>
            <w:tcBorders>
              <w:top w:val="single" w:sz="4" w:space="0" w:color="auto"/>
              <w:left w:val="single" w:sz="4" w:space="0" w:color="auto"/>
              <w:bottom w:val="single" w:sz="4" w:space="0" w:color="auto"/>
              <w:right w:val="single" w:sz="4" w:space="0" w:color="auto"/>
              <w:tr2bl w:val="single" w:sz="4" w:space="0" w:color="auto"/>
            </w:tcBorders>
            <w:vAlign w:val="center"/>
          </w:tcPr>
          <w:p w:rsidR="00C90C60">
            <w:pPr>
              <w:widowControl/>
              <w:spacing w:line="360" w:lineRule="auto"/>
              <w:jc w:val="center"/>
              <w:rPr>
                <w:rFonts w:ascii="宋体" w:hAnsi="宋体" w:hint="eastAsia"/>
                <w:kern w:val="0"/>
                <w:sz w:val="24"/>
              </w:rPr>
            </w:pPr>
          </w:p>
        </w:tc>
        <w:tc>
          <w:tcPr>
            <w:tcW w:w="1258" w:type="dxa"/>
            <w:tcBorders>
              <w:top w:val="single" w:sz="4" w:space="0" w:color="auto"/>
              <w:left w:val="nil"/>
              <w:bottom w:val="single" w:sz="4" w:space="0" w:color="auto"/>
              <w:right w:val="single" w:sz="4" w:space="0" w:color="auto"/>
              <w:tr2bl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 xml:space="preserve"> </w:t>
            </w:r>
          </w:p>
        </w:tc>
        <w:tc>
          <w:tcPr>
            <w:tcW w:w="1296" w:type="dxa"/>
            <w:tcBorders>
              <w:top w:val="single" w:sz="4" w:space="0" w:color="auto"/>
              <w:left w:val="nil"/>
              <w:bottom w:val="single" w:sz="4" w:space="0" w:color="auto"/>
              <w:right w:val="single" w:sz="4" w:space="0" w:color="auto"/>
              <w:tr2bl w:val="single" w:sz="4" w:space="0" w:color="auto"/>
            </w:tcBorders>
            <w:vAlign w:val="center"/>
          </w:tcPr>
          <w:p w:rsidR="00C90C60">
            <w:pPr>
              <w:widowControl/>
              <w:spacing w:line="360" w:lineRule="auto"/>
              <w:jc w:val="center"/>
              <w:rPr>
                <w:rFonts w:ascii="宋体" w:hAnsi="宋体" w:hint="eastAsia"/>
                <w:color w:val="000000"/>
                <w:kern w:val="0"/>
                <w:sz w:val="24"/>
              </w:rPr>
            </w:pPr>
          </w:p>
        </w:tc>
        <w:tc>
          <w:tcPr>
            <w:tcW w:w="1797" w:type="dxa"/>
            <w:tcBorders>
              <w:top w:val="single" w:sz="4" w:space="0" w:color="auto"/>
              <w:left w:val="nil"/>
              <w:bottom w:val="single" w:sz="4" w:space="0" w:color="auto"/>
              <w:right w:val="single" w:sz="4" w:space="0" w:color="auto"/>
            </w:tcBorders>
            <w:vAlign w:val="center"/>
          </w:tcPr>
          <w:p w:rsidR="00C90C60">
            <w:pPr>
              <w:widowControl/>
              <w:spacing w:line="360" w:lineRule="auto"/>
              <w:jc w:val="center"/>
              <w:rPr>
                <w:rFonts w:ascii="宋体" w:hAnsi="宋体" w:hint="eastAsia"/>
                <w:color w:val="000000"/>
                <w:kern w:val="0"/>
                <w:sz w:val="24"/>
              </w:rPr>
            </w:pPr>
            <w:r>
              <w:rPr>
                <w:rFonts w:ascii="宋体" w:hAnsi="宋体" w:hint="eastAsia"/>
                <w:color w:val="000000"/>
                <w:kern w:val="0"/>
                <w:sz w:val="24"/>
              </w:rPr>
              <w:t>出租</w:t>
            </w:r>
          </w:p>
        </w:tc>
      </w:tr>
      <w:tr>
        <w:tblPrEx>
          <w:tblW w:w="8679" w:type="dxa"/>
          <w:tblInd w:w="93" w:type="dxa"/>
          <w:tblLayout w:type="fixed"/>
          <w:tblLook w:val="0000"/>
        </w:tblPrEx>
        <w:trPr>
          <w:trHeight w:val="401"/>
        </w:trPr>
        <w:tc>
          <w:tcPr>
            <w:tcW w:w="3070" w:type="dxa"/>
            <w:gridSpan w:val="2"/>
            <w:tcBorders>
              <w:top w:val="nil"/>
              <w:left w:val="single" w:sz="8" w:space="0" w:color="auto"/>
              <w:bottom w:val="single" w:sz="8" w:space="0" w:color="auto"/>
              <w:right w:val="nil"/>
            </w:tcBorders>
            <w:vAlign w:val="center"/>
          </w:tcPr>
          <w:p w:rsidR="00C90C60">
            <w:pPr>
              <w:widowControl/>
              <w:spacing w:line="360" w:lineRule="auto"/>
              <w:jc w:val="left"/>
              <w:rPr>
                <w:rFonts w:ascii="宋体" w:hAnsi="宋体" w:hint="eastAsia"/>
                <w:kern w:val="0"/>
                <w:sz w:val="24"/>
              </w:rPr>
            </w:pPr>
            <w:r>
              <w:rPr>
                <w:rFonts w:ascii="宋体" w:hAnsi="宋体" w:hint="eastAsia"/>
                <w:kern w:val="0"/>
                <w:sz w:val="24"/>
              </w:rPr>
              <w:t xml:space="preserve">    </w:t>
            </w:r>
          </w:p>
        </w:tc>
        <w:tc>
          <w:tcPr>
            <w:tcW w:w="1258" w:type="dxa"/>
            <w:tcBorders>
              <w:top w:val="nil"/>
              <w:left w:val="single" w:sz="4" w:space="0" w:color="auto"/>
              <w:bottom w:val="single" w:sz="4" w:space="0" w:color="auto"/>
              <w:right w:val="single" w:sz="4" w:space="0" w:color="auto"/>
              <w:tr2bl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 xml:space="preserve"> </w:t>
            </w:r>
          </w:p>
        </w:tc>
        <w:tc>
          <w:tcPr>
            <w:tcW w:w="1258" w:type="dxa"/>
            <w:tcBorders>
              <w:top w:val="nil"/>
              <w:left w:val="nil"/>
              <w:bottom w:val="single" w:sz="4" w:space="0" w:color="auto"/>
              <w:right w:val="single" w:sz="4" w:space="0" w:color="auto"/>
              <w:tr2bl w:val="single" w:sz="4" w:space="0" w:color="auto"/>
            </w:tcBorders>
            <w:vAlign w:val="center"/>
          </w:tcPr>
          <w:p w:rsidR="00C90C60">
            <w:pPr>
              <w:widowControl/>
              <w:spacing w:line="360" w:lineRule="auto"/>
              <w:rPr>
                <w:rFonts w:ascii="宋体" w:hAnsi="宋体"/>
                <w:kern w:val="0"/>
                <w:sz w:val="24"/>
              </w:rPr>
            </w:pPr>
            <w:r>
              <w:rPr>
                <w:rFonts w:ascii="宋体" w:hAnsi="宋体" w:hint="eastAsia"/>
                <w:kern w:val="0"/>
                <w:sz w:val="24"/>
              </w:rPr>
              <w:t xml:space="preserve"> </w:t>
            </w:r>
          </w:p>
        </w:tc>
        <w:tc>
          <w:tcPr>
            <w:tcW w:w="1296" w:type="dxa"/>
            <w:tcBorders>
              <w:top w:val="nil"/>
              <w:left w:val="nil"/>
              <w:bottom w:val="single" w:sz="4" w:space="0" w:color="auto"/>
              <w:right w:val="single" w:sz="4" w:space="0" w:color="auto"/>
              <w:tr2bl w:val="single" w:sz="4" w:space="0" w:color="auto"/>
            </w:tcBorders>
            <w:vAlign w:val="center"/>
          </w:tcPr>
          <w:p w:rsidR="00C90C60">
            <w:pPr>
              <w:widowControl/>
              <w:spacing w:line="360" w:lineRule="auto"/>
              <w:rPr>
                <w:rFonts w:ascii="宋体" w:hAnsi="宋体"/>
                <w:color w:val="000000"/>
                <w:kern w:val="0"/>
                <w:sz w:val="24"/>
              </w:rPr>
            </w:pPr>
          </w:p>
        </w:tc>
        <w:tc>
          <w:tcPr>
            <w:tcW w:w="1797"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color w:val="000000"/>
                <w:kern w:val="0"/>
                <w:sz w:val="24"/>
              </w:rPr>
            </w:pPr>
            <w:r>
              <w:rPr>
                <w:rFonts w:ascii="宋体" w:hAnsi="宋体" w:hint="eastAsia"/>
                <w:color w:val="000000"/>
                <w:kern w:val="0"/>
                <w:sz w:val="24"/>
              </w:rPr>
              <w:t xml:space="preserve">出租.自用 </w:t>
            </w:r>
          </w:p>
        </w:tc>
      </w:tr>
      <w:tr>
        <w:tblPrEx>
          <w:tblW w:w="8679" w:type="dxa"/>
          <w:tblInd w:w="93" w:type="dxa"/>
          <w:tblLayout w:type="fixed"/>
          <w:tblLook w:val="0000"/>
        </w:tblPrEx>
        <w:trPr>
          <w:trHeight w:val="401"/>
        </w:trPr>
        <w:tc>
          <w:tcPr>
            <w:tcW w:w="3070" w:type="dxa"/>
            <w:gridSpan w:val="2"/>
            <w:tcBorders>
              <w:top w:val="nil"/>
              <w:left w:val="single" w:sz="8" w:space="0" w:color="auto"/>
              <w:bottom w:val="single" w:sz="8" w:space="0" w:color="auto"/>
              <w:right w:val="nil"/>
            </w:tcBorders>
            <w:vAlign w:val="center"/>
          </w:tcPr>
          <w:p w:rsidR="00C90C60">
            <w:pPr>
              <w:widowControl/>
              <w:spacing w:line="360" w:lineRule="auto"/>
              <w:jc w:val="left"/>
              <w:rPr>
                <w:rFonts w:ascii="宋体" w:hAnsi="宋体"/>
                <w:kern w:val="0"/>
                <w:sz w:val="24"/>
              </w:rPr>
            </w:pPr>
            <w:r>
              <w:rPr>
                <w:rFonts w:ascii="宋体" w:hAnsi="宋体" w:hint="eastAsia"/>
                <w:kern w:val="0"/>
                <w:sz w:val="24"/>
              </w:rPr>
              <w:t xml:space="preserve">    </w:t>
            </w:r>
          </w:p>
        </w:tc>
        <w:tc>
          <w:tcPr>
            <w:tcW w:w="1258" w:type="dxa"/>
            <w:tcBorders>
              <w:top w:val="nil"/>
              <w:left w:val="single" w:sz="4" w:space="0" w:color="auto"/>
              <w:bottom w:val="single" w:sz="4" w:space="0" w:color="auto"/>
              <w:right w:val="single" w:sz="4" w:space="0" w:color="auto"/>
              <w:tr2bl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 xml:space="preserve"> </w:t>
            </w:r>
          </w:p>
        </w:tc>
        <w:tc>
          <w:tcPr>
            <w:tcW w:w="1258" w:type="dxa"/>
            <w:tcBorders>
              <w:top w:val="nil"/>
              <w:left w:val="nil"/>
              <w:bottom w:val="single" w:sz="4" w:space="0" w:color="auto"/>
              <w:right w:val="single" w:sz="4" w:space="0" w:color="auto"/>
              <w:tr2bl w:val="single" w:sz="4" w:space="0" w:color="auto"/>
            </w:tcBorders>
            <w:vAlign w:val="center"/>
          </w:tcPr>
          <w:p w:rsidR="00C90C60">
            <w:pPr>
              <w:widowControl/>
              <w:spacing w:line="360" w:lineRule="auto"/>
              <w:jc w:val="center"/>
              <w:rPr>
                <w:rFonts w:ascii="宋体" w:hAnsi="宋体" w:hint="eastAsia"/>
                <w:kern w:val="0"/>
                <w:sz w:val="24"/>
              </w:rPr>
            </w:pPr>
          </w:p>
        </w:tc>
        <w:tc>
          <w:tcPr>
            <w:tcW w:w="1296"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hint="eastAsia"/>
                <w:color w:val="000000"/>
                <w:kern w:val="0"/>
                <w:sz w:val="24"/>
              </w:rPr>
            </w:pPr>
            <w:r w:rsidR="00AB2C1E">
              <w:rPr>
                <w:rFonts w:ascii="宋体" w:hAnsi="宋体" w:hint="eastAsia"/>
                <w:color w:val="000000"/>
                <w:kern w:val="0"/>
                <w:sz w:val="24"/>
              </w:rPr>
              <w:t>80</w:t>
            </w:r>
            <w:r>
              <w:rPr>
                <w:rFonts w:ascii="宋体" w:hAnsi="宋体" w:hint="eastAsia"/>
                <w:color w:val="000000"/>
                <w:kern w:val="0"/>
                <w:sz w:val="24"/>
              </w:rPr>
              <w:t>%</w:t>
            </w:r>
          </w:p>
        </w:tc>
        <w:tc>
          <w:tcPr>
            <w:tcW w:w="1797" w:type="dxa"/>
            <w:tcBorders>
              <w:top w:val="nil"/>
              <w:left w:val="nil"/>
              <w:bottom w:val="single" w:sz="4" w:space="0" w:color="auto"/>
              <w:right w:val="single" w:sz="4" w:space="0" w:color="auto"/>
            </w:tcBorders>
            <w:vAlign w:val="center"/>
          </w:tcPr>
          <w:p w:rsidR="00C90C60" w:rsidP="005C2822">
            <w:pPr>
              <w:widowControl/>
              <w:spacing w:line="360" w:lineRule="auto"/>
              <w:jc w:val="center"/>
              <w:rPr>
                <w:rFonts w:ascii="宋体" w:hAnsi="宋体"/>
                <w:color w:val="000000"/>
                <w:kern w:val="0"/>
                <w:sz w:val="24"/>
              </w:rPr>
            </w:pPr>
            <w:r w:rsidR="00AB2C1E">
              <w:rPr>
                <w:rFonts w:ascii="宋体" w:hAnsi="宋体" w:hint="eastAsia"/>
                <w:color w:val="000000"/>
                <w:kern w:val="0"/>
                <w:sz w:val="24"/>
              </w:rPr>
              <w:t>864</w:t>
            </w:r>
          </w:p>
        </w:tc>
      </w:tr>
      <w:tr>
        <w:tblPrEx>
          <w:tblW w:w="8679" w:type="dxa"/>
          <w:tblInd w:w="93" w:type="dxa"/>
          <w:tblLayout w:type="fixed"/>
          <w:tblLook w:val="0000"/>
        </w:tblPrEx>
        <w:trPr>
          <w:trHeight w:val="401"/>
        </w:trPr>
        <w:tc>
          <w:tcPr>
            <w:tcW w:w="3070" w:type="dxa"/>
            <w:gridSpan w:val="2"/>
            <w:tcBorders>
              <w:top w:val="nil"/>
              <w:left w:val="single" w:sz="8" w:space="0" w:color="auto"/>
              <w:bottom w:val="single" w:sz="8" w:space="0" w:color="auto"/>
              <w:right w:val="nil"/>
            </w:tcBorders>
            <w:vAlign w:val="center"/>
          </w:tcPr>
          <w:p w:rsidR="00C90C60">
            <w:pPr>
              <w:widowControl/>
              <w:spacing w:line="360" w:lineRule="auto"/>
              <w:jc w:val="left"/>
              <w:rPr>
                <w:rFonts w:ascii="宋体" w:hAnsi="宋体"/>
                <w:kern w:val="0"/>
                <w:sz w:val="24"/>
              </w:rPr>
            </w:pPr>
          </w:p>
        </w:tc>
        <w:tc>
          <w:tcPr>
            <w:tcW w:w="1258" w:type="dxa"/>
            <w:tcBorders>
              <w:top w:val="nil"/>
              <w:left w:val="single" w:sz="4" w:space="0" w:color="auto"/>
              <w:bottom w:val="single" w:sz="4" w:space="0" w:color="auto"/>
              <w:right w:val="single" w:sz="4" w:space="0" w:color="auto"/>
            </w:tcBorders>
            <w:vAlign w:val="center"/>
          </w:tcPr>
          <w:p w:rsidR="00C90C60">
            <w:pPr>
              <w:widowControl/>
              <w:spacing w:line="360" w:lineRule="auto"/>
              <w:rPr>
                <w:rFonts w:ascii="宋体" w:hAnsi="宋体"/>
                <w:kern w:val="0"/>
                <w:sz w:val="24"/>
              </w:rPr>
            </w:pPr>
            <w:r>
              <w:rPr>
                <w:rFonts w:ascii="宋体" w:hAnsi="宋体" w:hint="eastAsia"/>
                <w:kern w:val="0"/>
                <w:sz w:val="24"/>
              </w:rPr>
              <w:t xml:space="preserve"> </w:t>
            </w:r>
          </w:p>
        </w:tc>
        <w:tc>
          <w:tcPr>
            <w:tcW w:w="1258" w:type="dxa"/>
            <w:tcBorders>
              <w:top w:val="nil"/>
              <w:left w:val="nil"/>
              <w:bottom w:val="single" w:sz="4" w:space="0" w:color="auto"/>
              <w:right w:val="single" w:sz="4" w:space="0" w:color="auto"/>
            </w:tcBorders>
            <w:vAlign w:val="center"/>
          </w:tcPr>
          <w:p w:rsidR="00C90C60">
            <w:pPr>
              <w:widowControl/>
              <w:spacing w:line="360" w:lineRule="auto"/>
              <w:rPr>
                <w:rFonts w:ascii="宋体" w:hAnsi="宋体"/>
                <w:kern w:val="0"/>
                <w:sz w:val="24"/>
              </w:rPr>
            </w:pPr>
            <w:r>
              <w:rPr>
                <w:rFonts w:ascii="宋体" w:hAnsi="宋体" w:hint="eastAsia"/>
                <w:kern w:val="0"/>
                <w:sz w:val="24"/>
              </w:rPr>
              <w:t xml:space="preserve">  </w:t>
            </w:r>
          </w:p>
        </w:tc>
        <w:tc>
          <w:tcPr>
            <w:tcW w:w="1296" w:type="dxa"/>
            <w:tcBorders>
              <w:top w:val="nil"/>
              <w:left w:val="nil"/>
              <w:bottom w:val="single" w:sz="4" w:space="0" w:color="auto"/>
              <w:right w:val="single" w:sz="4" w:space="0" w:color="auto"/>
            </w:tcBorders>
            <w:vAlign w:val="center"/>
          </w:tcPr>
          <w:p w:rsidR="00C90C60">
            <w:pPr>
              <w:widowControl/>
              <w:spacing w:line="360" w:lineRule="auto"/>
              <w:rPr>
                <w:rFonts w:ascii="宋体" w:hAnsi="宋体"/>
                <w:color w:val="000000"/>
                <w:kern w:val="0"/>
                <w:sz w:val="24"/>
              </w:rPr>
            </w:pPr>
          </w:p>
        </w:tc>
        <w:tc>
          <w:tcPr>
            <w:tcW w:w="1797" w:type="dxa"/>
            <w:tcBorders>
              <w:top w:val="nil"/>
              <w:left w:val="nil"/>
              <w:bottom w:val="single" w:sz="4" w:space="0" w:color="auto"/>
              <w:right w:val="single" w:sz="4" w:space="0" w:color="auto"/>
            </w:tcBorders>
            <w:vAlign w:val="center"/>
          </w:tcPr>
          <w:p w:rsidR="00C90C60">
            <w:pPr>
              <w:widowControl/>
              <w:spacing w:line="360" w:lineRule="auto"/>
              <w:rPr>
                <w:rFonts w:ascii="宋体" w:hAnsi="宋体"/>
                <w:color w:val="000000"/>
                <w:kern w:val="0"/>
                <w:sz w:val="24"/>
              </w:rPr>
            </w:pPr>
          </w:p>
        </w:tc>
      </w:tr>
      <w:tr>
        <w:tblPrEx>
          <w:tblW w:w="8679" w:type="dxa"/>
          <w:tblInd w:w="93" w:type="dxa"/>
          <w:tblLayout w:type="fixed"/>
          <w:tblLook w:val="0000"/>
        </w:tblPrEx>
        <w:trPr>
          <w:trHeight w:val="401"/>
        </w:trPr>
        <w:tc>
          <w:tcPr>
            <w:tcW w:w="3070" w:type="dxa"/>
            <w:gridSpan w:val="2"/>
            <w:tcBorders>
              <w:top w:val="nil"/>
              <w:left w:val="single" w:sz="8" w:space="0" w:color="auto"/>
              <w:bottom w:val="single" w:sz="8" w:space="0" w:color="auto"/>
              <w:right w:val="nil"/>
            </w:tcBorders>
            <w:vAlign w:val="center"/>
          </w:tcPr>
          <w:p w:rsidR="00C90C60">
            <w:pPr>
              <w:widowControl/>
              <w:spacing w:line="360" w:lineRule="auto"/>
              <w:jc w:val="left"/>
              <w:rPr>
                <w:rFonts w:ascii="宋体" w:hAnsi="宋体"/>
                <w:kern w:val="0"/>
                <w:sz w:val="24"/>
              </w:rPr>
            </w:pPr>
          </w:p>
        </w:tc>
        <w:tc>
          <w:tcPr>
            <w:tcW w:w="1258" w:type="dxa"/>
            <w:tcBorders>
              <w:top w:val="nil"/>
              <w:left w:val="single" w:sz="4" w:space="0" w:color="auto"/>
              <w:bottom w:val="single" w:sz="4" w:space="0" w:color="auto"/>
              <w:right w:val="single" w:sz="4" w:space="0" w:color="auto"/>
            </w:tcBorders>
            <w:vAlign w:val="center"/>
          </w:tcPr>
          <w:p w:rsidR="00C90C60">
            <w:pPr>
              <w:widowControl/>
              <w:spacing w:line="360" w:lineRule="auto"/>
              <w:rPr>
                <w:rFonts w:ascii="宋体" w:hAnsi="宋体"/>
                <w:kern w:val="0"/>
                <w:sz w:val="24"/>
              </w:rPr>
            </w:pPr>
            <w:r>
              <w:rPr>
                <w:rFonts w:ascii="宋体" w:hAnsi="宋体" w:hint="eastAsia"/>
                <w:kern w:val="0"/>
                <w:sz w:val="24"/>
              </w:rPr>
              <w:t xml:space="preserve"> </w:t>
            </w:r>
          </w:p>
        </w:tc>
        <w:tc>
          <w:tcPr>
            <w:tcW w:w="1258" w:type="dxa"/>
            <w:tcBorders>
              <w:top w:val="nil"/>
              <w:left w:val="nil"/>
              <w:bottom w:val="single" w:sz="4" w:space="0" w:color="auto"/>
              <w:right w:val="single" w:sz="4" w:space="0" w:color="auto"/>
            </w:tcBorders>
            <w:vAlign w:val="center"/>
          </w:tcPr>
          <w:p w:rsidR="00C90C60">
            <w:pPr>
              <w:widowControl/>
              <w:spacing w:line="360" w:lineRule="auto"/>
              <w:rPr>
                <w:rFonts w:ascii="宋体" w:hAnsi="宋体"/>
                <w:kern w:val="0"/>
                <w:sz w:val="24"/>
              </w:rPr>
            </w:pPr>
          </w:p>
        </w:tc>
        <w:tc>
          <w:tcPr>
            <w:tcW w:w="1296" w:type="dxa"/>
            <w:tcBorders>
              <w:top w:val="nil"/>
              <w:left w:val="nil"/>
              <w:bottom w:val="single" w:sz="4" w:space="0" w:color="auto"/>
              <w:right w:val="single" w:sz="4" w:space="0" w:color="auto"/>
            </w:tcBorders>
            <w:vAlign w:val="center"/>
          </w:tcPr>
          <w:p w:rsidR="00C90C60">
            <w:pPr>
              <w:widowControl/>
              <w:spacing w:line="360" w:lineRule="auto"/>
              <w:rPr>
                <w:rFonts w:ascii="宋体" w:hAnsi="宋体"/>
                <w:color w:val="000000"/>
                <w:kern w:val="0"/>
                <w:sz w:val="24"/>
              </w:rPr>
            </w:pPr>
          </w:p>
        </w:tc>
        <w:tc>
          <w:tcPr>
            <w:tcW w:w="1797" w:type="dxa"/>
            <w:tcBorders>
              <w:top w:val="nil"/>
              <w:left w:val="nil"/>
              <w:bottom w:val="single" w:sz="4" w:space="0" w:color="auto"/>
              <w:right w:val="single" w:sz="4" w:space="0" w:color="auto"/>
            </w:tcBorders>
            <w:vAlign w:val="center"/>
          </w:tcPr>
          <w:p w:rsidR="00C90C60">
            <w:pPr>
              <w:widowControl/>
              <w:spacing w:line="360" w:lineRule="auto"/>
              <w:rPr>
                <w:rFonts w:ascii="宋体" w:hAnsi="宋体"/>
                <w:color w:val="000000"/>
                <w:kern w:val="0"/>
                <w:sz w:val="24"/>
              </w:rPr>
            </w:pPr>
          </w:p>
        </w:tc>
      </w:tr>
      <w:tr>
        <w:tblPrEx>
          <w:tblW w:w="8679" w:type="dxa"/>
          <w:tblInd w:w="93" w:type="dxa"/>
          <w:tblLayout w:type="fixed"/>
          <w:tblLook w:val="0000"/>
        </w:tblPrEx>
        <w:trPr>
          <w:trHeight w:val="401"/>
        </w:trPr>
        <w:tc>
          <w:tcPr>
            <w:tcW w:w="8679" w:type="dxa"/>
            <w:gridSpan w:val="6"/>
            <w:tcBorders>
              <w:top w:val="nil"/>
              <w:left w:val="single" w:sz="8" w:space="0" w:color="auto"/>
              <w:bottom w:val="single" w:sz="8" w:space="0" w:color="auto"/>
              <w:right w:val="single" w:sz="4" w:space="0" w:color="auto"/>
            </w:tcBorders>
            <w:vAlign w:val="center"/>
          </w:tcPr>
          <w:p w:rsidR="00C90C60">
            <w:pPr>
              <w:widowControl/>
              <w:spacing w:line="360" w:lineRule="auto"/>
              <w:jc w:val="center"/>
              <w:rPr>
                <w:rFonts w:ascii="宋体" w:hAnsi="宋体" w:hint="eastAsia"/>
                <w:color w:val="000000"/>
                <w:kern w:val="0"/>
                <w:sz w:val="24"/>
              </w:rPr>
            </w:pPr>
          </w:p>
        </w:tc>
      </w:tr>
      <w:tr>
        <w:tblPrEx>
          <w:tblW w:w="8679" w:type="dxa"/>
          <w:tblInd w:w="93" w:type="dxa"/>
          <w:tblLayout w:type="fixed"/>
          <w:tblLook w:val="0000"/>
        </w:tblPrEx>
        <w:trPr>
          <w:trHeight w:val="401"/>
        </w:trPr>
        <w:tc>
          <w:tcPr>
            <w:tcW w:w="2935" w:type="dxa"/>
            <w:tcBorders>
              <w:top w:val="nil"/>
              <w:left w:val="single" w:sz="8" w:space="0" w:color="auto"/>
              <w:bottom w:val="single" w:sz="8" w:space="0" w:color="auto"/>
              <w:right w:val="nil"/>
            </w:tcBorders>
            <w:vAlign w:val="center"/>
          </w:tcPr>
          <w:p w:rsidR="00C90C60">
            <w:pPr>
              <w:widowControl/>
              <w:spacing w:line="360" w:lineRule="auto"/>
              <w:jc w:val="left"/>
              <w:rPr>
                <w:rFonts w:ascii="宋体" w:hAnsi="宋体"/>
                <w:b/>
                <w:kern w:val="0"/>
                <w:sz w:val="24"/>
              </w:rPr>
            </w:pPr>
            <w:r>
              <w:rPr>
                <w:rFonts w:ascii="宋体" w:hAnsi="宋体" w:hint="eastAsia"/>
                <w:b/>
                <w:kern w:val="0"/>
                <w:sz w:val="24"/>
              </w:rPr>
              <w:t>二、租赁及运营收入：</w:t>
            </w:r>
          </w:p>
        </w:tc>
        <w:tc>
          <w:tcPr>
            <w:tcW w:w="1393" w:type="dxa"/>
            <w:gridSpan w:val="2"/>
            <w:tcBorders>
              <w:top w:val="nil"/>
              <w:left w:val="single" w:sz="4" w:space="0" w:color="auto"/>
              <w:bottom w:val="single" w:sz="4" w:space="0" w:color="auto"/>
              <w:right w:val="single" w:sz="4" w:space="0" w:color="auto"/>
            </w:tcBorders>
            <w:vAlign w:val="center"/>
          </w:tcPr>
          <w:p w:rsidR="00C90C60">
            <w:pPr>
              <w:widowControl/>
              <w:spacing w:line="360" w:lineRule="auto"/>
              <w:jc w:val="center"/>
              <w:rPr>
                <w:rFonts w:ascii="宋体" w:hAnsi="宋体"/>
                <w:color w:val="000000"/>
                <w:kern w:val="0"/>
                <w:sz w:val="24"/>
              </w:rPr>
            </w:pPr>
            <w:r>
              <w:rPr>
                <w:rFonts w:ascii="宋体" w:hAnsi="宋体" w:hint="eastAsia"/>
                <w:color w:val="000000"/>
                <w:kern w:val="0"/>
                <w:sz w:val="24"/>
              </w:rPr>
              <w:t>2011年</w:t>
            </w:r>
          </w:p>
        </w:tc>
        <w:tc>
          <w:tcPr>
            <w:tcW w:w="1258"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color w:val="000000"/>
                <w:kern w:val="0"/>
                <w:sz w:val="24"/>
              </w:rPr>
            </w:pPr>
            <w:r w:rsidR="00AB2C1E">
              <w:rPr>
                <w:rFonts w:ascii="宋体" w:hAnsi="宋体" w:hint="eastAsia"/>
                <w:color w:val="000000"/>
                <w:kern w:val="0"/>
                <w:sz w:val="24"/>
              </w:rPr>
              <w:t>2011</w:t>
            </w:r>
            <w:r>
              <w:rPr>
                <w:rFonts w:ascii="宋体" w:hAnsi="宋体" w:hint="eastAsia"/>
                <w:color w:val="000000"/>
                <w:kern w:val="0"/>
                <w:sz w:val="24"/>
              </w:rPr>
              <w:t xml:space="preserve">年 </w:t>
            </w:r>
          </w:p>
        </w:tc>
        <w:tc>
          <w:tcPr>
            <w:tcW w:w="1296"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color w:val="000000"/>
                <w:kern w:val="0"/>
                <w:sz w:val="24"/>
              </w:rPr>
            </w:pPr>
            <w:r>
              <w:rPr>
                <w:rFonts w:ascii="宋体" w:hAnsi="宋体" w:hint="eastAsia"/>
                <w:color w:val="000000"/>
                <w:kern w:val="0"/>
                <w:sz w:val="24"/>
              </w:rPr>
              <w:t>201</w:t>
            </w:r>
            <w:r w:rsidR="00AB2C1E">
              <w:rPr>
                <w:rFonts w:ascii="宋体" w:hAnsi="宋体" w:hint="eastAsia"/>
                <w:color w:val="000000"/>
                <w:kern w:val="0"/>
                <w:sz w:val="24"/>
              </w:rPr>
              <w:t>2</w:t>
            </w:r>
            <w:r>
              <w:rPr>
                <w:rFonts w:ascii="宋体" w:hAnsi="宋体" w:hint="eastAsia"/>
                <w:color w:val="000000"/>
                <w:kern w:val="0"/>
                <w:sz w:val="24"/>
              </w:rPr>
              <w:t xml:space="preserve">年 </w:t>
            </w:r>
          </w:p>
        </w:tc>
        <w:tc>
          <w:tcPr>
            <w:tcW w:w="1797"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hint="eastAsia"/>
                <w:color w:val="000000"/>
                <w:kern w:val="0"/>
                <w:sz w:val="24"/>
              </w:rPr>
            </w:pPr>
            <w:r>
              <w:rPr>
                <w:rFonts w:ascii="宋体" w:hAnsi="宋体" w:hint="eastAsia"/>
                <w:color w:val="000000"/>
                <w:kern w:val="0"/>
                <w:sz w:val="24"/>
              </w:rPr>
              <w:t>单位:万元</w:t>
            </w:r>
          </w:p>
        </w:tc>
      </w:tr>
      <w:tr>
        <w:tblPrEx>
          <w:tblW w:w="8679" w:type="dxa"/>
          <w:tblInd w:w="93" w:type="dxa"/>
          <w:tblLayout w:type="fixed"/>
          <w:tblLook w:val="0000"/>
        </w:tblPrEx>
        <w:trPr>
          <w:trHeight w:val="401"/>
        </w:trPr>
        <w:tc>
          <w:tcPr>
            <w:tcW w:w="2935" w:type="dxa"/>
            <w:tcBorders>
              <w:top w:val="nil"/>
              <w:left w:val="single" w:sz="8" w:space="0" w:color="auto"/>
              <w:bottom w:val="single" w:sz="8" w:space="0" w:color="auto"/>
              <w:right w:val="nil"/>
            </w:tcBorders>
            <w:vAlign w:val="center"/>
          </w:tcPr>
          <w:p w:rsidR="00C90C60">
            <w:pPr>
              <w:widowControl/>
              <w:spacing w:line="360" w:lineRule="auto"/>
              <w:ind w:firstLine="1080" w:firstLineChars="450"/>
              <w:rPr>
                <w:rFonts w:ascii="宋体" w:hAnsi="宋体" w:hint="eastAsia"/>
                <w:kern w:val="0"/>
                <w:sz w:val="24"/>
              </w:rPr>
            </w:pPr>
            <w:r>
              <w:rPr>
                <w:rFonts w:ascii="宋体" w:hAnsi="宋体" w:hint="eastAsia"/>
                <w:kern w:val="0"/>
                <w:sz w:val="24"/>
              </w:rPr>
              <w:t>商铺租金</w:t>
            </w:r>
          </w:p>
        </w:tc>
        <w:tc>
          <w:tcPr>
            <w:tcW w:w="1393" w:type="dxa"/>
            <w:gridSpan w:val="2"/>
            <w:tcBorders>
              <w:top w:val="nil"/>
              <w:left w:val="single" w:sz="4" w:space="0" w:color="auto"/>
              <w:bottom w:val="single" w:sz="4" w:space="0" w:color="auto"/>
              <w:right w:val="single" w:sz="4" w:space="0" w:color="auto"/>
              <w:tr2bl w:val="single" w:sz="4" w:space="0" w:color="auto"/>
            </w:tcBorders>
            <w:vAlign w:val="center"/>
          </w:tcPr>
          <w:p w:rsidR="00C90C60">
            <w:pPr>
              <w:widowControl/>
              <w:spacing w:line="360" w:lineRule="auto"/>
              <w:rPr>
                <w:rFonts w:ascii="宋体" w:hAnsi="宋体"/>
                <w:color w:val="000000"/>
                <w:kern w:val="0"/>
                <w:sz w:val="24"/>
              </w:rPr>
            </w:pPr>
          </w:p>
        </w:tc>
        <w:tc>
          <w:tcPr>
            <w:tcW w:w="1258" w:type="dxa"/>
            <w:tcBorders>
              <w:top w:val="nil"/>
              <w:left w:val="nil"/>
              <w:bottom w:val="single" w:sz="4" w:space="0" w:color="auto"/>
              <w:right w:val="single" w:sz="4" w:space="0" w:color="auto"/>
              <w:tr2bl w:val="single" w:sz="4" w:space="0" w:color="auto"/>
            </w:tcBorders>
            <w:vAlign w:val="center"/>
          </w:tcPr>
          <w:p w:rsidR="00C90C60">
            <w:pPr>
              <w:widowControl/>
              <w:spacing w:line="360" w:lineRule="auto"/>
              <w:jc w:val="center"/>
              <w:rPr>
                <w:rFonts w:ascii="宋体" w:hAnsi="宋体"/>
                <w:kern w:val="0"/>
                <w:sz w:val="24"/>
              </w:rPr>
            </w:pPr>
          </w:p>
        </w:tc>
        <w:tc>
          <w:tcPr>
            <w:tcW w:w="1296"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sidR="00AB2C1E">
              <w:rPr>
                <w:rFonts w:ascii="宋体" w:hAnsi="宋体" w:hint="eastAsia"/>
                <w:kern w:val="0"/>
                <w:sz w:val="24"/>
              </w:rPr>
              <w:t>864</w:t>
            </w:r>
          </w:p>
        </w:tc>
        <w:tc>
          <w:tcPr>
            <w:tcW w:w="1797"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hint="eastAsia"/>
                <w:kern w:val="0"/>
                <w:sz w:val="24"/>
              </w:rPr>
            </w:pPr>
            <w:r w:rsidR="00AB2C1E">
              <w:rPr>
                <w:rFonts w:ascii="宋体" w:hAnsi="宋体" w:hint="eastAsia"/>
                <w:kern w:val="0"/>
                <w:sz w:val="24"/>
              </w:rPr>
              <w:t>864</w:t>
            </w:r>
          </w:p>
        </w:tc>
      </w:tr>
      <w:tr>
        <w:tblPrEx>
          <w:tblW w:w="8679" w:type="dxa"/>
          <w:tblInd w:w="93" w:type="dxa"/>
          <w:tblLayout w:type="fixed"/>
          <w:tblLook w:val="0000"/>
        </w:tblPrEx>
        <w:trPr>
          <w:trHeight w:val="401"/>
        </w:trPr>
        <w:tc>
          <w:tcPr>
            <w:tcW w:w="2935" w:type="dxa"/>
            <w:tcBorders>
              <w:top w:val="nil"/>
              <w:left w:val="single" w:sz="8" w:space="0" w:color="auto"/>
              <w:bottom w:val="single" w:sz="8" w:space="0" w:color="auto"/>
              <w:right w:val="nil"/>
            </w:tcBorders>
            <w:vAlign w:val="center"/>
          </w:tcPr>
          <w:p w:rsidR="00C90C60">
            <w:pPr>
              <w:widowControl/>
              <w:spacing w:line="360" w:lineRule="auto"/>
              <w:ind w:firstLine="360" w:firstLineChars="150"/>
              <w:rPr>
                <w:rFonts w:ascii="宋体" w:hAnsi="宋体"/>
                <w:kern w:val="0"/>
                <w:sz w:val="24"/>
              </w:rPr>
            </w:pPr>
            <w:r>
              <w:rPr>
                <w:rFonts w:ascii="宋体" w:hAnsi="宋体" w:hint="eastAsia"/>
                <w:kern w:val="0"/>
                <w:sz w:val="24"/>
              </w:rPr>
              <w:t>物业管理效劳费</w:t>
            </w:r>
          </w:p>
        </w:tc>
        <w:tc>
          <w:tcPr>
            <w:tcW w:w="1393" w:type="dxa"/>
            <w:gridSpan w:val="2"/>
            <w:tcBorders>
              <w:top w:val="nil"/>
              <w:left w:val="single" w:sz="4" w:space="0" w:color="auto"/>
              <w:bottom w:val="single" w:sz="4" w:space="0" w:color="auto"/>
              <w:right w:val="single" w:sz="4" w:space="0" w:color="auto"/>
              <w:tr2bl w:val="single" w:sz="4" w:space="0" w:color="auto"/>
            </w:tcBorders>
            <w:vAlign w:val="center"/>
          </w:tcPr>
          <w:p w:rsidR="00C90C60">
            <w:pPr>
              <w:widowControl/>
              <w:spacing w:line="360" w:lineRule="auto"/>
              <w:rPr>
                <w:rFonts w:ascii="宋体" w:hAnsi="宋体"/>
                <w:color w:val="000000"/>
                <w:kern w:val="0"/>
                <w:sz w:val="24"/>
              </w:rPr>
            </w:pPr>
            <w:r>
              <w:rPr>
                <w:rFonts w:ascii="宋体" w:hAnsi="宋体" w:hint="eastAsia"/>
                <w:color w:val="000000"/>
                <w:kern w:val="0"/>
                <w:sz w:val="24"/>
              </w:rPr>
              <w:t xml:space="preserve"> </w:t>
            </w:r>
          </w:p>
        </w:tc>
        <w:tc>
          <w:tcPr>
            <w:tcW w:w="1258" w:type="dxa"/>
            <w:tcBorders>
              <w:top w:val="nil"/>
              <w:left w:val="nil"/>
              <w:bottom w:val="single" w:sz="4" w:space="0" w:color="auto"/>
              <w:right w:val="single" w:sz="4" w:space="0" w:color="auto"/>
              <w:tr2bl w:val="single" w:sz="4" w:space="0" w:color="auto"/>
            </w:tcBorders>
            <w:vAlign w:val="center"/>
          </w:tcPr>
          <w:p w:rsidR="00C90C60">
            <w:pPr>
              <w:widowControl/>
              <w:spacing w:line="360" w:lineRule="auto"/>
              <w:jc w:val="center"/>
              <w:rPr>
                <w:rFonts w:ascii="宋体" w:hAnsi="宋体"/>
                <w:kern w:val="0"/>
                <w:sz w:val="24"/>
              </w:rPr>
            </w:pPr>
          </w:p>
        </w:tc>
        <w:tc>
          <w:tcPr>
            <w:tcW w:w="1296" w:type="dxa"/>
            <w:tcBorders>
              <w:top w:val="nil"/>
              <w:left w:val="nil"/>
              <w:bottom w:val="single" w:sz="4" w:space="0" w:color="auto"/>
              <w:right w:val="single" w:sz="4" w:space="0" w:color="auto"/>
            </w:tcBorders>
            <w:vAlign w:val="center"/>
          </w:tcPr>
          <w:p w:rsidR="00C90C60" w:rsidP="00AB2C1E">
            <w:pPr>
              <w:widowControl/>
              <w:spacing w:line="360" w:lineRule="auto"/>
              <w:jc w:val="center"/>
              <w:rPr>
                <w:rFonts w:ascii="宋体" w:hAnsi="宋体"/>
                <w:kern w:val="0"/>
                <w:sz w:val="24"/>
              </w:rPr>
            </w:pPr>
            <w:r w:rsidR="00AB2C1E">
              <w:rPr>
                <w:rFonts w:ascii="宋体" w:hAnsi="宋体" w:hint="eastAsia"/>
                <w:kern w:val="0"/>
                <w:sz w:val="24"/>
              </w:rPr>
              <w:t>120</w:t>
            </w:r>
          </w:p>
        </w:tc>
        <w:tc>
          <w:tcPr>
            <w:tcW w:w="1797" w:type="dxa"/>
            <w:tcBorders>
              <w:top w:val="nil"/>
              <w:left w:val="nil"/>
              <w:bottom w:val="single" w:sz="4" w:space="0" w:color="auto"/>
              <w:right w:val="single" w:sz="4" w:space="0" w:color="auto"/>
            </w:tcBorders>
            <w:vAlign w:val="center"/>
          </w:tcPr>
          <w:p w:rsidR="00C90C60" w:rsidP="00AB2C1E">
            <w:pPr>
              <w:widowControl/>
              <w:spacing w:line="360" w:lineRule="auto"/>
              <w:jc w:val="center"/>
              <w:rPr>
                <w:rFonts w:ascii="宋体" w:hAnsi="宋体"/>
                <w:kern w:val="0"/>
                <w:sz w:val="24"/>
              </w:rPr>
            </w:pPr>
            <w:r w:rsidR="00AB2C1E">
              <w:rPr>
                <w:rFonts w:ascii="宋体" w:hAnsi="宋体" w:hint="eastAsia"/>
                <w:kern w:val="0"/>
                <w:sz w:val="24"/>
              </w:rPr>
              <w:t>120</w:t>
            </w:r>
          </w:p>
        </w:tc>
      </w:tr>
      <w:tr>
        <w:tblPrEx>
          <w:tblW w:w="8679" w:type="dxa"/>
          <w:tblInd w:w="93" w:type="dxa"/>
          <w:tblLayout w:type="fixed"/>
          <w:tblLook w:val="0000"/>
        </w:tblPrEx>
        <w:trPr>
          <w:trHeight w:val="401"/>
        </w:trPr>
        <w:tc>
          <w:tcPr>
            <w:tcW w:w="2935" w:type="dxa"/>
            <w:tcBorders>
              <w:top w:val="nil"/>
              <w:left w:val="single" w:sz="8" w:space="0" w:color="auto"/>
              <w:bottom w:val="single" w:sz="8" w:space="0" w:color="auto"/>
              <w:right w:val="nil"/>
            </w:tcBorders>
            <w:vAlign w:val="center"/>
          </w:tcPr>
          <w:p w:rsidR="00C90C60">
            <w:pPr>
              <w:widowControl/>
              <w:spacing w:line="360" w:lineRule="auto"/>
              <w:ind w:firstLine="840" w:firstLineChars="350"/>
              <w:rPr>
                <w:rFonts w:ascii="宋体" w:hAnsi="宋体"/>
                <w:kern w:val="0"/>
                <w:sz w:val="24"/>
              </w:rPr>
            </w:pPr>
            <w:r>
              <w:rPr>
                <w:rFonts w:ascii="宋体" w:hAnsi="宋体" w:hint="eastAsia"/>
                <w:kern w:val="0"/>
                <w:sz w:val="24"/>
              </w:rPr>
              <w:t>物流停车费</w:t>
            </w:r>
          </w:p>
        </w:tc>
        <w:tc>
          <w:tcPr>
            <w:tcW w:w="1393" w:type="dxa"/>
            <w:gridSpan w:val="2"/>
            <w:tcBorders>
              <w:top w:val="nil"/>
              <w:left w:val="single" w:sz="4" w:space="0" w:color="auto"/>
              <w:bottom w:val="single" w:sz="4" w:space="0" w:color="auto"/>
              <w:right w:val="single" w:sz="4" w:space="0" w:color="auto"/>
              <w:tr2bl w:val="single" w:sz="4" w:space="0" w:color="auto"/>
            </w:tcBorders>
            <w:vAlign w:val="center"/>
          </w:tcPr>
          <w:p w:rsidR="00C90C60">
            <w:pPr>
              <w:widowControl/>
              <w:spacing w:line="360" w:lineRule="auto"/>
              <w:rPr>
                <w:rFonts w:ascii="宋体" w:hAnsi="宋体"/>
                <w:color w:val="000000"/>
                <w:kern w:val="0"/>
                <w:sz w:val="24"/>
              </w:rPr>
            </w:pPr>
          </w:p>
        </w:tc>
        <w:tc>
          <w:tcPr>
            <w:tcW w:w="1258" w:type="dxa"/>
            <w:tcBorders>
              <w:top w:val="nil"/>
              <w:left w:val="nil"/>
              <w:bottom w:val="single" w:sz="4" w:space="0" w:color="auto"/>
              <w:right w:val="single" w:sz="4" w:space="0" w:color="auto"/>
              <w:tr2bl w:val="single" w:sz="4" w:space="0" w:color="auto"/>
            </w:tcBorders>
            <w:vAlign w:val="center"/>
          </w:tcPr>
          <w:p w:rsidR="00C90C60">
            <w:pPr>
              <w:widowControl/>
              <w:spacing w:line="360" w:lineRule="auto"/>
              <w:jc w:val="center"/>
              <w:rPr>
                <w:rFonts w:ascii="宋体" w:hAnsi="宋体"/>
                <w:kern w:val="0"/>
                <w:sz w:val="24"/>
              </w:rPr>
            </w:pPr>
          </w:p>
        </w:tc>
        <w:tc>
          <w:tcPr>
            <w:tcW w:w="1296"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sidR="00AB2C1E">
              <w:rPr>
                <w:rFonts w:ascii="宋体" w:hAnsi="宋体" w:hint="eastAsia"/>
                <w:kern w:val="0"/>
                <w:sz w:val="24"/>
              </w:rPr>
              <w:t>50</w:t>
            </w:r>
          </w:p>
        </w:tc>
        <w:tc>
          <w:tcPr>
            <w:tcW w:w="1797"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sidR="00AB2C1E">
              <w:rPr>
                <w:rFonts w:ascii="宋体" w:hAnsi="宋体" w:hint="eastAsia"/>
                <w:kern w:val="0"/>
                <w:sz w:val="24"/>
              </w:rPr>
              <w:t>50</w:t>
            </w:r>
          </w:p>
        </w:tc>
      </w:tr>
      <w:tr>
        <w:tblPrEx>
          <w:tblW w:w="8679" w:type="dxa"/>
          <w:tblInd w:w="93" w:type="dxa"/>
          <w:tblLayout w:type="fixed"/>
          <w:tblLook w:val="0000"/>
        </w:tblPrEx>
        <w:trPr>
          <w:trHeight w:val="401"/>
        </w:trPr>
        <w:tc>
          <w:tcPr>
            <w:tcW w:w="2935" w:type="dxa"/>
            <w:tcBorders>
              <w:top w:val="nil"/>
              <w:left w:val="single" w:sz="8" w:space="0" w:color="auto"/>
              <w:bottom w:val="single" w:sz="8" w:space="0" w:color="auto"/>
              <w:right w:val="nil"/>
            </w:tcBorders>
            <w:vAlign w:val="center"/>
          </w:tcPr>
          <w:p w:rsidR="00C90C60">
            <w:pPr>
              <w:widowControl/>
              <w:spacing w:line="360" w:lineRule="auto"/>
              <w:jc w:val="center"/>
              <w:rPr>
                <w:rFonts w:ascii="宋体" w:hAnsi="宋体" w:hint="eastAsia"/>
                <w:kern w:val="0"/>
                <w:sz w:val="24"/>
              </w:rPr>
            </w:pPr>
            <w:r>
              <w:rPr>
                <w:rFonts w:ascii="宋体" w:hAnsi="宋体" w:hint="eastAsia"/>
                <w:kern w:val="0"/>
                <w:sz w:val="24"/>
              </w:rPr>
              <w:t xml:space="preserve">    广告费</w:t>
            </w:r>
          </w:p>
        </w:tc>
        <w:tc>
          <w:tcPr>
            <w:tcW w:w="1393" w:type="dxa"/>
            <w:gridSpan w:val="2"/>
            <w:tcBorders>
              <w:top w:val="nil"/>
              <w:left w:val="single" w:sz="4" w:space="0" w:color="auto"/>
              <w:bottom w:val="single" w:sz="4" w:space="0" w:color="auto"/>
              <w:right w:val="single" w:sz="4" w:space="0" w:color="auto"/>
              <w:tr2bl w:val="single" w:sz="4" w:space="0" w:color="auto"/>
            </w:tcBorders>
            <w:vAlign w:val="center"/>
          </w:tcPr>
          <w:p w:rsidR="00C90C60">
            <w:pPr>
              <w:widowControl/>
              <w:spacing w:line="360" w:lineRule="auto"/>
              <w:rPr>
                <w:rFonts w:ascii="宋体" w:hAnsi="宋体"/>
                <w:color w:val="000000"/>
                <w:kern w:val="0"/>
                <w:sz w:val="24"/>
              </w:rPr>
            </w:pPr>
          </w:p>
        </w:tc>
        <w:tc>
          <w:tcPr>
            <w:tcW w:w="1258" w:type="dxa"/>
            <w:tcBorders>
              <w:top w:val="nil"/>
              <w:left w:val="nil"/>
              <w:bottom w:val="single" w:sz="4" w:space="0" w:color="auto"/>
              <w:right w:val="single" w:sz="4" w:space="0" w:color="auto"/>
              <w:tr2bl w:val="single" w:sz="4" w:space="0" w:color="auto"/>
            </w:tcBorders>
            <w:vAlign w:val="center"/>
          </w:tcPr>
          <w:p w:rsidR="00C90C60">
            <w:pPr>
              <w:widowControl/>
              <w:spacing w:line="360" w:lineRule="auto"/>
              <w:rPr>
                <w:rFonts w:ascii="宋体" w:hAnsi="宋体"/>
                <w:kern w:val="0"/>
                <w:sz w:val="24"/>
              </w:rPr>
            </w:pPr>
          </w:p>
        </w:tc>
        <w:tc>
          <w:tcPr>
            <w:tcW w:w="1296"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 xml:space="preserve">免费 </w:t>
            </w:r>
          </w:p>
        </w:tc>
        <w:tc>
          <w:tcPr>
            <w:tcW w:w="1797"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无</w:t>
            </w:r>
          </w:p>
        </w:tc>
      </w:tr>
      <w:tr>
        <w:tblPrEx>
          <w:tblW w:w="8679" w:type="dxa"/>
          <w:tblInd w:w="93" w:type="dxa"/>
          <w:tblLayout w:type="fixed"/>
          <w:tblLook w:val="0000"/>
        </w:tblPrEx>
        <w:trPr>
          <w:trHeight w:val="401"/>
        </w:trPr>
        <w:tc>
          <w:tcPr>
            <w:tcW w:w="2935" w:type="dxa"/>
            <w:tcBorders>
              <w:top w:val="nil"/>
              <w:left w:val="single" w:sz="8" w:space="0" w:color="auto"/>
              <w:bottom w:val="single" w:sz="8" w:space="0" w:color="auto"/>
              <w:right w:val="single" w:sz="8" w:space="0" w:color="auto"/>
            </w:tcBorders>
            <w:vAlign w:val="center"/>
          </w:tcPr>
          <w:p w:rsidR="00C90C60">
            <w:pPr>
              <w:widowControl/>
              <w:spacing w:line="360" w:lineRule="auto"/>
              <w:jc w:val="center"/>
              <w:rPr>
                <w:rFonts w:ascii="宋体" w:hAnsi="宋体" w:hint="eastAsia"/>
                <w:kern w:val="0"/>
                <w:sz w:val="24"/>
              </w:rPr>
            </w:pPr>
            <w:r>
              <w:rPr>
                <w:rFonts w:ascii="宋体" w:hAnsi="宋体" w:hint="eastAsia"/>
                <w:kern w:val="0"/>
                <w:sz w:val="24"/>
              </w:rPr>
              <w:t>其他业务收入</w:t>
            </w:r>
          </w:p>
        </w:tc>
        <w:tc>
          <w:tcPr>
            <w:tcW w:w="1393" w:type="dxa"/>
            <w:gridSpan w:val="2"/>
            <w:tcBorders>
              <w:top w:val="nil"/>
              <w:left w:val="single" w:sz="4" w:space="0" w:color="auto"/>
              <w:bottom w:val="single" w:sz="4" w:space="0" w:color="auto"/>
              <w:right w:val="single" w:sz="4" w:space="0" w:color="auto"/>
              <w:tr2bl w:val="single" w:sz="4" w:space="0" w:color="auto"/>
            </w:tcBorders>
            <w:vAlign w:val="center"/>
          </w:tcPr>
          <w:p w:rsidR="00C90C60">
            <w:pPr>
              <w:widowControl/>
              <w:spacing w:line="360" w:lineRule="auto"/>
              <w:rPr>
                <w:rFonts w:ascii="宋体" w:hAnsi="宋体"/>
                <w:color w:val="000000"/>
                <w:kern w:val="0"/>
                <w:sz w:val="24"/>
              </w:rPr>
            </w:pPr>
            <w:r>
              <w:rPr>
                <w:rFonts w:ascii="宋体" w:hAnsi="宋体" w:hint="eastAsia"/>
                <w:color w:val="000000"/>
                <w:kern w:val="0"/>
                <w:sz w:val="24"/>
              </w:rPr>
              <w:t xml:space="preserve">  </w:t>
            </w:r>
          </w:p>
        </w:tc>
        <w:tc>
          <w:tcPr>
            <w:tcW w:w="1258" w:type="dxa"/>
            <w:tcBorders>
              <w:top w:val="nil"/>
              <w:left w:val="single" w:sz="8" w:space="0" w:color="auto"/>
              <w:bottom w:val="single" w:sz="8" w:space="0" w:color="auto"/>
              <w:right w:val="nil"/>
              <w:tr2bl w:val="single" w:sz="4" w:space="0" w:color="auto"/>
            </w:tcBorders>
            <w:vAlign w:val="center"/>
          </w:tcPr>
          <w:p w:rsidR="00C90C60">
            <w:pPr>
              <w:widowControl/>
              <w:spacing w:line="360" w:lineRule="auto"/>
              <w:jc w:val="center"/>
              <w:rPr>
                <w:rFonts w:ascii="宋体" w:hAnsi="宋体"/>
                <w:kern w:val="0"/>
                <w:sz w:val="24"/>
              </w:rPr>
            </w:pPr>
          </w:p>
        </w:tc>
        <w:tc>
          <w:tcPr>
            <w:tcW w:w="1296" w:type="dxa"/>
            <w:tcBorders>
              <w:top w:val="nil"/>
              <w:left w:val="single" w:sz="4" w:space="0" w:color="auto"/>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sidR="00AB2C1E">
              <w:rPr>
                <w:rFonts w:ascii="宋体" w:hAnsi="宋体" w:hint="eastAsia"/>
                <w:kern w:val="0"/>
                <w:sz w:val="24"/>
              </w:rPr>
              <w:t>10</w:t>
            </w:r>
            <w:r>
              <w:rPr>
                <w:rFonts w:ascii="宋体" w:hAnsi="宋体" w:hint="eastAsia"/>
                <w:kern w:val="0"/>
                <w:sz w:val="24"/>
              </w:rPr>
              <w:t xml:space="preserve">0.00 </w:t>
            </w:r>
          </w:p>
        </w:tc>
        <w:tc>
          <w:tcPr>
            <w:tcW w:w="1797" w:type="dxa"/>
            <w:tcBorders>
              <w:top w:val="nil"/>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sidR="00AB2C1E">
              <w:rPr>
                <w:rFonts w:ascii="宋体" w:hAnsi="宋体" w:hint="eastAsia"/>
                <w:kern w:val="0"/>
                <w:sz w:val="24"/>
              </w:rPr>
              <w:t>100</w:t>
            </w:r>
            <w:r>
              <w:rPr>
                <w:rFonts w:ascii="宋体" w:hAnsi="宋体" w:hint="eastAsia"/>
                <w:kern w:val="0"/>
                <w:sz w:val="24"/>
              </w:rPr>
              <w:t xml:space="preserve">.00 </w:t>
            </w:r>
          </w:p>
        </w:tc>
      </w:tr>
      <w:tr>
        <w:tblPrEx>
          <w:tblW w:w="8679" w:type="dxa"/>
          <w:tblInd w:w="93" w:type="dxa"/>
          <w:tblLayout w:type="fixed"/>
          <w:tblLook w:val="0000"/>
        </w:tblPrEx>
        <w:trPr>
          <w:trHeight w:val="401"/>
        </w:trPr>
        <w:tc>
          <w:tcPr>
            <w:tcW w:w="2935" w:type="dxa"/>
            <w:tcBorders>
              <w:top w:val="nil"/>
              <w:left w:val="single" w:sz="8" w:space="0" w:color="auto"/>
              <w:bottom w:val="nil"/>
              <w:right w:val="single" w:sz="8" w:space="0" w:color="auto"/>
            </w:tcBorders>
            <w:vAlign w:val="center"/>
          </w:tcPr>
          <w:p w:rsidR="00C90C60">
            <w:pPr>
              <w:widowControl/>
              <w:spacing w:line="360" w:lineRule="auto"/>
              <w:rPr>
                <w:rFonts w:ascii="宋体" w:hAnsi="宋体"/>
                <w:kern w:val="0"/>
                <w:sz w:val="24"/>
              </w:rPr>
            </w:pPr>
          </w:p>
        </w:tc>
        <w:tc>
          <w:tcPr>
            <w:tcW w:w="1393" w:type="dxa"/>
            <w:gridSpan w:val="2"/>
            <w:tcBorders>
              <w:top w:val="single" w:sz="8" w:space="0" w:color="auto"/>
              <w:left w:val="nil"/>
              <w:bottom w:val="nil"/>
              <w:right w:val="single" w:sz="8" w:space="0" w:color="auto"/>
            </w:tcBorders>
            <w:vAlign w:val="center"/>
          </w:tcPr>
          <w:p w:rsidR="00C90C60">
            <w:pPr>
              <w:widowControl/>
              <w:spacing w:line="360" w:lineRule="auto"/>
              <w:jc w:val="center"/>
              <w:rPr>
                <w:rFonts w:ascii="宋体" w:hAnsi="宋体"/>
                <w:kern w:val="0"/>
                <w:sz w:val="24"/>
              </w:rPr>
            </w:pPr>
          </w:p>
        </w:tc>
        <w:tc>
          <w:tcPr>
            <w:tcW w:w="1258" w:type="dxa"/>
            <w:tcBorders>
              <w:top w:val="nil"/>
              <w:left w:val="nil"/>
              <w:bottom w:val="nil"/>
              <w:right w:val="nil"/>
            </w:tcBorders>
            <w:vAlign w:val="center"/>
          </w:tcPr>
          <w:p w:rsidR="00C90C60">
            <w:pPr>
              <w:widowControl/>
              <w:spacing w:line="360" w:lineRule="auto"/>
              <w:jc w:val="center"/>
              <w:rPr>
                <w:rFonts w:ascii="宋体" w:hAnsi="宋体"/>
                <w:kern w:val="0"/>
                <w:sz w:val="24"/>
              </w:rPr>
            </w:pPr>
            <w:r>
              <w:rPr>
                <w:rFonts w:ascii="宋体" w:hAnsi="宋体" w:hint="eastAsia"/>
                <w:kern w:val="0"/>
                <w:sz w:val="24"/>
              </w:rPr>
              <w:t xml:space="preserve"> </w:t>
            </w:r>
          </w:p>
        </w:tc>
        <w:tc>
          <w:tcPr>
            <w:tcW w:w="1296" w:type="dxa"/>
            <w:tcBorders>
              <w:top w:val="nil"/>
              <w:left w:val="single" w:sz="4" w:space="0" w:color="auto"/>
              <w:bottom w:val="nil"/>
              <w:right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 xml:space="preserve"> </w:t>
            </w:r>
          </w:p>
        </w:tc>
        <w:tc>
          <w:tcPr>
            <w:tcW w:w="1797" w:type="dxa"/>
            <w:tcBorders>
              <w:top w:val="nil"/>
              <w:left w:val="nil"/>
              <w:bottom w:val="nil"/>
              <w:right w:val="single" w:sz="4" w:space="0" w:color="auto"/>
            </w:tcBorders>
            <w:vAlign w:val="center"/>
          </w:tcPr>
          <w:p w:rsidR="00C90C60">
            <w:pPr>
              <w:widowControl/>
              <w:spacing w:line="360" w:lineRule="auto"/>
              <w:rPr>
                <w:rFonts w:ascii="宋体" w:hAnsi="宋体"/>
                <w:kern w:val="0"/>
                <w:sz w:val="24"/>
              </w:rPr>
            </w:pPr>
          </w:p>
        </w:tc>
      </w:tr>
      <w:tr>
        <w:tblPrEx>
          <w:tblW w:w="8679" w:type="dxa"/>
          <w:tblInd w:w="93" w:type="dxa"/>
          <w:tblLayout w:type="fixed"/>
          <w:tblLook w:val="0000"/>
        </w:tblPrEx>
        <w:trPr>
          <w:trHeight w:val="401"/>
        </w:trPr>
        <w:tc>
          <w:tcPr>
            <w:tcW w:w="8679" w:type="dxa"/>
            <w:gridSpan w:val="6"/>
            <w:tcBorders>
              <w:top w:val="nil"/>
              <w:left w:val="single" w:sz="8" w:space="0" w:color="auto"/>
              <w:bottom w:val="nil"/>
              <w:right w:val="single" w:sz="4" w:space="0" w:color="auto"/>
            </w:tcBorders>
            <w:vAlign w:val="center"/>
          </w:tcPr>
          <w:p w:rsidR="00C90C60">
            <w:pPr>
              <w:widowControl/>
              <w:spacing w:line="360" w:lineRule="auto"/>
              <w:jc w:val="center"/>
              <w:rPr>
                <w:rFonts w:ascii="宋体" w:hAnsi="宋体" w:hint="eastAsia"/>
                <w:kern w:val="0"/>
                <w:sz w:val="24"/>
              </w:rPr>
            </w:pPr>
          </w:p>
        </w:tc>
      </w:tr>
      <w:tr>
        <w:tblPrEx>
          <w:tblW w:w="8679" w:type="dxa"/>
          <w:tblInd w:w="93" w:type="dxa"/>
          <w:tblLayout w:type="fixed"/>
          <w:tblLook w:val="0000"/>
        </w:tblPrEx>
        <w:trPr>
          <w:trHeight w:val="284"/>
        </w:trPr>
        <w:tc>
          <w:tcPr>
            <w:tcW w:w="2935" w:type="dxa"/>
            <w:tcBorders>
              <w:top w:val="single" w:sz="4" w:space="0" w:color="auto"/>
              <w:left w:val="single" w:sz="4" w:space="0" w:color="auto"/>
              <w:bottom w:val="single" w:sz="4" w:space="0" w:color="auto"/>
              <w:right w:val="single" w:sz="4" w:space="0" w:color="auto"/>
            </w:tcBorders>
            <w:vAlign w:val="center"/>
          </w:tcPr>
          <w:p w:rsidR="00C90C60">
            <w:pPr>
              <w:widowControl/>
              <w:spacing w:line="360" w:lineRule="auto"/>
              <w:jc w:val="left"/>
              <w:rPr>
                <w:rFonts w:ascii="宋体" w:hAnsi="宋体"/>
                <w:b/>
                <w:kern w:val="0"/>
                <w:sz w:val="24"/>
              </w:rPr>
            </w:pPr>
            <w:r>
              <w:rPr>
                <w:rFonts w:ascii="宋体" w:hAnsi="宋体" w:hint="eastAsia"/>
                <w:b/>
                <w:kern w:val="0"/>
                <w:sz w:val="24"/>
              </w:rPr>
              <w:t>工程营业总收入</w:t>
            </w:r>
          </w:p>
        </w:tc>
        <w:tc>
          <w:tcPr>
            <w:tcW w:w="1393" w:type="dxa"/>
            <w:gridSpan w:val="2"/>
            <w:tcBorders>
              <w:top w:val="single" w:sz="4" w:space="0" w:color="auto"/>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 xml:space="preserve"> </w:t>
            </w:r>
          </w:p>
        </w:tc>
        <w:tc>
          <w:tcPr>
            <w:tcW w:w="1258" w:type="dxa"/>
            <w:tcBorders>
              <w:top w:val="single" w:sz="4" w:space="0" w:color="auto"/>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 xml:space="preserve"> </w:t>
            </w:r>
          </w:p>
        </w:tc>
        <w:tc>
          <w:tcPr>
            <w:tcW w:w="1296" w:type="dxa"/>
            <w:tcBorders>
              <w:top w:val="single" w:sz="4" w:space="0" w:color="auto"/>
              <w:left w:val="nil"/>
              <w:bottom w:val="single" w:sz="4" w:space="0" w:color="auto"/>
              <w:right w:val="single" w:sz="4" w:space="0" w:color="auto"/>
            </w:tcBorders>
            <w:vAlign w:val="center"/>
          </w:tcPr>
          <w:p w:rsidR="00C90C60">
            <w:pPr>
              <w:widowControl/>
              <w:spacing w:line="360" w:lineRule="auto"/>
              <w:jc w:val="center"/>
              <w:rPr>
                <w:rFonts w:ascii="宋体" w:hAnsi="宋体"/>
                <w:kern w:val="0"/>
                <w:sz w:val="24"/>
              </w:rPr>
            </w:pPr>
            <w:r>
              <w:rPr>
                <w:rFonts w:ascii="宋体" w:hAnsi="宋体" w:hint="eastAsia"/>
                <w:kern w:val="0"/>
                <w:sz w:val="24"/>
              </w:rPr>
              <w:t xml:space="preserve"> </w:t>
            </w:r>
          </w:p>
        </w:tc>
        <w:tc>
          <w:tcPr>
            <w:tcW w:w="1797" w:type="dxa"/>
            <w:tcBorders>
              <w:top w:val="single" w:sz="4" w:space="0" w:color="auto"/>
              <w:left w:val="nil"/>
              <w:bottom w:val="single" w:sz="4" w:space="0" w:color="auto"/>
              <w:right w:val="single" w:sz="4" w:space="0" w:color="auto"/>
            </w:tcBorders>
            <w:vAlign w:val="center"/>
          </w:tcPr>
          <w:p w:rsidR="00C90C60">
            <w:pPr>
              <w:widowControl/>
              <w:spacing w:line="360" w:lineRule="auto"/>
              <w:rPr>
                <w:rFonts w:ascii="宋体" w:hAnsi="宋体"/>
                <w:kern w:val="0"/>
                <w:sz w:val="24"/>
              </w:rPr>
            </w:pPr>
            <w:r>
              <w:rPr>
                <w:rFonts w:ascii="宋体" w:hAnsi="宋体" w:hint="eastAsia"/>
                <w:kern w:val="0"/>
                <w:sz w:val="24"/>
              </w:rPr>
              <w:t xml:space="preserve"> </w:t>
            </w:r>
            <w:r w:rsidR="00463E11">
              <w:rPr>
                <w:rFonts w:ascii="宋体" w:hAnsi="宋体" w:hint="eastAsia"/>
                <w:kern w:val="0"/>
                <w:sz w:val="24"/>
              </w:rPr>
              <w:t>43134</w:t>
            </w:r>
          </w:p>
        </w:tc>
      </w:tr>
    </w:tbl>
    <w:p w:rsidR="00C90C60">
      <w:pPr>
        <w:spacing w:line="360" w:lineRule="auto"/>
        <w:ind w:firstLine="840" w:firstLineChars="300"/>
        <w:rPr>
          <w:rFonts w:ascii="仿宋_GB2312" w:eastAsia="仿宋_GB2312" w:hAnsi="宋体" w:hint="eastAsia"/>
          <w:sz w:val="28"/>
        </w:rPr>
      </w:pPr>
    </w:p>
    <w:p w:rsidR="00C90C60">
      <w:pPr>
        <w:pStyle w:val="Heading2"/>
        <w:ind w:firstLine="412" w:firstLineChars="147"/>
        <w:rPr>
          <w:rFonts w:hint="eastAsia"/>
          <w:color w:val="auto"/>
          <w:sz w:val="28"/>
        </w:rPr>
      </w:pPr>
      <w:r>
        <w:rPr>
          <w:rFonts w:hint="eastAsia"/>
          <w:color w:val="auto"/>
          <w:sz w:val="28"/>
        </w:rPr>
        <w:t>五、可行性研究结论</w:t>
      </w:r>
      <w:bookmarkEnd w:id="53"/>
      <w:bookmarkEnd w:id="54"/>
      <w:bookmarkEnd w:id="55"/>
    </w:p>
    <w:p w:rsidR="00C90C60">
      <w:pPr>
        <w:pStyle w:val="BodyTextIndent"/>
        <w:ind w:firstLine="560" w:firstLineChars="200"/>
        <w:rPr>
          <w:rFonts w:hint="eastAsia"/>
          <w:sz w:val="28"/>
        </w:rPr>
        <w:sectPr>
          <w:type w:val="nextPage"/>
          <w:pgSz w:w="11906" w:h="16838"/>
          <w:pgMar w:top="1162" w:right="1270" w:bottom="1162" w:left="1230" w:header="851" w:footer="992" w:gutter="0"/>
          <w:pgNumType w:start="7"/>
          <w:cols w:space="720"/>
          <w:titlePg w:val="0"/>
          <w:docGrid w:type="lines" w:linePitch="312"/>
        </w:sectPr>
      </w:pPr>
      <w:r>
        <w:rPr>
          <w:rFonts w:hint="eastAsia"/>
          <w:sz w:val="28"/>
        </w:rPr>
        <w:t>5.1</w:t>
      </w:r>
      <w:r w:rsidR="00866766">
        <w:rPr>
          <w:rFonts w:hint="eastAsia"/>
          <w:sz w:val="28"/>
        </w:rPr>
        <w:t>新隆</w:t>
      </w:r>
      <w:r w:rsidR="00463E11">
        <w:rPr>
          <w:rFonts w:hint="eastAsia"/>
          <w:sz w:val="28"/>
        </w:rPr>
        <w:t>国际装饰建材城</w:t>
      </w:r>
      <w:r>
        <w:rPr>
          <w:rFonts w:hint="eastAsia"/>
          <w:sz w:val="28"/>
        </w:rPr>
        <w:t>工程建设，符合国家和省市有关促进现代效劳业的商贸\物流业开展的政策；符合产业开展方向和要求；工程建设用地符</w:t>
      </w:r>
    </w:p>
    <w:p w:rsidR="00C90C60">
      <w:pPr>
        <w:pStyle w:val="BodyTextIndent"/>
        <w:ind w:firstLine="560" w:firstLineChars="200"/>
        <w:rPr>
          <w:rFonts w:hint="eastAsia"/>
          <w:sz w:val="28"/>
        </w:rPr>
      </w:pPr>
      <w:r w:rsidR="005C2822">
        <w:rPr>
          <w:rFonts w:hint="eastAsia"/>
          <w:sz w:val="28"/>
        </w:rPr>
        <w:t>宜宾市</w:t>
      </w:r>
      <w:r w:rsidR="00866766">
        <w:rPr>
          <w:rFonts w:hint="eastAsia"/>
          <w:sz w:val="28"/>
        </w:rPr>
        <w:t>新隆</w:t>
      </w:r>
      <w:r w:rsidR="00BD696A">
        <w:rPr>
          <w:rFonts w:hint="eastAsia"/>
          <w:sz w:val="28"/>
        </w:rPr>
        <w:t>县</w:t>
      </w:r>
      <w:r>
        <w:rPr>
          <w:rFonts w:hint="eastAsia"/>
          <w:sz w:val="28"/>
        </w:rPr>
        <w:t>把该</w:t>
      </w:r>
      <w:r w:rsidR="00BD696A">
        <w:rPr>
          <w:rFonts w:hint="eastAsia"/>
          <w:sz w:val="28"/>
        </w:rPr>
        <w:t>县</w:t>
      </w:r>
      <w:r>
        <w:rPr>
          <w:rFonts w:hint="eastAsia"/>
          <w:sz w:val="28"/>
        </w:rPr>
        <w:t>作为建材\五金\物流\商业配套等专业市场和公路、铁路、航空港形成物流对该宗地配套需求。</w:t>
      </w:r>
    </w:p>
    <w:p w:rsidR="00C90C60">
      <w:pPr>
        <w:spacing w:line="360" w:lineRule="auto"/>
        <w:ind w:firstLine="560" w:firstLineChars="200"/>
        <w:rPr>
          <w:rFonts w:ascii="宋体" w:hAnsi="宋体" w:hint="eastAsia"/>
          <w:sz w:val="28"/>
        </w:rPr>
      </w:pPr>
      <w:r>
        <w:rPr>
          <w:rFonts w:ascii="宋体" w:hAnsi="宋体" w:hint="eastAsia"/>
          <w:sz w:val="28"/>
        </w:rPr>
        <w:t>5.2工程的建设将推动</w:t>
      </w:r>
      <w:r w:rsidR="00BD696A">
        <w:rPr>
          <w:rFonts w:hint="eastAsia"/>
          <w:sz w:val="28"/>
        </w:rPr>
        <w:t>县</w:t>
      </w:r>
      <w:r w:rsidR="00463E11">
        <w:rPr>
          <w:rFonts w:hint="eastAsia"/>
          <w:sz w:val="28"/>
        </w:rPr>
        <w:t>委</w:t>
      </w:r>
      <w:r w:rsidR="002F018F">
        <w:rPr>
          <w:rFonts w:hint="eastAsia"/>
          <w:sz w:val="28"/>
        </w:rPr>
        <w:t>，</w:t>
      </w:r>
      <w:r w:rsidR="00BD696A">
        <w:rPr>
          <w:rFonts w:hint="eastAsia"/>
          <w:sz w:val="28"/>
        </w:rPr>
        <w:t>县</w:t>
      </w:r>
      <w:r w:rsidR="002F018F">
        <w:rPr>
          <w:rFonts w:hint="eastAsia"/>
          <w:sz w:val="28"/>
        </w:rPr>
        <w:t>政府</w:t>
      </w:r>
      <w:r>
        <w:rPr>
          <w:rFonts w:hint="eastAsia"/>
          <w:sz w:val="28"/>
        </w:rPr>
        <w:t>倡导的先进制造业与现代商贸效劳业</w:t>
      </w:r>
      <w:r>
        <w:rPr>
          <w:rFonts w:hint="eastAsia"/>
          <w:sz w:val="28"/>
        </w:rPr>
        <w:t>“</w:t>
      </w:r>
      <w:r>
        <w:rPr>
          <w:rFonts w:hint="eastAsia"/>
          <w:sz w:val="28"/>
        </w:rPr>
        <w:t>双轮驱动</w:t>
      </w:r>
      <w:r>
        <w:rPr>
          <w:rFonts w:hint="eastAsia"/>
          <w:sz w:val="28"/>
        </w:rPr>
        <w:t>”</w:t>
      </w:r>
      <w:r>
        <w:rPr>
          <w:rFonts w:hint="eastAsia"/>
          <w:sz w:val="28"/>
        </w:rPr>
        <w:t>，开展大商贸，建设大市场，搞活大流通，努力把西部建材城打造成为辐射西部的国际性商业效劳业中心要求。</w:t>
      </w:r>
      <w:r w:rsidR="00866766">
        <w:rPr>
          <w:rFonts w:ascii="宋体" w:hAnsi="宋体" w:hint="eastAsia"/>
          <w:sz w:val="28"/>
        </w:rPr>
        <w:t>新隆</w:t>
      </w:r>
      <w:r w:rsidR="00463E11">
        <w:rPr>
          <w:rFonts w:ascii="宋体" w:hAnsi="宋体" w:hint="eastAsia"/>
          <w:sz w:val="28"/>
        </w:rPr>
        <w:t>国际装饰建材城</w:t>
      </w:r>
      <w:r>
        <w:rPr>
          <w:rFonts w:ascii="宋体" w:hAnsi="宋体" w:hint="eastAsia"/>
          <w:sz w:val="28"/>
        </w:rPr>
        <w:t>现代效劳业经济的开展，体系之进程，配套省会经济圈和自主创新综合配套改革试验区的建设，带动城市新型建材工业经经济开展；扩大地方社会就业现实意义。</w:t>
      </w:r>
    </w:p>
    <w:p w:rsidR="00C90C60">
      <w:pPr>
        <w:spacing w:line="360" w:lineRule="auto"/>
        <w:ind w:firstLine="560" w:firstLineChars="200"/>
        <w:rPr>
          <w:rFonts w:ascii="宋体" w:hAnsi="宋体" w:hint="eastAsia"/>
          <w:sz w:val="28"/>
        </w:rPr>
      </w:pPr>
      <w:r>
        <w:rPr>
          <w:rFonts w:ascii="宋体" w:hAnsi="宋体" w:hint="eastAsia"/>
          <w:sz w:val="28"/>
        </w:rPr>
        <w:t>5.3</w:t>
      </w:r>
      <w:r w:rsidR="00866766">
        <w:rPr>
          <w:rFonts w:ascii="宋体" w:hAnsi="宋体" w:hint="eastAsia"/>
          <w:sz w:val="28"/>
        </w:rPr>
        <w:t>新隆</w:t>
      </w:r>
      <w:r w:rsidR="00463E11">
        <w:rPr>
          <w:rFonts w:ascii="宋体" w:hAnsi="宋体" w:hint="eastAsia"/>
          <w:sz w:val="28"/>
        </w:rPr>
        <w:t>国际装饰建材城</w:t>
      </w:r>
      <w:r>
        <w:rPr>
          <w:rFonts w:ascii="宋体" w:hAnsi="宋体" w:hint="eastAsia"/>
          <w:sz w:val="28"/>
        </w:rPr>
        <w:t>将形成一批建材品牌商入驻；吸引第三方建材\家居经营企业。推动企业依托西部物流优势条件,通过航空、陆、铁进出口，参与区域性市场竞争,降低建材/家居业在</w:t>
      </w:r>
      <w:r w:rsidR="00866766">
        <w:rPr>
          <w:rFonts w:ascii="宋体" w:hAnsi="宋体" w:hint="eastAsia"/>
          <w:sz w:val="28"/>
        </w:rPr>
        <w:t>新隆</w:t>
      </w:r>
      <w:r>
        <w:rPr>
          <w:rFonts w:ascii="宋体" w:hAnsi="宋体" w:hint="eastAsia"/>
          <w:sz w:val="28"/>
        </w:rPr>
        <w:t>的运营本钱；有效实现地方经济宏观物流产值，增加地方财</w:t>
      </w:r>
      <w:r>
        <w:rPr>
          <w:rFonts w:ascii="宋体" w:hAnsi="宋体" w:hint="eastAsia"/>
          <w:kern w:val="0"/>
          <w:sz w:val="28"/>
        </w:rPr>
        <w:t>税</w:t>
      </w:r>
      <w:r>
        <w:rPr>
          <w:rFonts w:ascii="宋体" w:hAnsi="宋体" w:hint="eastAsia"/>
          <w:sz w:val="28"/>
        </w:rPr>
        <w:t>。</w:t>
      </w:r>
    </w:p>
    <w:p w:rsidR="00C90C60">
      <w:pPr>
        <w:spacing w:line="360" w:lineRule="auto"/>
        <w:ind w:firstLine="560" w:firstLineChars="200"/>
        <w:rPr>
          <w:rFonts w:ascii="宋体" w:hAnsi="宋体" w:hint="eastAsia"/>
          <w:sz w:val="28"/>
        </w:rPr>
      </w:pPr>
      <w:r>
        <w:rPr>
          <w:rFonts w:ascii="宋体" w:hAnsi="宋体" w:hint="eastAsia"/>
          <w:sz w:val="28"/>
        </w:rPr>
        <w:t>5.4</w:t>
      </w:r>
      <w:r w:rsidR="00386AAF">
        <w:rPr>
          <w:rFonts w:ascii="宋体" w:hAnsi="宋体" w:hint="eastAsia"/>
          <w:sz w:val="28"/>
        </w:rPr>
        <w:t>工程的建设将成为推动四川</w:t>
      </w:r>
      <w:r>
        <w:rPr>
          <w:rFonts w:ascii="宋体" w:hAnsi="宋体" w:hint="eastAsia"/>
          <w:sz w:val="28"/>
        </w:rPr>
        <w:t>五金\建材\物流市场的有利补充，促进区域产业结构调整。交易仓储物流中心的建成,为整顿目前该区域零散的建材交易和仓储,</w:t>
      </w:r>
      <w:r w:rsidR="00386AAF">
        <w:rPr>
          <w:rFonts w:ascii="宋体" w:hAnsi="宋体" w:hint="eastAsia"/>
          <w:sz w:val="28"/>
        </w:rPr>
        <w:t>提升该区域建材物流环境提供了良好整合平台；工程建设将成为</w:t>
      </w:r>
      <w:r w:rsidR="00866766">
        <w:rPr>
          <w:rFonts w:ascii="宋体" w:hAnsi="宋体" w:hint="eastAsia"/>
          <w:sz w:val="28"/>
        </w:rPr>
        <w:t>新隆</w:t>
      </w:r>
      <w:r w:rsidR="00386AAF">
        <w:rPr>
          <w:rFonts w:ascii="宋体" w:hAnsi="宋体" w:hint="eastAsia"/>
          <w:sz w:val="28"/>
        </w:rPr>
        <w:t>县</w:t>
      </w:r>
      <w:r>
        <w:rPr>
          <w:rFonts w:ascii="宋体" w:hAnsi="宋体" w:hint="eastAsia"/>
          <w:sz w:val="28"/>
        </w:rPr>
        <w:t>开展专业市场和物流产业的形成互惠,互动,协同开展一支重要经济力量。</w:t>
      </w:r>
    </w:p>
    <w:p w:rsidR="00C90C60">
      <w:pPr>
        <w:spacing w:line="360" w:lineRule="auto"/>
        <w:ind w:firstLine="560" w:firstLineChars="200"/>
        <w:rPr>
          <w:rFonts w:ascii="宋体" w:hAnsi="宋体" w:hint="eastAsia"/>
          <w:sz w:val="28"/>
        </w:rPr>
        <w:sectPr>
          <w:type w:val="nextPage"/>
          <w:pgSz w:w="11906" w:h="16838"/>
          <w:pgMar w:top="1162" w:right="1270" w:bottom="1162" w:left="1230" w:header="851" w:footer="992" w:gutter="0"/>
          <w:pgNumType w:start="8"/>
          <w:cols w:space="720"/>
          <w:titlePg w:val="0"/>
          <w:docGrid w:type="lines" w:linePitch="312"/>
        </w:sectPr>
      </w:pPr>
      <w:r w:rsidR="001E272B">
        <w:rPr>
          <w:rFonts w:ascii="宋体" w:hAnsi="宋体" w:hint="eastAsia"/>
          <w:sz w:val="28"/>
        </w:rPr>
        <w:t>工程在</w:t>
      </w:r>
      <w:r>
        <w:rPr>
          <w:rFonts w:ascii="宋体" w:hAnsi="宋体" w:hint="eastAsia"/>
          <w:sz w:val="28"/>
        </w:rPr>
        <w:t>选址方面做了充分的考虑：针对西部各省市家居建材市场重复建设造成经济回报严重下降状况，调查西部建材家居市场层出上马，档次和品格高端的现实，结合工程的地块区位，在规划定位上侧重于批量建材交易为主和给城市品牌家</w:t>
      </w:r>
      <w:r w:rsidR="00FD3900">
        <w:rPr>
          <w:rFonts w:ascii="宋体" w:hAnsi="宋体" w:hint="eastAsia"/>
          <w:sz w:val="28"/>
        </w:rPr>
        <w:t>□</w:t>
      </w:r>
    </w:p>
    <w:p w:rsidR="00C90C60">
      <w:pPr>
        <w:spacing w:line="360" w:lineRule="auto"/>
        <w:ind w:firstLine="560" w:firstLineChars="200"/>
        <w:rPr>
          <w:rFonts w:ascii="宋体" w:hAnsi="宋体" w:hint="eastAsia"/>
          <w:sz w:val="28"/>
        </w:rPr>
        <w:sectPr>
          <w:type w:val="nextPage"/>
          <w:pgSz w:w="11906" w:h="16838"/>
          <w:pgMar w:top="1162" w:right="1270" w:bottom="1162" w:left="1230" w:header="851" w:footer="992" w:gutter="0"/>
          <w:pgNumType w:start="9"/>
          <w:cols w:space="720"/>
          <w:titlePg w:val="0"/>
          <w:docGrid w:type="lines" w:linePitch="312"/>
        </w:sectPr>
      </w:pPr>
      <w:r>
        <w:rPr>
          <w:rFonts w:ascii="宋体" w:hAnsi="宋体" w:hint="eastAsia"/>
          <w:sz w:val="28"/>
        </w:rPr>
        <w:t>居城和建材市场做专业仓储物流配套。园区功能布置上做了周到安排；重视消防、平安、卫生等环节的设置，特别是投资公司来自于长三角成熟商业资产运营公司，对工程的市场运作和供地的整理具有优越的背景。建设单位在多年专业运营中对建材市场有着独到开展战略，概念规划布局中重视对建材流通信息化投入和对自身标准化公司管理建设，为本工程投产后的经济回报起到了保障。在满足土地投资强度的根底上，工程投资兼顾了经济和社会效益的双重标准。建议工程早日开工建设。</w:t>
      </w:r>
      <w:r>
        <w:rPr>
          <w:rFonts w:ascii="宋体" w:hAnsi="宋体" w:hint="eastAsia"/>
          <w:sz w:val="28"/>
        </w:rPr>
        <w:t xml:space="preserve"> </w:t>
      </w:r>
    </w:p>
    <w:p w:rsidR="00C90C60">
      <w:pPr>
        <w:pStyle w:val="Heading1"/>
        <w:spacing w:before="0" w:after="0" w:line="360" w:lineRule="auto"/>
        <w:ind w:firstLine="1904" w:firstLineChars="595"/>
        <w:jc w:val="both"/>
        <w:rPr>
          <w:rFonts w:ascii="宋体" w:eastAsia="宋体" w:hAnsi="宋体" w:hint="eastAsia"/>
          <w:sz w:val="32"/>
        </w:rPr>
      </w:pPr>
      <w:bookmarkStart w:id="56" w:name="_Toc8921420"/>
      <w:bookmarkStart w:id="57" w:name="_Toc9141252"/>
      <w:bookmarkStart w:id="58" w:name="_Toc19449424"/>
      <w:bookmarkStart w:id="59" w:name="_Toc20275456"/>
      <w:bookmarkStart w:id="60" w:name="_Toc20275634"/>
      <w:bookmarkStart w:id="61" w:name="_Toc45100304"/>
      <w:bookmarkStart w:id="62" w:name="_Toc45100429"/>
      <w:bookmarkStart w:id="63" w:name="_Toc45100565"/>
    </w:p>
    <w:p w:rsidR="00C90C60">
      <w:pPr>
        <w:pStyle w:val="Heading1"/>
        <w:spacing w:before="0" w:after="0" w:line="360" w:lineRule="auto"/>
        <w:ind w:firstLine="1904" w:firstLineChars="595"/>
        <w:jc w:val="both"/>
        <w:rPr>
          <w:rFonts w:ascii="宋体" w:eastAsia="宋体" w:hAnsi="宋体" w:hint="eastAsia"/>
          <w:sz w:val="32"/>
        </w:rPr>
      </w:pPr>
      <w:r>
        <w:rPr>
          <w:rFonts w:ascii="宋体" w:eastAsia="宋体" w:hAnsi="宋体" w:hint="eastAsia"/>
          <w:sz w:val="32"/>
        </w:rPr>
        <w:t>第二章 工程建设的背景及必要性</w:t>
      </w:r>
      <w:bookmarkEnd w:id="56"/>
      <w:bookmarkEnd w:id="57"/>
      <w:bookmarkEnd w:id="58"/>
      <w:bookmarkEnd w:id="59"/>
      <w:bookmarkEnd w:id="60"/>
      <w:bookmarkEnd w:id="61"/>
      <w:bookmarkEnd w:id="62"/>
      <w:bookmarkEnd w:id="63"/>
    </w:p>
    <w:p w:rsidR="00C90C60">
      <w:pPr>
        <w:rPr>
          <w:rFonts w:hint="eastAsia"/>
        </w:rPr>
      </w:pPr>
    </w:p>
    <w:p w:rsidR="00C90C60">
      <w:pPr>
        <w:spacing w:line="360" w:lineRule="auto"/>
        <w:ind w:firstLine="412" w:firstLineChars="147"/>
        <w:rPr>
          <w:rFonts w:ascii="宋体" w:hAnsi="宋体" w:hint="eastAsia"/>
          <w:b/>
          <w:sz w:val="28"/>
        </w:rPr>
      </w:pPr>
      <w:r>
        <w:rPr>
          <w:rFonts w:ascii="宋体" w:hAnsi="宋体" w:hint="eastAsia"/>
          <w:b/>
          <w:sz w:val="28"/>
        </w:rPr>
        <w:t>一、我国建材业及建材/家居专业市场开展背景</w:t>
      </w:r>
    </w:p>
    <w:p w:rsidR="00C90C60">
      <w:pPr>
        <w:autoSpaceDE w:val="0"/>
        <w:autoSpaceDN w:val="0"/>
        <w:adjustRightInd w:val="0"/>
        <w:spacing w:line="360" w:lineRule="auto"/>
        <w:ind w:firstLine="560" w:firstLineChars="200"/>
        <w:rPr>
          <w:rFonts w:ascii="宋体" w:hAnsi="宋体" w:hint="eastAsia"/>
          <w:b/>
          <w:kern w:val="0"/>
          <w:sz w:val="28"/>
        </w:rPr>
      </w:pPr>
      <w:r>
        <w:rPr>
          <w:rFonts w:ascii="宋体" w:hAnsi="宋体" w:hint="eastAsia"/>
          <w:b/>
          <w:kern w:val="0"/>
          <w:sz w:val="28"/>
        </w:rPr>
        <w:t>1.1 建材市场现状</w:t>
      </w:r>
    </w:p>
    <w:p w:rsidR="00C90C60">
      <w:pPr>
        <w:autoSpaceDE w:val="0"/>
        <w:autoSpaceDN w:val="0"/>
        <w:adjustRightInd w:val="0"/>
        <w:spacing w:line="360" w:lineRule="auto"/>
        <w:ind w:firstLine="560" w:firstLineChars="200"/>
        <w:rPr>
          <w:rFonts w:ascii="宋体" w:hAnsi="宋体" w:hint="eastAsia"/>
          <w:kern w:val="0"/>
          <w:sz w:val="28"/>
        </w:rPr>
      </w:pPr>
      <w:r>
        <w:rPr>
          <w:rFonts w:ascii="宋体" w:hAnsi="宋体" w:hint="eastAsia"/>
          <w:kern w:val="0"/>
          <w:sz w:val="28"/>
        </w:rPr>
        <w:t xml:space="preserve">据国家统计局和国家经贸委有关调查报告：建筑材料产业近几年已开展成为我国市场经济中的新兴产业，对拉动国内市场消费作用十分显著。截止2007年，全国有以经营建筑材料及装饰材料为主的交易市场1084个，其中批发经营为主和以零售经营为主的各有542家。  </w:t>
      </w:r>
    </w:p>
    <w:p w:rsidR="00C90C60">
      <w:pPr>
        <w:autoSpaceDE w:val="0"/>
        <w:autoSpaceDN w:val="0"/>
        <w:adjustRightInd w:val="0"/>
        <w:spacing w:line="360" w:lineRule="auto"/>
        <w:ind w:firstLine="560" w:firstLineChars="200"/>
        <w:rPr>
          <w:rFonts w:ascii="宋体" w:hAnsi="宋体" w:hint="eastAsia"/>
          <w:color w:val="FF0000"/>
          <w:kern w:val="0"/>
          <w:sz w:val="28"/>
        </w:rPr>
      </w:pPr>
      <w:r>
        <w:rPr>
          <w:rFonts w:ascii="宋体" w:hAnsi="宋体" w:hint="eastAsia"/>
          <w:kern w:val="0"/>
          <w:sz w:val="28"/>
        </w:rPr>
        <w:t>近年我国建材市场的成交额已超过800亿元人民币/年。平均年市场管理费总额4.5亿元；税金总额9.6亿元；摊位租金总额9.8亿元；</w:t>
      </w:r>
      <w:r>
        <w:rPr>
          <w:rFonts w:ascii="宋体" w:hAnsi="宋体"/>
          <w:sz w:val="28"/>
        </w:rPr>
        <w:t>浙江南浔建材市场始于1987年，现已开展成为中国最大的胶合板集散中心</w:t>
      </w:r>
      <w:r>
        <w:rPr>
          <w:rFonts w:ascii="宋体" w:hAnsi="宋体" w:hint="eastAsia"/>
          <w:sz w:val="28"/>
        </w:rPr>
        <w:t>，</w:t>
      </w:r>
      <w:r>
        <w:rPr>
          <w:rFonts w:ascii="宋体" w:hAnsi="宋体" w:hint="eastAsia"/>
          <w:kern w:val="0"/>
          <w:sz w:val="28"/>
        </w:rPr>
        <w:t>成交额达63.6亿元；山东淄川区建材城，成交额达41亿元；南通市永兴商城，成交额为25亿元。其他成交额在10亿元以上的市场还有：常州新区长江贸易中心、南京装饰成、西南建材中心批发市场、宁波现代建筑装磺市场、佛山市石湾陶瓷建材批发市场和河北正定县恒山板材市场等。</w:t>
      </w:r>
    </w:p>
    <w:p w:rsidR="00C90C60">
      <w:pPr>
        <w:autoSpaceDE w:val="0"/>
        <w:autoSpaceDN w:val="0"/>
        <w:adjustRightInd w:val="0"/>
        <w:spacing w:line="360" w:lineRule="auto"/>
        <w:ind w:firstLine="700" w:firstLineChars="250"/>
        <w:rPr>
          <w:rFonts w:ascii="宋体" w:hAnsi="宋体" w:hint="eastAsia"/>
          <w:kern w:val="0"/>
          <w:sz w:val="28"/>
        </w:rPr>
      </w:pPr>
      <w:r>
        <w:rPr>
          <w:rFonts w:ascii="宋体" w:hAnsi="宋体" w:hint="eastAsia"/>
          <w:kern w:val="0"/>
          <w:sz w:val="28"/>
        </w:rPr>
        <w:t>建材产品的热销，使建材销售市场蓬勃开展。全国建材装饰材料摊位数量为15万个，已出租摊位11万个，其中，建筑及装璜材料类摊位占81.2%；木材及制品类、金属材料及制品类、家具类和化工材料类及制品类也分别占有一定的比重。与此同时，室内装饰已成为新的消费热点和新的经济增长点。目前国内装饰企业已超过4万家，装</w:t>
      </w:r>
    </w:p>
    <w:p w:rsidR="00C90C60">
      <w:pPr>
        <w:autoSpaceDE w:val="0"/>
        <w:autoSpaceDN w:val="0"/>
        <w:adjustRightInd w:val="0"/>
        <w:spacing w:line="360" w:lineRule="auto"/>
        <w:rPr>
          <w:rFonts w:ascii="宋体" w:hAnsi="宋体" w:hint="eastAsia"/>
          <w:kern w:val="0"/>
          <w:sz w:val="28"/>
        </w:rPr>
        <w:sectPr>
          <w:pgSz w:w="11906" w:h="16838"/>
          <w:pgMar w:top="1440" w:right="1800" w:bottom="1440" w:left="1800" w:header="851" w:footer="992" w:gutter="0"/>
          <w:pgNumType w:start="10"/>
          <w:cols w:space="720"/>
          <w:docGrid w:type="lines" w:linePitch="312"/>
        </w:sectPr>
      </w:pPr>
    </w:p>
    <w:p w:rsidR="00C90C60">
      <w:pPr>
        <w:autoSpaceDE w:val="0"/>
        <w:autoSpaceDN w:val="0"/>
        <w:adjustRightInd w:val="0"/>
        <w:spacing w:line="360" w:lineRule="auto"/>
        <w:rPr>
          <w:rFonts w:ascii="宋体" w:hAnsi="宋体" w:hint="eastAsia"/>
          <w:kern w:val="0"/>
          <w:sz w:val="28"/>
        </w:rPr>
      </w:pPr>
      <w:r>
        <w:rPr>
          <w:rFonts w:ascii="宋体" w:hAnsi="宋体" w:hint="eastAsia"/>
          <w:kern w:val="0"/>
          <w:sz w:val="28"/>
        </w:rPr>
        <w:t>饰业所创造的价值已跃居轻工40多个行业前列，成轻工业的重要支柱产业。</w:t>
      </w:r>
      <w:r>
        <w:rPr>
          <w:rFonts w:ascii="宋体" w:hAnsi="宋体" w:hint="eastAsia"/>
          <w:kern w:val="0"/>
          <w:sz w:val="28"/>
        </w:rPr>
        <w:t xml:space="preserve"> </w:t>
      </w:r>
    </w:p>
    <w:p w:rsidR="00C90C60">
      <w:pPr>
        <w:autoSpaceDE w:val="0"/>
        <w:autoSpaceDN w:val="0"/>
        <w:adjustRightInd w:val="0"/>
        <w:spacing w:line="360" w:lineRule="auto"/>
        <w:ind w:firstLine="420" w:firstLineChars="150"/>
        <w:rPr>
          <w:rFonts w:ascii="宋体" w:hAnsi="宋体" w:hint="eastAsia"/>
          <w:kern w:val="0"/>
          <w:sz w:val="28"/>
        </w:rPr>
      </w:pPr>
      <w:r>
        <w:rPr>
          <w:rFonts w:ascii="宋体" w:hAnsi="宋体" w:hint="eastAsia"/>
          <w:b/>
          <w:kern w:val="0"/>
          <w:sz w:val="28"/>
        </w:rPr>
        <w:t>1.2 建材市场形成的特点和问题</w:t>
      </w:r>
    </w:p>
    <w:p w:rsidR="00C90C60">
      <w:pPr>
        <w:widowControl/>
        <w:shd w:val="clear" w:color="auto" w:fill="FFFFFF"/>
        <w:spacing w:line="360" w:lineRule="auto"/>
        <w:ind w:left="-359" w:firstLine="840" w:leftChars="-171" w:firstLineChars="300"/>
        <w:jc w:val="left"/>
        <w:rPr>
          <w:rFonts w:ascii="宋体" w:hAnsi="宋体" w:hint="eastAsia"/>
          <w:kern w:val="0"/>
          <w:sz w:val="28"/>
        </w:rPr>
      </w:pPr>
      <w:r>
        <w:rPr>
          <w:rFonts w:ascii="宋体" w:hAnsi="宋体" w:hint="eastAsia"/>
          <w:kern w:val="0"/>
          <w:sz w:val="28"/>
        </w:rPr>
        <w:t>①</w:t>
      </w:r>
      <w:r>
        <w:rPr>
          <w:rFonts w:ascii="宋体" w:hAnsi="宋体" w:hint="eastAsia"/>
          <w:kern w:val="0"/>
          <w:sz w:val="28"/>
        </w:rPr>
        <w:t xml:space="preserve"> 建材企业后向一体化开展趋势</w:t>
      </w:r>
    </w:p>
    <w:p w:rsidR="00C90C60">
      <w:pPr>
        <w:widowControl/>
        <w:shd w:val="clear" w:color="auto" w:fill="FFFFFF"/>
        <w:spacing w:line="360" w:lineRule="auto"/>
        <w:ind w:firstLine="560" w:firstLineChars="200"/>
        <w:jc w:val="left"/>
        <w:rPr>
          <w:rFonts w:ascii="宋体" w:hAnsi="宋体"/>
          <w:kern w:val="0"/>
          <w:sz w:val="28"/>
        </w:rPr>
      </w:pPr>
      <w:r>
        <w:rPr>
          <w:rFonts w:ascii="宋体" w:hAnsi="宋体"/>
          <w:kern w:val="0"/>
          <w:sz w:val="28"/>
        </w:rPr>
        <w:t>近年来，原材料涨价已经成为建材家具厂商特别头痛的问题之一。随着世界性的资源短缺，原</w:t>
      </w:r>
      <w:r>
        <w:rPr>
          <w:rFonts w:ascii="宋体" w:hAnsi="宋体" w:hint="eastAsia"/>
          <w:kern w:val="0"/>
          <w:sz w:val="28"/>
        </w:rPr>
        <w:t>材</w:t>
      </w:r>
      <w:r>
        <w:rPr>
          <w:rFonts w:ascii="宋体" w:hAnsi="宋体"/>
          <w:kern w:val="0"/>
          <w:sz w:val="28"/>
        </w:rPr>
        <w:t>料将</w:t>
      </w:r>
      <w:r>
        <w:rPr>
          <w:rFonts w:ascii="宋体" w:hAnsi="宋体" w:hint="eastAsia"/>
          <w:kern w:val="0"/>
          <w:sz w:val="28"/>
        </w:rPr>
        <w:t>维持高价位趋势</w:t>
      </w:r>
      <w:r>
        <w:rPr>
          <w:rFonts w:ascii="宋体" w:hAnsi="宋体"/>
          <w:kern w:val="0"/>
          <w:sz w:val="28"/>
        </w:rPr>
        <w:t>。木材、钢材、五金等原材料的价格上涨</w:t>
      </w:r>
      <w:r>
        <w:rPr>
          <w:rFonts w:ascii="宋体" w:hAnsi="宋体" w:hint="eastAsia"/>
          <w:kern w:val="0"/>
          <w:sz w:val="28"/>
        </w:rPr>
        <w:t>，</w:t>
      </w:r>
      <w:r>
        <w:rPr>
          <w:rFonts w:ascii="宋体" w:hAnsi="宋体"/>
          <w:kern w:val="0"/>
          <w:sz w:val="28"/>
        </w:rPr>
        <w:t>一局部企业甚至出现过材料断炊的为难。资源的紧缺让中小企业的竞争更加剧烈，大型品牌企业与材料供给商合作紧密，拥有一定的议价能力，中小企业只能夹缝求生，日子益发难过。局部建材企业已经开始从源头着手，通过并购或是购置股权等方式与原料厂家合作，以求降低本钱。</w:t>
      </w:r>
    </w:p>
    <w:p w:rsidR="00C90C60">
      <w:pPr>
        <w:widowControl/>
        <w:shd w:val="clear" w:color="auto" w:fill="FFFFFF"/>
        <w:spacing w:line="360" w:lineRule="auto"/>
        <w:ind w:firstLine="560" w:firstLineChars="200"/>
        <w:jc w:val="left"/>
        <w:rPr>
          <w:rFonts w:ascii="宋体" w:hAnsi="宋体"/>
          <w:kern w:val="0"/>
          <w:sz w:val="28"/>
        </w:rPr>
      </w:pPr>
      <w:r>
        <w:rPr>
          <w:rFonts w:ascii="宋体" w:hAnsi="宋体" w:hint="eastAsia"/>
          <w:kern w:val="0"/>
          <w:sz w:val="28"/>
        </w:rPr>
        <w:t>②</w:t>
      </w:r>
      <w:r>
        <w:rPr>
          <w:rFonts w:ascii="宋体" w:hAnsi="宋体" w:hint="eastAsia"/>
          <w:kern w:val="0"/>
          <w:sz w:val="28"/>
        </w:rPr>
        <w:t xml:space="preserve"> </w:t>
      </w:r>
      <w:r>
        <w:rPr>
          <w:rFonts w:ascii="宋体" w:hAnsi="宋体"/>
          <w:kern w:val="0"/>
          <w:sz w:val="28"/>
        </w:rPr>
        <w:t>渠道商介入生产领域</w:t>
      </w:r>
    </w:p>
    <w:p w:rsidR="00C90C60">
      <w:pPr>
        <w:widowControl/>
        <w:shd w:val="clear" w:color="auto" w:fill="FFFFFF"/>
        <w:spacing w:line="360" w:lineRule="auto"/>
        <w:ind w:firstLine="560" w:firstLineChars="200"/>
        <w:jc w:val="left"/>
        <w:rPr>
          <w:rFonts w:ascii="宋体" w:hAnsi="宋体"/>
          <w:kern w:val="0"/>
          <w:sz w:val="28"/>
        </w:rPr>
      </w:pPr>
      <w:r>
        <w:rPr>
          <w:rFonts w:ascii="宋体" w:hAnsi="宋体"/>
          <w:kern w:val="0"/>
          <w:sz w:val="28"/>
        </w:rPr>
        <w:t>虽然多年以来，建材卖场一直是代理商的天下，但随着建材生产商品牌意识的增强以及消费者观念的转变，给多个品牌做代理的渠道商，日子越发不好过了。所以，局部渠道商离开建材行业，另一局部人涉足生产领域，开始打造独立品牌。</w:t>
      </w:r>
    </w:p>
    <w:p w:rsidR="00C90C60">
      <w:pPr>
        <w:widowControl/>
        <w:shd w:val="clear" w:color="auto" w:fill="FFFFFF"/>
        <w:spacing w:line="360" w:lineRule="auto"/>
        <w:ind w:firstLine="420" w:firstLineChars="150"/>
        <w:jc w:val="left"/>
        <w:rPr>
          <w:rFonts w:ascii="宋体" w:hAnsi="宋体"/>
          <w:kern w:val="0"/>
          <w:sz w:val="28"/>
        </w:rPr>
      </w:pPr>
      <w:r>
        <w:rPr>
          <w:rFonts w:ascii="宋体" w:hAnsi="宋体" w:hint="eastAsia"/>
          <w:kern w:val="0"/>
          <w:sz w:val="28"/>
        </w:rPr>
        <w:t>③</w:t>
      </w:r>
      <w:r>
        <w:rPr>
          <w:rFonts w:ascii="宋体" w:hAnsi="宋体" w:hint="eastAsia"/>
          <w:kern w:val="0"/>
          <w:sz w:val="28"/>
        </w:rPr>
        <w:t xml:space="preserve"> </w:t>
      </w:r>
      <w:r>
        <w:rPr>
          <w:rFonts w:ascii="宋体" w:hAnsi="宋体"/>
          <w:kern w:val="0"/>
          <w:sz w:val="28"/>
        </w:rPr>
        <w:t>资源向优势企业集中</w:t>
      </w:r>
    </w:p>
    <w:p w:rsidR="00C90C60">
      <w:pPr>
        <w:widowControl/>
        <w:shd w:val="clear" w:color="auto" w:fill="FFFFFF"/>
        <w:spacing w:line="360" w:lineRule="auto"/>
        <w:ind w:firstLine="420" w:firstLineChars="150"/>
        <w:jc w:val="left"/>
        <w:rPr>
          <w:rFonts w:ascii="宋体" w:hAnsi="宋体"/>
          <w:kern w:val="0"/>
          <w:sz w:val="28"/>
        </w:rPr>
      </w:pPr>
      <w:r>
        <w:rPr>
          <w:rFonts w:ascii="宋体" w:hAnsi="宋体"/>
          <w:kern w:val="0"/>
          <w:sz w:val="28"/>
        </w:rPr>
        <w:t>在家居行业</w:t>
      </w:r>
      <w:r>
        <w:rPr>
          <w:rFonts w:ascii="宋体" w:hAnsi="宋体" w:hint="eastAsia"/>
          <w:kern w:val="0"/>
          <w:sz w:val="28"/>
        </w:rPr>
        <w:t>市场火暴</w:t>
      </w:r>
      <w:r>
        <w:rPr>
          <w:rFonts w:ascii="宋体" w:hAnsi="宋体"/>
          <w:kern w:val="0"/>
          <w:sz w:val="28"/>
        </w:rPr>
        <w:t>的时候，建材城</w:t>
      </w:r>
      <w:r>
        <w:rPr>
          <w:rFonts w:ascii="宋体" w:hAnsi="宋体" w:hint="eastAsia"/>
          <w:kern w:val="0"/>
          <w:sz w:val="28"/>
        </w:rPr>
        <w:t>星罗棋布；</w:t>
      </w:r>
      <w:r>
        <w:rPr>
          <w:rFonts w:ascii="宋体" w:hAnsi="宋体"/>
          <w:kern w:val="0"/>
          <w:sz w:val="28"/>
        </w:rPr>
        <w:t>经过近年</w:t>
      </w:r>
      <w:r>
        <w:rPr>
          <w:rFonts w:ascii="宋体" w:hAnsi="宋体" w:hint="eastAsia"/>
          <w:kern w:val="0"/>
          <w:sz w:val="28"/>
        </w:rPr>
        <w:t>市场化竞争</w:t>
      </w:r>
      <w:r>
        <w:rPr>
          <w:rFonts w:ascii="宋体" w:hAnsi="宋体"/>
          <w:kern w:val="0"/>
          <w:sz w:val="28"/>
        </w:rPr>
        <w:t>，</w:t>
      </w:r>
      <w:r>
        <w:rPr>
          <w:rFonts w:ascii="宋体" w:hAnsi="宋体" w:hint="eastAsia"/>
          <w:kern w:val="0"/>
          <w:sz w:val="28"/>
        </w:rPr>
        <w:t>已经形成</w:t>
      </w:r>
      <w:r>
        <w:rPr>
          <w:rFonts w:ascii="宋体" w:hAnsi="宋体"/>
          <w:kern w:val="0"/>
          <w:sz w:val="28"/>
        </w:rPr>
        <w:t>品牌</w:t>
      </w:r>
      <w:r>
        <w:rPr>
          <w:rFonts w:ascii="宋体" w:hAnsi="宋体" w:hint="eastAsia"/>
          <w:kern w:val="0"/>
          <w:sz w:val="28"/>
        </w:rPr>
        <w:t>化趋势</w:t>
      </w:r>
      <w:r>
        <w:rPr>
          <w:rFonts w:ascii="宋体" w:hAnsi="宋体"/>
          <w:kern w:val="0"/>
          <w:sz w:val="28"/>
        </w:rPr>
        <w:t>。</w:t>
      </w:r>
    </w:p>
    <w:p w:rsidR="00C90C60">
      <w:pPr>
        <w:widowControl/>
        <w:shd w:val="clear" w:color="auto" w:fill="FFFFFF"/>
        <w:spacing w:line="360" w:lineRule="auto"/>
        <w:ind w:firstLine="420" w:firstLineChars="150"/>
        <w:jc w:val="left"/>
        <w:rPr>
          <w:rFonts w:ascii="宋体" w:hAnsi="宋体" w:hint="eastAsia"/>
          <w:kern w:val="0"/>
          <w:sz w:val="28"/>
        </w:rPr>
      </w:pPr>
      <w:r>
        <w:rPr>
          <w:rFonts w:ascii="宋体" w:hAnsi="宋体" w:hint="eastAsia"/>
          <w:kern w:val="0"/>
          <w:sz w:val="28"/>
        </w:rPr>
        <w:t>④</w:t>
      </w:r>
      <w:r>
        <w:rPr>
          <w:rFonts w:ascii="宋体" w:hAnsi="宋体" w:hint="eastAsia"/>
          <w:kern w:val="0"/>
          <w:sz w:val="28"/>
        </w:rPr>
        <w:t xml:space="preserve"> </w:t>
      </w:r>
      <w:r>
        <w:rPr>
          <w:rFonts w:ascii="宋体" w:hAnsi="宋体"/>
          <w:kern w:val="0"/>
          <w:sz w:val="28"/>
        </w:rPr>
        <w:t>资本给予更多关注</w:t>
      </w:r>
    </w:p>
    <w:p w:rsidR="00C90C60">
      <w:pPr>
        <w:widowControl/>
        <w:shd w:val="clear" w:color="auto" w:fill="FFFFFF"/>
        <w:spacing w:line="360" w:lineRule="auto"/>
        <w:ind w:firstLine="420" w:firstLineChars="150"/>
        <w:jc w:val="left"/>
        <w:rPr>
          <w:rFonts w:ascii="宋体" w:hAnsi="宋体"/>
          <w:kern w:val="0"/>
          <w:sz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kern w:val="0"/>
          <w:sz w:val="28"/>
        </w:rPr>
        <w:t>风险投资是</w:t>
      </w:r>
      <w:r>
        <w:rPr>
          <w:rFonts w:ascii="宋体" w:hAnsi="宋体" w:hint="eastAsia"/>
          <w:kern w:val="0"/>
          <w:sz w:val="28"/>
        </w:rPr>
        <w:t>2007年</w:t>
      </w:r>
      <w:r>
        <w:rPr>
          <w:rFonts w:ascii="宋体" w:hAnsi="宋体"/>
          <w:kern w:val="0"/>
          <w:sz w:val="28"/>
        </w:rPr>
        <w:t>建材行业最热门的话题，因为早年的框架协议，在</w:t>
      </w:r>
      <w:r>
        <w:rPr>
          <w:rFonts w:ascii="宋体" w:hAnsi="宋体" w:hint="eastAsia"/>
          <w:kern w:val="0"/>
          <w:sz w:val="28"/>
        </w:rPr>
        <w:t>2008年</w:t>
      </w:r>
    </w:p>
    <w:p w:rsidR="00C90C60">
      <w:pPr>
        <w:widowControl/>
        <w:shd w:val="clear" w:color="auto" w:fill="FFFFFF"/>
        <w:spacing w:line="360" w:lineRule="auto"/>
        <w:ind w:firstLine="420" w:firstLineChars="150"/>
        <w:jc w:val="left"/>
        <w:rPr>
          <w:rFonts w:ascii="宋体" w:hAnsi="宋体"/>
          <w:kern w:val="0"/>
          <w:sz w:val="28"/>
        </w:rPr>
      </w:pPr>
      <w:r>
        <w:rPr>
          <w:rFonts w:ascii="宋体" w:hAnsi="宋体"/>
          <w:kern w:val="0"/>
          <w:sz w:val="28"/>
        </w:rPr>
        <w:t>变成了巨额资金到位。由于盘量巨大，国内外的私募资本以及风险投资业都表现出对中国建材家居产业的浓厚兴趣。全球最大建材超市家得宝出资近1亿美元借家世界之壳进入中国市场。美国凯雷投资集团以2750万美元投资了上海安信地板。此后，安信伟光(上海)木材兼并收购宝钢旗下的宝优特地板。中国联想弘毅以6000万人民币投资科宝博洛尼，这家从事高档家居产品生产的企业同时还获得高盛、淡马锡和新鸿基等基金的青睐。</w:t>
      </w:r>
    </w:p>
    <w:p w:rsidR="00C90C60">
      <w:pPr>
        <w:widowControl/>
        <w:shd w:val="clear" w:color="auto" w:fill="FFFFFF"/>
        <w:spacing w:line="360" w:lineRule="auto"/>
        <w:ind w:firstLine="560" w:firstLineChars="200"/>
        <w:jc w:val="left"/>
        <w:rPr>
          <w:rFonts w:ascii="宋体" w:hAnsi="宋体"/>
          <w:kern w:val="0"/>
          <w:sz w:val="28"/>
        </w:rPr>
      </w:pPr>
      <w:r>
        <w:rPr>
          <w:rFonts w:ascii="宋体" w:hAnsi="宋体" w:hint="eastAsia"/>
          <w:kern w:val="0"/>
          <w:sz w:val="28"/>
        </w:rPr>
        <w:t>⑤</w:t>
      </w:r>
      <w:r>
        <w:rPr>
          <w:rFonts w:ascii="宋体" w:hAnsi="宋体" w:hint="eastAsia"/>
          <w:kern w:val="0"/>
          <w:sz w:val="28"/>
        </w:rPr>
        <w:t xml:space="preserve"> </w:t>
      </w:r>
      <w:r>
        <w:rPr>
          <w:rFonts w:ascii="宋体" w:hAnsi="宋体"/>
          <w:kern w:val="0"/>
          <w:sz w:val="28"/>
        </w:rPr>
        <w:t>出口保护越来越少</w:t>
      </w:r>
    </w:p>
    <w:p w:rsidR="00C90C60">
      <w:pPr>
        <w:widowControl/>
        <w:shd w:val="clear" w:color="auto" w:fill="FFFFFF"/>
        <w:spacing w:line="360" w:lineRule="auto"/>
        <w:ind w:firstLine="560" w:firstLineChars="200"/>
        <w:jc w:val="left"/>
        <w:rPr>
          <w:rFonts w:ascii="宋体" w:hAnsi="宋体"/>
          <w:kern w:val="0"/>
          <w:sz w:val="28"/>
        </w:rPr>
      </w:pPr>
      <w:r>
        <w:rPr>
          <w:rFonts w:ascii="宋体" w:hAnsi="宋体"/>
          <w:kern w:val="0"/>
          <w:sz w:val="28"/>
        </w:rPr>
        <w:t>涉及地板、钢材类产品的出口退税新政策</w:t>
      </w:r>
      <w:r>
        <w:rPr>
          <w:rFonts w:ascii="宋体" w:hAnsi="宋体" w:hint="eastAsia"/>
          <w:kern w:val="0"/>
          <w:sz w:val="28"/>
        </w:rPr>
        <w:t>2007年</w:t>
      </w:r>
      <w:r>
        <w:rPr>
          <w:rFonts w:ascii="宋体" w:hAnsi="宋体"/>
          <w:kern w:val="0"/>
          <w:sz w:val="28"/>
        </w:rPr>
        <w:t>连续公布了几项。日前，商务部和海关总署又公布了新一批加工贸易限制类商品目录。新调整的加工贸易政策将于8月23日起执行，从事家具加工贸易的企业也面临缴纳保证金的新压力。因退税率的下调及缴纳保证金而大幅增加的本钱，使一些小企业面临着将倒闭或转型的局面。</w:t>
      </w:r>
    </w:p>
    <w:p w:rsidR="00C90C60">
      <w:pPr>
        <w:widowControl/>
        <w:shd w:val="clear" w:color="auto" w:fill="FFFFFF"/>
        <w:spacing w:line="360" w:lineRule="auto"/>
        <w:ind w:firstLine="560" w:firstLineChars="200"/>
        <w:jc w:val="left"/>
        <w:rPr>
          <w:rFonts w:ascii="宋体" w:hAnsi="宋体"/>
          <w:kern w:val="0"/>
          <w:sz w:val="28"/>
        </w:rPr>
      </w:pPr>
      <w:r>
        <w:rPr>
          <w:rFonts w:ascii="宋体" w:hAnsi="宋体" w:hint="eastAsia"/>
          <w:kern w:val="0"/>
          <w:sz w:val="28"/>
        </w:rPr>
        <w:t>⑥</w:t>
      </w:r>
      <w:r>
        <w:rPr>
          <w:rFonts w:ascii="宋体" w:hAnsi="宋体" w:hint="eastAsia"/>
          <w:kern w:val="0"/>
          <w:sz w:val="28"/>
        </w:rPr>
        <w:t xml:space="preserve"> </w:t>
      </w:r>
      <w:r>
        <w:rPr>
          <w:rFonts w:ascii="宋体" w:hAnsi="宋体"/>
          <w:kern w:val="0"/>
          <w:sz w:val="28"/>
        </w:rPr>
        <w:t>跨界招募专业人才</w:t>
      </w:r>
    </w:p>
    <w:p w:rsidR="00C90C60">
      <w:pPr>
        <w:widowControl/>
        <w:shd w:val="clear" w:color="auto" w:fill="FFFFFF"/>
        <w:spacing w:line="360" w:lineRule="auto"/>
        <w:ind w:firstLine="560" w:firstLineChars="200"/>
        <w:jc w:val="left"/>
        <w:rPr>
          <w:rFonts w:ascii="宋体" w:hAnsi="宋体"/>
          <w:kern w:val="0"/>
          <w:sz w:val="28"/>
        </w:rPr>
      </w:pPr>
      <w:r>
        <w:rPr>
          <w:rFonts w:ascii="宋体" w:hAnsi="宋体"/>
          <w:kern w:val="0"/>
          <w:sz w:val="28"/>
        </w:rPr>
        <w:t>建材业其实是竞争仍不太充分的行业。虽然，业内领军企业的规模、设备、人员素质等都已经上了几个台阶，但是其手工企业、家族企业的影子还没有完全退却。</w:t>
      </w:r>
    </w:p>
    <w:p w:rsidR="00C90C60">
      <w:pPr>
        <w:widowControl/>
        <w:shd w:val="clear" w:color="auto" w:fill="FFFFFF"/>
        <w:spacing w:line="360" w:lineRule="auto"/>
        <w:ind w:firstLine="560" w:firstLineChars="200"/>
        <w:jc w:val="left"/>
        <w:rPr>
          <w:rFonts w:ascii="宋体" w:hAnsi="宋体"/>
          <w:kern w:val="0"/>
          <w:sz w:val="28"/>
        </w:rPr>
      </w:pPr>
      <w:r>
        <w:rPr>
          <w:rFonts w:ascii="宋体" w:hAnsi="宋体" w:hint="eastAsia"/>
          <w:kern w:val="0"/>
          <w:sz w:val="28"/>
        </w:rPr>
        <w:t>⑦</w:t>
      </w:r>
      <w:r>
        <w:rPr>
          <w:rFonts w:ascii="宋体" w:hAnsi="宋体" w:hint="eastAsia"/>
          <w:kern w:val="0"/>
          <w:sz w:val="28"/>
        </w:rPr>
        <w:t xml:space="preserve"> </w:t>
      </w:r>
      <w:r>
        <w:rPr>
          <w:rFonts w:ascii="宋体" w:hAnsi="宋体"/>
          <w:kern w:val="0"/>
          <w:sz w:val="28"/>
        </w:rPr>
        <w:t>专利意识有所升级</w:t>
      </w:r>
    </w:p>
    <w:p w:rsidR="00C90C60">
      <w:pPr>
        <w:widowControl/>
        <w:shd w:val="clear" w:color="auto" w:fill="FFFFFF"/>
        <w:spacing w:line="360" w:lineRule="auto"/>
        <w:ind w:firstLine="560" w:firstLineChars="200"/>
        <w:jc w:val="left"/>
        <w:rPr>
          <w:rFonts w:ascii="宋体" w:hAnsi="宋体" w:hint="eastAsia"/>
          <w:kern w:val="0"/>
          <w:sz w:val="28"/>
        </w:rPr>
      </w:pPr>
      <w:r>
        <w:rPr>
          <w:rFonts w:ascii="宋体" w:hAnsi="宋体"/>
          <w:kern w:val="0"/>
          <w:sz w:val="28"/>
        </w:rPr>
        <w:t>随着中国经济的全球化趋势，如何尊重和保护知识产权将成为建</w:t>
      </w:r>
    </w:p>
    <w:p w:rsidR="00C90C60">
      <w:pPr>
        <w:widowControl/>
        <w:shd w:val="clear" w:color="auto" w:fill="FFFFFF"/>
        <w:spacing w:line="360" w:lineRule="auto"/>
        <w:jc w:val="left"/>
        <w:rPr>
          <w:rFonts w:ascii="宋体" w:hAnsi="宋体"/>
          <w:kern w:val="0"/>
          <w:sz w:val="28"/>
        </w:rPr>
        <w:sectPr>
          <w:type w:val="nextPage"/>
          <w:pgSz w:w="11906" w:h="16838"/>
          <w:pgMar w:top="1440" w:right="1800" w:bottom="1440" w:left="1800" w:header="851" w:footer="992" w:gutter="0"/>
          <w:pgNumType w:start="12"/>
          <w:cols w:space="720"/>
          <w:titlePg w:val="0"/>
          <w:docGrid w:type="lines" w:linePitch="312"/>
        </w:sectPr>
      </w:pPr>
    </w:p>
    <w:p w:rsidR="00C90C60">
      <w:pPr>
        <w:widowControl/>
        <w:shd w:val="clear" w:color="auto" w:fill="FFFFFF"/>
        <w:spacing w:line="360" w:lineRule="auto"/>
        <w:jc w:val="left"/>
        <w:rPr>
          <w:rFonts w:ascii="宋体" w:hAnsi="宋体"/>
          <w:kern w:val="0"/>
          <w:sz w:val="28"/>
        </w:rPr>
      </w:pPr>
      <w:r>
        <w:rPr>
          <w:rFonts w:ascii="宋体" w:hAnsi="宋体"/>
          <w:kern w:val="0"/>
          <w:sz w:val="28"/>
        </w:rPr>
        <w:t>材企业的研究课题。在关税壁垒逐渐被破除后，越来越多的技术壁垒和非关税壁垒将中国的建材企业挡在国门之内。知识产权保护一直是中国建材企业的软肋，“COPY"至一度是局部企业的生存法宝。如今，随着行业的进步，越来越多的企业开始重视知识产权，相关专利的申请数量骤增。除了投巨资资助研发外，有的企业为了保护自己的原创设计，在国内也开始打起了知识产权的官司。虽然追求的未必是胜诉结果，</w:t>
      </w:r>
      <w:r>
        <w:rPr>
          <w:rFonts w:ascii="宋体" w:hAnsi="宋体" w:hint="eastAsia"/>
          <w:kern w:val="0"/>
          <w:sz w:val="28"/>
        </w:rPr>
        <w:t>保护产权意识得到彰显</w:t>
      </w:r>
      <w:r>
        <w:rPr>
          <w:rFonts w:ascii="宋体" w:hAnsi="宋体"/>
          <w:kern w:val="0"/>
          <w:sz w:val="28"/>
        </w:rPr>
        <w:t>！</w:t>
      </w:r>
    </w:p>
    <w:p w:rsidR="00C90C60">
      <w:pPr>
        <w:widowControl/>
        <w:shd w:val="clear" w:color="auto" w:fill="FFFFFF"/>
        <w:spacing w:line="360" w:lineRule="auto"/>
        <w:ind w:firstLine="560" w:firstLineChars="200"/>
        <w:jc w:val="left"/>
        <w:rPr>
          <w:rFonts w:ascii="宋体" w:hAnsi="宋体"/>
          <w:kern w:val="0"/>
          <w:sz w:val="28"/>
        </w:rPr>
      </w:pPr>
      <w:r>
        <w:rPr>
          <w:rFonts w:ascii="宋体" w:hAnsi="宋体" w:hint="eastAsia"/>
          <w:kern w:val="0"/>
          <w:sz w:val="28"/>
        </w:rPr>
        <w:t>⑧</w:t>
      </w:r>
      <w:r>
        <w:rPr>
          <w:rFonts w:ascii="宋体" w:hAnsi="宋体" w:hint="eastAsia"/>
          <w:kern w:val="0"/>
          <w:sz w:val="28"/>
        </w:rPr>
        <w:t xml:space="preserve"> </w:t>
      </w:r>
      <w:r>
        <w:rPr>
          <w:rFonts w:ascii="宋体" w:hAnsi="宋体"/>
          <w:kern w:val="0"/>
          <w:sz w:val="28"/>
        </w:rPr>
        <w:t>品牌建设备受重视</w:t>
      </w:r>
    </w:p>
    <w:p w:rsidR="00C90C60">
      <w:pPr>
        <w:widowControl/>
        <w:shd w:val="clear" w:color="auto" w:fill="FFFFFF"/>
        <w:spacing w:line="360" w:lineRule="auto"/>
        <w:ind w:firstLine="560" w:firstLineChars="200"/>
        <w:jc w:val="left"/>
        <w:rPr>
          <w:rFonts w:ascii="宋体" w:hAnsi="宋体"/>
          <w:kern w:val="0"/>
          <w:sz w:val="28"/>
        </w:rPr>
      </w:pPr>
      <w:r>
        <w:rPr>
          <w:rFonts w:ascii="宋体" w:hAnsi="宋体" w:hint="eastAsia"/>
          <w:kern w:val="0"/>
          <w:sz w:val="28"/>
        </w:rPr>
        <w:t>8</w:t>
      </w:r>
      <w:r>
        <w:rPr>
          <w:rFonts w:ascii="宋体" w:hAnsi="宋体"/>
          <w:kern w:val="0"/>
          <w:sz w:val="28"/>
        </w:rPr>
        <w:t>年以前，建材商投广告还是凤毛麟角。如今，建材广告却是铺天盖地--电视、路牌、公交车、报纸、网络上，都能看到建材企业的身影。建材企业原来多是埋头干活，对于品牌建设根本“没有感觉”。如今，竞争使他们认识到，企业需要品牌，品牌需要塑造。今后建材企业除为了销售而打广告外，还会越来越重视品牌的传播以及品牌公众形象的塑造。</w:t>
      </w:r>
    </w:p>
    <w:p w:rsidR="00C90C60">
      <w:pPr>
        <w:widowControl/>
        <w:shd w:val="clear" w:color="auto" w:fill="FFFFFF"/>
        <w:spacing w:line="360" w:lineRule="auto"/>
        <w:ind w:firstLine="560" w:firstLineChars="200"/>
        <w:jc w:val="left"/>
        <w:rPr>
          <w:rFonts w:ascii="宋体" w:hAnsi="宋体" w:hint="eastAsia"/>
          <w:kern w:val="0"/>
          <w:sz w:val="28"/>
        </w:rPr>
      </w:pPr>
      <w:r>
        <w:rPr>
          <w:rFonts w:ascii="宋体" w:hAnsi="宋体" w:hint="eastAsia"/>
          <w:kern w:val="0"/>
          <w:sz w:val="28"/>
        </w:rPr>
        <w:t>⑨</w:t>
      </w:r>
      <w:r>
        <w:rPr>
          <w:rFonts w:ascii="宋体" w:hAnsi="宋体" w:hint="eastAsia"/>
          <w:kern w:val="0"/>
          <w:sz w:val="28"/>
        </w:rPr>
        <w:t xml:space="preserve"> 建材</w:t>
      </w:r>
      <w:r>
        <w:rPr>
          <w:rFonts w:ascii="宋体" w:hAnsi="宋体"/>
          <w:kern w:val="0"/>
          <w:sz w:val="28"/>
        </w:rPr>
        <w:t>行业面临</w:t>
      </w:r>
      <w:r>
        <w:rPr>
          <w:rFonts w:ascii="宋体" w:hAnsi="宋体" w:hint="eastAsia"/>
          <w:kern w:val="0"/>
          <w:sz w:val="28"/>
        </w:rPr>
        <w:t>健康积极开展</w:t>
      </w:r>
    </w:p>
    <w:p w:rsidR="00C90C60">
      <w:pPr>
        <w:widowControl/>
        <w:shd w:val="clear" w:color="auto" w:fill="FFFFFF"/>
        <w:spacing w:line="360" w:lineRule="auto"/>
        <w:ind w:firstLine="560" w:firstLineChars="200"/>
        <w:jc w:val="left"/>
        <w:rPr>
          <w:rFonts w:ascii="宋体" w:hAnsi="宋体" w:hint="eastAsia"/>
          <w:kern w:val="0"/>
          <w:sz w:val="28"/>
        </w:rPr>
      </w:pPr>
      <w:r>
        <w:rPr>
          <w:rFonts w:ascii="宋体" w:hAnsi="宋体"/>
          <w:kern w:val="0"/>
          <w:sz w:val="28"/>
        </w:rPr>
        <w:t>奥运会到来的特殊年头对</w:t>
      </w:r>
      <w:r>
        <w:rPr>
          <w:rFonts w:ascii="宋体" w:hAnsi="宋体" w:hint="eastAsia"/>
          <w:kern w:val="0"/>
          <w:sz w:val="28"/>
        </w:rPr>
        <w:t>建材行业</w:t>
      </w:r>
      <w:r>
        <w:rPr>
          <w:rFonts w:ascii="宋体" w:hAnsi="宋体"/>
          <w:kern w:val="0"/>
          <w:sz w:val="28"/>
        </w:rPr>
        <w:t>影响甚大。</w:t>
      </w:r>
      <w:r>
        <w:rPr>
          <w:rFonts w:ascii="宋体" w:hAnsi="宋体" w:hint="eastAsia"/>
          <w:kern w:val="0"/>
          <w:sz w:val="28"/>
        </w:rPr>
        <w:t>房地产开发交</w:t>
      </w:r>
      <w:r>
        <w:rPr>
          <w:rFonts w:ascii="宋体" w:hAnsi="宋体"/>
          <w:kern w:val="0"/>
          <w:sz w:val="28"/>
        </w:rPr>
        <w:t>房量下降</w:t>
      </w:r>
      <w:r>
        <w:rPr>
          <w:rFonts w:ascii="宋体" w:hAnsi="宋体" w:hint="eastAsia"/>
          <w:kern w:val="0"/>
          <w:sz w:val="28"/>
        </w:rPr>
        <w:t>快</w:t>
      </w:r>
      <w:r>
        <w:rPr>
          <w:rFonts w:ascii="宋体" w:hAnsi="宋体"/>
          <w:kern w:val="0"/>
          <w:sz w:val="28"/>
        </w:rPr>
        <w:t>，</w:t>
      </w:r>
      <w:r>
        <w:rPr>
          <w:rFonts w:ascii="宋体" w:hAnsi="宋体" w:hint="eastAsia"/>
          <w:kern w:val="0"/>
          <w:sz w:val="28"/>
        </w:rPr>
        <w:t>市场在</w:t>
      </w:r>
      <w:r>
        <w:rPr>
          <w:rFonts w:ascii="宋体" w:hAnsi="宋体"/>
          <w:kern w:val="0"/>
          <w:sz w:val="28"/>
        </w:rPr>
        <w:t>萎缩；困难之下，也有机遇。</w:t>
      </w:r>
      <w:r>
        <w:rPr>
          <w:rFonts w:ascii="宋体" w:hAnsi="宋体" w:hint="eastAsia"/>
          <w:kern w:val="0"/>
          <w:sz w:val="28"/>
        </w:rPr>
        <w:t>2009年全国房产快速回暖，家装行业也随之快速开展。仅2009年厨卫行业实现产值18500亿，比2008年增长了12%。加上2009年高速开展的惯性，使得建材行业依然活泼。</w:t>
      </w:r>
    </w:p>
    <w:p w:rsidR="00C90C60">
      <w:pPr>
        <w:autoSpaceDE w:val="0"/>
        <w:autoSpaceDN w:val="0"/>
        <w:adjustRightInd w:val="0"/>
        <w:spacing w:line="360" w:lineRule="auto"/>
        <w:ind w:firstLine="560" w:firstLineChars="200"/>
        <w:rPr>
          <w:rFonts w:ascii="宋体" w:hAnsi="宋体" w:hint="eastAsia"/>
          <w:b/>
          <w:kern w:val="0"/>
          <w:sz w:val="28"/>
        </w:rPr>
      </w:pPr>
      <w:r>
        <w:rPr>
          <w:rFonts w:ascii="宋体" w:hAnsi="宋体" w:hint="eastAsia"/>
          <w:b/>
          <w:kern w:val="0"/>
          <w:sz w:val="28"/>
        </w:rPr>
        <w:t>1.3 中国建材连锁市场前景可观，外资掌控明显</w:t>
      </w:r>
    </w:p>
    <w:p w:rsidR="00C90C60">
      <w:pPr>
        <w:autoSpaceDE w:val="0"/>
        <w:autoSpaceDN w:val="0"/>
        <w:adjustRightInd w:val="0"/>
        <w:spacing w:line="360" w:lineRule="auto"/>
        <w:rPr>
          <w:rFonts w:ascii="宋体" w:hAnsi="宋体" w:hint="eastAsia"/>
          <w:kern w:val="0"/>
          <w:sz w:val="28"/>
        </w:rPr>
      </w:pPr>
    </w:p>
    <w:p w:rsidR="00C90C60">
      <w:pPr>
        <w:autoSpaceDE w:val="0"/>
        <w:autoSpaceDN w:val="0"/>
        <w:adjustRightInd w:val="0"/>
        <w:spacing w:line="360" w:lineRule="auto"/>
        <w:ind w:firstLine="560" w:firstLineChars="200"/>
        <w:rPr>
          <w:rFonts w:ascii="宋体" w:hAnsi="宋体" w:hint="eastAsia"/>
          <w:kern w:val="0"/>
          <w:sz w:val="28"/>
        </w:rPr>
        <w:sectPr>
          <w:type w:val="nextPage"/>
          <w:pgSz w:w="11906" w:h="16838"/>
          <w:pgMar w:top="1440" w:right="1800" w:bottom="1440" w:left="1800" w:header="851" w:footer="992" w:gutter="0"/>
          <w:pgNumType w:start="13"/>
          <w:cols w:space="720"/>
          <w:titlePg w:val="0"/>
          <w:docGrid w:type="lines" w:linePitch="312"/>
        </w:sectPr>
      </w:pPr>
    </w:p>
    <w:p w:rsidR="00C90C60">
      <w:pPr>
        <w:autoSpaceDE w:val="0"/>
        <w:autoSpaceDN w:val="0"/>
        <w:adjustRightInd w:val="0"/>
        <w:spacing w:line="360" w:lineRule="auto"/>
        <w:ind w:firstLine="560" w:firstLineChars="200"/>
        <w:rPr>
          <w:rFonts w:ascii="宋体" w:hAnsi="宋体" w:hint="eastAsia"/>
          <w:kern w:val="0"/>
          <w:sz w:val="28"/>
        </w:rPr>
      </w:pPr>
      <w:r>
        <w:rPr>
          <w:rFonts w:ascii="宋体" w:hAnsi="宋体" w:hint="eastAsia"/>
          <w:kern w:val="0"/>
          <w:sz w:val="28"/>
        </w:rPr>
        <w:t>中国建材销售渠道目前来看仍然以传统的建材批发零售市场以及建材城为主，建材连锁这一新业态的前景十分可观，无论在建材供给商中的影响力、建材消费者的影响力都显著提高，这种业态开展顺应了中国人民生活水平的提高，对家庭装修材料的需求也从以价格为主，转向质量、健康、效劳、价格等因素并举的开展趋势，尤其是在上海、北京等兴旺大城市。家居建材超市恰好能够同时满足消费者在上述诸多方面的需求。</w:t>
      </w:r>
    </w:p>
    <w:p w:rsidR="00C90C60">
      <w:pPr>
        <w:autoSpaceDE w:val="0"/>
        <w:autoSpaceDN w:val="0"/>
        <w:adjustRightInd w:val="0"/>
        <w:spacing w:line="360" w:lineRule="auto"/>
        <w:ind w:firstLine="560" w:firstLineChars="200"/>
        <w:rPr>
          <w:rFonts w:ascii="宋体" w:hAnsi="宋体" w:hint="eastAsia"/>
          <w:kern w:val="0"/>
          <w:sz w:val="28"/>
        </w:rPr>
      </w:pPr>
      <w:r>
        <w:rPr>
          <w:rFonts w:ascii="宋体" w:hAnsi="宋体" w:hint="eastAsia"/>
          <w:kern w:val="0"/>
          <w:sz w:val="28"/>
        </w:rPr>
        <w:t>中国建材市场的现状及美好前景已经吸引了全球范围内资本及建材连锁巨头，在中国第一家建材连锁集团家世界成立后的两年，全球建材连锁巨头如美国家得宝、美国劳氏、英国百安居、法国乐华梅兰、德国欧倍德等都相继进入中国市场。同时中国国内也涌现了一批建材连锁企业，然而在同外资的竞争过程中，并没有很好地利用熟悉当地市场的优势，做出有中国特色的建材连锁模式，优秀的比方天津家世界、东方集团下属的东方家园相继被外资收购。资金实力成为制约外乡建材连锁的重要原因，资金的缺乏迫使中资企业在培养人才，挖人，开店，开配送中心、店面装修、运营模式重塑、扩张速度上都难以同建材连锁外资企业相抗衡。中国建材行业也缺乏优秀的建材仓储物流支持。</w:t>
      </w:r>
    </w:p>
    <w:p w:rsidR="00C90C60">
      <w:pPr>
        <w:autoSpaceDE w:val="0"/>
        <w:autoSpaceDN w:val="0"/>
        <w:adjustRightInd w:val="0"/>
        <w:spacing w:line="360" w:lineRule="auto"/>
        <w:ind w:firstLine="560" w:firstLineChars="200"/>
        <w:rPr>
          <w:rFonts w:ascii="宋体" w:hAnsi="宋体" w:hint="eastAsia"/>
          <w:b/>
          <w:kern w:val="0"/>
          <w:sz w:val="28"/>
        </w:rPr>
      </w:pPr>
      <w:r>
        <w:rPr>
          <w:rFonts w:ascii="宋体" w:hAnsi="宋体" w:hint="eastAsia"/>
          <w:b/>
          <w:kern w:val="0"/>
          <w:sz w:val="28"/>
        </w:rPr>
        <w:t>1.4 建材业消费创新呈现新趋势</w:t>
      </w:r>
    </w:p>
    <w:p w:rsidR="00C90C60">
      <w:pPr>
        <w:autoSpaceDE w:val="0"/>
        <w:autoSpaceDN w:val="0"/>
        <w:adjustRightInd w:val="0"/>
        <w:spacing w:line="360" w:lineRule="auto"/>
        <w:ind w:firstLine="560" w:firstLineChars="200"/>
        <w:rPr>
          <w:rFonts w:ascii="宋体" w:hAnsi="宋体" w:hint="eastAsia"/>
          <w:color w:val="000000"/>
          <w:sz w:val="28"/>
        </w:rPr>
      </w:pPr>
      <w:r>
        <w:rPr>
          <w:rFonts w:ascii="宋体" w:hAnsi="宋体"/>
          <w:color w:val="000000"/>
          <w:sz w:val="28"/>
        </w:rPr>
        <w:t>宏观经济紧缩、房贷政策收紧的2008年，建材巨头百安居日前宣布了新的家装策略——</w:t>
      </w:r>
      <w:r>
        <w:rPr>
          <w:rFonts w:ascii="宋体" w:hAnsi="宋体" w:hint="eastAsia"/>
          <w:color w:val="000000"/>
          <w:sz w:val="28"/>
        </w:rPr>
        <w:t>2008</w:t>
      </w:r>
      <w:r>
        <w:rPr>
          <w:rFonts w:ascii="宋体" w:hAnsi="宋体"/>
          <w:color w:val="000000"/>
          <w:sz w:val="28"/>
        </w:rPr>
        <w:t>年将在全国60家店面中，全面推广家装按</w:t>
      </w:r>
    </w:p>
    <w:p w:rsidR="00C90C60">
      <w:pPr>
        <w:autoSpaceDE w:val="0"/>
        <w:autoSpaceDN w:val="0"/>
        <w:adjustRightInd w:val="0"/>
        <w:spacing w:line="360" w:lineRule="auto"/>
        <w:rPr>
          <w:rFonts w:ascii="宋体" w:hAnsi="宋体" w:hint="eastAsia"/>
          <w:kern w:val="0"/>
          <w:sz w:val="28"/>
        </w:rPr>
        <w:sectPr>
          <w:type w:val="nextPage"/>
          <w:pgSz w:w="11906" w:h="16838"/>
          <w:pgMar w:top="1440" w:right="1800" w:bottom="1440" w:left="1800" w:header="851" w:footer="992" w:gutter="0"/>
          <w:pgNumType w:start="14"/>
          <w:cols w:space="720"/>
          <w:titlePg w:val="0"/>
          <w:docGrid w:type="lines" w:linePitch="312"/>
        </w:sectPr>
      </w:pPr>
      <w:r>
        <w:rPr>
          <w:rFonts w:ascii="宋体" w:hAnsi="宋体"/>
          <w:color w:val="000000"/>
          <w:sz w:val="28"/>
        </w:rPr>
        <w:t>揭业务，在无担保前提下可以提供分期贷款的家装效劳</w:t>
      </w:r>
      <w:r>
        <w:rPr>
          <w:rFonts w:ascii="宋体" w:hAnsi="宋体" w:hint="eastAsia"/>
          <w:color w:val="000000"/>
          <w:sz w:val="28"/>
        </w:rPr>
        <w:t>，</w:t>
      </w:r>
      <w:r>
        <w:rPr>
          <w:rFonts w:ascii="宋体" w:hAnsi="宋体"/>
          <w:color w:val="000000"/>
          <w:sz w:val="28"/>
        </w:rPr>
        <w:t>与百安居的合作方银行目前为</w:t>
      </w:r>
      <w:r>
        <w:rPr>
          <w:rFonts w:ascii="宋体" w:hAnsi="宋体"/>
          <w:color w:val="auto"/>
          <w:sz w:val="28"/>
          <w:u w:val="none"/>
        </w:rPr>
        <w:t>招商银行</w:t>
      </w:r>
      <w:r>
        <w:rPr>
          <w:rFonts w:ascii="宋体" w:hAnsi="宋体"/>
          <w:color w:val="000000"/>
          <w:sz w:val="28"/>
        </w:rPr>
        <w:t>与</w:t>
      </w:r>
      <w:r>
        <w:rPr>
          <w:rFonts w:ascii="宋体" w:hAnsi="宋体"/>
          <w:color w:val="auto"/>
          <w:sz w:val="28"/>
          <w:u w:val="none"/>
        </w:rPr>
        <w:t>交通银行</w:t>
      </w:r>
      <w:r>
        <w:rPr>
          <w:rFonts w:ascii="宋体" w:hAnsi="宋体"/>
          <w:color w:val="000000"/>
          <w:sz w:val="28"/>
        </w:rPr>
        <w:t>，双方分别推出的工程是“家装易”、“分期宝”。普通消费者买房需要支付更多的首期付款。所以，一般消费者购置新房后，都面临着资金紧张、难以马上装修、新房闲置等为难局面。”家装按揭</w:t>
      </w:r>
      <w:r>
        <w:rPr>
          <w:rFonts w:ascii="宋体" w:hAnsi="宋体" w:hint="eastAsia"/>
          <w:color w:val="000000"/>
          <w:sz w:val="28"/>
        </w:rPr>
        <w:t>创新金融消费新模式，将媲美汽车金融按揭效劳，成为促进建材消费促进的新动力。</w:t>
      </w:r>
    </w:p>
    <w:p w:rsidR="00C90C60">
      <w:pPr>
        <w:autoSpaceDE w:val="0"/>
        <w:autoSpaceDN w:val="0"/>
        <w:adjustRightInd w:val="0"/>
        <w:spacing w:line="360" w:lineRule="auto"/>
        <w:ind w:firstLine="560" w:firstLineChars="200"/>
        <w:rPr>
          <w:rFonts w:ascii="宋体" w:hAnsi="宋体" w:hint="eastAsia"/>
          <w:b/>
          <w:kern w:val="0"/>
          <w:sz w:val="28"/>
        </w:rPr>
      </w:pPr>
      <w:r>
        <w:rPr>
          <w:rFonts w:ascii="宋体" w:hAnsi="宋体" w:hint="eastAsia"/>
          <w:b/>
          <w:kern w:val="0"/>
          <w:sz w:val="28"/>
        </w:rPr>
        <w:t>1.5 商业模式下，建材市场投资的困境</w:t>
      </w:r>
    </w:p>
    <w:p w:rsidR="00C90C60">
      <w:pPr>
        <w:widowControl/>
        <w:shd w:val="clear" w:color="auto" w:fill="FFFFFF"/>
        <w:spacing w:line="360" w:lineRule="auto"/>
        <w:ind w:firstLine="560" w:firstLineChars="200"/>
        <w:jc w:val="left"/>
        <w:rPr>
          <w:rFonts w:ascii="宋体" w:hAnsi="宋体" w:hint="eastAsia"/>
          <w:kern w:val="0"/>
          <w:sz w:val="28"/>
        </w:rPr>
      </w:pPr>
      <w:r>
        <w:rPr>
          <w:rFonts w:ascii="宋体" w:hAnsi="宋体"/>
          <w:kern w:val="0"/>
          <w:sz w:val="28"/>
        </w:rPr>
        <w:t>动辄几万、几十万平方米的五金</w:t>
      </w:r>
      <w:r>
        <w:rPr>
          <w:rFonts w:ascii="宋体" w:hAnsi="宋体" w:hint="eastAsia"/>
          <w:kern w:val="0"/>
          <w:sz w:val="28"/>
        </w:rPr>
        <w:t>\</w:t>
      </w:r>
      <w:r>
        <w:rPr>
          <w:rFonts w:ascii="宋体" w:hAnsi="宋体"/>
          <w:kern w:val="0"/>
          <w:sz w:val="28"/>
        </w:rPr>
        <w:t>建材装饰市场，提升改造遭遇土地瓶颈</w:t>
      </w:r>
      <w:r>
        <w:rPr>
          <w:rFonts w:ascii="宋体" w:hAnsi="宋体" w:hint="eastAsia"/>
          <w:kern w:val="0"/>
          <w:sz w:val="28"/>
        </w:rPr>
        <w:t>；</w:t>
      </w:r>
      <w:r>
        <w:rPr>
          <w:rFonts w:ascii="宋体" w:hAnsi="宋体"/>
          <w:kern w:val="0"/>
          <w:sz w:val="28"/>
        </w:rPr>
        <w:t>如果将五金建材市场用地按照商业地产用地对待，那么</w:t>
      </w:r>
      <w:r>
        <w:rPr>
          <w:rFonts w:ascii="宋体" w:hAnsi="宋体" w:hint="eastAsia"/>
          <w:kern w:val="0"/>
          <w:sz w:val="28"/>
        </w:rPr>
        <w:t>市场运营存在</w:t>
      </w:r>
      <w:r>
        <w:rPr>
          <w:rFonts w:ascii="宋体" w:hAnsi="宋体"/>
          <w:kern w:val="0"/>
          <w:sz w:val="28"/>
        </w:rPr>
        <w:t>极大的压力。土地资源越来越稀缺要素，</w:t>
      </w:r>
      <w:r>
        <w:rPr>
          <w:rFonts w:ascii="宋体" w:hAnsi="宋体" w:hint="eastAsia"/>
          <w:kern w:val="0"/>
          <w:sz w:val="28"/>
        </w:rPr>
        <w:t>市场建筑</w:t>
      </w:r>
      <w:r>
        <w:rPr>
          <w:rFonts w:ascii="宋体" w:hAnsi="宋体"/>
          <w:kern w:val="0"/>
          <w:sz w:val="28"/>
        </w:rPr>
        <w:t>房子又不能造太高，而五金建材装饰类市场又需要占用较大土地的面积，对于</w:t>
      </w:r>
      <w:r>
        <w:rPr>
          <w:rFonts w:ascii="宋体" w:hAnsi="宋体" w:hint="eastAsia"/>
          <w:kern w:val="0"/>
          <w:sz w:val="28"/>
        </w:rPr>
        <w:t>投资建材市场的来说，存在一定困境。而市场建设对于当地制造业开展具有促进作用，在房地产业辞别高速开展的通路后，促进工业经济和市场建设的开展对于城市经济循环和带动辐射作用具有重要意义。</w:t>
      </w:r>
    </w:p>
    <w:p w:rsidR="00C90C60">
      <w:pPr>
        <w:spacing w:before="156" w:beforeLines="50" w:line="360" w:lineRule="auto"/>
        <w:ind w:firstLine="549" w:firstLineChars="196"/>
        <w:rPr>
          <w:rFonts w:ascii="宋体" w:hAnsi="宋体" w:hint="eastAsia"/>
          <w:b/>
          <w:sz w:val="28"/>
        </w:rPr>
      </w:pPr>
      <w:r>
        <w:rPr>
          <w:rFonts w:ascii="宋体" w:hAnsi="宋体" w:hint="eastAsia"/>
          <w:b/>
          <w:kern w:val="0"/>
          <w:sz w:val="28"/>
        </w:rPr>
        <w:t xml:space="preserve">1.6  </w:t>
      </w:r>
      <w:r>
        <w:rPr>
          <w:rFonts w:ascii="宋体" w:hAnsi="宋体" w:hint="eastAsia"/>
          <w:b/>
          <w:sz w:val="28"/>
        </w:rPr>
        <w:t>中国建材/家居专业市场现状</w:t>
      </w:r>
    </w:p>
    <w:p w:rsidR="00C90C60">
      <w:pPr>
        <w:spacing w:line="360" w:lineRule="auto"/>
        <w:ind w:firstLine="560" w:firstLineChars="200"/>
        <w:rPr>
          <w:rFonts w:ascii="宋体" w:hAnsi="宋体" w:hint="eastAsia"/>
          <w:sz w:val="28"/>
        </w:rPr>
      </w:pPr>
      <w:r>
        <w:rPr>
          <w:rFonts w:ascii="宋体" w:hAnsi="宋体" w:hint="eastAsia"/>
          <w:sz w:val="28"/>
        </w:rPr>
        <w:t>中国很多城市</w:t>
      </w:r>
      <w:r>
        <w:rPr>
          <w:rFonts w:ascii="宋体" w:hAnsi="宋体"/>
          <w:sz w:val="28"/>
        </w:rPr>
        <w:t>建材市场初现</w:t>
      </w:r>
      <w:r>
        <w:rPr>
          <w:rFonts w:ascii="宋体" w:hAnsi="宋体" w:hint="eastAsia"/>
          <w:sz w:val="28"/>
        </w:rPr>
        <w:t>建设不均衡。如南京</w:t>
      </w:r>
      <w:r>
        <w:rPr>
          <w:rFonts w:ascii="宋体" w:hAnsi="宋体"/>
          <w:kern w:val="0"/>
          <w:sz w:val="28"/>
        </w:rPr>
        <w:t>截至</w:t>
      </w:r>
      <w:r>
        <w:rPr>
          <w:rFonts w:ascii="宋体" w:hAnsi="宋体" w:hint="eastAsia"/>
          <w:kern w:val="0"/>
          <w:sz w:val="28"/>
        </w:rPr>
        <w:t>2008年</w:t>
      </w:r>
      <w:r>
        <w:rPr>
          <w:rFonts w:ascii="宋体" w:hAnsi="宋体"/>
          <w:kern w:val="0"/>
          <w:sz w:val="28"/>
        </w:rPr>
        <w:t>，该市主城区5000平米以上的建材市场已经到达近100家，分散的建材门市和超市更是不计其数，导致市场饱和并出现了过剩的局面。</w:t>
      </w:r>
    </w:p>
    <w:p w:rsidR="00C90C60">
      <w:pPr>
        <w:spacing w:line="360" w:lineRule="auto"/>
        <w:ind w:firstLine="560" w:firstLineChars="200"/>
        <w:rPr>
          <w:rFonts w:ascii="宋体" w:hAnsi="宋体" w:hint="eastAsia"/>
          <w:kern w:val="0"/>
          <w:sz w:val="28"/>
        </w:rPr>
      </w:pPr>
      <w:r>
        <w:rPr>
          <w:rFonts w:ascii="宋体" w:hAnsi="宋体"/>
          <w:kern w:val="0"/>
          <w:sz w:val="28"/>
        </w:rPr>
        <w:t>统计资料显示，</w:t>
      </w:r>
      <w:r>
        <w:rPr>
          <w:rFonts w:ascii="宋体" w:hAnsi="宋体" w:hint="eastAsia"/>
          <w:kern w:val="0"/>
          <w:sz w:val="28"/>
        </w:rPr>
        <w:t>2008</w:t>
      </w:r>
      <w:r>
        <w:rPr>
          <w:rFonts w:ascii="宋体" w:hAnsi="宋体"/>
          <w:kern w:val="0"/>
          <w:sz w:val="28"/>
        </w:rPr>
        <w:t>上半年南京房地产投资较去年回落约5个</w:t>
      </w:r>
    </w:p>
    <w:p w:rsidR="00C90C60">
      <w:pPr>
        <w:spacing w:line="360" w:lineRule="auto"/>
        <w:rPr>
          <w:rFonts w:ascii="宋体" w:hAnsi="宋体" w:hint="eastAsia"/>
          <w:kern w:val="0"/>
          <w:sz w:val="28"/>
        </w:rPr>
        <w:sectPr>
          <w:type w:val="nextPage"/>
          <w:pgSz w:w="11906" w:h="16838"/>
          <w:pgMar w:top="1440" w:right="1800" w:bottom="1440" w:left="1800" w:header="851" w:footer="992" w:gutter="0"/>
          <w:pgNumType w:start="15"/>
          <w:cols w:space="720"/>
          <w:titlePg w:val="0"/>
          <w:docGrid w:type="lines" w:linePitch="312"/>
        </w:sectPr>
      </w:pPr>
      <w:r>
        <w:rPr>
          <w:rFonts w:ascii="宋体" w:hAnsi="宋体"/>
          <w:kern w:val="0"/>
          <w:sz w:val="28"/>
        </w:rPr>
        <w:t>百分点，而建材产品受固定投资增幅回落的影响，建材产品市场需求增长和价格均呈现回落的趋势，行业平均利润也较去年下滑了20%。</w:t>
      </w:r>
      <w:r>
        <w:rPr>
          <w:rFonts w:ascii="宋体" w:hAnsi="宋体" w:hint="eastAsia"/>
          <w:kern w:val="0"/>
          <w:sz w:val="28"/>
        </w:rPr>
        <w:t>南京市</w:t>
      </w:r>
      <w:r>
        <w:rPr>
          <w:rFonts w:ascii="宋体" w:hAnsi="宋体"/>
          <w:kern w:val="0"/>
          <w:sz w:val="28"/>
        </w:rPr>
        <w:t>固定投资热升温，</w:t>
      </w:r>
      <w:r>
        <w:rPr>
          <w:rFonts w:ascii="宋体" w:hAnsi="宋体" w:hint="eastAsia"/>
          <w:kern w:val="0"/>
          <w:sz w:val="28"/>
        </w:rPr>
        <w:t>导致</w:t>
      </w:r>
      <w:r>
        <w:rPr>
          <w:rFonts w:ascii="宋体" w:hAnsi="宋体"/>
          <w:kern w:val="0"/>
          <w:sz w:val="28"/>
        </w:rPr>
        <w:t>建材市场一哄而上，在布局上</w:t>
      </w:r>
      <w:r>
        <w:rPr>
          <w:rFonts w:ascii="宋体" w:hAnsi="宋体" w:hint="eastAsia"/>
          <w:kern w:val="0"/>
          <w:sz w:val="28"/>
        </w:rPr>
        <w:t>也</w:t>
      </w:r>
    </w:p>
    <w:p w:rsidR="00C90C60">
      <w:pPr>
        <w:spacing w:line="360" w:lineRule="auto"/>
        <w:rPr>
          <w:rFonts w:ascii="宋体" w:hAnsi="宋体" w:hint="eastAsia"/>
          <w:kern w:val="0"/>
          <w:sz w:val="28"/>
        </w:rPr>
      </w:pPr>
      <w:r>
        <w:rPr>
          <w:rFonts w:ascii="宋体" w:hAnsi="宋体"/>
          <w:kern w:val="0"/>
          <w:sz w:val="28"/>
        </w:rPr>
        <w:t>不合理。南京市区面积为4730平方公里，按照国际标准规划，最多可容纳30家5000平米以上的建材市场，而现在超出了3倍还多。据一项全国数据显示，2004年我国家居零售额约为1200亿元，建材城每平方米的年平均销售额仅为3400元，而据核算，要想赢利，每平方米的年销售额至少应该在1万元以上，而目前南京市每平米年销售额只有4千元左右，只有不到三分之一的建材市场盈利，大多数处于亏损状态。与此同时，众多建材市场扎堆建设，密度过高，经营工程雷同，缺少特色。此外，剧烈的市场竞争使得建材城为了获得更多的客源而不得不采取降价、打折等促销手段。“建材市场多了，东西都差不多，在选择上主要看价格和质量。”而业内人士认为，残酷的市场竞争已经使得以往暴利的建材行业风光不再。</w:t>
      </w:r>
      <w:r>
        <w:rPr>
          <w:rFonts w:ascii="宋体" w:hAnsi="宋体"/>
          <w:kern w:val="0"/>
          <w:sz w:val="28"/>
        </w:rPr>
        <w:t xml:space="preserve"> </w:t>
      </w:r>
    </w:p>
    <w:p w:rsidR="00C90C60">
      <w:pPr>
        <w:spacing w:line="360" w:lineRule="auto"/>
        <w:ind w:firstLine="560" w:firstLineChars="200"/>
        <w:rPr>
          <w:rFonts w:ascii="xinsun" w:hAnsi="xinsun" w:hint="eastAsia"/>
          <w:kern w:val="0"/>
        </w:rPr>
      </w:pPr>
      <w:r>
        <w:rPr>
          <w:rFonts w:ascii="宋体" w:hAnsi="宋体"/>
          <w:kern w:val="0"/>
          <w:sz w:val="28"/>
        </w:rPr>
        <w:t xml:space="preserve"> 南京市建材行业协会有关专家分析指出，随着土地价格的迅速上涨，以及市场过剩导致的竞争日趋剧烈，当初建材城能够快速获利的市场条件已不复存在。现在建材行业已属于投资巨大见效慢甚至难于见效的行业，投资建材城，风险加剧。对此，该专家提醒，投资商每新建建材市场，在经营特色上应当力求错位，以防止单纯的价格竞争。</w:t>
      </w:r>
      <w:r>
        <w:rPr>
          <w:rFonts w:ascii="xinsun" w:hAnsi="xinsun"/>
          <w:kern w:val="0"/>
        </w:rPr>
        <w:t xml:space="preserve"> </w:t>
      </w:r>
    </w:p>
    <w:p w:rsidR="00C90C60">
      <w:pPr>
        <w:widowControl/>
        <w:shd w:val="clear" w:color="auto" w:fill="FFFFFF"/>
        <w:spacing w:line="360" w:lineRule="auto"/>
        <w:ind w:firstLine="560" w:firstLineChars="200"/>
        <w:jc w:val="left"/>
        <w:rPr>
          <w:rFonts w:ascii="宋体" w:hAnsi="宋体" w:hint="eastAsia"/>
          <w:kern w:val="0"/>
          <w:sz w:val="28"/>
        </w:rPr>
      </w:pPr>
      <w:r>
        <w:rPr>
          <w:rFonts w:ascii="宋体" w:hAnsi="宋体" w:hint="eastAsia"/>
          <w:kern w:val="0"/>
          <w:sz w:val="28"/>
        </w:rPr>
        <w:t>2008</w:t>
      </w:r>
      <w:r w:rsidR="002666DA">
        <w:rPr>
          <w:rFonts w:ascii="宋体" w:hAnsi="宋体" w:hint="eastAsia"/>
          <w:kern w:val="0"/>
          <w:sz w:val="28"/>
        </w:rPr>
        <w:t>年对于</w:t>
      </w:r>
      <w:r w:rsidR="00F85B36">
        <w:rPr>
          <w:rFonts w:ascii="宋体" w:hAnsi="宋体" w:hint="eastAsia"/>
          <w:kern w:val="0"/>
          <w:sz w:val="28"/>
        </w:rPr>
        <w:t>宜宾</w:t>
      </w:r>
      <w:r>
        <w:rPr>
          <w:rFonts w:ascii="宋体" w:hAnsi="宋体" w:hint="eastAsia"/>
          <w:kern w:val="0"/>
          <w:sz w:val="28"/>
        </w:rPr>
        <w:t>的家居、建材卖场来说，是群雄争霸的一年：一方面，外乡家具销售企业的竞争更加剧烈，另一方面，外资家具销售企业将发起强有力的共识，家具龙头</w:t>
      </w:r>
      <w:r>
        <w:rPr>
          <w:rFonts w:ascii="宋体" w:hAnsi="宋体" w:hint="eastAsia"/>
          <w:kern w:val="0"/>
          <w:sz w:val="28"/>
        </w:rPr>
        <w:t>——</w:t>
      </w:r>
      <w:r>
        <w:rPr>
          <w:rFonts w:ascii="宋体" w:hAnsi="宋体" w:hint="eastAsia"/>
          <w:kern w:val="0"/>
          <w:sz w:val="28"/>
        </w:rPr>
        <w:t>红星美凯龙开业，都将给外乡卖场带来巨大的挑战。</w:t>
      </w:r>
    </w:p>
    <w:p w:rsidR="00C90C60" w:rsidRPr="004B315B" w:rsidP="004B315B">
      <w:pPr>
        <w:widowControl/>
        <w:shd w:val="clear" w:color="auto" w:fill="FFFFFF"/>
        <w:spacing w:line="360" w:lineRule="auto"/>
        <w:ind w:firstLine="560" w:firstLineChars="200"/>
        <w:jc w:val="left"/>
        <w:rPr>
          <w:rFonts w:ascii="宋体" w:hAnsi="宋体" w:hint="eastAsia"/>
          <w:kern w:val="0"/>
          <w:sz w:val="28"/>
        </w:rPr>
        <w:sectPr>
          <w:type w:val="nextPage"/>
          <w:pgSz w:w="11906" w:h="16838"/>
          <w:pgMar w:top="1440" w:right="1800" w:bottom="1440" w:left="1800" w:header="851" w:footer="992" w:gutter="0"/>
          <w:pgNumType w:start="16"/>
          <w:cols w:space="720"/>
          <w:titlePg w:val="0"/>
          <w:docGrid w:type="lines" w:linePitch="312"/>
        </w:sectPr>
      </w:pPr>
      <w:r w:rsidR="002666DA">
        <w:rPr>
          <w:rFonts w:ascii="宋体" w:hAnsi="宋体" w:hint="eastAsia"/>
          <w:kern w:val="0"/>
          <w:sz w:val="28"/>
        </w:rPr>
        <w:t>目前</w:t>
      </w:r>
      <w:r w:rsidR="005C2822">
        <w:rPr>
          <w:rFonts w:ascii="宋体" w:hAnsi="宋体" w:hint="eastAsia"/>
          <w:kern w:val="0"/>
          <w:sz w:val="28"/>
        </w:rPr>
        <w:t>宜宾市</w:t>
      </w:r>
      <w:r w:rsidR="00866766">
        <w:rPr>
          <w:rFonts w:ascii="宋体" w:hAnsi="宋体" w:hint="eastAsia"/>
          <w:kern w:val="0"/>
          <w:sz w:val="28"/>
        </w:rPr>
        <w:t>新隆</w:t>
      </w:r>
      <w:r w:rsidR="00386AAF">
        <w:rPr>
          <w:rFonts w:ascii="宋体" w:hAnsi="宋体" w:hint="eastAsia"/>
          <w:kern w:val="0"/>
          <w:sz w:val="28"/>
        </w:rPr>
        <w:t>县由于是全县搬迁，一个全新县城的建设内就只有在汽车总站的商业广场内设了1万平方米的建材销售网点。1万平方米左右的商铺面积是远远不能满足</w:t>
      </w:r>
      <w:r w:rsidR="00866766">
        <w:rPr>
          <w:rFonts w:ascii="宋体" w:hAnsi="宋体" w:hint="eastAsia"/>
          <w:kern w:val="0"/>
          <w:sz w:val="28"/>
        </w:rPr>
        <w:t>新隆</w:t>
      </w:r>
      <w:r w:rsidR="00386AAF">
        <w:rPr>
          <w:rFonts w:ascii="宋体" w:hAnsi="宋体" w:hint="eastAsia"/>
          <w:kern w:val="0"/>
          <w:sz w:val="28"/>
        </w:rPr>
        <w:t>县新县城这几年对建材的巨大需求的，</w:t>
      </w:r>
      <w:r w:rsidR="004B315B">
        <w:rPr>
          <w:rFonts w:ascii="宋体" w:hAnsi="宋体" w:hint="eastAsia"/>
          <w:kern w:val="0"/>
          <w:sz w:val="28"/>
        </w:rPr>
        <w:t>我公司</w:t>
      </w:r>
      <w:r w:rsidR="00F85B36">
        <w:rPr>
          <w:rFonts w:ascii="宋体" w:hAnsi="宋体" w:hint="eastAsia"/>
          <w:kern w:val="0"/>
          <w:sz w:val="28"/>
        </w:rPr>
        <w:t>非常支持</w:t>
      </w:r>
      <w:r w:rsidR="00866766">
        <w:rPr>
          <w:rFonts w:ascii="宋体" w:hAnsi="宋体" w:hint="eastAsia"/>
          <w:kern w:val="0"/>
          <w:sz w:val="28"/>
        </w:rPr>
        <w:t>新隆</w:t>
      </w:r>
      <w:r w:rsidR="004B315B">
        <w:rPr>
          <w:rFonts w:ascii="宋体" w:hAnsi="宋体" w:hint="eastAsia"/>
          <w:kern w:val="0"/>
          <w:sz w:val="28"/>
        </w:rPr>
        <w:t>县</w:t>
      </w:r>
      <w:r w:rsidR="00F85B36">
        <w:rPr>
          <w:rFonts w:ascii="宋体" w:hAnsi="宋体" w:hint="eastAsia"/>
          <w:kern w:val="0"/>
          <w:sz w:val="28"/>
        </w:rPr>
        <w:t>委县政府想打造</w:t>
      </w:r>
      <w:r w:rsidR="004B315B">
        <w:rPr>
          <w:rFonts w:ascii="宋体" w:hAnsi="宋体" w:hint="eastAsia"/>
          <w:kern w:val="0"/>
          <w:sz w:val="28"/>
        </w:rPr>
        <w:t>一个专业的建材市场对</w:t>
      </w:r>
      <w:r w:rsidR="00866766">
        <w:rPr>
          <w:rFonts w:ascii="宋体" w:hAnsi="宋体" w:hint="eastAsia"/>
          <w:kern w:val="0"/>
          <w:sz w:val="28"/>
        </w:rPr>
        <w:t>新隆</w:t>
      </w:r>
      <w:r w:rsidR="004B315B">
        <w:rPr>
          <w:rFonts w:ascii="宋体" w:hAnsi="宋体" w:hint="eastAsia"/>
          <w:kern w:val="0"/>
          <w:sz w:val="28"/>
        </w:rPr>
        <w:t>县未来的加速开展有着十分深远的经济意义，社会意义</w:t>
      </w:r>
      <w:r w:rsidR="00F85B36">
        <w:rPr>
          <w:rFonts w:ascii="宋体" w:hAnsi="宋体" w:hint="eastAsia"/>
          <w:kern w:val="0"/>
          <w:sz w:val="28"/>
        </w:rPr>
        <w:t>这个想法，也很有信心可以为</w:t>
      </w:r>
      <w:r w:rsidR="00866766">
        <w:rPr>
          <w:rFonts w:ascii="宋体" w:hAnsi="宋体" w:hint="eastAsia"/>
          <w:kern w:val="0"/>
          <w:sz w:val="28"/>
        </w:rPr>
        <w:t>新隆</w:t>
      </w:r>
      <w:r w:rsidR="00F85B36">
        <w:rPr>
          <w:rFonts w:ascii="宋体" w:hAnsi="宋体" w:hint="eastAsia"/>
          <w:kern w:val="0"/>
          <w:sz w:val="28"/>
        </w:rPr>
        <w:t>县的建设和开展做出奉献。</w:t>
      </w:r>
    </w:p>
    <w:p w:rsidR="00C90C60" w:rsidP="004B315B">
      <w:pPr>
        <w:spacing w:line="360" w:lineRule="auto"/>
        <w:ind w:firstLine="560" w:firstLineChars="200"/>
        <w:jc w:val="left"/>
        <w:rPr>
          <w:rFonts w:ascii="ˎ̥" w:hAnsi="ˎ̥" w:hint="eastAsia"/>
          <w:color w:val="000000"/>
          <w:kern w:val="0"/>
          <w:sz w:val="28"/>
        </w:rPr>
      </w:pPr>
      <w:r w:rsidR="004B315B">
        <w:rPr>
          <w:rFonts w:ascii="ˎ̥" w:hAnsi="ˎ̥" w:hint="eastAsia"/>
          <w:color w:val="000000"/>
          <w:kern w:val="0"/>
          <w:sz w:val="28"/>
        </w:rPr>
        <w:t>就建材专业市场本身来看，</w:t>
      </w:r>
      <w:r>
        <w:rPr>
          <w:rFonts w:ascii="ˎ̥" w:hAnsi="ˎ̥" w:hint="eastAsia"/>
          <w:color w:val="000000"/>
          <w:kern w:val="0"/>
          <w:sz w:val="28"/>
        </w:rPr>
        <w:t>从建筑业对建材行业带来的刚性需求来说，建材行业是个朝气蓬勃的行业。并且现在整个西部的开展带来的建筑建材机遇是巨大的，特别是成渝经济圈，西三角经济圈的实力提升，以及中国农村城镇化过程中建材都扮演了一个极为重要的角色。</w:t>
      </w:r>
      <w:r w:rsidR="004B315B">
        <w:rPr>
          <w:rFonts w:ascii="ˎ̥" w:hAnsi="ˎ̥" w:hint="eastAsia"/>
          <w:color w:val="000000"/>
          <w:kern w:val="0"/>
          <w:sz w:val="28"/>
        </w:rPr>
        <w:t>而开展专业市场也是现代商贸，物流，网洛开展的必然需要和结果。</w:t>
      </w:r>
    </w:p>
    <w:p w:rsidR="00C90C60">
      <w:pPr>
        <w:widowControl/>
        <w:spacing w:before="156" w:beforeLines="50" w:line="360" w:lineRule="auto"/>
        <w:ind w:firstLine="412" w:firstLineChars="147"/>
        <w:jc w:val="left"/>
        <w:rPr>
          <w:rFonts w:ascii="宋体" w:hAnsi="宋体" w:hint="eastAsia"/>
          <w:b/>
          <w:sz w:val="28"/>
        </w:rPr>
      </w:pPr>
      <w:r>
        <w:rPr>
          <w:rFonts w:ascii="宋体" w:hAnsi="宋体" w:hint="eastAsia"/>
          <w:b/>
          <w:sz w:val="28"/>
        </w:rPr>
        <w:t>1.6 国家及西部各省市规划对建材/家居专业市场开展提出更新要求</w:t>
      </w:r>
    </w:p>
    <w:p w:rsidR="00C90C60">
      <w:pPr>
        <w:spacing w:line="360" w:lineRule="auto"/>
        <w:ind w:firstLine="560" w:firstLineChars="200"/>
        <w:rPr>
          <w:rFonts w:hint="eastAsia"/>
          <w:color w:val="000000"/>
          <w:sz w:val="28"/>
        </w:rPr>
      </w:pPr>
      <w:r>
        <w:rPr>
          <w:rFonts w:hint="eastAsia"/>
          <w:color w:val="000000"/>
          <w:sz w:val="28"/>
        </w:rPr>
        <w:t>国家在十一五规划中关于开展商贸效劳业明确：</w:t>
      </w:r>
      <w:r>
        <w:rPr>
          <w:color w:val="000000"/>
          <w:sz w:val="28"/>
        </w:rPr>
        <w:t>坚持市场化、拓宽领域、优化结构、增强功能、标准市场，提高效劳业的比重和水平。</w:t>
      </w:r>
    </w:p>
    <w:p w:rsidR="00C90C60">
      <w:pPr>
        <w:spacing w:line="360" w:lineRule="auto"/>
        <w:rPr>
          <w:rFonts w:hint="eastAsia"/>
          <w:color w:val="000000"/>
          <w:sz w:val="28"/>
        </w:rPr>
      </w:pPr>
      <w:r>
        <w:rPr>
          <w:color w:val="000000"/>
          <w:sz w:val="28"/>
        </w:rPr>
        <w:t>大力开展主要面向生产者的效劳业，细化深化专业化分工，降低社会交易本钱，提高资源配置效率。鼓励开展所有制形式和经营业态多样化、诚信便民的零售等商贸效劳。积极开展连锁经营、特许经营、物流配送等现代流通方式和组织形式。按照优化城市功能、疏解交通的要求，合理调整城市商业网点结构和布局。打破垄断，放宽准入领域，建立公开、平等、标准的行业准入制度。鼓励社会资金投入效劳业，提高非公有制经济比重。采取积极的财税、土地、价格等政策，支持效劳业关键领域、薄弱环节、新兴产业和新型业态的开展。健全效劳业标准体系，推进效劳业标准化。大城市要把开展效劳业放在优先位置，有条件的要逐步形成效劳经济为主的产业结构。</w:t>
      </w:r>
    </w:p>
    <w:p w:rsidR="00C90C60">
      <w:pPr>
        <w:widowControl/>
        <w:spacing w:line="360" w:lineRule="auto"/>
        <w:ind w:firstLine="560" w:firstLineChars="200"/>
        <w:jc w:val="left"/>
        <w:rPr>
          <w:rFonts w:ascii="ˎ̥" w:hAnsi="ˎ̥" w:hint="eastAsia"/>
          <w:kern w:val="0"/>
          <w:sz w:val="28"/>
        </w:rPr>
        <w:sectPr>
          <w:type w:val="nextPage"/>
          <w:pgSz w:w="11906" w:h="16838"/>
          <w:pgMar w:top="1440" w:right="1800" w:bottom="1440" w:left="1800" w:header="851" w:footer="992" w:gutter="0"/>
          <w:pgNumType w:start="17"/>
          <w:cols w:space="720"/>
          <w:titlePg w:val="0"/>
          <w:docGrid w:type="lines" w:linePitch="312"/>
        </w:sectPr>
      </w:pPr>
      <w:r w:rsidR="005C2822">
        <w:rPr>
          <w:rFonts w:ascii="ˎ̥" w:hAnsi="ˎ̥" w:hint="eastAsia"/>
          <w:kern w:val="0"/>
          <w:sz w:val="28"/>
        </w:rPr>
        <w:t>宜宾市</w:t>
      </w:r>
      <w:r>
        <w:rPr>
          <w:rFonts w:ascii="ˎ̥" w:hAnsi="ˎ̥" w:hint="eastAsia"/>
          <w:kern w:val="0"/>
          <w:sz w:val="28"/>
        </w:rPr>
        <w:t>商贸开展进行前瞻性规划，</w:t>
      </w:r>
      <w:r>
        <w:rPr>
          <w:rFonts w:ascii="ˎ̥" w:hAnsi="ˎ̥"/>
          <w:kern w:val="0"/>
          <w:sz w:val="28"/>
        </w:rPr>
        <w:t>建设区域性商贸中心</w:t>
      </w:r>
      <w:r>
        <w:rPr>
          <w:rFonts w:ascii="ˎ̥" w:hAnsi="ˎ̥" w:hint="eastAsia"/>
          <w:kern w:val="0"/>
          <w:sz w:val="28"/>
        </w:rPr>
        <w:t>。实施中鼓励</w:t>
      </w:r>
    </w:p>
    <w:p w:rsidR="00C90C60">
      <w:pPr>
        <w:widowControl/>
        <w:spacing w:line="360" w:lineRule="auto"/>
        <w:ind w:firstLine="560" w:firstLineChars="200"/>
        <w:jc w:val="left"/>
        <w:rPr>
          <w:rFonts w:ascii="ˎ̥" w:hAnsi="ˎ̥" w:hint="eastAsia"/>
          <w:kern w:val="0"/>
          <w:sz w:val="28"/>
        </w:rPr>
      </w:pPr>
      <w:r>
        <w:rPr>
          <w:rFonts w:ascii="ˎ̥" w:hAnsi="ˎ̥"/>
          <w:kern w:val="0"/>
          <w:sz w:val="28"/>
        </w:rPr>
        <w:t>推进功能创新、交易方式现代化，建设辐射力强的大中型批发市场，完善功能，提升档次。支持开展以连锁经营、物流配送、代理销售网络、特许经营、电子商务等为主要特征的现代流通方式，改造和提升传统</w:t>
      </w:r>
      <w:r>
        <w:rPr>
          <w:rFonts w:ascii="ˎ̥" w:hAnsi="ˎ̥" w:hint="eastAsia"/>
          <w:kern w:val="0"/>
          <w:sz w:val="28"/>
        </w:rPr>
        <w:t>商贸业</w:t>
      </w:r>
      <w:r>
        <w:rPr>
          <w:rFonts w:ascii="ˎ̥" w:hAnsi="ˎ̥"/>
          <w:kern w:val="0"/>
          <w:sz w:val="28"/>
        </w:rPr>
        <w:t>。加速融入</w:t>
      </w:r>
      <w:r>
        <w:rPr>
          <w:rFonts w:ascii="ˎ̥" w:hAnsi="ˎ̥" w:hint="eastAsia"/>
          <w:kern w:val="0"/>
          <w:sz w:val="28"/>
        </w:rPr>
        <w:t>西部</w:t>
      </w:r>
      <w:r>
        <w:rPr>
          <w:rFonts w:ascii="ˎ̥" w:hAnsi="ˎ̥"/>
          <w:kern w:val="0"/>
          <w:sz w:val="28"/>
        </w:rPr>
        <w:t>大物流圈，开展大型的商贸流通集团。</w:t>
      </w:r>
    </w:p>
    <w:p w:rsidR="00C90C60">
      <w:pPr>
        <w:spacing w:before="156" w:beforeLines="50" w:line="360" w:lineRule="auto"/>
        <w:ind w:firstLine="549" w:firstLineChars="196"/>
        <w:rPr>
          <w:rFonts w:ascii="宋体" w:hAnsi="宋体" w:hint="eastAsia"/>
          <w:b/>
          <w:sz w:val="28"/>
        </w:rPr>
      </w:pPr>
      <w:r>
        <w:rPr>
          <w:rFonts w:ascii="宋体" w:hAnsi="宋体" w:hint="eastAsia"/>
          <w:b/>
          <w:sz w:val="28"/>
        </w:rPr>
        <w:t>1.7 西部个省市工业经济和区位及物流快速开展对综合性、专业化建材/家居专业市场开展构成有效支撑</w:t>
      </w:r>
    </w:p>
    <w:p w:rsidR="00C90C60">
      <w:pPr>
        <w:spacing w:line="360" w:lineRule="auto"/>
        <w:ind w:firstLine="560" w:firstLineChars="200"/>
        <w:rPr>
          <w:rFonts w:ascii="宋体" w:hAnsi="宋体" w:hint="eastAsia"/>
          <w:color w:val="000000"/>
          <w:kern w:val="0"/>
          <w:sz w:val="28"/>
        </w:rPr>
      </w:pPr>
      <w:r>
        <w:rPr>
          <w:rFonts w:ascii="宋体" w:hAnsi="宋体" w:hint="eastAsia"/>
          <w:color w:val="000000"/>
          <w:kern w:val="0"/>
          <w:sz w:val="28"/>
        </w:rPr>
        <w:t>二十一世纪的前十至二十年，是中国物流需求的高增长期。社会经济开展越来越依赖于现代物流的开展，这是一个国家调整经济结</w:t>
      </w:r>
    </w:p>
    <w:p w:rsidR="00C90C60">
      <w:pPr>
        <w:spacing w:line="360" w:lineRule="auto"/>
        <w:rPr>
          <w:rFonts w:ascii="宋体" w:hAnsi="宋体" w:hint="eastAsia"/>
          <w:color w:val="000000"/>
          <w:kern w:val="0"/>
          <w:sz w:val="28"/>
        </w:rPr>
      </w:pPr>
      <w:r>
        <w:rPr>
          <w:rFonts w:ascii="宋体" w:hAnsi="宋体" w:hint="eastAsia"/>
          <w:color w:val="000000"/>
          <w:kern w:val="0"/>
          <w:sz w:val="28"/>
        </w:rPr>
        <w:t>构，转变经济增长方式的必由之路，亦为通过流通现代化推开工业现代化的必然。</w:t>
      </w:r>
    </w:p>
    <w:p w:rsidR="00C90C60">
      <w:pPr>
        <w:spacing w:line="360" w:lineRule="auto"/>
        <w:ind w:firstLine="560" w:firstLineChars="200"/>
        <w:rPr>
          <w:rFonts w:ascii="宋体" w:hAnsi="宋体" w:hint="eastAsia"/>
          <w:b/>
          <w:sz w:val="28"/>
        </w:rPr>
      </w:pPr>
      <w:r>
        <w:rPr>
          <w:rFonts w:ascii="宋体" w:hAnsi="宋体" w:hint="eastAsia"/>
          <w:b/>
          <w:kern w:val="0"/>
          <w:sz w:val="28"/>
        </w:rPr>
        <w:t>运输支撑条件</w:t>
      </w:r>
    </w:p>
    <w:p w:rsidR="00C90C60">
      <w:pPr>
        <w:spacing w:line="360" w:lineRule="auto"/>
        <w:ind w:firstLine="560" w:firstLineChars="200"/>
        <w:jc w:val="left"/>
        <w:rPr>
          <w:rFonts w:ascii="ˎ̥" w:hAnsi="ˎ̥" w:hint="eastAsia"/>
          <w:color w:val="FF0000"/>
          <w:kern w:val="0"/>
          <w:sz w:val="28"/>
        </w:rPr>
      </w:pPr>
      <w:r>
        <w:rPr>
          <w:rFonts w:ascii="宋体" w:hAnsi="宋体"/>
          <w:color w:val="000000"/>
          <w:kern w:val="0"/>
          <w:sz w:val="28"/>
        </w:rPr>
        <w:t>《</w:t>
      </w:r>
      <w:r>
        <w:rPr>
          <w:rFonts w:ascii="ˎ̥" w:hAnsi="ˎ̥"/>
          <w:color w:val="000000"/>
          <w:kern w:val="0"/>
          <w:sz w:val="28"/>
        </w:rPr>
        <w:t>四川省西部物流中心建设规划》正式出台，四川将打造一个区域物流中心和八大次区域物流中心)以交通运输、仓储配送、物流信息三大平台为支撑，把四川打造成为西部物流中心、西部最大的商品集散地和经济走廊！四川省政府日前正式出台《四川省西部物流中心建设规划》(以下简称《规划》)。该《规划》透露，到2012年，四川货运周转量力争保持年均9%的增长速度，物流业增加值增幅高于同期GDP增幅2个百分点</w:t>
      </w:r>
    </w:p>
    <w:p w:rsidR="00C90C60">
      <w:pPr>
        <w:spacing w:line="360" w:lineRule="auto"/>
        <w:ind w:firstLine="560" w:firstLineChars="200"/>
        <w:jc w:val="left"/>
        <w:rPr>
          <w:rFonts w:ascii="ˎ̥" w:hAnsi="ˎ̥"/>
          <w:color w:val="000000"/>
          <w:kern w:val="0"/>
          <w:sz w:val="28"/>
        </w:rPr>
      </w:pPr>
      <w:r>
        <w:rPr>
          <w:rFonts w:ascii="ˎ̥" w:hAnsi="ˎ̥"/>
          <w:color w:val="000000"/>
          <w:kern w:val="0"/>
          <w:sz w:val="28"/>
        </w:rPr>
        <w:t>《规划》称，根据四川货物主要流向和物流开展需要，依据《西部综合交通枢纽建设规划》和四川产业布局，四川将在重要物流节点城市、制造业基地和综合交通枢纽，布局建设物流园区。并依托已有的港口、铁路和公路货站、机场等交通运输设施，建设多式联运、转运设施，实现多种运输方式“无缝衔接”，提高运输效率。</w:t>
      </w:r>
    </w:p>
    <w:p w:rsidR="00C90C60">
      <w:pPr>
        <w:spacing w:line="360" w:lineRule="auto"/>
        <w:ind w:firstLine="560" w:firstLineChars="200"/>
        <w:jc w:val="left"/>
        <w:rPr>
          <w:rFonts w:ascii="ˎ̥" w:hAnsi="ˎ̥"/>
          <w:color w:val="000000"/>
          <w:kern w:val="0"/>
          <w:sz w:val="28"/>
        </w:rPr>
        <w:sectPr>
          <w:type w:val="nextPage"/>
          <w:pgSz w:w="11906" w:h="16838"/>
          <w:pgMar w:top="1440" w:right="1800" w:bottom="1440" w:left="1800" w:header="851" w:footer="992" w:gutter="0"/>
          <w:pgNumType w:start="18"/>
          <w:cols w:space="720"/>
          <w:titlePg w:val="0"/>
          <w:docGrid w:type="lines" w:linePitch="312"/>
        </w:sectPr>
      </w:pPr>
    </w:p>
    <w:p w:rsidR="00C90C60">
      <w:pPr>
        <w:spacing w:line="360" w:lineRule="auto"/>
        <w:ind w:firstLine="560" w:firstLineChars="200"/>
        <w:jc w:val="left"/>
        <w:rPr>
          <w:rFonts w:ascii="ˎ̥" w:hAnsi="ˎ̥"/>
          <w:color w:val="000000"/>
          <w:kern w:val="0"/>
          <w:sz w:val="28"/>
        </w:rPr>
      </w:pPr>
      <w:r>
        <w:rPr>
          <w:rFonts w:ascii="ˎ̥" w:hAnsi="ˎ̥"/>
          <w:color w:val="000000"/>
          <w:kern w:val="0"/>
          <w:sz w:val="28"/>
        </w:rPr>
        <w:t>今后，四川将根据全省产业布局，构建以下七大物流集群：为重大装备制造业效劳的大件物流集群，为电子信息产业效劳的电子物流集群，为白酒产业效劳的酒业物流集群，为钒钛钢铁效劳的钢铁物流集群，为农产品深加工效劳的农产品冷链物流集群，为粮食散装、散运、散卸、散存效劳的粮食物流集群，为快捷需求和零星需求效劳的小件快递物流集群。</w:t>
      </w:r>
    </w:p>
    <w:p w:rsidR="00C90C60">
      <w:pPr>
        <w:spacing w:line="360" w:lineRule="auto"/>
        <w:ind w:firstLine="560" w:firstLineChars="200"/>
        <w:jc w:val="left"/>
        <w:rPr>
          <w:rFonts w:ascii="ˎ̥" w:hAnsi="ˎ̥"/>
          <w:color w:val="000000"/>
          <w:kern w:val="0"/>
          <w:sz w:val="28"/>
        </w:rPr>
        <w:sectPr>
          <w:type w:val="nextPage"/>
          <w:pgSz w:w="11906" w:h="16838"/>
          <w:pgMar w:top="1440" w:right="1800" w:bottom="1440" w:left="1800" w:header="851" w:footer="992" w:gutter="0"/>
          <w:pgNumType w:start="19"/>
          <w:cols w:space="720"/>
          <w:titlePg w:val="0"/>
          <w:docGrid w:type="lines" w:linePitch="312"/>
        </w:sectPr>
      </w:pPr>
      <w:r>
        <w:rPr>
          <w:rFonts w:ascii="ˎ̥" w:hAnsi="ˎ̥"/>
          <w:color w:val="000000"/>
          <w:kern w:val="0"/>
          <w:sz w:val="28"/>
        </w:rPr>
        <w:t>据透露，到2012年，四川为打造西部物流中心，将斥巨资实施80个重点物流工程，并建立重点工程联系制度，协调解决工程实施中的重大问题。据悉，依托交通枢纽和特大城市的经济功能，四川将建成西部最大的区域物流中心，重点建设4大物流园区和4大物流中心。其中：成都航空物流园区依托双流国际机场，建设效劳四川、辐射西部、连接世界的枢纽型西部航空物流港；成都国际集装箱物流园区依托成都铁路集装箱中心站，建设效劳四川、辐射西部、通达全球的枢纽型集装箱内陆港；成都</w:t>
      </w:r>
      <w:r>
        <w:rPr>
          <w:rFonts w:ascii="ˎ̥" w:hAnsi="ˎ̥" w:hint="eastAsia"/>
          <w:color w:val="000000"/>
          <w:kern w:val="0"/>
          <w:sz w:val="28"/>
        </w:rPr>
        <w:t>新都</w:t>
      </w:r>
      <w:r>
        <w:rPr>
          <w:rFonts w:ascii="ˎ̥" w:hAnsi="ˎ̥"/>
          <w:color w:val="000000"/>
          <w:kern w:val="0"/>
          <w:sz w:val="28"/>
        </w:rPr>
        <w:t>物流园区依托成都铁路枢纽大弯货站，建设效劳四川、辐射西部、通达全国的枢纽型铁路散货集散地；成都新津物流园区依托成都铁路枢纽新津货站，建设效劳川南、辐射西南、通达全国的枢纽型铁路散货集散地；成都新都物流中心依托城市北向公路主通道，建设效劳于成都北部、辐射成德绵经济带、通达全国的公路物流港；成都龙泉物流中心依托城市东向公路主通道，建设效劳成都东部、辐射成渝经济带、连接长江港口的公水联运货物集散中心；成都双流物流中心依托城市南向公路主通道，建设效劳于成都南部、辐射西南的公路货物集散中心；成都保税物流中心依托成都出口加工区，建设效劳于成都、辐射四川的保税物流中心。</w:t>
      </w:r>
    </w:p>
    <w:p w:rsidR="00C90C60">
      <w:pPr>
        <w:spacing w:line="360" w:lineRule="auto"/>
        <w:jc w:val="left"/>
        <w:rPr>
          <w:rFonts w:ascii="ˎ̥" w:hAnsi="ˎ̥"/>
          <w:color w:val="000000"/>
          <w:kern w:val="0"/>
          <w:sz w:val="28"/>
        </w:rPr>
        <w:sectPr>
          <w:type w:val="nextPage"/>
          <w:pgSz w:w="11906" w:h="16838"/>
          <w:pgMar w:top="1440" w:right="1800" w:bottom="1440" w:left="1800" w:header="851" w:footer="992" w:gutter="0"/>
          <w:pgNumType w:start="20"/>
          <w:cols w:space="720"/>
          <w:titlePg w:val="0"/>
          <w:docGrid w:type="lines" w:linePitch="312"/>
        </w:sectPr>
      </w:pPr>
    </w:p>
    <w:p w:rsidR="00C90C60">
      <w:pPr>
        <w:spacing w:line="360" w:lineRule="auto"/>
        <w:jc w:val="left"/>
        <w:rPr>
          <w:rFonts w:ascii="ˎ̥" w:hAnsi="ˎ̥"/>
          <w:color w:val="000000"/>
          <w:kern w:val="0"/>
          <w:sz w:val="28"/>
        </w:rPr>
      </w:pPr>
      <w:r>
        <w:rPr>
          <w:rFonts w:ascii="ˎ̥" w:hAnsi="ˎ̥"/>
          <w:color w:val="000000"/>
          <w:kern w:val="0"/>
          <w:sz w:val="28"/>
        </w:rPr>
        <w:t>该《规划》透露，根据南、北、东、西四个方向的进出川通道和各地产业布局、商品流向、资源环境、区域规划等因素，四川将全力建设、打造八大次区域物流中心。其中：攀枝花物流中心以矿产资源、钢材和农产品(冷链)物流为特色，辐射川、滇、黔交界区域，重点建设攀枝花市倮果散装货物(矿产品)物流中心等工程；自贡-泸州-宜宾物流中心以酒业、化工、机械、盐化工物流为特色，辐射川、滇、黔、渝交界区域，重点建设自贡板仓加工制造业物流园区、宜宾港志诚作业区一期工程、泸州高坝集装箱物流中心等工程；达州物流中心以天然气化工、农产品和再生资源物流为特色，辐射川、渝、陕、鄂交界区域，重点建设达州粮食物流中心等工程；绵阳-广元物流中心以电子产品、农产品物流为特色，辐射川、陕、甘交界区域，重点建设长虹信息化现代物流园区、广元现代粮食物流中心等工程；南充-广安物流中心以商业零售、农产品、建材物流为特色，辐射川、渝交界区域，重点建设南充小龙物流园区、广安新桥能源化工园区物流中心等工程；遂宁-内江物流中心以建设仓储配送设施为重点，形成为全省效劳的物流配送中心，重点建设川渝合作物流园区、遂宁中国西部国际工业物流港等工程；乐山物流中心以大件运输为特点，形成水路联运的物流中心，重点建设乐山棉竹物流园区等工程；雅安物流中心以水电、矿业、机械加工、农产品物流为特点，形成辐射川西北、攀西地区的物流中心，重点建设华峰物流园区、雅惠物流仓储中心等工程。　该《规划》指出，今后，四川将依托全省产业特色和物流需求，构建五大重点领域物流体系。其中：配合国家优质商品猪战略保障基地建设，依托省内大中型食品加工企业、区域性农产品批发市场、物流园区，构建四川农产品冷链物流体系；以散储、散运、散装、散卸为重点，构建以成都、眉山、宜宾、达州、南充、攀枝花、广元为重要节点的四川粮食现代物流体系；制造业物流体系结合四川省重要战略资源开发基地建设、现代加工制造业基地建设、科技创新产业化基地建设、农产品深加工基地建设，组织实施一批制造业与物流业联动开展示范工程和重点工程，促进现代制造业与物流业的有机融合、联动开展；商贸物流体系推进物流企业与商贸企业互动开展，促进供给链各环节有机结合，在大中城市开展面向流通企业和消费者的社会化共同配送，促进流通的现代化，扩大居民消费；第三方物流体系培育一批适应机械、重装、电子、建材、白酒等优势产业物流需求的第三方物流企业，做强做大，积极引进国内外大型第三方物流企业来川开展。</w:t>
      </w:r>
    </w:p>
    <w:p w:rsidR="00C90C60">
      <w:pPr>
        <w:widowControl/>
        <w:wordWrap w:val="0"/>
        <w:spacing w:before="180" w:after="180" w:line="432" w:lineRule="auto"/>
        <w:jc w:val="left"/>
        <w:rPr>
          <w:rFonts w:ascii="宋体" w:hAnsi="宋体"/>
          <w:color w:val="000000"/>
          <w:kern w:val="0"/>
        </w:rPr>
        <w:sectPr>
          <w:type w:val="nextPage"/>
          <w:pgSz w:w="11906" w:h="16838"/>
          <w:pgMar w:top="1440" w:right="1800" w:bottom="1440" w:left="1800" w:header="851" w:footer="992" w:gutter="0"/>
          <w:pgNumType w:start="21"/>
          <w:cols w:space="720"/>
          <w:titlePg w:val="0"/>
          <w:docGrid w:type="lines" w:linePitch="312"/>
        </w:sectPr>
      </w:pPr>
    </w:p>
    <w:p w:rsidR="00C90C60">
      <w:pPr>
        <w:spacing w:line="360" w:lineRule="auto"/>
        <w:ind w:firstLine="560" w:firstLineChars="200"/>
        <w:rPr>
          <w:rFonts w:ascii="宋体" w:hAnsi="宋体" w:hint="eastAsia"/>
          <w:color w:val="FF0000"/>
          <w:kern w:val="0"/>
          <w:sz w:val="28"/>
        </w:rPr>
      </w:pPr>
      <w:r>
        <w:rPr>
          <w:rFonts w:ascii="宋体" w:hAnsi="宋体" w:hint="eastAsia"/>
          <w:color w:val="FF0000"/>
          <w:kern w:val="0"/>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5pt;height:311.25pt;mso-position-horizontal-relative:page;mso-position-vertical-relative:page" filled="f" stroked="f">
            <v:imagedata r:id="rId4" o:title="成都航线图"/>
            <v:path o:extrusionok="f"/>
            <o:lock v:ext="edit" aspectratio="t"/>
          </v:shape>
        </w:pict>
      </w:r>
    </w:p>
    <w:p w:rsidR="00C90C60">
      <w:pPr>
        <w:spacing w:line="360" w:lineRule="auto"/>
        <w:ind w:firstLine="4230" w:firstLineChars="2350"/>
        <w:rPr>
          <w:rFonts w:ascii="宋体" w:hAnsi="宋体" w:hint="eastAsia"/>
          <w:kern w:val="0"/>
          <w:sz w:val="18"/>
        </w:rPr>
      </w:pPr>
      <w:r w:rsidR="00F85B36">
        <w:rPr>
          <w:rFonts w:ascii="宋体" w:hAnsi="宋体" w:hint="eastAsia"/>
          <w:kern w:val="0"/>
          <w:sz w:val="18"/>
        </w:rPr>
        <w:t>四川</w:t>
      </w:r>
      <w:r>
        <w:rPr>
          <w:rFonts w:ascii="宋体" w:hAnsi="宋体" w:hint="eastAsia"/>
          <w:kern w:val="0"/>
          <w:sz w:val="18"/>
        </w:rPr>
        <w:t>成为西部航空枢纽</w:t>
      </w:r>
    </w:p>
    <w:p w:rsidR="00C90C60">
      <w:pPr>
        <w:spacing w:line="360" w:lineRule="auto"/>
        <w:ind w:firstLine="4230" w:firstLineChars="2350"/>
        <w:rPr>
          <w:rFonts w:ascii="宋体" w:hAnsi="宋体" w:hint="eastAsia"/>
          <w:kern w:val="0"/>
          <w:sz w:val="18"/>
        </w:rPr>
      </w:pPr>
    </w:p>
    <w:p w:rsidR="00C90C60">
      <w:pPr>
        <w:spacing w:line="360" w:lineRule="auto"/>
        <w:ind w:firstLine="4230" w:firstLineChars="2350"/>
        <w:rPr>
          <w:rFonts w:ascii="宋体" w:hAnsi="宋体" w:hint="eastAsia"/>
          <w:kern w:val="0"/>
          <w:sz w:val="18"/>
        </w:rPr>
      </w:pPr>
    </w:p>
    <w:p w:rsidR="00C90C60">
      <w:pPr>
        <w:spacing w:line="360" w:lineRule="auto"/>
        <w:rPr>
          <w:rFonts w:ascii="宋体" w:hAnsi="宋体" w:hint="eastAsia"/>
          <w:kern w:val="0"/>
          <w:sz w:val="18"/>
        </w:rPr>
      </w:pPr>
      <w:r>
        <w:rPr>
          <w:rFonts w:ascii="宋体" w:hAnsi="宋体" w:hint="eastAsia"/>
          <w:kern w:val="0"/>
          <w:sz w:val="18"/>
        </w:rPr>
        <w:pict>
          <v:shape id="_x0000_i1027" type="#_x0000_t75" style="width:337.5pt;height:290.25pt;mso-position-horizontal-relative:page;mso-position-vertical-relative:page" filled="f" stroked="f">
            <v:imagedata r:id="rId5" o:title="成都铁路枢纽"/>
            <v:path o:extrusionok="f"/>
            <o:lock v:ext="edit" aspectratio="t"/>
          </v:shape>
        </w:pict>
      </w:r>
    </w:p>
    <w:p w:rsidR="00C90C60">
      <w:pPr>
        <w:spacing w:line="360" w:lineRule="auto"/>
        <w:rPr>
          <w:rFonts w:ascii="宋体" w:hAnsi="宋体" w:hint="eastAsia"/>
          <w:kern w:val="0"/>
          <w:sz w:val="18"/>
        </w:rPr>
        <w:sectPr>
          <w:type w:val="nextPage"/>
          <w:pgSz w:w="11906" w:h="16838"/>
          <w:pgMar w:top="1440" w:right="1800" w:bottom="1440" w:left="1800" w:header="851" w:footer="992" w:gutter="0"/>
          <w:pgNumType w:start="22"/>
          <w:cols w:space="720"/>
          <w:titlePg w:val="0"/>
          <w:docGrid w:type="lines" w:linePitch="312"/>
        </w:sectPr>
      </w:pPr>
      <w:r>
        <w:rPr>
          <w:rFonts w:ascii="宋体" w:hAnsi="宋体" w:hint="eastAsia"/>
          <w:kern w:val="0"/>
          <w:sz w:val="18"/>
        </w:rPr>
        <w:t xml:space="preserve">                                         成都铁路交通图</w:t>
      </w:r>
    </w:p>
    <w:p w:rsidR="00C90C60">
      <w:pPr>
        <w:spacing w:line="360" w:lineRule="auto"/>
        <w:rPr>
          <w:rFonts w:ascii="宋体" w:hAnsi="宋体" w:hint="eastAsia"/>
          <w:kern w:val="0"/>
          <w:sz w:val="18"/>
        </w:rPr>
      </w:pPr>
    </w:p>
    <w:p w:rsidR="00C90C60">
      <w:pPr>
        <w:widowControl/>
        <w:wordWrap w:val="0"/>
        <w:spacing w:before="180" w:after="180" w:line="432" w:lineRule="auto"/>
        <w:jc w:val="center"/>
        <w:rPr>
          <w:rFonts w:ascii="宋体" w:hAnsi="宋体"/>
          <w:color w:val="000000"/>
          <w:kern w:val="0"/>
        </w:rPr>
      </w:pPr>
      <w:r>
        <w:rPr>
          <w:rFonts w:ascii="宋体" w:hAnsi="宋体"/>
          <w:color w:val="000000"/>
          <w:kern w:val="0"/>
        </w:rPr>
        <w:pict>
          <v:shape id="_x0000_i1028" type="#_x0000_t75" alt="到2012年 四川将打造成为西部物流中心" style="width:375pt;height:279.05pt;mso-position-horizontal-relative:page;mso-position-vertical-relative:page" filled="f" stroked="f">
            <v:imagedata r:id="rId6" r:href="rId7" o:title=""/>
            <v:path o:extrusionok="f"/>
            <o:lock v:ext="edit" aspectratio="t"/>
          </v:shape>
        </w:pict>
      </w:r>
    </w:p>
    <w:p w:rsidR="00C90C60">
      <w:pPr>
        <w:widowControl/>
        <w:wordWrap w:val="0"/>
        <w:spacing w:line="432" w:lineRule="auto"/>
        <w:jc w:val="center"/>
        <w:rPr>
          <w:rFonts w:ascii="宋体" w:hAnsi="宋体" w:hint="eastAsia"/>
          <w:color w:val="000000"/>
          <w:kern w:val="0"/>
          <w:sz w:val="18"/>
        </w:rPr>
      </w:pPr>
      <w:r>
        <w:rPr>
          <w:rFonts w:ascii="宋体" w:hAnsi="宋体"/>
          <w:color w:val="000000"/>
          <w:kern w:val="0"/>
          <w:sz w:val="18"/>
        </w:rPr>
        <w:t xml:space="preserve">成都物流设施重点建设工程布局 </w:t>
      </w:r>
    </w:p>
    <w:p w:rsidR="00C90C60">
      <w:pPr>
        <w:widowControl/>
        <w:wordWrap w:val="0"/>
        <w:spacing w:before="180" w:after="180" w:line="432" w:lineRule="auto"/>
        <w:jc w:val="center"/>
        <w:rPr>
          <w:rFonts w:ascii="宋体" w:hAnsi="宋体"/>
          <w:color w:val="000000"/>
          <w:kern w:val="0"/>
        </w:rPr>
      </w:pPr>
      <w:r>
        <w:rPr>
          <w:rFonts w:ascii="宋体" w:hAnsi="宋体"/>
          <w:color w:val="000000"/>
          <w:kern w:val="0"/>
        </w:rPr>
        <w:pict>
          <v:shape id="_x0000_i1029" type="#_x0000_t75" alt="到2012年 四川将打造成为西部物流中心" style="width:375pt;height:276.75pt;mso-position-horizontal-relative:page;mso-position-vertical-relative:page" filled="f" stroked="f">
            <v:imagedata r:id="rId8" r:href="rId9" o:title=""/>
            <v:path o:extrusionok="f"/>
            <o:lock v:ext="edit" aspectratio="t"/>
          </v:shape>
        </w:pict>
      </w:r>
    </w:p>
    <w:p w:rsidR="00C90C60">
      <w:pPr>
        <w:widowControl/>
        <w:wordWrap w:val="0"/>
        <w:spacing w:line="432" w:lineRule="auto"/>
        <w:jc w:val="center"/>
        <w:rPr>
          <w:rFonts w:ascii="宋体" w:hAnsi="宋体"/>
          <w:color w:val="000000"/>
          <w:kern w:val="0"/>
          <w:sz w:val="18"/>
        </w:rPr>
        <w:sectPr>
          <w:type w:val="nextPage"/>
          <w:pgSz w:w="11906" w:h="16838"/>
          <w:pgMar w:top="1440" w:right="1800" w:bottom="1440" w:left="1800" w:header="851" w:footer="992" w:gutter="0"/>
          <w:pgNumType w:start="23"/>
          <w:cols w:space="720"/>
          <w:titlePg w:val="0"/>
          <w:docGrid w:type="lines" w:linePitch="312"/>
        </w:sectPr>
      </w:pPr>
      <w:r>
        <w:rPr>
          <w:rFonts w:ascii="宋体" w:hAnsi="宋体"/>
          <w:color w:val="000000"/>
          <w:kern w:val="0"/>
          <w:sz w:val="18"/>
        </w:rPr>
        <w:t xml:space="preserve">四川省区域性物流中心布局 </w:t>
      </w:r>
    </w:p>
    <w:p w:rsidR="00C90C60">
      <w:pPr>
        <w:autoSpaceDE w:val="0"/>
        <w:autoSpaceDN w:val="0"/>
        <w:adjustRightInd w:val="0"/>
        <w:spacing w:before="156" w:beforeLines="50" w:line="360" w:lineRule="auto"/>
        <w:ind w:firstLine="549" w:firstLineChars="196"/>
        <w:rPr>
          <w:rFonts w:ascii="宋体" w:hAnsi="宋体" w:hint="eastAsia"/>
          <w:b/>
          <w:kern w:val="0"/>
          <w:sz w:val="28"/>
        </w:rPr>
      </w:pPr>
      <w:r>
        <w:rPr>
          <w:rFonts w:ascii="宋体" w:hAnsi="宋体" w:hint="eastAsia"/>
          <w:b/>
          <w:kern w:val="0"/>
          <w:sz w:val="28"/>
        </w:rPr>
        <w:t>1.7.2 信息网络支撑条件与机遇</w:t>
      </w:r>
    </w:p>
    <w:p w:rsidR="00C90C60">
      <w:pPr>
        <w:autoSpaceDE w:val="0"/>
        <w:autoSpaceDN w:val="0"/>
        <w:adjustRightInd w:val="0"/>
        <w:spacing w:line="360" w:lineRule="auto"/>
        <w:ind w:firstLine="560" w:firstLineChars="200"/>
        <w:rPr>
          <w:rFonts w:ascii="宋体" w:hAnsi="宋体"/>
          <w:kern w:val="0"/>
          <w:sz w:val="28"/>
        </w:rPr>
        <w:sectPr>
          <w:type w:val="nextPage"/>
          <w:pgSz w:w="11906" w:h="16838"/>
          <w:pgMar w:top="1440" w:right="1800" w:bottom="1440" w:left="1800" w:header="851" w:footer="992" w:gutter="0"/>
          <w:pgNumType w:start="24"/>
          <w:cols w:space="720"/>
          <w:titlePg w:val="0"/>
          <w:docGrid w:type="lines" w:linePitch="312"/>
        </w:sectPr>
      </w:pPr>
      <w:r w:rsidR="005C2822">
        <w:rPr>
          <w:rFonts w:ascii="宋体" w:hAnsi="宋体" w:hint="eastAsia"/>
          <w:kern w:val="0"/>
          <w:sz w:val="28"/>
        </w:rPr>
        <w:t>宜宾市</w:t>
      </w:r>
      <w:r>
        <w:rPr>
          <w:rFonts w:ascii="宋体" w:hAnsi="宋体" w:hint="eastAsia"/>
          <w:kern w:val="0"/>
          <w:sz w:val="28"/>
        </w:rPr>
        <w:t>是西部重要的通信枢纽，与世界200多个国家和地区建立了联系，具备了国民经济信息化的通信能力。但是我们从</w:t>
      </w:r>
      <w:r>
        <w:rPr>
          <w:rFonts w:ascii="宋体" w:hAnsi="宋体"/>
          <w:kern w:val="0"/>
          <w:sz w:val="28"/>
        </w:rPr>
        <w:t>2009年3月20日，中国互联网络信息中心〔CNNIC〕联合四川省互联网协会共同发布《2008四川省互联网络开展状况报告》显示</w:t>
      </w:r>
      <w:r>
        <w:rPr>
          <w:rFonts w:ascii="宋体" w:hAnsi="宋体" w:hint="eastAsia"/>
          <w:kern w:val="0"/>
          <w:sz w:val="28"/>
        </w:rPr>
        <w:t>：</w:t>
      </w:r>
      <w:r>
        <w:rPr>
          <w:rFonts w:ascii="宋体" w:hAnsi="宋体"/>
          <w:kern w:val="0"/>
          <w:sz w:val="28"/>
        </w:rPr>
        <w:t>2008年四川省的网民渗透率首次超过10%，宽带规模增速较之上一年提升近一倍，</w:t>
      </w:r>
      <w:r>
        <w:rPr>
          <w:rFonts w:ascii="宋体" w:hAnsi="宋体"/>
          <w:kern w:val="0"/>
          <w:sz w:val="28"/>
        </w:rPr>
        <w:t xml:space="preserve"> </w:t>
      </w:r>
      <w:r>
        <w:rPr>
          <w:rFonts w:ascii="宋体" w:hAnsi="宋体"/>
          <w:kern w:val="0"/>
          <w:sz w:val="28"/>
        </w:rPr>
        <w:t xml:space="preserve"> </w:t>
      </w:r>
      <w:r>
        <w:rPr>
          <w:rFonts w:ascii="宋体" w:hAnsi="宋体"/>
          <w:kern w:val="0"/>
          <w:sz w:val="28"/>
        </w:rPr>
        <w:t xml:space="preserve"> 网民也以占全省整体网民49.0%的比例远高于全国水平。报告认为，2008年四川互联网开展整体依然呈现不断提升的良好趋势。根据中国互联网在普及率到达10%之后的开展经验看，四川互联网已经进入了一个更快速开展的黄金时期。</w:t>
      </w:r>
      <w:r>
        <w:rPr>
          <w:rFonts w:ascii="宋体" w:hAnsi="宋体"/>
          <w:kern w:val="0"/>
          <w:sz w:val="28"/>
        </w:rPr>
        <w:t xml:space="preserve"> 本次报告是CNNIC专门为四川省定制，希望能帮助社会各界了解四川灾后互联网开展状况，了解四川互联网开展的巨大机遇，并积极参与建设。报告显示，截至2008年12月，四川省网民规模到达了1103万人，网民普及率首次超过10%，到达13.6%，相比2007年有显著提高。根据创新扩散理论，四川省网民会在10%的拐点后，今后几年呈现更快的增长。四川省</w:t>
      </w:r>
      <w:r>
        <w:rPr>
          <w:rFonts w:ascii="宋体" w:hAnsi="宋体"/>
          <w:kern w:val="0"/>
          <w:sz w:val="28"/>
        </w:rPr>
        <w:t xml:space="preserve"> </w:t>
      </w:r>
      <w:r>
        <w:rPr>
          <w:rFonts w:ascii="宋体" w:hAnsi="宋体"/>
          <w:kern w:val="0"/>
          <w:sz w:val="28"/>
        </w:rPr>
        <w:t xml:space="preserve"> </w:t>
      </w:r>
    </w:p>
    <w:p w:rsidR="00C90C60">
      <w:pPr>
        <w:autoSpaceDE w:val="0"/>
        <w:autoSpaceDN w:val="0"/>
        <w:adjustRightInd w:val="0"/>
        <w:spacing w:line="360" w:lineRule="auto"/>
        <w:ind w:firstLine="560" w:firstLineChars="200"/>
        <w:rPr>
          <w:rFonts w:ascii="宋体" w:hAnsi="宋体"/>
          <w:kern w:val="0"/>
          <w:sz w:val="28"/>
        </w:rPr>
        <w:sectPr>
          <w:type w:val="nextPage"/>
          <w:pgSz w:w="11906" w:h="16838"/>
          <w:pgMar w:top="1440" w:right="1800" w:bottom="1440" w:left="1800" w:header="851" w:footer="992" w:gutter="0"/>
          <w:pgNumType w:start="25"/>
          <w:cols w:space="720"/>
          <w:titlePg w:val="0"/>
          <w:docGrid w:type="lines" w:linePitch="312"/>
        </w:sectPr>
      </w:pPr>
      <w:r>
        <w:rPr>
          <w:rFonts w:ascii="宋体" w:hAnsi="宋体"/>
          <w:kern w:val="0"/>
          <w:sz w:val="28"/>
        </w:rPr>
        <w:t xml:space="preserve"> 网民增长尤为迅速，使用比例到达49.0%，远远高于全国39.5%的水平。四川互联网根底资源也呈现快速开展，网站数量增加40964个，年增长率到达115.2%，超过了全国网站91.4%的增长率，这也是四川省连续两年网站数量增长率超过100%。四川省的网民上网方式也呈现出多样化趋势，各种上网设备使用比例均高于全国。受当地人文、经济影响，四川省互联网应用呈现出娱乐第一、应用第二、商务第三的特点：即偏向娱乐应用的效劳使用比例较高且高于全国水平、偏向应用的效劳次之与全国水平上下互现、商务效劳应用比例最少且低于全国水平。在互联网应用上，网络音乐、即时通讯、网络视频、网络游戏的使用比例均在50%以上，整体高于全国水平。而网络炒股、旅游预订以及网络售物的应用比例较小，均在10%以下，低于全国平均水平。报告认为，虽然地震、经济危机等因素对于四川互联网造成一定影响，但从根底建设以及网民状况上来分析，2008年四川互联网仍然保持了快速开展的状态，且开展速度较之2007年有很大提高。报告分析认为，这一状况得益于政府支持、根底设施建设的完善和重大事件对于人民信息需求的刺激等三个方面的促进。首先是政府对于互联网产业的鼎力支持，高新互联网协会、四川省电子商务协会的成立都说明了政府对互联网产业扶持的决心。其次是根底设施的快速建设为互联网开展提供了保障。以网民上网途径为例，在省内宽带已经成为绝对主流，使用比例在9成以上，高速的宽带用户增长率为四川省互联网行业的开展奠定了良好根底。另外，重大事件也对本地的互联网开展有较强的刺激作用。如</w:t>
      </w:r>
      <w:r>
        <w:rPr>
          <w:rFonts w:ascii="宋体" w:hAnsi="宋体"/>
          <w:kern w:val="0"/>
          <w:sz w:val="28"/>
        </w:rPr>
        <w:t xml:space="preserve"> </w:t>
      </w:r>
      <w:r>
        <w:rPr>
          <w:rFonts w:ascii="宋体" w:hAnsi="宋体"/>
          <w:kern w:val="0"/>
          <w:sz w:val="28"/>
        </w:rPr>
        <w:t xml:space="preserve"> </w:t>
      </w:r>
      <w:r>
        <w:rPr>
          <w:rFonts w:ascii="宋体" w:hAnsi="宋体"/>
          <w:kern w:val="0"/>
          <w:sz w:val="28"/>
        </w:rPr>
        <w:t xml:space="preserve"> 上网比例较大的主要原因，就来自地震发生以后，网民对于信息获取及时性的需求提高，促使了</w:t>
      </w:r>
      <w:r>
        <w:rPr>
          <w:rFonts w:ascii="宋体" w:hAnsi="宋体"/>
          <w:kern w:val="0"/>
          <w:sz w:val="28"/>
        </w:rPr>
        <w:t xml:space="preserve"> </w:t>
      </w:r>
      <w:r>
        <w:rPr>
          <w:rFonts w:ascii="宋体" w:hAnsi="宋体"/>
          <w:kern w:val="0"/>
          <w:sz w:val="28"/>
        </w:rPr>
        <w:t xml:space="preserve"> </w:t>
      </w:r>
      <w:r>
        <w:rPr>
          <w:rFonts w:ascii="宋体" w:hAnsi="宋体"/>
          <w:kern w:val="0"/>
          <w:sz w:val="28"/>
        </w:rPr>
        <w:t xml:space="preserve"> 上网的需求大大增加。四川省拥有丰富的自然资源，是西部最大的市场和物资集散地，也是西部的工业大省，因此在电子商务等领域会有很高的需求。报告建议，四川互联网的进一步开展建设应从改善四川省互联网“人文”环境，选择适合四川互联网环境的产业，大力推进企业网站建设以及互联网营销效劳等几个方面入手，重点提高整体网民或者说人口素质是四川互联网蓬勃开展的根底，也是四川省未来应该着重思考的方面。</w:t>
      </w:r>
    </w:p>
    <w:p w:rsidR="00C90C60">
      <w:pPr>
        <w:autoSpaceDE w:val="0"/>
        <w:autoSpaceDN w:val="0"/>
        <w:adjustRightInd w:val="0"/>
        <w:spacing w:line="360" w:lineRule="auto"/>
        <w:ind w:firstLine="560" w:firstLineChars="200"/>
        <w:rPr>
          <w:rFonts w:ascii="宋体" w:hAnsi="宋体" w:hint="eastAsia"/>
          <w:kern w:val="0"/>
          <w:sz w:val="28"/>
        </w:rPr>
      </w:pPr>
      <w:r>
        <w:rPr>
          <w:rFonts w:ascii="宋体" w:hAnsi="宋体" w:hint="eastAsia"/>
          <w:kern w:val="0"/>
          <w:sz w:val="28"/>
        </w:rPr>
        <w:t>我们从以上这份报告，以及</w:t>
      </w:r>
      <w:r w:rsidR="00866766">
        <w:rPr>
          <w:rFonts w:ascii="宋体" w:hAnsi="宋体" w:hint="eastAsia"/>
          <w:kern w:val="0"/>
          <w:sz w:val="28"/>
        </w:rPr>
        <w:t>四川隆昌</w:t>
      </w:r>
      <w:r>
        <w:rPr>
          <w:rFonts w:ascii="宋体" w:hAnsi="宋体" w:hint="eastAsia"/>
          <w:kern w:val="0"/>
          <w:sz w:val="28"/>
        </w:rPr>
        <w:t>投资管理公司调查分析认为：四川现在需要在物流以及商业信息建设中花一定精力。而</w:t>
      </w:r>
      <w:r w:rsidR="00866766">
        <w:rPr>
          <w:rFonts w:ascii="宋体" w:hAnsi="宋体" w:hint="eastAsia"/>
          <w:kern w:val="0"/>
          <w:sz w:val="28"/>
        </w:rPr>
        <w:t>四川隆昌</w:t>
      </w:r>
      <w:r>
        <w:rPr>
          <w:rFonts w:ascii="宋体" w:hAnsi="宋体" w:hint="eastAsia"/>
          <w:kern w:val="0"/>
          <w:sz w:val="28"/>
        </w:rPr>
        <w:t>投资管理所依托的长三角的经济体有成熟的商业信息运载模式。能为四川的信息物流带来一定的突破。</w:t>
      </w:r>
    </w:p>
    <w:p w:rsidR="00C90C60">
      <w:pPr>
        <w:autoSpaceDE w:val="0"/>
        <w:autoSpaceDN w:val="0"/>
        <w:adjustRightInd w:val="0"/>
        <w:spacing w:line="360" w:lineRule="auto"/>
        <w:ind w:firstLine="560" w:firstLineChars="200"/>
        <w:rPr>
          <w:rFonts w:ascii="宋体" w:hAnsi="宋体" w:hint="eastAsia"/>
          <w:kern w:val="0"/>
          <w:sz w:val="28"/>
        </w:rPr>
      </w:pPr>
      <w:r>
        <w:rPr>
          <w:rFonts w:ascii="宋体" w:hAnsi="宋体" w:hint="eastAsia"/>
          <w:kern w:val="0"/>
          <w:sz w:val="28"/>
        </w:rPr>
        <w:t>整体来说，</w:t>
      </w:r>
      <w:r w:rsidRPr="00F85B36" w:rsidR="00F85B36">
        <w:rPr>
          <w:rFonts w:ascii="ˎ̥" w:hAnsi="ˎ̥"/>
          <w:color w:val="000000"/>
          <w:sz w:val="28"/>
          <w:szCs w:val="28"/>
        </w:rPr>
        <w:t>县城地址经多方选择后确定在宜宾县真溪乡,宜宾县真溪乡和高场镇蒋坝、石盘两村划归</w:t>
      </w:r>
      <w:r w:rsidR="00866766">
        <w:rPr>
          <w:rFonts w:ascii="ˎ̥" w:hAnsi="ˎ̥"/>
          <w:color w:val="000000"/>
          <w:sz w:val="28"/>
          <w:szCs w:val="28"/>
        </w:rPr>
        <w:t>新隆</w:t>
      </w:r>
      <w:r w:rsidRPr="00F85B36" w:rsidR="00F85B36">
        <w:rPr>
          <w:rFonts w:ascii="ˎ̥" w:hAnsi="ˎ̥"/>
          <w:color w:val="000000"/>
          <w:sz w:val="28"/>
          <w:szCs w:val="28"/>
        </w:rPr>
        <w:t>县,扩建为新发乡,并以此作为</w:t>
      </w:r>
      <w:r w:rsidR="00866766">
        <w:rPr>
          <w:rFonts w:ascii="ˎ̥" w:hAnsi="ˎ̥"/>
          <w:color w:val="000000"/>
          <w:sz w:val="28"/>
          <w:szCs w:val="28"/>
        </w:rPr>
        <w:t>新隆</w:t>
      </w:r>
      <w:r w:rsidRPr="00F85B36" w:rsidR="00F85B36">
        <w:rPr>
          <w:rFonts w:ascii="ˎ̥" w:hAnsi="ˎ̥"/>
          <w:color w:val="000000"/>
          <w:sz w:val="28"/>
          <w:szCs w:val="28"/>
        </w:rPr>
        <w:t>新县城基地。新发乡幅员面积约86平方公里,有13个行政村和1个社区,共</w:t>
      </w:r>
      <w:r w:rsidR="00F85B36">
        <w:rPr>
          <w:rFonts w:ascii="ˎ̥" w:hAnsi="ˎ̥" w:hint="eastAsia"/>
          <w:color w:val="000000"/>
          <w:sz w:val="28"/>
          <w:szCs w:val="28"/>
        </w:rPr>
        <w:t>2.8</w:t>
      </w:r>
      <w:r w:rsidRPr="00F85B36" w:rsidR="00F85B36">
        <w:rPr>
          <w:rFonts w:ascii="ˎ̥" w:hAnsi="ˎ̥"/>
          <w:color w:val="000000"/>
          <w:sz w:val="28"/>
          <w:szCs w:val="28"/>
        </w:rPr>
        <w:t>万多人。</w:t>
      </w:r>
      <w:r w:rsidR="00866766">
        <w:rPr>
          <w:rFonts w:ascii="ˎ̥" w:hAnsi="ˎ̥"/>
          <w:color w:val="000000"/>
          <w:sz w:val="28"/>
          <w:szCs w:val="28"/>
        </w:rPr>
        <w:t>新隆</w:t>
      </w:r>
      <w:r w:rsidRPr="00F85B36" w:rsidR="00F85B36">
        <w:rPr>
          <w:rFonts w:ascii="ˎ̥" w:hAnsi="ˎ̥"/>
          <w:color w:val="000000"/>
          <w:sz w:val="28"/>
          <w:szCs w:val="28"/>
        </w:rPr>
        <w:t>新县城地理位置非常优越,即将建设的宜乐高速公路和宜峨铁路与之相邻,随着向家坝工程的开工,这个宜宾唯一的国家级贫困县正面临非常好的开展机遇。</w:t>
      </w:r>
    </w:p>
    <w:p w:rsidR="00C90C60">
      <w:pPr>
        <w:spacing w:before="312" w:beforeLines="100" w:line="360" w:lineRule="auto"/>
        <w:ind w:firstLine="549" w:firstLineChars="196"/>
        <w:rPr>
          <w:rFonts w:ascii="宋体" w:hAnsi="宋体" w:hint="eastAsia"/>
          <w:b/>
          <w:sz w:val="28"/>
        </w:rPr>
      </w:pPr>
      <w:r>
        <w:rPr>
          <w:rFonts w:ascii="宋体" w:hAnsi="宋体" w:hint="eastAsia"/>
          <w:b/>
          <w:sz w:val="28"/>
        </w:rPr>
        <w:t>二、</w:t>
      </w:r>
      <w:r w:rsidR="00866766">
        <w:rPr>
          <w:rFonts w:ascii="宋体" w:hAnsi="宋体" w:hint="eastAsia"/>
          <w:b/>
          <w:sz w:val="28"/>
        </w:rPr>
        <w:t>新隆</w:t>
      </w:r>
      <w:r w:rsidRPr="004B315B" w:rsidR="004B315B">
        <w:rPr>
          <w:rFonts w:ascii="宋体" w:hAnsi="宋体" w:hint="eastAsia"/>
          <w:b/>
          <w:sz w:val="28"/>
        </w:rPr>
        <w:t>国际装饰建材城</w:t>
      </w:r>
      <w:r>
        <w:rPr>
          <w:rFonts w:ascii="宋体" w:hAnsi="宋体" w:hint="eastAsia"/>
          <w:b/>
          <w:sz w:val="28"/>
        </w:rPr>
        <w:t>工程建设的意义</w:t>
      </w:r>
    </w:p>
    <w:p w:rsidR="00C90C60">
      <w:pPr>
        <w:autoSpaceDE w:val="0"/>
        <w:autoSpaceDN w:val="0"/>
        <w:adjustRightInd w:val="0"/>
        <w:spacing w:line="360" w:lineRule="auto"/>
        <w:ind w:firstLine="697" w:firstLineChars="249"/>
        <w:rPr>
          <w:rFonts w:ascii="宋体" w:hAnsi="宋体" w:hint="eastAsia"/>
          <w:b/>
          <w:kern w:val="0"/>
          <w:sz w:val="28"/>
        </w:rPr>
      </w:pPr>
      <w:r>
        <w:rPr>
          <w:rFonts w:ascii="宋体" w:hAnsi="宋体" w:hint="eastAsia"/>
          <w:b/>
          <w:kern w:val="0"/>
          <w:sz w:val="28"/>
        </w:rPr>
        <w:t>2.1 推进</w:t>
      </w:r>
      <w:r w:rsidR="005C2822">
        <w:rPr>
          <w:rFonts w:ascii="宋体" w:hAnsi="宋体" w:hint="eastAsia"/>
          <w:b/>
          <w:kern w:val="0"/>
          <w:sz w:val="28"/>
        </w:rPr>
        <w:t>宜宾市</w:t>
      </w:r>
      <w:r>
        <w:rPr>
          <w:rFonts w:ascii="宋体" w:hAnsi="宋体" w:hint="eastAsia"/>
          <w:b/>
          <w:kern w:val="0"/>
          <w:sz w:val="28"/>
        </w:rPr>
        <w:t>建材专业市场的健康开展</w:t>
      </w:r>
    </w:p>
    <w:p w:rsidR="00C90C60">
      <w:pPr>
        <w:autoSpaceDE w:val="0"/>
        <w:autoSpaceDN w:val="0"/>
        <w:adjustRightInd w:val="0"/>
        <w:spacing w:line="360" w:lineRule="auto"/>
        <w:ind w:firstLine="700" w:firstLineChars="250"/>
        <w:rPr>
          <w:rFonts w:ascii="宋体" w:hAnsi="宋体" w:hint="eastAsia"/>
          <w:kern w:val="0"/>
          <w:sz w:val="28"/>
        </w:rPr>
      </w:pPr>
      <w:r w:rsidR="004B315B">
        <w:rPr>
          <w:rFonts w:ascii="宋体" w:hAnsi="宋体" w:hint="eastAsia"/>
          <w:kern w:val="0"/>
          <w:sz w:val="28"/>
        </w:rPr>
        <w:t>工程的建设和运营是宜宾</w:t>
      </w:r>
      <w:r>
        <w:rPr>
          <w:rFonts w:ascii="宋体" w:hAnsi="宋体" w:hint="eastAsia"/>
          <w:kern w:val="0"/>
          <w:sz w:val="28"/>
        </w:rPr>
        <w:t>现代建材/家居专业市场建设的积极前导和有益尝试，将充分发挥该地域的综合交通枢纽功能和大市场优势，为</w:t>
      </w:r>
      <w:r w:rsidR="005C2822">
        <w:rPr>
          <w:rFonts w:ascii="宋体" w:hAnsi="宋体" w:hint="eastAsia"/>
          <w:kern w:val="0"/>
          <w:sz w:val="28"/>
        </w:rPr>
        <w:t>宜宾市</w:t>
      </w:r>
      <w:r>
        <w:rPr>
          <w:rFonts w:ascii="宋体" w:hAnsi="宋体" w:hint="eastAsia"/>
          <w:kern w:val="0"/>
          <w:sz w:val="28"/>
        </w:rPr>
        <w:t>建设以综合运输、仓储、配送和电子商务为支撑的现代建材专业市场提供积极的开展契机和实践空间。有利于大力推进工业、商业流通、信息效劳等对现代技术的改造重组和社会化协作；有利于促进成都品牌建材/家居市场的内循环开展，降低商家运营本钱，提升集约化专业市场能力，促进市场更大范围的辐射，提高成都在西部的首位度。有效解决目前西部建材/家居在商业化模式下运营本钱</w:t>
      </w:r>
    </w:p>
    <w:p w:rsidR="00C90C60">
      <w:pPr>
        <w:autoSpaceDE w:val="0"/>
        <w:autoSpaceDN w:val="0"/>
        <w:adjustRightInd w:val="0"/>
        <w:spacing w:line="360" w:lineRule="auto"/>
        <w:rPr>
          <w:rFonts w:ascii="宋体" w:hAnsi="宋体" w:hint="eastAsia"/>
          <w:kern w:val="0"/>
          <w:sz w:val="28"/>
        </w:rPr>
        <w:sectPr>
          <w:type w:val="nextPage"/>
          <w:pgSz w:w="11906" w:h="16838"/>
          <w:pgMar w:top="1440" w:right="1800" w:bottom="1440" w:left="1800" w:header="851" w:footer="992" w:gutter="0"/>
          <w:pgNumType w:start="26"/>
          <w:cols w:space="720"/>
          <w:titlePg w:val="0"/>
          <w:docGrid w:type="lines" w:linePitch="312"/>
        </w:sectPr>
      </w:pPr>
      <w:r>
        <w:rPr>
          <w:rFonts w:ascii="宋体" w:hAnsi="宋体" w:hint="eastAsia"/>
          <w:kern w:val="0"/>
          <w:sz w:val="28"/>
        </w:rPr>
        <w:t>的压力，提高经济危机对建材市场需求萎缩的抵抗力。</w:t>
      </w:r>
    </w:p>
    <w:p w:rsidR="00C90C60">
      <w:pPr>
        <w:autoSpaceDE w:val="0"/>
        <w:autoSpaceDN w:val="0"/>
        <w:adjustRightInd w:val="0"/>
        <w:spacing w:before="156" w:beforeLines="50" w:line="360" w:lineRule="auto"/>
        <w:ind w:firstLine="697" w:firstLineChars="249"/>
        <w:rPr>
          <w:rFonts w:ascii="宋体" w:hAnsi="宋体" w:hint="eastAsia"/>
          <w:b/>
          <w:kern w:val="0"/>
          <w:sz w:val="28"/>
        </w:rPr>
      </w:pPr>
      <w:r>
        <w:rPr>
          <w:rFonts w:ascii="宋体" w:hAnsi="宋体" w:hint="eastAsia"/>
          <w:b/>
          <w:kern w:val="0"/>
          <w:sz w:val="28"/>
        </w:rPr>
        <w:t>2.2 培养和造就</w:t>
      </w:r>
      <w:r w:rsidR="005C2822">
        <w:rPr>
          <w:rFonts w:ascii="宋体" w:hAnsi="宋体" w:hint="eastAsia"/>
          <w:b/>
          <w:kern w:val="0"/>
          <w:sz w:val="28"/>
        </w:rPr>
        <w:t>宜宾市</w:t>
      </w:r>
      <w:r>
        <w:rPr>
          <w:rFonts w:ascii="宋体" w:hAnsi="宋体" w:hint="eastAsia"/>
          <w:b/>
          <w:kern w:val="0"/>
          <w:sz w:val="28"/>
        </w:rPr>
        <w:t>以信息化，大宗建材物流为支撑的专业仓储交易集散中心</w:t>
      </w:r>
    </w:p>
    <w:p w:rsidR="00C90C60">
      <w:pPr>
        <w:widowControl/>
        <w:shd w:val="clear" w:color="auto" w:fill="FFFFFF"/>
        <w:tabs>
          <w:tab w:val="left" w:pos="540"/>
        </w:tabs>
        <w:spacing w:line="360" w:lineRule="auto"/>
        <w:ind w:firstLine="479" w:firstLineChars="171"/>
        <w:jc w:val="left"/>
        <w:rPr>
          <w:rFonts w:ascii="宋体" w:hAnsi="宋体"/>
          <w:color w:val="000000"/>
          <w:kern w:val="0"/>
          <w:sz w:val="28"/>
        </w:rPr>
      </w:pPr>
      <w:r w:rsidR="00866766">
        <w:rPr>
          <w:rFonts w:ascii="宋体" w:hAnsi="宋体" w:hint="eastAsia"/>
          <w:sz w:val="28"/>
        </w:rPr>
        <w:t>新隆</w:t>
      </w:r>
      <w:r w:rsidR="004B315B">
        <w:rPr>
          <w:rFonts w:ascii="宋体" w:hAnsi="宋体" w:hint="eastAsia"/>
          <w:sz w:val="28"/>
        </w:rPr>
        <w:t>国际装饰建材城</w:t>
      </w:r>
      <w:r>
        <w:rPr>
          <w:rFonts w:ascii="宋体" w:hAnsi="宋体" w:hint="eastAsia"/>
          <w:kern w:val="0"/>
          <w:sz w:val="28"/>
        </w:rPr>
        <w:t>建设将大大促进</w:t>
      </w:r>
      <w:r w:rsidR="005C2822">
        <w:rPr>
          <w:rFonts w:ascii="宋体" w:hAnsi="宋体" w:hint="eastAsia"/>
          <w:kern w:val="0"/>
          <w:sz w:val="28"/>
        </w:rPr>
        <w:t>宜宾市</w:t>
      </w:r>
      <w:r>
        <w:rPr>
          <w:rFonts w:ascii="宋体" w:hAnsi="宋体" w:hint="eastAsia"/>
          <w:kern w:val="0"/>
          <w:sz w:val="28"/>
        </w:rPr>
        <w:t>引进和利用省际商贸和物流企业的步伐。工程建成后通过引入国内先进专业市场信息管理与运作技术在建材专业市场上提升建设理念与建设方法以及建设资金管理渠道与便</w:t>
      </w:r>
      <w:r w:rsidR="001E272B">
        <w:rPr>
          <w:rFonts w:ascii="宋体" w:hAnsi="宋体" w:hint="eastAsia"/>
          <w:kern w:val="0"/>
          <w:sz w:val="28"/>
        </w:rPr>
        <w:t>用方式，让先进的建材大宗运营企业以其成熟而标准的效劳运作为四川省</w:t>
      </w:r>
      <w:r>
        <w:rPr>
          <w:rFonts w:ascii="宋体" w:hAnsi="宋体" w:hint="eastAsia"/>
          <w:kern w:val="0"/>
          <w:sz w:val="28"/>
        </w:rPr>
        <w:t>建材专业效劳开展提供良好的范例与典范。与西部大型建材超市在商业化模式遇到：</w:t>
      </w:r>
      <w:r>
        <w:rPr>
          <w:rFonts w:hint="eastAsia"/>
          <w:color w:val="000000"/>
          <w:kern w:val="0"/>
          <w:sz w:val="28"/>
        </w:rPr>
        <w:t>产品价格过高；进驻品牌失控；消费需求导向让位于超市利益；盈利能力弱等诟病。本工程的建设将以如下方式进行提升和改善策略：</w:t>
      </w:r>
    </w:p>
    <w:p w:rsidR="00C90C60">
      <w:pPr>
        <w:shd w:val="clear" w:color="auto" w:fill="FFFFFF"/>
        <w:tabs>
          <w:tab w:val="left" w:pos="540"/>
        </w:tabs>
        <w:spacing w:line="360" w:lineRule="auto"/>
        <w:ind w:firstLine="560" w:firstLineChars="200"/>
        <w:rPr>
          <w:rFonts w:ascii="宋体" w:hAnsi="宋体"/>
          <w:color w:val="000000"/>
          <w:kern w:val="0"/>
          <w:sz w:val="28"/>
        </w:rPr>
      </w:pPr>
      <w:r>
        <w:rPr>
          <w:rFonts w:ascii="宋体" w:eastAsia="Times New Roman" w:hAnsi="宋体"/>
          <w:color w:val="000000"/>
          <w:kern w:val="0"/>
          <w:sz w:val="28"/>
        </w:rPr>
        <w:t>A</w:t>
      </w:r>
      <w:r>
        <w:rPr>
          <w:rFonts w:ascii="宋体" w:hAnsi="宋体" w:hint="eastAsia"/>
          <w:color w:val="000000"/>
          <w:kern w:val="0"/>
          <w:sz w:val="28"/>
        </w:rPr>
        <w:t>．</w:t>
      </w:r>
      <w:r>
        <w:rPr>
          <w:rFonts w:hint="eastAsia"/>
          <w:color w:val="000000"/>
          <w:kern w:val="0"/>
          <w:sz w:val="28"/>
        </w:rPr>
        <w:t>消费环境明显改善：高档的物业设施，空调、保安、自动扶梯等一应俱全等现代设施，让消费者感受到前所未有的尊重。</w:t>
      </w:r>
    </w:p>
    <w:p w:rsidR="00C90C60">
      <w:pPr>
        <w:widowControl/>
        <w:shd w:val="clear" w:color="auto" w:fill="FFFFFF"/>
        <w:tabs>
          <w:tab w:val="left" w:pos="540"/>
        </w:tabs>
        <w:spacing w:line="360" w:lineRule="auto"/>
        <w:ind w:firstLine="560" w:firstLineChars="200"/>
        <w:jc w:val="left"/>
        <w:rPr>
          <w:rFonts w:ascii="宋体" w:hAnsi="宋体"/>
          <w:color w:val="000000"/>
          <w:kern w:val="0"/>
          <w:sz w:val="28"/>
        </w:rPr>
      </w:pPr>
      <w:r>
        <w:rPr>
          <w:rFonts w:ascii="宋体" w:eastAsia="Times New Roman" w:hAnsi="宋体"/>
          <w:color w:val="000000"/>
          <w:kern w:val="0"/>
          <w:sz w:val="28"/>
        </w:rPr>
        <w:t>B</w:t>
      </w:r>
      <w:r>
        <w:rPr>
          <w:rFonts w:ascii="宋体" w:hAnsi="宋体" w:hint="eastAsia"/>
          <w:color w:val="000000"/>
          <w:kern w:val="0"/>
          <w:sz w:val="28"/>
        </w:rPr>
        <w:t>．集中</w:t>
      </w:r>
      <w:r>
        <w:rPr>
          <w:rFonts w:hint="eastAsia"/>
          <w:color w:val="000000"/>
          <w:kern w:val="0"/>
          <w:sz w:val="28"/>
        </w:rPr>
        <w:t>先进的品牌展示系统：以品牌展示为主要形式，以专卖、专营为主体，让枯燥乏味、灰色消费模式，向更加感性化、时尚化、透明化方向转变。</w:t>
      </w:r>
    </w:p>
    <w:p w:rsidR="00C90C60">
      <w:pPr>
        <w:widowControl/>
        <w:shd w:val="clear" w:color="auto" w:fill="FFFFFF"/>
        <w:tabs>
          <w:tab w:val="left" w:pos="540"/>
        </w:tabs>
        <w:spacing w:line="360" w:lineRule="auto"/>
        <w:ind w:firstLine="560" w:firstLineChars="200"/>
        <w:jc w:val="left"/>
        <w:rPr>
          <w:rFonts w:ascii="宋体" w:hAnsi="宋体"/>
          <w:color w:val="000000"/>
          <w:kern w:val="0"/>
          <w:sz w:val="28"/>
        </w:rPr>
      </w:pPr>
      <w:r>
        <w:rPr>
          <w:rFonts w:ascii="宋体" w:eastAsia="Times New Roman" w:hAnsi="宋体"/>
          <w:color w:val="000000"/>
          <w:kern w:val="0"/>
          <w:sz w:val="28"/>
        </w:rPr>
        <w:t>C</w:t>
      </w:r>
      <w:r>
        <w:rPr>
          <w:rFonts w:ascii="宋体" w:hAnsi="宋体" w:hint="eastAsia"/>
          <w:color w:val="000000"/>
          <w:kern w:val="0"/>
          <w:sz w:val="28"/>
        </w:rPr>
        <w:t>．</w:t>
      </w:r>
      <w:r>
        <w:rPr>
          <w:rFonts w:hint="eastAsia"/>
          <w:color w:val="000000"/>
          <w:kern w:val="0"/>
          <w:sz w:val="28"/>
        </w:rPr>
        <w:t>先进信息化的经营管理模式：建立网上交易信息平台；依托物流优势条件，实施最优先物流配送体系；统一广告、统一促销；统一市场拓展和团购，深度效劳市场；统一售后效劳，提升市场品牌。</w:t>
      </w:r>
    </w:p>
    <w:p w:rsidR="00C90C60">
      <w:pPr>
        <w:widowControl/>
        <w:shd w:val="clear" w:color="auto" w:fill="FFFFFF"/>
        <w:tabs>
          <w:tab w:val="left" w:pos="540"/>
        </w:tabs>
        <w:spacing w:line="360" w:lineRule="auto"/>
        <w:ind w:firstLine="560" w:firstLineChars="200"/>
        <w:jc w:val="left"/>
        <w:rPr>
          <w:rFonts w:ascii="宋体" w:hAnsi="宋体" w:hint="eastAsia"/>
          <w:color w:val="000000"/>
          <w:kern w:val="0"/>
          <w:sz w:val="28"/>
        </w:rPr>
      </w:pPr>
      <w:r>
        <w:rPr>
          <w:rFonts w:ascii="宋体" w:hAnsi="宋体" w:hint="eastAsia"/>
          <w:color w:val="000000"/>
          <w:kern w:val="0"/>
          <w:sz w:val="28"/>
        </w:rPr>
        <w:t>D．提升品牌经营层次，深度整合市场与商户资源，实施集约化</w:t>
      </w:r>
    </w:p>
    <w:p w:rsidR="00C90C60">
      <w:pPr>
        <w:widowControl/>
        <w:shd w:val="clear" w:color="auto" w:fill="FFFFFF"/>
        <w:tabs>
          <w:tab w:val="left" w:pos="540"/>
        </w:tabs>
        <w:spacing w:line="360" w:lineRule="auto"/>
        <w:jc w:val="left"/>
        <w:rPr>
          <w:rFonts w:ascii="宋体" w:hAnsi="宋体"/>
          <w:color w:val="000000"/>
          <w:kern w:val="0"/>
          <w:sz w:val="28"/>
        </w:rPr>
      </w:pPr>
      <w:r>
        <w:rPr>
          <w:rFonts w:ascii="宋体" w:hAnsi="宋体" w:hint="eastAsia"/>
          <w:color w:val="000000"/>
          <w:kern w:val="0"/>
          <w:sz w:val="28"/>
        </w:rPr>
        <w:t>管理模式。</w:t>
      </w:r>
    </w:p>
    <w:p w:rsidR="00C90C60">
      <w:pPr>
        <w:widowControl/>
        <w:shd w:val="clear" w:color="auto" w:fill="FFFFFF"/>
        <w:tabs>
          <w:tab w:val="left" w:pos="540"/>
        </w:tabs>
        <w:spacing w:line="360" w:lineRule="auto"/>
        <w:ind w:firstLine="560" w:firstLineChars="200"/>
        <w:jc w:val="left"/>
        <w:rPr>
          <w:rFonts w:ascii="宋体" w:hAnsi="宋体" w:hint="eastAsia"/>
          <w:color w:val="000000"/>
          <w:kern w:val="0"/>
          <w:sz w:val="28"/>
        </w:rPr>
      </w:pPr>
      <w:r>
        <w:rPr>
          <w:rFonts w:ascii="宋体" w:hAnsi="宋体" w:hint="eastAsia"/>
          <w:color w:val="000000"/>
          <w:kern w:val="0"/>
          <w:sz w:val="28"/>
        </w:rPr>
        <w:t>E．超大经营规模仓储管理，包容建材专卖店、品牌展示、建材超市等多形态的配送。</w:t>
      </w:r>
      <w:r>
        <w:rPr>
          <w:rFonts w:ascii="宋体" w:hAnsi="宋体" w:hint="eastAsia"/>
          <w:color w:val="000000"/>
          <w:kern w:val="0"/>
          <w:sz w:val="28"/>
        </w:rPr>
        <w:br/>
      </w:r>
      <w:r>
        <w:rPr>
          <w:rFonts w:ascii="宋体" w:hAnsi="宋体" w:hint="eastAsia"/>
          <w:color w:val="000000"/>
          <w:kern w:val="0"/>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https://d.book118.com/276101055111010053</w:t>
        </w:r>
      </w:hyperlink>
    </w:p>
    <w:p w:rsidR="00C90C60">
      <w:pPr>
        <w:widowControl/>
        <w:shd w:val="clear" w:color="auto" w:fill="FFFFFF"/>
        <w:tabs>
          <w:tab w:val="left" w:pos="540"/>
        </w:tabs>
        <w:spacing w:line="360" w:lineRule="auto"/>
        <w:ind w:firstLine="560" w:firstLineChars="200"/>
        <w:jc w:val="left"/>
        <w:rPr>
          <w:rFonts w:ascii="宋体" w:hAnsi="宋体" w:hint="eastAsia"/>
          <w:color w:val="000000"/>
          <w:kern w:val="0"/>
          <w:sz w:val="28"/>
        </w:rPr>
      </w:pPr>
    </w:p>
    <w:sectPr>
      <w:type w:val="nextPage"/>
      <w:pgSz w:w="11906" w:h="16838"/>
      <w:pgMar w:top="1440" w:right="1800" w:bottom="1440" w:left="1800" w:header="851" w:footer="992" w:gutter="0"/>
      <w:pgNumType w:start="2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xinsun">
    <w:altName w:val="Times New Roman"/>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notTrueType/>
    <w:pitch w:val="default"/>
    <w:sig w:usb0="00000000"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经典行书简">
    <w:altName w:val="宋体"/>
    <w:panose1 w:val="02010609010101010101"/>
    <w:charset w:val="86"/>
    <w:family w:val="modern"/>
    <w:pitch w:val="default"/>
    <w:sig w:usb0="A1007AEF" w:usb1="F9DF7CFB" w:usb2="0000001E"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6"/>
    <w:family w:val="swiss"/>
    <w:pitch w:val="variable"/>
    <w:sig w:usb0="F7FFAFFF" w:usb1="E9DFFFFF" w:usb2="0000003F" w:usb3="00000000" w:csb0="003F01FF" w:csb1="00000000"/>
  </w:font>
  <w:font w:name="隶书">
    <w:panose1 w:val="0201050906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lvl w:ilvl="0">
      <w:start w:val="1"/>
      <w:numFmt w:val="bullet"/>
      <w:lvlText w:val=""/>
      <w:lvlJc w:val="left"/>
      <w:pPr>
        <w:tabs>
          <w:tab w:val="num" w:pos="844"/>
        </w:tabs>
        <w:ind w:left="844" w:hanging="420"/>
      </w:pPr>
      <w:rPr>
        <w:rFonts w:ascii="Wingdings" w:hAnsi="Wingdings" w:hint="default"/>
      </w:rPr>
    </w:lvl>
    <w:lvl w:ilvl="1">
      <w:start w:val="1"/>
      <w:numFmt w:val="bullet"/>
      <w:lvlText w:val=""/>
      <w:lvlJc w:val="left"/>
      <w:pPr>
        <w:tabs>
          <w:tab w:val="num" w:pos="1264"/>
        </w:tabs>
        <w:ind w:left="1264" w:hanging="420"/>
      </w:pPr>
      <w:rPr>
        <w:rFonts w:ascii="Wingdings" w:hAnsi="Wingdings" w:hint="default"/>
      </w:rPr>
    </w:lvl>
    <w:lvl w:ilvl="2">
      <w:start w:val="1"/>
      <w:numFmt w:val="bullet"/>
      <w:lvlText w:val=""/>
      <w:lvlJc w:val="left"/>
      <w:pPr>
        <w:tabs>
          <w:tab w:val="num" w:pos="1684"/>
        </w:tabs>
        <w:ind w:left="1684" w:hanging="420"/>
      </w:pPr>
      <w:rPr>
        <w:rFonts w:ascii="Wingdings" w:hAnsi="Wingdings" w:hint="default"/>
      </w:rPr>
    </w:lvl>
    <w:lvl w:ilvl="3">
      <w:start w:val="1"/>
      <w:numFmt w:val="bullet"/>
      <w:lvlText w:val=""/>
      <w:lvlJc w:val="left"/>
      <w:pPr>
        <w:tabs>
          <w:tab w:val="num" w:pos="2104"/>
        </w:tabs>
        <w:ind w:left="2104" w:hanging="420"/>
      </w:pPr>
      <w:rPr>
        <w:rFonts w:ascii="Wingdings" w:hAnsi="Wingdings" w:hint="default"/>
      </w:rPr>
    </w:lvl>
    <w:lvl w:ilvl="4">
      <w:start w:val="1"/>
      <w:numFmt w:val="bullet"/>
      <w:lvlText w:val=""/>
      <w:lvlJc w:val="left"/>
      <w:pPr>
        <w:tabs>
          <w:tab w:val="num" w:pos="2524"/>
        </w:tabs>
        <w:ind w:left="2524" w:hanging="420"/>
      </w:pPr>
      <w:rPr>
        <w:rFonts w:ascii="Wingdings" w:hAnsi="Wingdings" w:hint="default"/>
      </w:rPr>
    </w:lvl>
    <w:lvl w:ilvl="5">
      <w:start w:val="1"/>
      <w:numFmt w:val="bullet"/>
      <w:lvlText w:val=""/>
      <w:lvlJc w:val="left"/>
      <w:pPr>
        <w:tabs>
          <w:tab w:val="num" w:pos="2944"/>
        </w:tabs>
        <w:ind w:left="2944" w:hanging="420"/>
      </w:pPr>
      <w:rPr>
        <w:rFonts w:ascii="Wingdings" w:hAnsi="Wingdings" w:hint="default"/>
      </w:rPr>
    </w:lvl>
    <w:lvl w:ilvl="6">
      <w:start w:val="1"/>
      <w:numFmt w:val="bullet"/>
      <w:lvlText w:val=""/>
      <w:lvlJc w:val="left"/>
      <w:pPr>
        <w:tabs>
          <w:tab w:val="num" w:pos="3364"/>
        </w:tabs>
        <w:ind w:left="3364" w:hanging="420"/>
      </w:pPr>
      <w:rPr>
        <w:rFonts w:ascii="Wingdings" w:hAnsi="Wingdings" w:hint="default"/>
      </w:rPr>
    </w:lvl>
    <w:lvl w:ilvl="7">
      <w:start w:val="1"/>
      <w:numFmt w:val="bullet"/>
      <w:lvlText w:val=""/>
      <w:lvlJc w:val="left"/>
      <w:pPr>
        <w:tabs>
          <w:tab w:val="num" w:pos="3784"/>
        </w:tabs>
        <w:ind w:left="3784" w:hanging="420"/>
      </w:pPr>
      <w:rPr>
        <w:rFonts w:ascii="Wingdings" w:hAnsi="Wingdings" w:hint="default"/>
      </w:rPr>
    </w:lvl>
    <w:lvl w:ilvl="8">
      <w:start w:val="1"/>
      <w:numFmt w:val="bullet"/>
      <w:lvlText w:val=""/>
      <w:lvlJc w:val="left"/>
      <w:pPr>
        <w:tabs>
          <w:tab w:val="num" w:pos="4204"/>
        </w:tabs>
        <w:ind w:left="4204" w:hanging="420"/>
      </w:pPr>
      <w:rPr>
        <w:rFonts w:ascii="Wingdings" w:hAnsi="Wingdings" w:hint="default"/>
      </w:rPr>
    </w:lvl>
  </w:abstractNum>
  <w:abstractNum w:abstractNumId="1">
    <w:nsid w:val="00000005"/>
    <w:multiLevelType w:val="multilevel"/>
    <w:tmpl w:val="0000000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none"/>
      <w:suff w:val="nothing"/>
      <w:lvlJc w:val="left"/>
      <w:pPr>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0000001D"/>
    <w:multiLevelType w:val="multilevel"/>
    <w:tmpl w:val="0000001D"/>
    <w:lvl w:ilvl="0">
      <w:start w:val="1"/>
      <w:numFmt w:val="bullet"/>
      <w:lvlText w:val=""/>
      <w:lvlJc w:val="left"/>
      <w:pPr>
        <w:tabs>
          <w:tab w:val="num" w:pos="960"/>
        </w:tabs>
        <w:ind w:left="960" w:hanging="420"/>
      </w:pPr>
      <w:rPr>
        <w:rFonts w:ascii="Wingdings" w:hAnsi="Wingdings" w:hint="default"/>
      </w:rPr>
    </w:lvl>
    <w:lvl w:ilvl="1">
      <w:start w:val="1"/>
      <w:numFmt w:val="bullet"/>
      <w:lvlText w:val=""/>
      <w:lvlJc w:val="left"/>
      <w:pPr>
        <w:tabs>
          <w:tab w:val="num" w:pos="1286"/>
        </w:tabs>
        <w:ind w:left="1286" w:hanging="420"/>
      </w:pPr>
      <w:rPr>
        <w:rFonts w:ascii="Wingdings" w:hAnsi="Wingdings" w:hint="default"/>
      </w:rPr>
    </w:lvl>
    <w:lvl w:ilvl="2">
      <w:start w:val="1"/>
      <w:numFmt w:val="bullet"/>
      <w:lvlText w:val=""/>
      <w:lvlJc w:val="left"/>
      <w:pPr>
        <w:tabs>
          <w:tab w:val="num" w:pos="1706"/>
        </w:tabs>
        <w:ind w:left="1706" w:hanging="420"/>
      </w:pPr>
      <w:rPr>
        <w:rFonts w:ascii="Wingdings" w:hAnsi="Wingdings" w:hint="default"/>
      </w:rPr>
    </w:lvl>
    <w:lvl w:ilvl="3">
      <w:start w:val="1"/>
      <w:numFmt w:val="bullet"/>
      <w:lvlText w:val=""/>
      <w:lvlJc w:val="left"/>
      <w:pPr>
        <w:tabs>
          <w:tab w:val="num" w:pos="2126"/>
        </w:tabs>
        <w:ind w:left="2126" w:hanging="420"/>
      </w:pPr>
      <w:rPr>
        <w:rFonts w:ascii="Wingdings" w:hAnsi="Wingdings" w:hint="default"/>
      </w:rPr>
    </w:lvl>
    <w:lvl w:ilvl="4">
      <w:start w:val="1"/>
      <w:numFmt w:val="bullet"/>
      <w:lvlText w:val=""/>
      <w:lvlJc w:val="left"/>
      <w:pPr>
        <w:tabs>
          <w:tab w:val="num" w:pos="2546"/>
        </w:tabs>
        <w:ind w:left="2546" w:hanging="420"/>
      </w:pPr>
      <w:rPr>
        <w:rFonts w:ascii="Wingdings" w:hAnsi="Wingdings" w:hint="default"/>
      </w:rPr>
    </w:lvl>
    <w:lvl w:ilvl="5">
      <w:start w:val="1"/>
      <w:numFmt w:val="bullet"/>
      <w:lvlText w:val=""/>
      <w:lvlJc w:val="left"/>
      <w:pPr>
        <w:tabs>
          <w:tab w:val="num" w:pos="2966"/>
        </w:tabs>
        <w:ind w:left="2966" w:hanging="420"/>
      </w:pPr>
      <w:rPr>
        <w:rFonts w:ascii="Wingdings" w:hAnsi="Wingdings" w:hint="default"/>
      </w:rPr>
    </w:lvl>
    <w:lvl w:ilvl="6">
      <w:start w:val="1"/>
      <w:numFmt w:val="bullet"/>
      <w:lvlText w:val=""/>
      <w:lvlJc w:val="left"/>
      <w:pPr>
        <w:tabs>
          <w:tab w:val="num" w:pos="3386"/>
        </w:tabs>
        <w:ind w:left="3386" w:hanging="420"/>
      </w:pPr>
      <w:rPr>
        <w:rFonts w:ascii="Wingdings" w:hAnsi="Wingdings" w:hint="default"/>
      </w:rPr>
    </w:lvl>
    <w:lvl w:ilvl="7">
      <w:start w:val="1"/>
      <w:numFmt w:val="bullet"/>
      <w:lvlText w:val=""/>
      <w:lvlJc w:val="left"/>
      <w:pPr>
        <w:tabs>
          <w:tab w:val="num" w:pos="3806"/>
        </w:tabs>
        <w:ind w:left="3806" w:hanging="420"/>
      </w:pPr>
      <w:rPr>
        <w:rFonts w:ascii="Wingdings" w:hAnsi="Wingdings" w:hint="default"/>
      </w:rPr>
    </w:lvl>
    <w:lvl w:ilvl="8">
      <w:start w:val="1"/>
      <w:numFmt w:val="bullet"/>
      <w:lvlText w:val=""/>
      <w:lvlJc w:val="left"/>
      <w:pPr>
        <w:tabs>
          <w:tab w:val="num" w:pos="4226"/>
        </w:tabs>
        <w:ind w:left="4226" w:hanging="420"/>
      </w:pPr>
      <w:rPr>
        <w:rFonts w:ascii="Wingdings" w:hAnsi="Wingdings" w:hint="default"/>
      </w:rPr>
    </w:lvl>
  </w:abstractNum>
  <w:abstractNum w:abstractNumId="3">
    <w:nsid w:val="00000020"/>
    <w:multiLevelType w:val="multilevel"/>
    <w:tmpl w:val="0000002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66E34"/>
    <w:rsid w:val="00113C5E"/>
    <w:rsid w:val="00151008"/>
    <w:rsid w:val="00165158"/>
    <w:rsid w:val="001A18C9"/>
    <w:rsid w:val="001D08FD"/>
    <w:rsid w:val="001E272B"/>
    <w:rsid w:val="002535D3"/>
    <w:rsid w:val="002666DA"/>
    <w:rsid w:val="00292BD2"/>
    <w:rsid w:val="002B3093"/>
    <w:rsid w:val="002D411B"/>
    <w:rsid w:val="002F018F"/>
    <w:rsid w:val="002F1A73"/>
    <w:rsid w:val="00350BFC"/>
    <w:rsid w:val="00386AAF"/>
    <w:rsid w:val="003A6D3C"/>
    <w:rsid w:val="003B64FC"/>
    <w:rsid w:val="003E0728"/>
    <w:rsid w:val="003E2EE0"/>
    <w:rsid w:val="00402FE9"/>
    <w:rsid w:val="00463E11"/>
    <w:rsid w:val="004B315B"/>
    <w:rsid w:val="004C5441"/>
    <w:rsid w:val="00567FFB"/>
    <w:rsid w:val="00577513"/>
    <w:rsid w:val="00581766"/>
    <w:rsid w:val="00591D05"/>
    <w:rsid w:val="005A3478"/>
    <w:rsid w:val="005C2822"/>
    <w:rsid w:val="005F6546"/>
    <w:rsid w:val="0060029D"/>
    <w:rsid w:val="006037E1"/>
    <w:rsid w:val="00616538"/>
    <w:rsid w:val="00627834"/>
    <w:rsid w:val="00681879"/>
    <w:rsid w:val="00684D30"/>
    <w:rsid w:val="00693877"/>
    <w:rsid w:val="006967AA"/>
    <w:rsid w:val="006F3A68"/>
    <w:rsid w:val="006F7954"/>
    <w:rsid w:val="007058C2"/>
    <w:rsid w:val="00790B4F"/>
    <w:rsid w:val="007919A0"/>
    <w:rsid w:val="00794547"/>
    <w:rsid w:val="007967E8"/>
    <w:rsid w:val="007B54DB"/>
    <w:rsid w:val="007C7068"/>
    <w:rsid w:val="007F71BC"/>
    <w:rsid w:val="00816B31"/>
    <w:rsid w:val="0082162A"/>
    <w:rsid w:val="00866766"/>
    <w:rsid w:val="00883602"/>
    <w:rsid w:val="00895AEA"/>
    <w:rsid w:val="008F315F"/>
    <w:rsid w:val="009035F8"/>
    <w:rsid w:val="009334B3"/>
    <w:rsid w:val="009F1862"/>
    <w:rsid w:val="009F4A2F"/>
    <w:rsid w:val="00A077C5"/>
    <w:rsid w:val="00A16AF3"/>
    <w:rsid w:val="00A609B7"/>
    <w:rsid w:val="00AB2C1E"/>
    <w:rsid w:val="00AD7DE3"/>
    <w:rsid w:val="00B329E2"/>
    <w:rsid w:val="00B4077A"/>
    <w:rsid w:val="00B76BBC"/>
    <w:rsid w:val="00BB002D"/>
    <w:rsid w:val="00BD696A"/>
    <w:rsid w:val="00C1164F"/>
    <w:rsid w:val="00C205BB"/>
    <w:rsid w:val="00C24817"/>
    <w:rsid w:val="00C90C60"/>
    <w:rsid w:val="00D038B9"/>
    <w:rsid w:val="00DA067D"/>
    <w:rsid w:val="00DE5F22"/>
    <w:rsid w:val="00DF1BA3"/>
    <w:rsid w:val="00E50A30"/>
    <w:rsid w:val="00EC1EB4"/>
    <w:rsid w:val="00ED6CD8"/>
    <w:rsid w:val="00F158DC"/>
    <w:rsid w:val="00F646BC"/>
    <w:rsid w:val="00F85B36"/>
    <w:rsid w:val="00FB5092"/>
    <w:rsid w:val="00FC3B9F"/>
    <w:rsid w:val="00FD39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napToGrid w:val="0"/>
      <w:spacing w:before="240" w:beforeLines="0" w:beforeAutospacing="0" w:after="240" w:afterLines="0" w:afterAutospacing="0"/>
      <w:jc w:val="center"/>
      <w:outlineLvl w:val="0"/>
    </w:pPr>
    <w:rPr>
      <w:rFonts w:eastAsia="黑体"/>
      <w:b/>
      <w:kern w:val="44"/>
      <w:sz w:val="36"/>
    </w:rPr>
  </w:style>
  <w:style w:type="paragraph" w:styleId="Heading2">
    <w:name w:val="heading 2"/>
    <w:basedOn w:val="Normal"/>
    <w:next w:val="NormalIndent"/>
    <w:qFormat/>
    <w:pPr>
      <w:keepNext/>
      <w:keepLines/>
      <w:snapToGrid w:val="0"/>
      <w:spacing w:line="360" w:lineRule="auto"/>
      <w:outlineLvl w:val="1"/>
    </w:pPr>
    <w:rPr>
      <w:rFonts w:ascii="宋体" w:hAnsi="宋体"/>
      <w:b/>
      <w:color w:val="FF0000"/>
      <w:sz w:val="30"/>
    </w:rPr>
  </w:style>
  <w:style w:type="paragraph" w:styleId="Heading3">
    <w:name w:val="heading 3"/>
    <w:basedOn w:val="Normal"/>
    <w:next w:val="NormalIndent"/>
    <w:link w:val="3Char"/>
    <w:qFormat/>
    <w:pPr>
      <w:keepNext/>
      <w:keepLines/>
      <w:snapToGrid w:val="0"/>
      <w:spacing w:before="240" w:beforeLines="0" w:beforeAutospacing="0" w:after="120" w:afterLines="0" w:afterAutospacing="0"/>
      <w:outlineLvl w:val="2"/>
    </w:pPr>
    <w:rPr>
      <w:rFonts w:ascii="黑体" w:eastAsia="黑体"/>
      <w:b/>
      <w:kern w:val="2"/>
      <w:sz w:val="28"/>
      <w:lang w:val="en-US" w:eastAsia="zh-CN"/>
    </w:rPr>
  </w:style>
  <w:style w:type="paragraph" w:styleId="Heading5">
    <w:name w:val="heading 5"/>
    <w:basedOn w:val="Normal"/>
    <w:next w:val="Normal"/>
    <w:qFormat/>
    <w:pPr>
      <w:keepNext/>
      <w:widowControl/>
      <w:numPr>
        <w:ilvl w:val="4"/>
        <w:numId w:val="1"/>
      </w:numPr>
      <w:tabs>
        <w:tab w:val="left" w:pos="1008"/>
      </w:tabs>
      <w:spacing w:before="240" w:beforeLines="0" w:beforeAutospacing="0"/>
      <w:jc w:val="center"/>
      <w:outlineLvl w:val="4"/>
    </w:pPr>
    <w:rPr>
      <w:rFonts w:ascii="Arial" w:hAnsi="Arial"/>
      <w:i/>
      <w:kern w:val="0"/>
      <w:sz w:val="24"/>
    </w:rPr>
  </w:style>
  <w:style w:type="paragraph" w:styleId="Heading6">
    <w:name w:val="heading 6"/>
    <w:basedOn w:val="Normal"/>
    <w:next w:val="Normal"/>
    <w:qFormat/>
    <w:pPr>
      <w:keepNext/>
      <w:widowControl/>
      <w:numPr>
        <w:ilvl w:val="5"/>
        <w:numId w:val="1"/>
      </w:numPr>
      <w:tabs>
        <w:tab w:val="left" w:pos="1152"/>
      </w:tabs>
      <w:spacing w:before="240" w:beforeLines="0" w:beforeAutospacing="0"/>
      <w:jc w:val="center"/>
      <w:outlineLvl w:val="5"/>
    </w:pPr>
    <w:rPr>
      <w:rFonts w:ascii="Arial" w:hAnsi="Arial"/>
      <w:b/>
      <w:i/>
      <w:kern w:val="0"/>
      <w:sz w:val="28"/>
    </w:rPr>
  </w:style>
  <w:style w:type="paragraph" w:styleId="Heading7">
    <w:name w:val="heading 7"/>
    <w:basedOn w:val="Normal"/>
    <w:next w:val="Normal"/>
    <w:qFormat/>
    <w:pPr>
      <w:keepNext/>
      <w:widowControl/>
      <w:numPr>
        <w:ilvl w:val="6"/>
        <w:numId w:val="1"/>
      </w:numPr>
      <w:tabs>
        <w:tab w:val="left" w:pos="1296"/>
      </w:tabs>
      <w:spacing w:before="240" w:beforeLines="0" w:beforeAutospacing="0"/>
      <w:jc w:val="center"/>
      <w:outlineLvl w:val="6"/>
    </w:pPr>
    <w:rPr>
      <w:b/>
      <w:kern w:val="0"/>
      <w:sz w:val="28"/>
    </w:rPr>
  </w:style>
  <w:style w:type="paragraph" w:styleId="Heading8">
    <w:name w:val="heading 8"/>
    <w:basedOn w:val="Normal"/>
    <w:next w:val="Normal"/>
    <w:qFormat/>
    <w:pPr>
      <w:keepNext/>
      <w:widowControl/>
      <w:numPr>
        <w:ilvl w:val="7"/>
        <w:numId w:val="1"/>
      </w:numPr>
      <w:tabs>
        <w:tab w:val="left" w:pos="1440"/>
      </w:tabs>
      <w:spacing w:before="240" w:beforeLines="0" w:beforeAutospacing="0"/>
      <w:jc w:val="left"/>
      <w:outlineLvl w:val="7"/>
    </w:pPr>
    <w:rPr>
      <w:kern w:val="0"/>
      <w:sz w:val="24"/>
    </w:rPr>
  </w:style>
  <w:style w:type="paragraph" w:styleId="Heading9">
    <w:name w:val="heading 9"/>
    <w:basedOn w:val="Normal"/>
    <w:next w:val="Normal"/>
    <w:qFormat/>
    <w:pPr>
      <w:keepNext/>
      <w:widowControl/>
      <w:numPr>
        <w:ilvl w:val="8"/>
        <w:numId w:val="1"/>
      </w:numPr>
      <w:tabs>
        <w:tab w:val="left" w:pos="1584"/>
      </w:tabs>
      <w:spacing w:before="240" w:beforeLines="0" w:beforeAutospacing="0"/>
      <w:jc w:val="center"/>
      <w:outlineLvl w:val="8"/>
    </w:pPr>
    <w:rPr>
      <w:b/>
      <w:kern w:val="0"/>
      <w:sz w:val="24"/>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ttag">
    <w:name w:val="t_tag"/>
    <w:basedOn w:val="DefaultParagraphFont"/>
  </w:style>
  <w:style w:type="character" w:styleId="Hyperlink">
    <w:name w:val="Hyperlink"/>
    <w:basedOn w:val="DefaultParagraphFont"/>
    <w:rPr>
      <w:color w:val="0000FF"/>
      <w:u w:val="single"/>
    </w:rPr>
  </w:style>
  <w:style w:type="character" w:customStyle="1" w:styleId="3Char">
    <w:name w:val="标题 3 Char"/>
    <w:basedOn w:val="DefaultParagraphFont"/>
    <w:link w:val="Heading3"/>
    <w:rPr>
      <w:rFonts w:ascii="黑体" w:eastAsia="黑体"/>
      <w:b/>
      <w:kern w:val="2"/>
      <w:sz w:val="28"/>
      <w:lang w:val="en-US" w:eastAsia="zh-CN"/>
    </w:rPr>
  </w:style>
  <w:style w:type="character" w:styleId="PageNumber">
    <w:name w:val="page number"/>
    <w:basedOn w:val="DefaultParagraphFont"/>
  </w:style>
  <w:style w:type="character" w:customStyle="1" w:styleId="1">
    <w:name w:val="样式1"/>
    <w:basedOn w:val="DefaultParagraphFont"/>
    <w:rPr>
      <w:rFonts w:ascii="宋体" w:eastAsia="宋体" w:hAnsi="宋体"/>
      <w:color w:val="000000"/>
      <w:sz w:val="28"/>
    </w:rPr>
  </w:style>
  <w:style w:type="character" w:styleId="Strong">
    <w:name w:val="Strong"/>
    <w:basedOn w:val="DefaultParagraphFont"/>
    <w:qFormat/>
    <w:rPr>
      <w:b/>
    </w:rPr>
  </w:style>
  <w:style w:type="paragraph" w:styleId="TOC1">
    <w:name w:val="toc 1"/>
    <w:basedOn w:val="Normal"/>
    <w:next w:val="Normal"/>
    <w:pPr>
      <w:tabs>
        <w:tab w:val="right" w:leader="dot" w:pos="8302"/>
      </w:tabs>
    </w:pPr>
    <w:rPr>
      <w:rFonts w:ascii="黑体" w:eastAsia="黑体" w:hAnsi="宋体"/>
      <w:sz w:val="28"/>
    </w:rPr>
  </w:style>
  <w:style w:type="paragraph" w:styleId="BodyTextIndent2">
    <w:name w:val="Body Text Indent 2"/>
    <w:basedOn w:val="Normal"/>
    <w:pPr>
      <w:spacing w:line="360" w:lineRule="auto"/>
      <w:ind w:firstLine="600" w:firstLineChars="250"/>
    </w:pPr>
    <w:rPr>
      <w:rFonts w:ascii="宋体" w:hAnsi="宋体"/>
      <w:color w:val="000000"/>
      <w:sz w:val="24"/>
    </w:rPr>
  </w:style>
  <w:style w:type="paragraph" w:styleId="BodyText2">
    <w:name w:val="Body Text 2"/>
    <w:basedOn w:val="Normal"/>
    <w:rPr>
      <w:sz w:val="24"/>
    </w:rPr>
  </w:style>
  <w:style w:type="paragraph" w:styleId="PlainText">
    <w:name w:val="Plain Text"/>
    <w:basedOn w:val="Normal"/>
    <w:rPr>
      <w:rFonts w:ascii="宋体" w:hAnsi="Courier New"/>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NormalWeb">
    <w:name w:val="Normal (Web)"/>
    <w:basedOn w:val="Normal"/>
    <w:pPr>
      <w:widowControl/>
      <w:spacing w:before="100" w:beforeLines="0" w:beforeAutospacing="0" w:after="100" w:afterLines="0" w:afterAutospacing="0"/>
      <w:jc w:val="left"/>
    </w:pPr>
    <w:rPr>
      <w:rFonts w:ascii="Arial Unicode MS" w:eastAsia="Arial Unicode MS" w:hAnsi="Arial Unicode MS"/>
      <w:kern w:val="0"/>
      <w:sz w:val="24"/>
    </w:rPr>
  </w:style>
  <w:style w:type="paragraph" w:styleId="TOC2">
    <w:name w:val="toc 2"/>
    <w:basedOn w:val="Normal"/>
    <w:next w:val="Normal"/>
    <w:pPr>
      <w:ind w:left="420" w:leftChars="200"/>
    </w:pPr>
  </w:style>
  <w:style w:type="paragraph" w:styleId="Date">
    <w:name w:val="Date"/>
    <w:basedOn w:val="Normal"/>
    <w:next w:val="Normal"/>
    <w:rPr>
      <w:sz w:val="24"/>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BodyText">
    <w:name w:val="Body Text"/>
    <w:basedOn w:val="Normal"/>
    <w:pPr>
      <w:jc w:val="center"/>
    </w:pPr>
    <w:rPr>
      <w:rFonts w:eastAsia="隶书"/>
      <w:sz w:val="48"/>
    </w:rPr>
  </w:style>
  <w:style w:type="paragraph" w:styleId="BodyTextIndent">
    <w:name w:val="Body Text Indent"/>
    <w:basedOn w:val="Normal"/>
    <w:pPr>
      <w:spacing w:line="360" w:lineRule="auto"/>
      <w:ind w:firstLine="539" w:firstLineChars="242"/>
    </w:pPr>
    <w:rPr>
      <w:rFonts w:ascii="宋体" w:hAnsi="宋体"/>
      <w:sz w:val="24"/>
    </w:rPr>
  </w:style>
  <w:style w:type="paragraph" w:styleId="BodyTextIndent3">
    <w:name w:val="Body Text Indent 3"/>
    <w:basedOn w:val="Normal"/>
    <w:pPr>
      <w:spacing w:line="360" w:lineRule="auto"/>
      <w:ind w:firstLine="539"/>
    </w:pPr>
    <w:rPr>
      <w:rFonts w:ascii="宋体" w:hAnsi="宋体"/>
      <w:color w:val="000000"/>
      <w:sz w:val="24"/>
    </w:rPr>
  </w:style>
  <w:style w:type="paragraph" w:styleId="NormalIndent">
    <w:name w:val="Normal Indent"/>
    <w:basedOn w:val="Normal"/>
    <w:pPr>
      <w:ind w:firstLine="420"/>
    </w:pPr>
  </w:style>
  <w:style w:type="paragraph" w:styleId="Footer">
    <w:name w:val="footer"/>
    <w:basedOn w:val="Normal"/>
    <w:pPr>
      <w:tabs>
        <w:tab w:val="center" w:pos="4153"/>
        <w:tab w:val="right" w:pos="8306"/>
      </w:tabs>
      <w:snapToGrid w:val="0"/>
      <w:jc w:val="left"/>
    </w:pPr>
    <w:rPr>
      <w:sz w:val="18"/>
    </w:rPr>
  </w:style>
  <w:style w:type="paragraph" w:styleId="DocumentMap">
    <w:name w:val="Document Map"/>
    <w:basedOn w:val="Normal"/>
    <w:link w:val="Char"/>
    <w:rsid w:val="00866766"/>
    <w:rPr>
      <w:rFonts w:ascii="宋体"/>
      <w:sz w:val="18"/>
      <w:szCs w:val="18"/>
    </w:rPr>
  </w:style>
  <w:style w:type="character" w:customStyle="1" w:styleId="Char">
    <w:name w:val="文档结构图 Char"/>
    <w:basedOn w:val="DefaultParagraphFont"/>
    <w:link w:val="DocumentMap"/>
    <w:rsid w:val="00866766"/>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276101055111010053"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http://img1.gtimg.com/cd/pics/26700/26700918.jpg" TargetMode="External" /><Relationship Id="rId8" Type="http://schemas.openxmlformats.org/officeDocument/2006/relationships/image" Target="media/image4.jpeg" /><Relationship Id="rId9" Type="http://schemas.openxmlformats.org/officeDocument/2006/relationships/image" Target="http://img1.gtimg.com/cd/pics/26700/26700916.jpg" TargetMode="Externa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13</TotalTime>
  <Pages>35</Pages>
  <Words>4514</Words>
  <Characters>25731</Characters>
  <Application>Microsoft Office Word</Application>
  <DocSecurity>0</DocSecurity>
  <Lines>214</Lines>
  <Paragraphs>60</Paragraphs>
  <ScaleCrop>false</ScaleCrop>
  <Company>微软中国</Company>
  <LinksUpToDate>false</LinksUpToDate>
  <CharactersWithSpaces>30185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微软用户</dc:creator>
  <cp:lastModifiedBy>苗志康</cp:lastModifiedBy>
  <cp:revision>4</cp:revision>
  <cp:lastPrinted>2010-09-20T07:42:00Z</cp:lastPrinted>
  <dcterms:created xsi:type="dcterms:W3CDTF">2012-05-17T04:06:00Z</dcterms:created>
  <dcterms:modified xsi:type="dcterms:W3CDTF">2012-05-22T09:56:00Z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2052-6.5.0.1966</vt:lpwstr>
  </property>
</Properties>
</file>