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2024年兰州现代职业学院高职单招（英语／数学／语文）笔试历年真题摘选含答案解析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《关山月》中表现朝廷对收复中原态度的诗句是（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A.和戎诏下十五年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B.厩马肥死弓断弦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C.沙头空照征人骨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D.几处今宵垂泪痕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下列诗句中，表现了由“己之思彼”转写“彼之思己”的是（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A.问君能有几多愁，恰似一江春水向东流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B.雁过也，正伤心，却是旧时相识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C.想佳人、妆楼颙望，误几回、天际识归舟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D.起舞弄清影，何似在人间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下列作家同属于“文学研究会”的是（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A.鲁迅、沈雁冰、冰心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B.郭沫若、沈雁冰、朱自清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C.鲁迅、郁达夫、冰心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D.沈雁冰、朱自清、冰心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下列作家属于明代“后七子”的是（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B.侯方域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《米龙老爹》的中心思想是（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A.颂扬复仇主义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B.颂扬机智勇敢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C.颂扬视死如归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D.颂扬爱国主义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下列《季氏将伐颛臾》本文所运用的论据中，属于历史材料的是（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A.且在邦域之中矣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B.先王以为东蒙主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C.是社稷之臣也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D.虎兕出于柙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杜甫诗歌风格是以（  ）为主。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A.沉郁顿挫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B.豪放飘逸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C.古直悲凉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D.慷慨激昂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https://d.book118.com/276103152134010101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276103152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