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用外购和进口钢材、铁合金再加工生产钢材、铁合金项目规划设计蓝图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86" w:history="1">
        <w:r>
          <w:rPr>
            <w:rFonts w:ascii="仿宋" w:eastAsia="仿宋" w:hAnsi="仿宋" w:cs="仿宋" w:hint="eastAsia"/>
            <w:lang w:eastAsia="zh-CN"/>
          </w:rPr>
          <w:t>序言</w:t>
        </w:r>
        <w:r>
          <w:tab/>
        </w:r>
        <w:r>
          <w:fldChar w:fldCharType="begin"/>
        </w:r>
        <w:r>
          <w:instrText xml:space="preserve"> PAGEREF _Toc31286 \h </w:instrText>
        </w:r>
        <w:r>
          <w:fldChar w:fldCharType="separate"/>
        </w:r>
        <w:r>
          <w:t>3</w:t>
        </w:r>
        <w:r>
          <w:fldChar w:fldCharType="end"/>
        </w:r>
      </w:hyperlink>
    </w:p>
    <w:p>
      <w:pPr>
        <w:pStyle w:val="TOC1"/>
        <w:tabs>
          <w:tab w:val="right" w:leader="dot" w:pos="8306"/>
        </w:tabs>
      </w:pPr>
      <w:hyperlink w:anchor="_Toc14806" w:history="1">
        <w:r>
          <w:rPr>
            <w:rFonts w:ascii="仿宋" w:eastAsia="仿宋" w:hAnsi="仿宋" w:cs="仿宋" w:hint="eastAsia"/>
            <w:lang w:eastAsia="zh-CN"/>
          </w:rPr>
          <w:t>一、市场分析、调研</w:t>
        </w:r>
        <w:r>
          <w:tab/>
        </w:r>
        <w:r>
          <w:fldChar w:fldCharType="begin"/>
        </w:r>
        <w:r>
          <w:instrText xml:space="preserve"> PAGEREF _Toc14806 \h </w:instrText>
        </w:r>
        <w:r>
          <w:fldChar w:fldCharType="separate"/>
        </w:r>
        <w:r>
          <w:t>3</w:t>
        </w:r>
        <w:r>
          <w:fldChar w:fldCharType="end"/>
        </w:r>
      </w:hyperlink>
    </w:p>
    <w:p>
      <w:pPr>
        <w:pStyle w:val="TOC2"/>
        <w:tabs>
          <w:tab w:val="right" w:leader="dot" w:pos="8306"/>
        </w:tabs>
      </w:pPr>
      <w:hyperlink w:anchor="_Toc17102" w:history="1">
        <w:r>
          <w:rPr>
            <w:rFonts w:ascii="仿宋" w:eastAsia="仿宋" w:hAnsi="仿宋" w:cs="仿宋" w:hint="eastAsia"/>
            <w:lang w:eastAsia="zh-CN"/>
          </w:rPr>
          <w:t>(一)、用外购和进口钢材、铁合金再加工生产钢材、铁合金行业分析</w:t>
        </w:r>
        <w:r>
          <w:tab/>
        </w:r>
        <w:r>
          <w:fldChar w:fldCharType="begin"/>
        </w:r>
        <w:r>
          <w:instrText xml:space="preserve"> PAGEREF _Toc17102 \h </w:instrText>
        </w:r>
        <w:r>
          <w:fldChar w:fldCharType="separate"/>
        </w:r>
        <w:r>
          <w:t>3</w:t>
        </w:r>
        <w:r>
          <w:fldChar w:fldCharType="end"/>
        </w:r>
      </w:hyperlink>
    </w:p>
    <w:p>
      <w:pPr>
        <w:pStyle w:val="TOC2"/>
        <w:tabs>
          <w:tab w:val="right" w:leader="dot" w:pos="8306"/>
        </w:tabs>
      </w:pPr>
      <w:hyperlink w:anchor="_Toc20428" w:history="1">
        <w:r>
          <w:rPr>
            <w:rFonts w:ascii="仿宋" w:eastAsia="仿宋" w:hAnsi="仿宋" w:cs="仿宋" w:hint="eastAsia"/>
            <w:lang w:eastAsia="zh-CN"/>
          </w:rPr>
          <w:t>(二)、用外购和进口钢材、铁合金再加工生产钢材、铁合金市场分析预测</w:t>
        </w:r>
        <w:r>
          <w:tab/>
        </w:r>
        <w:r>
          <w:fldChar w:fldCharType="begin"/>
        </w:r>
        <w:r>
          <w:instrText xml:space="preserve"> PAGEREF _Toc20428 \h </w:instrText>
        </w:r>
        <w:r>
          <w:fldChar w:fldCharType="separate"/>
        </w:r>
        <w:r>
          <w:t>4</w:t>
        </w:r>
        <w:r>
          <w:fldChar w:fldCharType="end"/>
        </w:r>
      </w:hyperlink>
    </w:p>
    <w:p>
      <w:pPr>
        <w:pStyle w:val="TOC1"/>
        <w:tabs>
          <w:tab w:val="right" w:leader="dot" w:pos="8306"/>
        </w:tabs>
      </w:pPr>
      <w:hyperlink w:anchor="_Toc29395" w:history="1">
        <w:r>
          <w:rPr>
            <w:rFonts w:ascii="仿宋" w:eastAsia="仿宋" w:hAnsi="仿宋" w:cs="仿宋" w:hint="eastAsia"/>
            <w:lang w:eastAsia="zh-CN"/>
          </w:rPr>
          <w:t>二、用外购和进口钢材、铁合金再加工生产钢材、铁合金项目土建工程</w:t>
        </w:r>
        <w:r>
          <w:tab/>
        </w:r>
        <w:r>
          <w:fldChar w:fldCharType="begin"/>
        </w:r>
        <w:r>
          <w:instrText xml:space="preserve"> PAGEREF _Toc29395 \h </w:instrText>
        </w:r>
        <w:r>
          <w:fldChar w:fldCharType="separate"/>
        </w:r>
        <w:r>
          <w:t>5</w:t>
        </w:r>
        <w:r>
          <w:fldChar w:fldCharType="end"/>
        </w:r>
      </w:hyperlink>
    </w:p>
    <w:p>
      <w:pPr>
        <w:pStyle w:val="TOC2"/>
        <w:tabs>
          <w:tab w:val="right" w:leader="dot" w:pos="8306"/>
        </w:tabs>
      </w:pPr>
      <w:hyperlink w:anchor="_Toc9896" w:history="1">
        <w:r>
          <w:rPr>
            <w:rFonts w:ascii="仿宋" w:eastAsia="仿宋" w:hAnsi="仿宋" w:cs="仿宋" w:hint="eastAsia"/>
            <w:lang w:eastAsia="zh-CN"/>
          </w:rPr>
          <w:t>(一)、建筑工程设计原则</w:t>
        </w:r>
        <w:r>
          <w:tab/>
        </w:r>
        <w:r>
          <w:fldChar w:fldCharType="begin"/>
        </w:r>
        <w:r>
          <w:instrText xml:space="preserve"> PAGEREF _Toc9896 \h </w:instrText>
        </w:r>
        <w:r>
          <w:fldChar w:fldCharType="separate"/>
        </w:r>
        <w:r>
          <w:t>5</w:t>
        </w:r>
        <w:r>
          <w:fldChar w:fldCharType="end"/>
        </w:r>
      </w:hyperlink>
    </w:p>
    <w:p>
      <w:pPr>
        <w:pStyle w:val="TOC2"/>
        <w:tabs>
          <w:tab w:val="right" w:leader="dot" w:pos="8306"/>
        </w:tabs>
      </w:pPr>
      <w:hyperlink w:anchor="_Toc924" w:history="1">
        <w:r>
          <w:rPr>
            <w:rFonts w:ascii="仿宋" w:eastAsia="仿宋" w:hAnsi="仿宋" w:cs="仿宋" w:hint="eastAsia"/>
            <w:lang w:eastAsia="zh-CN"/>
          </w:rPr>
          <w:t>(二)、土建工程设计年限及安全等级</w:t>
        </w:r>
        <w:r>
          <w:tab/>
        </w:r>
        <w:r>
          <w:fldChar w:fldCharType="begin"/>
        </w:r>
        <w:r>
          <w:instrText xml:space="preserve"> PAGEREF _Toc924 \h </w:instrText>
        </w:r>
        <w:r>
          <w:fldChar w:fldCharType="separate"/>
        </w:r>
        <w:r>
          <w:t>6</w:t>
        </w:r>
        <w:r>
          <w:fldChar w:fldCharType="end"/>
        </w:r>
      </w:hyperlink>
    </w:p>
    <w:p>
      <w:pPr>
        <w:pStyle w:val="TOC2"/>
        <w:tabs>
          <w:tab w:val="right" w:leader="dot" w:pos="8306"/>
        </w:tabs>
      </w:pPr>
      <w:hyperlink w:anchor="_Toc21976" w:history="1">
        <w:r>
          <w:rPr>
            <w:rFonts w:ascii="仿宋" w:eastAsia="仿宋" w:hAnsi="仿宋" w:cs="仿宋" w:hint="eastAsia"/>
            <w:lang w:eastAsia="zh-CN"/>
          </w:rPr>
          <w:t>(三)、建筑工程设计总体要求</w:t>
        </w:r>
        <w:r>
          <w:tab/>
        </w:r>
        <w:r>
          <w:fldChar w:fldCharType="begin"/>
        </w:r>
        <w:r>
          <w:instrText xml:space="preserve"> PAGEREF _Toc21976 \h </w:instrText>
        </w:r>
        <w:r>
          <w:fldChar w:fldCharType="separate"/>
        </w:r>
        <w:r>
          <w:t>8</w:t>
        </w:r>
        <w:r>
          <w:fldChar w:fldCharType="end"/>
        </w:r>
      </w:hyperlink>
    </w:p>
    <w:p>
      <w:pPr>
        <w:pStyle w:val="TOC2"/>
        <w:tabs>
          <w:tab w:val="right" w:leader="dot" w:pos="8306"/>
        </w:tabs>
      </w:pPr>
      <w:hyperlink w:anchor="_Toc27781" w:history="1">
        <w:r>
          <w:rPr>
            <w:rFonts w:ascii="仿宋" w:eastAsia="仿宋" w:hAnsi="仿宋" w:cs="仿宋" w:hint="eastAsia"/>
            <w:lang w:eastAsia="zh-CN"/>
          </w:rPr>
          <w:t>(四)、土建工程建设指标</w:t>
        </w:r>
        <w:r>
          <w:tab/>
        </w:r>
        <w:r>
          <w:fldChar w:fldCharType="begin"/>
        </w:r>
        <w:r>
          <w:instrText xml:space="preserve"> PAGEREF _Toc27781 \h </w:instrText>
        </w:r>
        <w:r>
          <w:fldChar w:fldCharType="separate"/>
        </w:r>
        <w:r>
          <w:t>8</w:t>
        </w:r>
        <w:r>
          <w:fldChar w:fldCharType="end"/>
        </w:r>
      </w:hyperlink>
    </w:p>
    <w:p>
      <w:pPr>
        <w:pStyle w:val="TOC1"/>
        <w:tabs>
          <w:tab w:val="right" w:leader="dot" w:pos="8306"/>
        </w:tabs>
      </w:pPr>
      <w:hyperlink w:anchor="_Toc26189" w:history="1">
        <w:r>
          <w:rPr>
            <w:rFonts w:ascii="仿宋" w:eastAsia="仿宋" w:hAnsi="仿宋" w:cs="仿宋" w:hint="eastAsia"/>
            <w:lang w:eastAsia="zh-CN"/>
          </w:rPr>
          <w:t>三、用外购和进口钢材、铁合金再加工生产钢材、铁合金项目危机管理</w:t>
        </w:r>
        <w:r>
          <w:tab/>
        </w:r>
        <w:r>
          <w:fldChar w:fldCharType="begin"/>
        </w:r>
        <w:r>
          <w:instrText xml:space="preserve"> PAGEREF _Toc26189 \h </w:instrText>
        </w:r>
        <w:r>
          <w:fldChar w:fldCharType="separate"/>
        </w:r>
        <w:r>
          <w:t>9</w:t>
        </w:r>
        <w:r>
          <w:fldChar w:fldCharType="end"/>
        </w:r>
      </w:hyperlink>
    </w:p>
    <w:p>
      <w:pPr>
        <w:pStyle w:val="TOC2"/>
        <w:tabs>
          <w:tab w:val="right" w:leader="dot" w:pos="8306"/>
        </w:tabs>
      </w:pPr>
      <w:hyperlink w:anchor="_Toc19900" w:history="1">
        <w:r>
          <w:rPr>
            <w:rFonts w:ascii="仿宋" w:eastAsia="仿宋" w:hAnsi="仿宋" w:cs="仿宋" w:hint="eastAsia"/>
            <w:lang w:eastAsia="zh-CN"/>
          </w:rPr>
          <w:t>(一)、危机预警与识别</w:t>
        </w:r>
        <w:r>
          <w:tab/>
        </w:r>
        <w:r>
          <w:fldChar w:fldCharType="begin"/>
        </w:r>
        <w:r>
          <w:instrText xml:space="preserve"> PAGEREF _Toc19900 \h </w:instrText>
        </w:r>
        <w:r>
          <w:fldChar w:fldCharType="separate"/>
        </w:r>
        <w:r>
          <w:t>9</w:t>
        </w:r>
        <w:r>
          <w:fldChar w:fldCharType="end"/>
        </w:r>
      </w:hyperlink>
    </w:p>
    <w:p>
      <w:pPr>
        <w:pStyle w:val="TOC2"/>
        <w:tabs>
          <w:tab w:val="right" w:leader="dot" w:pos="8306"/>
        </w:tabs>
      </w:pPr>
      <w:hyperlink w:anchor="_Toc11915" w:history="1">
        <w:r>
          <w:rPr>
            <w:rFonts w:ascii="仿宋" w:eastAsia="仿宋" w:hAnsi="仿宋" w:cs="仿宋" w:hint="eastAsia"/>
            <w:lang w:eastAsia="zh-CN"/>
          </w:rPr>
          <w:t>(二)、危机应对与恢复</w:t>
        </w:r>
        <w:r>
          <w:tab/>
        </w:r>
        <w:r>
          <w:fldChar w:fldCharType="begin"/>
        </w:r>
        <w:r>
          <w:instrText xml:space="preserve"> PAGEREF _Toc11915 \h </w:instrText>
        </w:r>
        <w:r>
          <w:fldChar w:fldCharType="separate"/>
        </w:r>
        <w:r>
          <w:t>10</w:t>
        </w:r>
        <w:r>
          <w:fldChar w:fldCharType="end"/>
        </w:r>
      </w:hyperlink>
    </w:p>
    <w:p>
      <w:pPr>
        <w:pStyle w:val="TOC1"/>
        <w:tabs>
          <w:tab w:val="right" w:leader="dot" w:pos="8306"/>
        </w:tabs>
      </w:pPr>
      <w:hyperlink w:anchor="_Toc18040" w:history="1">
        <w:r>
          <w:rPr>
            <w:rFonts w:ascii="仿宋" w:eastAsia="仿宋" w:hAnsi="仿宋" w:cs="仿宋" w:hint="eastAsia"/>
            <w:lang w:eastAsia="zh-CN"/>
          </w:rPr>
          <w:t>四、用外购和进口钢材、铁合金再加工生产钢材、铁合金项目可持续发展</w:t>
        </w:r>
        <w:r>
          <w:tab/>
        </w:r>
        <w:r>
          <w:fldChar w:fldCharType="begin"/>
        </w:r>
        <w:r>
          <w:instrText xml:space="preserve"> PAGEREF _Toc18040 \h </w:instrText>
        </w:r>
        <w:r>
          <w:fldChar w:fldCharType="separate"/>
        </w:r>
        <w:r>
          <w:t>12</w:t>
        </w:r>
        <w:r>
          <w:fldChar w:fldCharType="end"/>
        </w:r>
      </w:hyperlink>
    </w:p>
    <w:p>
      <w:pPr>
        <w:pStyle w:val="TOC2"/>
        <w:tabs>
          <w:tab w:val="right" w:leader="dot" w:pos="8306"/>
        </w:tabs>
      </w:pPr>
      <w:hyperlink w:anchor="_Toc4239" w:history="1">
        <w:r>
          <w:rPr>
            <w:rFonts w:ascii="仿宋" w:eastAsia="仿宋" w:hAnsi="仿宋" w:cs="仿宋" w:hint="eastAsia"/>
            <w:lang w:eastAsia="zh-CN"/>
          </w:rPr>
          <w:t>(一)、可持续战略与实践</w:t>
        </w:r>
        <w:r>
          <w:tab/>
        </w:r>
        <w:r>
          <w:fldChar w:fldCharType="begin"/>
        </w:r>
        <w:r>
          <w:instrText xml:space="preserve"> PAGEREF _Toc4239 \h </w:instrText>
        </w:r>
        <w:r>
          <w:fldChar w:fldCharType="separate"/>
        </w:r>
        <w:r>
          <w:t>12</w:t>
        </w:r>
        <w:r>
          <w:fldChar w:fldCharType="end"/>
        </w:r>
      </w:hyperlink>
    </w:p>
    <w:p>
      <w:pPr>
        <w:pStyle w:val="TOC2"/>
        <w:tabs>
          <w:tab w:val="right" w:leader="dot" w:pos="8306"/>
        </w:tabs>
      </w:pPr>
      <w:hyperlink w:anchor="_Toc31202" w:history="1">
        <w:r>
          <w:rPr>
            <w:rFonts w:ascii="仿宋" w:eastAsia="仿宋" w:hAnsi="仿宋" w:cs="仿宋" w:hint="eastAsia"/>
            <w:lang w:eastAsia="zh-CN"/>
          </w:rPr>
          <w:t>(二)、环保与社会责任</w:t>
        </w:r>
        <w:r>
          <w:tab/>
        </w:r>
        <w:r>
          <w:fldChar w:fldCharType="begin"/>
        </w:r>
        <w:r>
          <w:instrText xml:space="preserve"> PAGEREF _Toc31202 \h </w:instrText>
        </w:r>
        <w:r>
          <w:fldChar w:fldCharType="separate"/>
        </w:r>
        <w:r>
          <w:t>13</w:t>
        </w:r>
        <w:r>
          <w:fldChar w:fldCharType="end"/>
        </w:r>
      </w:hyperlink>
    </w:p>
    <w:p>
      <w:pPr>
        <w:pStyle w:val="TOC1"/>
        <w:tabs>
          <w:tab w:val="right" w:leader="dot" w:pos="8306"/>
        </w:tabs>
      </w:pPr>
      <w:hyperlink w:anchor="_Toc12180" w:history="1">
        <w:r>
          <w:rPr>
            <w:rFonts w:ascii="仿宋" w:eastAsia="仿宋" w:hAnsi="仿宋" w:cs="仿宋" w:hint="eastAsia"/>
            <w:lang w:eastAsia="zh-CN"/>
          </w:rPr>
          <w:t>五、用外购和进口钢材、铁合金再加工生产钢材、铁合金项目建设背景及必要性分析</w:t>
        </w:r>
        <w:r>
          <w:tab/>
        </w:r>
        <w:r>
          <w:fldChar w:fldCharType="begin"/>
        </w:r>
        <w:r>
          <w:instrText xml:space="preserve"> PAGEREF _Toc12180 \h </w:instrText>
        </w:r>
        <w:r>
          <w:fldChar w:fldCharType="separate"/>
        </w:r>
        <w:r>
          <w:t>14</w:t>
        </w:r>
        <w:r>
          <w:fldChar w:fldCharType="end"/>
        </w:r>
      </w:hyperlink>
    </w:p>
    <w:p>
      <w:pPr>
        <w:pStyle w:val="TOC2"/>
        <w:tabs>
          <w:tab w:val="right" w:leader="dot" w:pos="8306"/>
        </w:tabs>
      </w:pPr>
      <w:hyperlink w:anchor="_Toc8240" w:history="1">
        <w:r>
          <w:rPr>
            <w:rFonts w:ascii="仿宋" w:eastAsia="仿宋" w:hAnsi="仿宋" w:cs="仿宋" w:hint="eastAsia"/>
            <w:lang w:eastAsia="zh-CN"/>
          </w:rPr>
          <w:t>(一)、用外购和进口钢材、铁合金再加工生产钢材、铁合金项目背景分析</w:t>
        </w:r>
        <w:r>
          <w:tab/>
        </w:r>
        <w:r>
          <w:fldChar w:fldCharType="begin"/>
        </w:r>
        <w:r>
          <w:instrText xml:space="preserve"> PAGEREF _Toc8240 \h </w:instrText>
        </w:r>
        <w:r>
          <w:fldChar w:fldCharType="separate"/>
        </w:r>
        <w:r>
          <w:t>14</w:t>
        </w:r>
        <w:r>
          <w:fldChar w:fldCharType="end"/>
        </w:r>
      </w:hyperlink>
    </w:p>
    <w:p>
      <w:pPr>
        <w:pStyle w:val="TOC2"/>
        <w:tabs>
          <w:tab w:val="right" w:leader="dot" w:pos="8306"/>
        </w:tabs>
      </w:pPr>
      <w:hyperlink w:anchor="_Toc9524" w:history="1">
        <w:r>
          <w:rPr>
            <w:rFonts w:ascii="仿宋" w:eastAsia="仿宋" w:hAnsi="仿宋" w:cs="仿宋" w:hint="eastAsia"/>
            <w:lang w:eastAsia="zh-CN"/>
          </w:rPr>
          <w:t>(二)、用外购和进口钢材、铁合金再加工生产钢材、铁合金项目建设必要性分析</w:t>
        </w:r>
        <w:r>
          <w:tab/>
        </w:r>
        <w:r>
          <w:fldChar w:fldCharType="begin"/>
        </w:r>
        <w:r>
          <w:instrText xml:space="preserve"> PAGEREF _Toc9524 \h </w:instrText>
        </w:r>
        <w:r>
          <w:fldChar w:fldCharType="separate"/>
        </w:r>
        <w:r>
          <w:t>16</w:t>
        </w:r>
        <w:r>
          <w:fldChar w:fldCharType="end"/>
        </w:r>
      </w:hyperlink>
    </w:p>
    <w:p>
      <w:pPr>
        <w:pStyle w:val="TOC1"/>
        <w:tabs>
          <w:tab w:val="right" w:leader="dot" w:pos="8306"/>
        </w:tabs>
      </w:pPr>
      <w:hyperlink w:anchor="_Toc11724" w:history="1">
        <w:r>
          <w:rPr>
            <w:rFonts w:ascii="仿宋" w:eastAsia="仿宋" w:hAnsi="仿宋" w:cs="仿宋" w:hint="eastAsia"/>
            <w:lang w:eastAsia="zh-CN"/>
          </w:rPr>
          <w:t>六、用外购和进口钢材、铁合金再加工生产钢材、铁合金项目建设单位说明</w:t>
        </w:r>
        <w:r>
          <w:tab/>
        </w:r>
        <w:r>
          <w:fldChar w:fldCharType="begin"/>
        </w:r>
        <w:r>
          <w:instrText xml:space="preserve"> PAGEREF _Toc11724 \h </w:instrText>
        </w:r>
        <w:r>
          <w:fldChar w:fldCharType="separate"/>
        </w:r>
        <w:r>
          <w:t>18</w:t>
        </w:r>
        <w:r>
          <w:fldChar w:fldCharType="end"/>
        </w:r>
      </w:hyperlink>
    </w:p>
    <w:p>
      <w:pPr>
        <w:pStyle w:val="TOC2"/>
        <w:tabs>
          <w:tab w:val="right" w:leader="dot" w:pos="8306"/>
        </w:tabs>
      </w:pPr>
      <w:hyperlink w:anchor="_Toc14472" w:history="1">
        <w:r>
          <w:rPr>
            <w:rFonts w:ascii="仿宋" w:eastAsia="仿宋" w:hAnsi="仿宋" w:cs="仿宋" w:hint="eastAsia"/>
            <w:lang w:eastAsia="zh-CN"/>
          </w:rPr>
          <w:t>(一)、用外购和进口钢材、铁合金再加工生产钢材、铁合金项目承办单位基本情况</w:t>
        </w:r>
        <w:r>
          <w:tab/>
        </w:r>
        <w:r>
          <w:fldChar w:fldCharType="begin"/>
        </w:r>
        <w:r>
          <w:instrText xml:space="preserve"> PAGEREF _Toc14472 \h </w:instrText>
        </w:r>
        <w:r>
          <w:fldChar w:fldCharType="separate"/>
        </w:r>
        <w:r>
          <w:t>18</w:t>
        </w:r>
        <w:r>
          <w:fldChar w:fldCharType="end"/>
        </w:r>
      </w:hyperlink>
    </w:p>
    <w:p>
      <w:pPr>
        <w:pStyle w:val="TOC2"/>
        <w:tabs>
          <w:tab w:val="right" w:leader="dot" w:pos="8306"/>
        </w:tabs>
      </w:pPr>
      <w:hyperlink w:anchor="_Toc10362" w:history="1">
        <w:r>
          <w:rPr>
            <w:rFonts w:ascii="仿宋" w:eastAsia="仿宋" w:hAnsi="仿宋" w:cs="仿宋" w:hint="eastAsia"/>
            <w:lang w:eastAsia="zh-CN"/>
          </w:rPr>
          <w:t>(二)、公司经济效益分析</w:t>
        </w:r>
        <w:r>
          <w:tab/>
        </w:r>
        <w:r>
          <w:fldChar w:fldCharType="begin"/>
        </w:r>
        <w:r>
          <w:instrText xml:space="preserve"> PAGEREF _Toc10362 \h </w:instrText>
        </w:r>
        <w:r>
          <w:fldChar w:fldCharType="separate"/>
        </w:r>
        <w:r>
          <w:t>19</w:t>
        </w:r>
        <w:r>
          <w:fldChar w:fldCharType="end"/>
        </w:r>
      </w:hyperlink>
    </w:p>
    <w:p>
      <w:pPr>
        <w:pStyle w:val="TOC1"/>
        <w:tabs>
          <w:tab w:val="right" w:leader="dot" w:pos="8306"/>
        </w:tabs>
      </w:pPr>
      <w:hyperlink w:anchor="_Toc28451" w:history="1">
        <w:r>
          <w:rPr>
            <w:rFonts w:ascii="仿宋" w:eastAsia="仿宋" w:hAnsi="仿宋" w:cs="仿宋" w:hint="eastAsia"/>
            <w:lang w:eastAsia="zh-CN"/>
          </w:rPr>
          <w:t>七、用外购和进口钢材、铁合金再加工生产钢材、铁合金项目经营效益</w:t>
        </w:r>
        <w:r>
          <w:tab/>
        </w:r>
        <w:r>
          <w:fldChar w:fldCharType="begin"/>
        </w:r>
        <w:r>
          <w:instrText xml:space="preserve"> PAGEREF _Toc28451 \h </w:instrText>
        </w:r>
        <w:r>
          <w:fldChar w:fldCharType="separate"/>
        </w:r>
        <w:r>
          <w:t>20</w:t>
        </w:r>
        <w:r>
          <w:fldChar w:fldCharType="end"/>
        </w:r>
      </w:hyperlink>
    </w:p>
    <w:p>
      <w:pPr>
        <w:pStyle w:val="TOC2"/>
        <w:tabs>
          <w:tab w:val="right" w:leader="dot" w:pos="8306"/>
        </w:tabs>
      </w:pPr>
      <w:hyperlink w:anchor="_Toc17109" w:history="1">
        <w:r>
          <w:rPr>
            <w:rFonts w:ascii="仿宋" w:eastAsia="仿宋" w:hAnsi="仿宋" w:cs="仿宋" w:hint="eastAsia"/>
            <w:lang w:eastAsia="zh-CN"/>
          </w:rPr>
          <w:t>(一)、经济评价财务测算</w:t>
        </w:r>
        <w:r>
          <w:tab/>
        </w:r>
        <w:r>
          <w:fldChar w:fldCharType="begin"/>
        </w:r>
        <w:r>
          <w:instrText xml:space="preserve"> PAGEREF _Toc17109 \h </w:instrText>
        </w:r>
        <w:r>
          <w:fldChar w:fldCharType="separate"/>
        </w:r>
        <w:r>
          <w:t>20</w:t>
        </w:r>
        <w:r>
          <w:fldChar w:fldCharType="end"/>
        </w:r>
      </w:hyperlink>
    </w:p>
    <w:p>
      <w:pPr>
        <w:pStyle w:val="TOC2"/>
        <w:tabs>
          <w:tab w:val="right" w:leader="dot" w:pos="8306"/>
        </w:tabs>
      </w:pPr>
      <w:hyperlink w:anchor="_Toc20265" w:history="1">
        <w:r>
          <w:rPr>
            <w:rFonts w:ascii="仿宋" w:eastAsia="仿宋" w:hAnsi="仿宋" w:cs="仿宋" w:hint="eastAsia"/>
            <w:lang w:eastAsia="zh-CN"/>
          </w:rPr>
          <w:t>(二)、用外购和进口钢材、铁合金再加工生产钢材、铁合金项目盈利能力分析</w:t>
        </w:r>
        <w:r>
          <w:tab/>
        </w:r>
        <w:r>
          <w:fldChar w:fldCharType="begin"/>
        </w:r>
        <w:r>
          <w:instrText xml:space="preserve"> PAGEREF _Toc20265 \h </w:instrText>
        </w:r>
        <w:r>
          <w:fldChar w:fldCharType="separate"/>
        </w:r>
        <w:r>
          <w:t>22</w:t>
        </w:r>
        <w:r>
          <w:fldChar w:fldCharType="end"/>
        </w:r>
      </w:hyperlink>
    </w:p>
    <w:p>
      <w:pPr>
        <w:pStyle w:val="TOC1"/>
        <w:tabs>
          <w:tab w:val="right" w:leader="dot" w:pos="8306"/>
        </w:tabs>
      </w:pPr>
      <w:hyperlink w:anchor="_Toc22691" w:history="1">
        <w:r>
          <w:rPr>
            <w:rFonts w:ascii="仿宋" w:eastAsia="仿宋" w:hAnsi="仿宋" w:cs="仿宋" w:hint="eastAsia"/>
            <w:lang w:eastAsia="zh-CN"/>
          </w:rPr>
          <w:t>八、用外购和进口钢材、铁合金再加工生产钢材、铁合金项目技术管理</w:t>
        </w:r>
        <w:r>
          <w:tab/>
        </w:r>
        <w:r>
          <w:fldChar w:fldCharType="begin"/>
        </w:r>
        <w:r>
          <w:instrText xml:space="preserve"> PAGEREF _Toc22691 \h </w:instrText>
        </w:r>
        <w:r>
          <w:fldChar w:fldCharType="separate"/>
        </w:r>
        <w:r>
          <w:t>23</w:t>
        </w:r>
        <w:r>
          <w:fldChar w:fldCharType="end"/>
        </w:r>
      </w:hyperlink>
    </w:p>
    <w:p>
      <w:pPr>
        <w:pStyle w:val="TOC2"/>
        <w:tabs>
          <w:tab w:val="right" w:leader="dot" w:pos="8306"/>
        </w:tabs>
      </w:pPr>
      <w:hyperlink w:anchor="_Toc8905" w:history="1">
        <w:r>
          <w:rPr>
            <w:rFonts w:ascii="仿宋" w:eastAsia="仿宋" w:hAnsi="仿宋" w:cs="仿宋" w:hint="eastAsia"/>
            <w:lang w:eastAsia="zh-CN"/>
          </w:rPr>
          <w:t>(一)、技术方案选用方向</w:t>
        </w:r>
        <w:r>
          <w:tab/>
        </w:r>
        <w:r>
          <w:fldChar w:fldCharType="begin"/>
        </w:r>
        <w:r>
          <w:instrText xml:space="preserve"> PAGEREF _Toc8905 \h </w:instrText>
        </w:r>
        <w:r>
          <w:fldChar w:fldCharType="separate"/>
        </w:r>
        <w:r>
          <w:t>23</w:t>
        </w:r>
        <w:r>
          <w:fldChar w:fldCharType="end"/>
        </w:r>
      </w:hyperlink>
    </w:p>
    <w:p>
      <w:pPr>
        <w:pStyle w:val="TOC2"/>
        <w:tabs>
          <w:tab w:val="right" w:leader="dot" w:pos="8306"/>
        </w:tabs>
      </w:pPr>
      <w:hyperlink w:anchor="_Toc31432" w:history="1">
        <w:r>
          <w:rPr>
            <w:rFonts w:ascii="仿宋" w:eastAsia="仿宋" w:hAnsi="仿宋" w:cs="仿宋" w:hint="eastAsia"/>
            <w:lang w:eastAsia="zh-CN"/>
          </w:rPr>
          <w:t>(二)、工艺技术方案选用原则</w:t>
        </w:r>
        <w:r>
          <w:tab/>
        </w:r>
        <w:r>
          <w:fldChar w:fldCharType="begin"/>
        </w:r>
        <w:r>
          <w:instrText xml:space="preserve"> PAGEREF _Toc31432 \h </w:instrText>
        </w:r>
        <w:r>
          <w:fldChar w:fldCharType="separate"/>
        </w:r>
        <w:r>
          <w:t>25</w:t>
        </w:r>
        <w:r>
          <w:fldChar w:fldCharType="end"/>
        </w:r>
      </w:hyperlink>
    </w:p>
    <w:p>
      <w:pPr>
        <w:pStyle w:val="TOC2"/>
        <w:tabs>
          <w:tab w:val="right" w:leader="dot" w:pos="8306"/>
        </w:tabs>
      </w:pPr>
      <w:hyperlink w:anchor="_Toc20711" w:history="1">
        <w:r>
          <w:rPr>
            <w:rFonts w:ascii="仿宋" w:eastAsia="仿宋" w:hAnsi="仿宋" w:cs="仿宋" w:hint="eastAsia"/>
            <w:lang w:eastAsia="zh-CN"/>
          </w:rPr>
          <w:t>(三)、工艺技术方案要求</w:t>
        </w:r>
        <w:r>
          <w:tab/>
        </w:r>
        <w:r>
          <w:fldChar w:fldCharType="begin"/>
        </w:r>
        <w:r>
          <w:instrText xml:space="preserve"> PAGEREF _Toc20711 \h </w:instrText>
        </w:r>
        <w:r>
          <w:fldChar w:fldCharType="separate"/>
        </w:r>
        <w:r>
          <w:t>27</w:t>
        </w:r>
        <w:r>
          <w:fldChar w:fldCharType="end"/>
        </w:r>
      </w:hyperlink>
    </w:p>
    <w:p>
      <w:pPr>
        <w:pStyle w:val="TOC1"/>
        <w:tabs>
          <w:tab w:val="right" w:leader="dot" w:pos="8306"/>
        </w:tabs>
      </w:pPr>
      <w:hyperlink w:anchor="_Toc28647" w:history="1">
        <w:r>
          <w:rPr>
            <w:rFonts w:ascii="仿宋" w:eastAsia="仿宋" w:hAnsi="仿宋" w:cs="仿宋" w:hint="eastAsia"/>
            <w:lang w:eastAsia="zh-CN"/>
          </w:rPr>
          <w:t>九、用外购和进口钢材、铁合金再加工生产钢材、铁合金项目人力资源管理</w:t>
        </w:r>
        <w:r>
          <w:tab/>
        </w:r>
        <w:r>
          <w:fldChar w:fldCharType="begin"/>
        </w:r>
        <w:r>
          <w:instrText xml:space="preserve"> PAGEREF _Toc28647 \h </w:instrText>
        </w:r>
        <w:r>
          <w:fldChar w:fldCharType="separate"/>
        </w:r>
        <w:r>
          <w:t>30</w:t>
        </w:r>
        <w:r>
          <w:fldChar w:fldCharType="end"/>
        </w:r>
      </w:hyperlink>
    </w:p>
    <w:p>
      <w:pPr>
        <w:pStyle w:val="TOC2"/>
        <w:tabs>
          <w:tab w:val="right" w:leader="dot" w:pos="8306"/>
        </w:tabs>
      </w:pPr>
      <w:hyperlink w:anchor="_Toc15291" w:history="1">
        <w:r>
          <w:rPr>
            <w:rFonts w:ascii="仿宋" w:eastAsia="仿宋" w:hAnsi="仿宋" w:cs="仿宋" w:hint="eastAsia"/>
            <w:lang w:eastAsia="zh-CN"/>
          </w:rPr>
          <w:t>(一)、建立健全的预算管理制度</w:t>
        </w:r>
        <w:r>
          <w:tab/>
        </w:r>
        <w:r>
          <w:fldChar w:fldCharType="begin"/>
        </w:r>
        <w:r>
          <w:instrText xml:space="preserve"> PAGEREF _Toc15291 \h </w:instrText>
        </w:r>
        <w:r>
          <w:fldChar w:fldCharType="separate"/>
        </w:r>
        <w:r>
          <w:t>30</w:t>
        </w:r>
        <w:r>
          <w:fldChar w:fldCharType="end"/>
        </w:r>
      </w:hyperlink>
    </w:p>
    <w:p>
      <w:pPr>
        <w:pStyle w:val="TOC2"/>
        <w:tabs>
          <w:tab w:val="right" w:leader="dot" w:pos="8306"/>
        </w:tabs>
      </w:pPr>
      <w:hyperlink w:anchor="_Toc30450" w:history="1">
        <w:r>
          <w:rPr>
            <w:rFonts w:ascii="仿宋" w:eastAsia="仿宋" w:hAnsi="仿宋" w:cs="仿宋" w:hint="eastAsia"/>
            <w:lang w:eastAsia="zh-CN"/>
          </w:rPr>
          <w:t>(二)、加强资金流动监控</w:t>
        </w:r>
        <w:r>
          <w:tab/>
        </w:r>
        <w:r>
          <w:fldChar w:fldCharType="begin"/>
        </w:r>
        <w:r>
          <w:instrText xml:space="preserve"> PAGEREF _Toc30450 \h </w:instrText>
        </w:r>
        <w:r>
          <w:fldChar w:fldCharType="separate"/>
        </w:r>
        <w:r>
          <w:t>32</w:t>
        </w:r>
        <w:r>
          <w:fldChar w:fldCharType="end"/>
        </w:r>
      </w:hyperlink>
    </w:p>
    <w:p>
      <w:pPr>
        <w:pStyle w:val="TOC2"/>
        <w:tabs>
          <w:tab w:val="right" w:leader="dot" w:pos="8306"/>
        </w:tabs>
      </w:pPr>
      <w:hyperlink w:anchor="_Toc23975" w:history="1">
        <w:r>
          <w:rPr>
            <w:rFonts w:ascii="仿宋" w:eastAsia="仿宋" w:hAnsi="仿宋" w:cs="仿宋" w:hint="eastAsia"/>
            <w:lang w:eastAsia="zh-CN"/>
          </w:rPr>
          <w:t>(三)、制定完善的风险控制机制</w:t>
        </w:r>
        <w:r>
          <w:tab/>
        </w:r>
        <w:r>
          <w:fldChar w:fldCharType="begin"/>
        </w:r>
        <w:r>
          <w:instrText xml:space="preserve"> PAGEREF _Toc23975 \h </w:instrText>
        </w:r>
        <w:r>
          <w:fldChar w:fldCharType="separate"/>
        </w:r>
        <w:r>
          <w:t>34</w:t>
        </w:r>
        <w:r>
          <w:fldChar w:fldCharType="end"/>
        </w:r>
      </w:hyperlink>
    </w:p>
    <w:p>
      <w:pPr>
        <w:pStyle w:val="TOC2"/>
        <w:tabs>
          <w:tab w:val="right" w:leader="dot" w:pos="8306"/>
        </w:tabs>
      </w:pPr>
      <w:hyperlink w:anchor="_Toc17196" w:history="1">
        <w:r>
          <w:rPr>
            <w:rFonts w:ascii="仿宋" w:eastAsia="仿宋" w:hAnsi="仿宋" w:cs="仿宋" w:hint="eastAsia"/>
            <w:lang w:eastAsia="zh-CN"/>
          </w:rPr>
          <w:t>(四)、优化成本管理</w:t>
        </w:r>
        <w:r>
          <w:tab/>
        </w:r>
        <w:r>
          <w:fldChar w:fldCharType="begin"/>
        </w:r>
        <w:r>
          <w:instrText xml:space="preserve"> PAGEREF _Toc17196 \h </w:instrText>
        </w:r>
        <w:r>
          <w:fldChar w:fldCharType="separate"/>
        </w:r>
        <w:r>
          <w:t>36</w:t>
        </w:r>
        <w:r>
          <w:fldChar w:fldCharType="end"/>
        </w:r>
      </w:hyperlink>
    </w:p>
    <w:p>
      <w:pPr>
        <w:pStyle w:val="TOC1"/>
        <w:tabs>
          <w:tab w:val="right" w:leader="dot" w:pos="8306"/>
        </w:tabs>
      </w:pPr>
      <w:hyperlink w:anchor="_Toc23965" w:history="1">
        <w:r>
          <w:rPr>
            <w:rFonts w:ascii="仿宋" w:eastAsia="仿宋" w:hAnsi="仿宋" w:cs="仿宋" w:hint="eastAsia"/>
            <w:lang w:eastAsia="zh-CN"/>
          </w:rPr>
          <w:t>十、用外购和进口钢材、铁合金再加工生产钢材、铁合金项目投资规划</w:t>
        </w:r>
        <w:r>
          <w:tab/>
        </w:r>
        <w:r>
          <w:fldChar w:fldCharType="begin"/>
        </w:r>
        <w:r>
          <w:instrText xml:space="preserve"> PAGEREF _Toc23965 \h </w:instrText>
        </w:r>
        <w:r>
          <w:fldChar w:fldCharType="separate"/>
        </w:r>
        <w:r>
          <w:t>38</w:t>
        </w:r>
        <w:r>
          <w:fldChar w:fldCharType="end"/>
        </w:r>
      </w:hyperlink>
    </w:p>
    <w:p>
      <w:pPr>
        <w:pStyle w:val="TOC2"/>
        <w:tabs>
          <w:tab w:val="right" w:leader="dot" w:pos="8306"/>
        </w:tabs>
      </w:pPr>
      <w:hyperlink w:anchor="_Toc9595" w:history="1">
        <w:r>
          <w:rPr>
            <w:rFonts w:ascii="仿宋" w:eastAsia="仿宋" w:hAnsi="仿宋" w:cs="仿宋" w:hint="eastAsia"/>
            <w:lang w:eastAsia="zh-CN"/>
          </w:rPr>
          <w:t>(一)、用外购和进口钢材、铁合金再加工生产钢材、铁合金项目总投资估算</w:t>
        </w:r>
        <w:r>
          <w:tab/>
        </w:r>
        <w:r>
          <w:fldChar w:fldCharType="begin"/>
        </w:r>
        <w:r>
          <w:instrText xml:space="preserve"> PAGEREF _Toc9595 \h </w:instrText>
        </w:r>
        <w:r>
          <w:fldChar w:fldCharType="separate"/>
        </w:r>
        <w:r>
          <w:t>38</w:t>
        </w:r>
        <w:r>
          <w:fldChar w:fldCharType="end"/>
        </w:r>
      </w:hyperlink>
    </w:p>
    <w:p>
      <w:pPr>
        <w:pStyle w:val="TOC2"/>
        <w:tabs>
          <w:tab w:val="right" w:leader="dot" w:pos="8306"/>
        </w:tabs>
      </w:pPr>
      <w:hyperlink w:anchor="_Toc24516" w:history="1">
        <w:r>
          <w:rPr>
            <w:rFonts w:ascii="仿宋" w:eastAsia="仿宋" w:hAnsi="仿宋" w:cs="仿宋" w:hint="eastAsia"/>
            <w:lang w:eastAsia="zh-CN"/>
          </w:rPr>
          <w:t>(二)、资金筹措</w:t>
        </w:r>
        <w:r>
          <w:tab/>
        </w:r>
        <w:r>
          <w:fldChar w:fldCharType="begin"/>
        </w:r>
        <w:r>
          <w:instrText xml:space="preserve"> PAGEREF _Toc24516 \h </w:instrText>
        </w:r>
        <w:r>
          <w:fldChar w:fldCharType="separate"/>
        </w:r>
        <w:r>
          <w:t>39</w:t>
        </w:r>
        <w:r>
          <w:fldChar w:fldCharType="end"/>
        </w:r>
      </w:hyperlink>
    </w:p>
    <w:p>
      <w:pPr>
        <w:pStyle w:val="TOC1"/>
        <w:tabs>
          <w:tab w:val="right" w:leader="dot" w:pos="8306"/>
        </w:tabs>
      </w:pPr>
      <w:hyperlink w:anchor="_Toc13553" w:history="1">
        <w:r>
          <w:rPr>
            <w:rFonts w:ascii="仿宋" w:eastAsia="仿宋" w:hAnsi="仿宋" w:cs="仿宋" w:hint="eastAsia"/>
            <w:lang w:eastAsia="zh-CN"/>
          </w:rPr>
          <w:t>十一、用外购和进口钢材、铁合金再加工生产钢材、铁合金项目风险管理</w:t>
        </w:r>
        <w:r>
          <w:tab/>
        </w:r>
        <w:r>
          <w:fldChar w:fldCharType="begin"/>
        </w:r>
        <w:r>
          <w:instrText xml:space="preserve"> PAGEREF _Toc13553 \h </w:instrText>
        </w:r>
        <w:r>
          <w:fldChar w:fldCharType="separate"/>
        </w:r>
        <w:r>
          <w:t>40</w:t>
        </w:r>
        <w:r>
          <w:fldChar w:fldCharType="end"/>
        </w:r>
      </w:hyperlink>
    </w:p>
    <w:p>
      <w:pPr>
        <w:pStyle w:val="TOC2"/>
        <w:tabs>
          <w:tab w:val="right" w:leader="dot" w:pos="8306"/>
        </w:tabs>
      </w:pPr>
      <w:hyperlink w:anchor="_Toc15426" w:history="1">
        <w:r>
          <w:rPr>
            <w:rFonts w:ascii="仿宋" w:eastAsia="仿宋" w:hAnsi="仿宋" w:cs="仿宋" w:hint="eastAsia"/>
            <w:lang w:eastAsia="zh-CN"/>
          </w:rPr>
          <w:t>(一)、风险识别与评估</w:t>
        </w:r>
        <w:r>
          <w:tab/>
        </w:r>
        <w:r>
          <w:fldChar w:fldCharType="begin"/>
        </w:r>
        <w:r>
          <w:instrText xml:space="preserve"> PAGEREF _Toc15426 \h </w:instrText>
        </w:r>
        <w:r>
          <w:fldChar w:fldCharType="separate"/>
        </w:r>
        <w:r>
          <w:t>40</w:t>
        </w:r>
        <w:r>
          <w:fldChar w:fldCharType="end"/>
        </w:r>
      </w:hyperlink>
    </w:p>
    <w:p>
      <w:pPr>
        <w:pStyle w:val="TOC2"/>
        <w:tabs>
          <w:tab w:val="right" w:leader="dot" w:pos="8306"/>
        </w:tabs>
      </w:pPr>
      <w:hyperlink w:anchor="_Toc6390" w:history="1">
        <w:r>
          <w:rPr>
            <w:rFonts w:ascii="仿宋" w:eastAsia="仿宋" w:hAnsi="仿宋" w:cs="仿宋" w:hint="eastAsia"/>
            <w:lang w:eastAsia="zh-CN"/>
          </w:rPr>
          <w:t>(二)、风险应对策略</w:t>
        </w:r>
        <w:r>
          <w:tab/>
        </w:r>
        <w:r>
          <w:fldChar w:fldCharType="begin"/>
        </w:r>
        <w:r>
          <w:instrText xml:space="preserve"> PAGEREF _Toc6390 \h </w:instrText>
        </w:r>
        <w:r>
          <w:fldChar w:fldCharType="separate"/>
        </w:r>
        <w:r>
          <w:t>42</w:t>
        </w:r>
        <w:r>
          <w:fldChar w:fldCharType="end"/>
        </w:r>
      </w:hyperlink>
    </w:p>
    <w:p>
      <w:pPr>
        <w:pStyle w:val="TOC2"/>
        <w:tabs>
          <w:tab w:val="right" w:leader="dot" w:pos="8306"/>
        </w:tabs>
      </w:pPr>
      <w:hyperlink w:anchor="_Toc21843" w:history="1">
        <w:r>
          <w:rPr>
            <w:rFonts w:ascii="仿宋" w:eastAsia="仿宋" w:hAnsi="仿宋" w:cs="仿宋" w:hint="eastAsia"/>
            <w:lang w:eastAsia="zh-CN"/>
          </w:rPr>
          <w:t>(三)、风险监控与控制</w:t>
        </w:r>
        <w:r>
          <w:tab/>
        </w:r>
        <w:r>
          <w:fldChar w:fldCharType="begin"/>
        </w:r>
        <w:r>
          <w:instrText xml:space="preserve"> PAGEREF _Toc21843 \h </w:instrText>
        </w:r>
        <w:r>
          <w:fldChar w:fldCharType="separate"/>
        </w:r>
        <w:r>
          <w:t>44</w:t>
        </w:r>
        <w:r>
          <w:fldChar w:fldCharType="end"/>
        </w:r>
      </w:hyperlink>
    </w:p>
    <w:p>
      <w:pPr>
        <w:pStyle w:val="TOC1"/>
        <w:tabs>
          <w:tab w:val="right" w:leader="dot" w:pos="8306"/>
        </w:tabs>
      </w:pPr>
      <w:hyperlink w:anchor="_Toc27009" w:history="1">
        <w:r>
          <w:rPr>
            <w:rFonts w:ascii="仿宋" w:eastAsia="仿宋" w:hAnsi="仿宋" w:cs="仿宋" w:hint="eastAsia"/>
            <w:lang w:eastAsia="zh-CN"/>
          </w:rPr>
          <w:t>十二、用外购和进口钢材、铁合金再加工生产钢材、铁合金项目计划安排</w:t>
        </w:r>
        <w:r>
          <w:tab/>
        </w:r>
        <w:r>
          <w:fldChar w:fldCharType="begin"/>
        </w:r>
        <w:r>
          <w:instrText xml:space="preserve"> PAGEREF _Toc27009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44" w:history="1">
        <w:r>
          <w:rPr>
            <w:rFonts w:ascii="仿宋" w:eastAsia="仿宋" w:hAnsi="仿宋" w:cs="仿宋" w:hint="eastAsia"/>
            <w:lang w:eastAsia="zh-CN"/>
          </w:rPr>
          <w:t>(一)、建设周期</w:t>
        </w:r>
        <w:r>
          <w:tab/>
        </w:r>
        <w:r>
          <w:fldChar w:fldCharType="begin"/>
        </w:r>
        <w:r>
          <w:instrText xml:space="preserve"> PAGEREF _Toc20244 \h </w:instrText>
        </w:r>
        <w:r>
          <w:fldChar w:fldCharType="separate"/>
        </w:r>
        <w:r>
          <w:t>45</w:t>
        </w:r>
        <w:r>
          <w:fldChar w:fldCharType="end"/>
        </w:r>
      </w:hyperlink>
    </w:p>
    <w:p>
      <w:pPr>
        <w:pStyle w:val="TOC2"/>
        <w:tabs>
          <w:tab w:val="right" w:leader="dot" w:pos="8306"/>
        </w:tabs>
      </w:pPr>
      <w:hyperlink w:anchor="_Toc32310" w:history="1">
        <w:r>
          <w:rPr>
            <w:rFonts w:ascii="仿宋" w:eastAsia="仿宋" w:hAnsi="仿宋" w:cs="仿宋" w:hint="eastAsia"/>
            <w:lang w:eastAsia="zh-CN"/>
          </w:rPr>
          <w:t>(二)、建设进度</w:t>
        </w:r>
        <w:r>
          <w:tab/>
        </w:r>
        <w:r>
          <w:fldChar w:fldCharType="begin"/>
        </w:r>
        <w:r>
          <w:instrText xml:space="preserve"> PAGEREF _Toc32310 \h </w:instrText>
        </w:r>
        <w:r>
          <w:fldChar w:fldCharType="separate"/>
        </w:r>
        <w:r>
          <w:t>46</w:t>
        </w:r>
        <w:r>
          <w:fldChar w:fldCharType="end"/>
        </w:r>
      </w:hyperlink>
    </w:p>
    <w:p>
      <w:pPr>
        <w:pStyle w:val="TOC2"/>
        <w:tabs>
          <w:tab w:val="right" w:leader="dot" w:pos="8306"/>
        </w:tabs>
      </w:pPr>
      <w:hyperlink w:anchor="_Toc16044" w:history="1">
        <w:r>
          <w:rPr>
            <w:rFonts w:ascii="仿宋" w:eastAsia="仿宋" w:hAnsi="仿宋" w:cs="仿宋" w:hint="eastAsia"/>
            <w:lang w:eastAsia="zh-CN"/>
          </w:rPr>
          <w:t>(三)、进度安排注意事项</w:t>
        </w:r>
        <w:r>
          <w:tab/>
        </w:r>
        <w:r>
          <w:fldChar w:fldCharType="begin"/>
        </w:r>
        <w:r>
          <w:instrText xml:space="preserve"> PAGEREF _Toc16044 \h </w:instrText>
        </w:r>
        <w:r>
          <w:fldChar w:fldCharType="separate"/>
        </w:r>
        <w:r>
          <w:t>47</w:t>
        </w:r>
        <w:r>
          <w:fldChar w:fldCharType="end"/>
        </w:r>
      </w:hyperlink>
    </w:p>
    <w:p>
      <w:pPr>
        <w:pStyle w:val="TOC2"/>
        <w:tabs>
          <w:tab w:val="right" w:leader="dot" w:pos="8306"/>
        </w:tabs>
      </w:pPr>
      <w:hyperlink w:anchor="_Toc2924" w:history="1">
        <w:r>
          <w:rPr>
            <w:rFonts w:ascii="仿宋" w:eastAsia="仿宋" w:hAnsi="仿宋" w:cs="仿宋" w:hint="eastAsia"/>
            <w:lang w:eastAsia="zh-CN"/>
          </w:rPr>
          <w:t>(四)、人力资源配置</w:t>
        </w:r>
        <w:r>
          <w:tab/>
        </w:r>
        <w:r>
          <w:fldChar w:fldCharType="begin"/>
        </w:r>
        <w:r>
          <w:instrText xml:space="preserve"> PAGEREF _Toc2924 \h </w:instrText>
        </w:r>
        <w:r>
          <w:fldChar w:fldCharType="separate"/>
        </w:r>
        <w:r>
          <w:t>49</w:t>
        </w:r>
        <w:r>
          <w:fldChar w:fldCharType="end"/>
        </w:r>
      </w:hyperlink>
    </w:p>
    <w:p>
      <w:pPr>
        <w:pStyle w:val="TOC1"/>
        <w:tabs>
          <w:tab w:val="right" w:leader="dot" w:pos="8306"/>
        </w:tabs>
      </w:pPr>
      <w:hyperlink w:anchor="_Toc21431" w:history="1">
        <w:r>
          <w:rPr>
            <w:rFonts w:ascii="仿宋" w:eastAsia="仿宋" w:hAnsi="仿宋" w:cs="仿宋" w:hint="eastAsia"/>
            <w:lang w:eastAsia="zh-CN"/>
          </w:rPr>
          <w:t>十三、营销与推广策略</w:t>
        </w:r>
        <w:r>
          <w:tab/>
        </w:r>
        <w:r>
          <w:fldChar w:fldCharType="begin"/>
        </w:r>
        <w:r>
          <w:instrText xml:space="preserve"> PAGEREF _Toc21431 \h </w:instrText>
        </w:r>
        <w:r>
          <w:fldChar w:fldCharType="separate"/>
        </w:r>
        <w:r>
          <w:t>50</w:t>
        </w:r>
        <w:r>
          <w:fldChar w:fldCharType="end"/>
        </w:r>
      </w:hyperlink>
    </w:p>
    <w:p>
      <w:pPr>
        <w:pStyle w:val="TOC2"/>
        <w:tabs>
          <w:tab w:val="right" w:leader="dot" w:pos="8306"/>
        </w:tabs>
      </w:pPr>
      <w:hyperlink w:anchor="_Toc9315" w:history="1">
        <w:r>
          <w:rPr>
            <w:rFonts w:ascii="仿宋" w:eastAsia="仿宋" w:hAnsi="仿宋" w:cs="仿宋" w:hint="eastAsia"/>
            <w:lang w:eastAsia="zh-CN"/>
          </w:rPr>
          <w:t>(一)、产品/服务定位与特点</w:t>
        </w:r>
        <w:r>
          <w:tab/>
        </w:r>
        <w:r>
          <w:fldChar w:fldCharType="begin"/>
        </w:r>
        <w:r>
          <w:instrText xml:space="preserve"> PAGEREF _Toc9315 \h </w:instrText>
        </w:r>
        <w:r>
          <w:fldChar w:fldCharType="separate"/>
        </w:r>
        <w:r>
          <w:t>50</w:t>
        </w:r>
        <w:r>
          <w:fldChar w:fldCharType="end"/>
        </w:r>
      </w:hyperlink>
    </w:p>
    <w:p>
      <w:pPr>
        <w:pStyle w:val="TOC2"/>
        <w:tabs>
          <w:tab w:val="right" w:leader="dot" w:pos="8306"/>
        </w:tabs>
      </w:pPr>
      <w:hyperlink w:anchor="_Toc22054" w:history="1">
        <w:r>
          <w:rPr>
            <w:rFonts w:ascii="仿宋" w:eastAsia="仿宋" w:hAnsi="仿宋" w:cs="仿宋" w:hint="eastAsia"/>
            <w:lang w:eastAsia="zh-CN"/>
          </w:rPr>
          <w:t>(二)、市场定位与竞争分析</w:t>
        </w:r>
        <w:r>
          <w:tab/>
        </w:r>
        <w:r>
          <w:fldChar w:fldCharType="begin"/>
        </w:r>
        <w:r>
          <w:instrText xml:space="preserve"> PAGEREF _Toc22054 \h </w:instrText>
        </w:r>
        <w:r>
          <w:fldChar w:fldCharType="separate"/>
        </w:r>
        <w:r>
          <w:t>51</w:t>
        </w:r>
        <w:r>
          <w:fldChar w:fldCharType="end"/>
        </w:r>
      </w:hyperlink>
    </w:p>
    <w:p>
      <w:pPr>
        <w:pStyle w:val="TOC2"/>
        <w:tabs>
          <w:tab w:val="right" w:leader="dot" w:pos="8306"/>
        </w:tabs>
      </w:pPr>
      <w:hyperlink w:anchor="_Toc13367" w:history="1">
        <w:r>
          <w:rPr>
            <w:rFonts w:ascii="仿宋" w:eastAsia="仿宋" w:hAnsi="仿宋" w:cs="仿宋" w:hint="eastAsia"/>
            <w:lang w:eastAsia="zh-CN"/>
          </w:rPr>
          <w:t>(三)、营销渠道与策略</w:t>
        </w:r>
        <w:r>
          <w:tab/>
        </w:r>
        <w:r>
          <w:fldChar w:fldCharType="begin"/>
        </w:r>
        <w:r>
          <w:instrText xml:space="preserve"> PAGEREF _Toc13367 \h </w:instrText>
        </w:r>
        <w:r>
          <w:fldChar w:fldCharType="separate"/>
        </w:r>
        <w:r>
          <w:t>53</w:t>
        </w:r>
        <w:r>
          <w:fldChar w:fldCharType="end"/>
        </w:r>
      </w:hyperlink>
    </w:p>
    <w:p>
      <w:pPr>
        <w:pStyle w:val="TOC2"/>
        <w:tabs>
          <w:tab w:val="right" w:leader="dot" w:pos="8306"/>
        </w:tabs>
      </w:pPr>
      <w:hyperlink w:anchor="_Toc25577" w:history="1">
        <w:r>
          <w:rPr>
            <w:rFonts w:ascii="仿宋" w:eastAsia="仿宋" w:hAnsi="仿宋" w:cs="仿宋" w:hint="eastAsia"/>
            <w:lang w:eastAsia="zh-CN"/>
          </w:rPr>
          <w:t>(四)、推广与宣传活动</w:t>
        </w:r>
        <w:r>
          <w:tab/>
        </w:r>
        <w:r>
          <w:fldChar w:fldCharType="begin"/>
        </w:r>
        <w:r>
          <w:instrText xml:space="preserve"> PAGEREF _Toc25577 \h </w:instrText>
        </w:r>
        <w:r>
          <w:fldChar w:fldCharType="separate"/>
        </w:r>
        <w:r>
          <w:t>54</w:t>
        </w:r>
        <w:r>
          <w:fldChar w:fldCharType="end"/>
        </w:r>
      </w:hyperlink>
    </w:p>
    <w:p>
      <w:pPr>
        <w:pStyle w:val="TOC1"/>
        <w:tabs>
          <w:tab w:val="right" w:leader="dot" w:pos="8306"/>
        </w:tabs>
      </w:pPr>
      <w:hyperlink w:anchor="_Toc19278" w:history="1">
        <w:r>
          <w:rPr>
            <w:rFonts w:ascii="仿宋" w:eastAsia="仿宋" w:hAnsi="仿宋" w:cs="仿宋" w:hint="eastAsia"/>
            <w:lang w:eastAsia="zh-CN"/>
          </w:rPr>
          <w:t>十四、利益相关者分析与沟通计划</w:t>
        </w:r>
        <w:r>
          <w:tab/>
        </w:r>
        <w:r>
          <w:fldChar w:fldCharType="begin"/>
        </w:r>
        <w:r>
          <w:instrText xml:space="preserve"> PAGEREF _Toc19278 \h </w:instrText>
        </w:r>
        <w:r>
          <w:fldChar w:fldCharType="separate"/>
        </w:r>
        <w:r>
          <w:t>60</w:t>
        </w:r>
        <w:r>
          <w:fldChar w:fldCharType="end"/>
        </w:r>
      </w:hyperlink>
    </w:p>
    <w:p>
      <w:pPr>
        <w:pStyle w:val="TOC2"/>
        <w:tabs>
          <w:tab w:val="right" w:leader="dot" w:pos="8306"/>
        </w:tabs>
      </w:pPr>
      <w:hyperlink w:anchor="_Toc29985" w:history="1">
        <w:r>
          <w:rPr>
            <w:rFonts w:ascii="仿宋" w:eastAsia="仿宋" w:hAnsi="仿宋" w:cs="仿宋" w:hint="eastAsia"/>
            <w:lang w:eastAsia="zh-CN"/>
          </w:rPr>
          <w:t>(一)、利益相关者分析</w:t>
        </w:r>
        <w:r>
          <w:tab/>
        </w:r>
        <w:r>
          <w:fldChar w:fldCharType="begin"/>
        </w:r>
        <w:r>
          <w:instrText xml:space="preserve"> PAGEREF _Toc29985 \h </w:instrText>
        </w:r>
        <w:r>
          <w:fldChar w:fldCharType="separate"/>
        </w:r>
        <w:r>
          <w:t>60</w:t>
        </w:r>
        <w:r>
          <w:fldChar w:fldCharType="end"/>
        </w:r>
      </w:hyperlink>
    </w:p>
    <w:p>
      <w:pPr>
        <w:pStyle w:val="TOC2"/>
        <w:tabs>
          <w:tab w:val="right" w:leader="dot" w:pos="8306"/>
        </w:tabs>
      </w:pPr>
      <w:hyperlink w:anchor="_Toc19795" w:history="1">
        <w:r>
          <w:rPr>
            <w:rFonts w:ascii="仿宋" w:eastAsia="仿宋" w:hAnsi="仿宋" w:cs="仿宋" w:hint="eastAsia"/>
            <w:lang w:eastAsia="zh-CN"/>
          </w:rPr>
          <w:t>(二)、沟通计划</w:t>
        </w:r>
        <w:r>
          <w:tab/>
        </w:r>
        <w:r>
          <w:fldChar w:fldCharType="begin"/>
        </w:r>
        <w:r>
          <w:instrText xml:space="preserve"> PAGEREF _Toc19795 \h </w:instrText>
        </w:r>
        <w:r>
          <w:fldChar w:fldCharType="separate"/>
        </w:r>
        <w:r>
          <w:t>61</w:t>
        </w:r>
        <w:r>
          <w:fldChar w:fldCharType="end"/>
        </w:r>
      </w:hyperlink>
    </w:p>
    <w:p>
      <w:pPr>
        <w:pStyle w:val="TOC1"/>
        <w:tabs>
          <w:tab w:val="right" w:leader="dot" w:pos="8306"/>
        </w:tabs>
      </w:pPr>
      <w:hyperlink w:anchor="_Toc8877" w:history="1">
        <w:r>
          <w:rPr>
            <w:rFonts w:ascii="仿宋" w:eastAsia="仿宋" w:hAnsi="仿宋" w:cs="仿宋" w:hint="eastAsia"/>
            <w:lang w:eastAsia="zh-CN"/>
          </w:rPr>
          <w:t>十五、用外购和进口钢材、铁合金再加工生产钢材、铁合金项目实施保障措施</w:t>
        </w:r>
        <w:r>
          <w:tab/>
        </w:r>
        <w:r>
          <w:fldChar w:fldCharType="begin"/>
        </w:r>
        <w:r>
          <w:instrText xml:space="preserve"> PAGEREF _Toc8877 \h </w:instrText>
        </w:r>
        <w:r>
          <w:fldChar w:fldCharType="separate"/>
        </w:r>
        <w:r>
          <w:t>62</w:t>
        </w:r>
        <w:r>
          <w:fldChar w:fldCharType="end"/>
        </w:r>
      </w:hyperlink>
    </w:p>
    <w:p>
      <w:pPr>
        <w:pStyle w:val="TOC2"/>
        <w:tabs>
          <w:tab w:val="right" w:leader="dot" w:pos="8306"/>
        </w:tabs>
      </w:pPr>
      <w:hyperlink w:anchor="_Toc11266" w:history="1">
        <w:r>
          <w:rPr>
            <w:rFonts w:ascii="仿宋" w:eastAsia="仿宋" w:hAnsi="仿宋" w:cs="仿宋" w:hint="eastAsia"/>
            <w:lang w:eastAsia="zh-CN"/>
          </w:rPr>
          <w:t>(一)、用外购和进口钢材、铁合金再加工生产钢材、铁合金项目实施保障机制</w:t>
        </w:r>
        <w:r>
          <w:tab/>
        </w:r>
        <w:r>
          <w:fldChar w:fldCharType="begin"/>
        </w:r>
        <w:r>
          <w:instrText xml:space="preserve"> PAGEREF _Toc11266 \h </w:instrText>
        </w:r>
        <w:r>
          <w:fldChar w:fldCharType="separate"/>
        </w:r>
        <w:r>
          <w:t>62</w:t>
        </w:r>
        <w:r>
          <w:fldChar w:fldCharType="end"/>
        </w:r>
      </w:hyperlink>
    </w:p>
    <w:p>
      <w:pPr>
        <w:pStyle w:val="TOC2"/>
        <w:tabs>
          <w:tab w:val="right" w:leader="dot" w:pos="8306"/>
        </w:tabs>
      </w:pPr>
      <w:hyperlink w:anchor="_Toc19018" w:history="1">
        <w:r>
          <w:rPr>
            <w:rFonts w:ascii="仿宋" w:eastAsia="仿宋" w:hAnsi="仿宋" w:cs="仿宋" w:hint="eastAsia"/>
            <w:lang w:eastAsia="zh-CN"/>
          </w:rPr>
          <w:t>(二)、用外购和进口钢材、铁合金再加工生产钢材、铁合金项目法律合规要求</w:t>
        </w:r>
        <w:r>
          <w:tab/>
        </w:r>
        <w:r>
          <w:fldChar w:fldCharType="begin"/>
        </w:r>
        <w:r>
          <w:instrText xml:space="preserve"> PAGEREF _Toc19018 \h </w:instrText>
        </w:r>
        <w:r>
          <w:fldChar w:fldCharType="separate"/>
        </w:r>
        <w:r>
          <w:t>67</w:t>
        </w:r>
        <w:r>
          <w:fldChar w:fldCharType="end"/>
        </w:r>
      </w:hyperlink>
    </w:p>
    <w:p>
      <w:pPr>
        <w:pStyle w:val="TOC2"/>
        <w:tabs>
          <w:tab w:val="right" w:leader="dot" w:pos="8306"/>
        </w:tabs>
      </w:pPr>
      <w:hyperlink w:anchor="_Toc32076" w:history="1">
        <w:r>
          <w:rPr>
            <w:rFonts w:ascii="仿宋" w:eastAsia="仿宋" w:hAnsi="仿宋" w:cs="仿宋" w:hint="eastAsia"/>
            <w:lang w:eastAsia="zh-CN"/>
          </w:rPr>
          <w:t>(三)、用外购和进口钢材、铁合金再加工生产钢材、铁合金项目合同管理与法律事务</w:t>
        </w:r>
        <w:r>
          <w:tab/>
        </w:r>
        <w:r>
          <w:fldChar w:fldCharType="begin"/>
        </w:r>
        <w:r>
          <w:instrText xml:space="preserve"> PAGEREF _Toc32076 \h </w:instrText>
        </w:r>
        <w:r>
          <w:fldChar w:fldCharType="separate"/>
        </w:r>
        <w:r>
          <w:t>72</w:t>
        </w:r>
        <w:r>
          <w:fldChar w:fldCharType="end"/>
        </w:r>
      </w:hyperlink>
    </w:p>
    <w:p>
      <w:pPr>
        <w:pStyle w:val="TOC2"/>
        <w:tabs>
          <w:tab w:val="right" w:leader="dot" w:pos="8306"/>
        </w:tabs>
      </w:pPr>
      <w:hyperlink w:anchor="_Toc17576" w:history="1">
        <w:r>
          <w:rPr>
            <w:rFonts w:ascii="仿宋" w:eastAsia="仿宋" w:hAnsi="仿宋" w:cs="仿宋" w:hint="eastAsia"/>
            <w:lang w:eastAsia="zh-CN"/>
          </w:rPr>
          <w:t>(四)、用外购和进口钢材、铁合金再加工生产钢材、铁合金项目知识产权保护策略</w:t>
        </w:r>
        <w:r>
          <w:tab/>
        </w:r>
        <w:r>
          <w:fldChar w:fldCharType="begin"/>
        </w:r>
        <w:r>
          <w:instrText xml:space="preserve"> PAGEREF _Toc17576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102"/>
      <w:r>
        <w:rPr>
          <w:rFonts w:ascii="仿宋" w:eastAsia="仿宋" w:hAnsi="仿宋" w:cs="仿宋" w:hint="eastAsia"/>
          <w:lang w:eastAsia="zh-CN"/>
        </w:rPr>
        <w:t>(一)、用外购和进口钢材、铁合金再加工生产钢材、铁合金行业分析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行业一直以来都是市场的关注焦点。行业内的发展趋势、竞争态势以及潜在机会都对用外购和进口钢材、铁合金再加工生产钢材、铁合金项目的推进产生深远的影响。通过深入研究行业的整体概貌，我们将更好地理解行业的核心特征，为用外购和进口钢材、铁合金再加工生产钢材、铁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在用外购和进口钢材、铁合金再加工生产钢材、铁合金行业，技术一直是推动创新和发展的关键因素。我们将对当前技术趋势进行详尽分析，包括但不限于人工智能、大数据应用、先进制造技术等。这有助于用外购和进口钢材、铁合金再加工生产钢材、铁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用外购和进口钢材、铁合金再加工生产钢材、铁合金项目成功的基础。我们将对主要竞争对手进行深入研究，包括其市场份额、产品特点、市场定位等。通过全面了解竞争对手的优势和劣势，用外购和进口钢材、铁合金再加工生产钢材、铁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428"/>
      <w:r>
        <w:rPr>
          <w:rFonts w:ascii="仿宋" w:eastAsia="仿宋" w:hAnsi="仿宋" w:cs="仿宋" w:hint="eastAsia"/>
          <w:sz w:val="28"/>
          <w:lang w:eastAsia="zh-CN"/>
        </w:rPr>
        <w:t>(二)、用外购和进口钢材、铁合金再加工生产钢材、铁合金市场分析预测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用外购和进口钢材、铁合金再加工生产钢材、铁合金市场未来的增长趋势。这包括市场的整体规模、各细分领域的发展趋势等。用外购和进口钢材、铁合金再加工生产钢材、铁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用外购和进口钢材、铁合金再加工生产钢材、铁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用外购和进口钢材、铁合金再加工生产钢材、铁合金项目实施过程中需要充分考虑的因素。我们将对市场风险进行全面评估，包括但不限于政策法规风险、市场竞争风险、技术变革风险等。通过对潜在风险的深入分析，用外购和进口钢材、铁合金再加工生产钢材、铁合金项目可以制定相应的风险缓解策略，降低不确定性对用外购和进口钢材、铁合金再加工生产钢材、铁合金项目的影响。</w:t>
      </w:r>
    </w:p>
    <w:p>
      <w:pPr>
        <w:pStyle w:val="Heading1"/>
        <w:ind w:firstLine="560" w:firstLineChars="200"/>
        <w:rPr>
          <w:rFonts w:ascii="仿宋" w:eastAsia="仿宋" w:hAnsi="仿宋" w:cs="仿宋" w:hint="eastAsia"/>
          <w:sz w:val="28"/>
          <w:lang w:eastAsia="zh-CN"/>
        </w:rPr>
      </w:pPr>
      <w:bookmarkStart w:id="5" w:name="_Toc29395"/>
      <w:r>
        <w:rPr>
          <w:rFonts w:ascii="仿宋" w:eastAsia="仿宋" w:hAnsi="仿宋" w:cs="仿宋" w:hint="eastAsia"/>
          <w:sz w:val="28"/>
          <w:lang w:eastAsia="zh-CN"/>
        </w:rPr>
        <w:t>二、用外购和进口钢材、铁合金再加工生产钢材、铁合金项目土建工程</w:t>
      </w:r>
      <w:bookmarkEnd w:id="5"/>
    </w:p>
    <w:p>
      <w:pPr>
        <w:pStyle w:val="Heading2"/>
        <w:rPr>
          <w:rFonts w:ascii="仿宋" w:eastAsia="仿宋" w:hAnsi="仿宋" w:cs="仿宋" w:hint="eastAsia"/>
          <w:lang w:eastAsia="zh-CN"/>
        </w:rPr>
      </w:pPr>
      <w:bookmarkStart w:id="6" w:name="_Toc989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用外购和进口钢材、铁合金再加工生产钢材、铁合金项目的建筑工程设计中，我们将秉承一系列重要的设计原则，以确保用外购和进口钢材、铁合金再加工生产钢材、铁合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用外购和进口钢材、铁合金再加工生产钢材、铁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在建筑设计中，我们将综合考虑建设和运营成本。通过精细的经济效益分析，确保设计方案在高效利用资源的同时，对用外购和进口钢材、铁合金再加工生产钢材、铁合金项目的长期盈利能力有积极的贡献。</w:t>
      </w:r>
    </w:p>
    <w:p>
      <w:pPr>
        <w:pStyle w:val="Heading2"/>
        <w:ind w:firstLine="560" w:firstLineChars="200"/>
        <w:rPr>
          <w:rFonts w:ascii="仿宋" w:eastAsia="仿宋" w:hAnsi="仿宋" w:cs="仿宋" w:hint="eastAsia"/>
          <w:sz w:val="28"/>
          <w:lang w:eastAsia="zh-CN"/>
        </w:rPr>
      </w:pPr>
      <w:bookmarkStart w:id="7" w:name="_Toc92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用外购和进口钢材、铁合金再加工生产钢材、铁合金项目的土建工程设计中，我们将精准设定设计年限，结合用外购和进口钢材、铁合金再加工生产钢材、铁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用外购和进口钢材、铁合金再加工生产钢材、铁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97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用外购和进口钢材、铁合金再加工生产钢材、铁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用外购和进口钢材、铁合金再加工生产钢材、铁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用外购和进口钢材、铁合金再加工生产钢材、铁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78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用外购和进口钢材、铁合金再加工生产钢材、铁合金项目预计总建筑面积XXX平方米，其中：计容建筑面积XXX平方米，计划建筑工程投资XX万元，占用外购和进口钢材、铁合金再加工生产钢材、铁合金项目总投资的XX%。</w:t>
      </w:r>
    </w:p>
    <w:p>
      <w:pPr>
        <w:pStyle w:val="Heading1"/>
        <w:ind w:firstLine="560" w:firstLineChars="200"/>
        <w:rPr>
          <w:rFonts w:ascii="仿宋" w:eastAsia="仿宋" w:hAnsi="仿宋" w:cs="仿宋" w:hint="eastAsia"/>
          <w:sz w:val="28"/>
          <w:lang w:eastAsia="zh-CN"/>
        </w:rPr>
      </w:pPr>
      <w:bookmarkStart w:id="10" w:name="_Toc26189"/>
      <w:r>
        <w:rPr>
          <w:rFonts w:ascii="仿宋" w:eastAsia="仿宋" w:hAnsi="仿宋" w:cs="仿宋" w:hint="eastAsia"/>
          <w:sz w:val="28"/>
          <w:lang w:eastAsia="zh-CN"/>
        </w:rPr>
        <w:t>三、用外购和进口钢材、铁合金再加工生产钢材、铁合金项目危机管理</w:t>
      </w:r>
      <w:bookmarkEnd w:id="10"/>
    </w:p>
    <w:p>
      <w:pPr>
        <w:pStyle w:val="Heading2"/>
        <w:rPr>
          <w:rFonts w:ascii="仿宋" w:eastAsia="仿宋" w:hAnsi="仿宋" w:cs="仿宋" w:hint="eastAsia"/>
          <w:lang w:eastAsia="zh-CN"/>
        </w:rPr>
      </w:pPr>
      <w:bookmarkStart w:id="11" w:name="_Toc1990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用外购和进口钢材、铁合金再加工生产钢材、铁合金项目危机管理中，危机预警与识别是确保用外购和进口钢材、铁合金再加工生产钢材、铁合金项目稳健运行的核心步骤。通过建立全面的监测机制，用外购和进口钢材、铁合金再加工生产钢材、铁合金项目团队旨在及时发现和理解潜在的风险和危机因素，以便采取及时的预防和应对措施，确保用外购和进口钢材、铁合金再加工生产钢材、铁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用外购和进口钢材、铁合金再加工生产钢材、铁合金项目团队全面分析了整个用外购和进口钢材、铁合金再加工生产钢材、铁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用外购和进口钢材、铁合金再加工生产钢材、铁合金项目团队着重于明确定义用外购和进口钢材、铁合金再加工生产钢材、铁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用外购和进口钢材、铁合金再加工生产钢材、铁合金项目进展的持续监控，团队能够及时发现潜在问题并作出迅速反应。用外购和进口钢材、铁合金再加工生产钢材、铁合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用外购和进口钢材、铁合金再加工生产钢材、铁合金项目得以更有序、可控地推进。</w:t>
      </w:r>
    </w:p>
    <w:p>
      <w:pPr>
        <w:pStyle w:val="Heading2"/>
        <w:ind w:firstLine="560" w:firstLineChars="200"/>
        <w:rPr>
          <w:rFonts w:ascii="仿宋" w:eastAsia="仿宋" w:hAnsi="仿宋" w:cs="仿宋" w:hint="eastAsia"/>
          <w:sz w:val="28"/>
          <w:lang w:eastAsia="zh-CN"/>
        </w:rPr>
      </w:pPr>
      <w:bookmarkStart w:id="12" w:name="_Toc1191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在危机发生时，用外购和进口钢材、铁合金再加工生产钢材、铁合金项目团队立即行动，成立了应急小组。该小组的任务是迅速制定并实施紧急应对措施，以最小化潜在损失。以下是采取的主要措施：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暂停用外购和进口钢材、铁合金再加工生产钢材、铁合金项目进度：为遏制危机蔓延，用外购和进口钢材、铁合金再加工生产钢材、铁合金项目暂时停止进行，以便全面评估当前状况。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资源重新分配：重新评估用外购和进口钢材、铁合金再加工生产钢材、铁合金项目资源的分配，确保最大限度地减小损失。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实时沟通：与关键利益相关者建立实时沟通机制，向他们传递用外购和进口钢材、铁合金再加工生产钢材、铁合金项目危机的实际状况，保障用外购和进口钢材、铁合金再加工生产钢材、铁合金项目核心利益。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在紧急应对的同时，用外购和进口钢材、铁合金再加工生产钢材、铁合金项目团队强调了团队协作和有效沟通的重要性。以下是团队协作的关键举措：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信息共享机制：建立了信息共享平台，确保团队成员能够及时获取用外购和进口钢材、铁合金再加工生产钢材、铁合金项目危机的实时信息。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领导者沟通：用外购和进口钢材、铁合金再加工生产钢材、铁合金项目领导者通过定期会议和即时沟通工具，指导团队应对危机，保持团队稳定运行。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随着危机得到初步控制，用外购和进口钢材、铁合金再加工生产钢材、铁合金项目团队转向制定恢复计划，以确保用外购和进口钢材、铁合金再加工生产钢材、铁合金项目能够从中迅速恢复。主要恢复计划包括：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修复受损的进度计划：重新评估用外购和进口钢材、铁合金再加工生产钢材、铁合金项目进度，制定修复计划，确保用外购和进口钢材、铁合金再加工生产钢材、铁合金项目尽快回归正常进程。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重新调整资源分配：优化资源分配，确保用外购和进口钢材、铁合金再加工生产钢材、铁合金项目在有限资源下高效运转。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风险管理机制加强：对用外购和进口钢材、铁合金再加工生产钢材、铁合金项目风险进行全面评估，制定更强化的风险管理策略，以预防未来可能的危机。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8040"/>
      <w:r>
        <w:rPr>
          <w:rFonts w:ascii="仿宋" w:eastAsia="仿宋" w:hAnsi="仿宋" w:cs="仿宋" w:hint="eastAsia"/>
          <w:sz w:val="28"/>
          <w:lang w:eastAsia="zh-CN"/>
        </w:rPr>
        <w:t>四、用外购和进口钢材、铁合金再加工生产钢材、铁合金项目可持续发展</w:t>
      </w:r>
      <w:bookmarkEnd w:id="13"/>
    </w:p>
    <w:p>
      <w:pPr>
        <w:pStyle w:val="Heading2"/>
        <w:rPr>
          <w:rFonts w:ascii="仿宋" w:eastAsia="仿宋" w:hAnsi="仿宋" w:cs="仿宋" w:hint="eastAsia"/>
          <w:lang w:eastAsia="zh-CN"/>
        </w:rPr>
      </w:pPr>
      <w:bookmarkStart w:id="14" w:name="_Toc423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用外购和进口钢材、铁合金再加工生产钢材、铁合金项目中，用外购和进口钢材、铁合金再加工生产钢材、铁合金项目团队着眼于未来，明确了可持续发展的战略方向。制定的具体可持续发展目标包括降低资源使用、采用环保技术、最大化社会效益等。这一步骤不仅有助于用外购和进口钢材、铁合金再加工生产钢材、铁合金项目在环保和社会责任方面达到最高标准，也为未来提供了明确的指引，确保用外购和进口钢材、铁合金再加工生产钢材、铁合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可持续实践的融入用外购和进口钢材、铁合金再加工生产钢材、铁合金项目管理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用外购和进口钢材、铁合金再加工生产钢材、铁合金项目管理周期。从用外购和进口钢材、铁合金再加工生产钢材、铁合金项目规划开始，用外购和进口钢材、铁合金再加工生产钢材、铁合金项目团队就考虑了环境和社会的因素。在执行阶段，用外购和进口钢材、铁合金再加工生产钢材、铁合金项目团队积极推动绿色技术的应用，优化资源利用。此外，关注员工的社会责任，通过培训和沟通活动提高员工对可持续发展的认知，使他们能够在日常工作中践行可持续实践。这些举措不仅为用外购和进口钢材、铁合金再加工生产钢材、铁合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120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用外购和进口钢材、铁合金再加工生产钢材、铁合金项目的可持续发展理念，我们深信环保与社会责任是用外购和进口钢材、铁合金再加工生产钢材、铁合金项目成功的关键支柱。在用外购和进口钢材、铁合金再加工生产钢材、铁合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团队通过引入先进的环保技术、建立高效的废物处理系统以及推动能源节约措施，积极履行环保责任。定期的环保监测和评估确保用外购和进口钢材、铁合金再加工生产钢材、铁合金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不仅致力于自身可持续发展，还注重对社会的回馈。通过支持社区用外购和进口钢材、铁合金再加工生产钢材、铁合金项目、参与慈善事业、提供培训机会等方式，用外购和进口钢材、铁合金再加工生产钢材、铁合金项目积极履行社会责任。与当地社区建立积极互动，关注员工的工作与生活平衡，以及员工的身心健康，是用外购和进口钢材、铁合金再加工生产钢材、铁合金项目在社会责任层面的关键举措。这样的实践不仅增强了用外购和进口钢材、铁合金再加工生产钢材、铁合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2180"/>
      <w:r>
        <w:rPr>
          <w:rFonts w:ascii="仿宋" w:eastAsia="仿宋" w:hAnsi="仿宋" w:cs="仿宋" w:hint="eastAsia"/>
          <w:sz w:val="28"/>
          <w:lang w:eastAsia="zh-CN"/>
        </w:rPr>
        <w:t>五、用外购和进口钢材、铁合金再加工生产钢材、铁合金项目建设背景及必要性分析</w:t>
      </w:r>
      <w:bookmarkEnd w:id="16"/>
    </w:p>
    <w:p>
      <w:pPr>
        <w:pStyle w:val="Heading2"/>
        <w:rPr>
          <w:rFonts w:ascii="仿宋" w:eastAsia="仿宋" w:hAnsi="仿宋" w:cs="仿宋" w:hint="eastAsia"/>
          <w:lang w:eastAsia="zh-CN"/>
        </w:rPr>
      </w:pPr>
      <w:bookmarkStart w:id="17" w:name="_Toc8240"/>
      <w:r>
        <w:rPr>
          <w:rFonts w:ascii="仿宋" w:eastAsia="仿宋" w:hAnsi="仿宋" w:cs="仿宋" w:hint="eastAsia"/>
          <w:lang w:eastAsia="zh-CN"/>
        </w:rPr>
        <w:t>(一)、用外购和进口钢材、铁合金再加工生产钢材、铁合金项目背景分析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外购和进口钢材、铁合金再加工生产钢材、铁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用外购和进口钢材、铁合金再加工生产钢材、铁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用外购和进口钢材、铁合金再加工生产钢材、铁合金项目在这个潮流中的定位。同时，我们将关注行业内涌现的新兴机遇，以便用外购和进口钢材、铁合金再加工生产钢材、铁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用外购和进口钢材、铁合金再加工生产钢材、铁合金项目提供了强大的发展动力。我们将聚焦于行业内最新的技术发展趋势，包括但不限于人工智能、大数据分析、物联网等领域。通过深度的技术研究，我们将确保用外购和进口钢材、铁合金再加工生产钢材、铁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用外购和进口钢材、铁合金再加工生产钢材、铁合金项目发展的源泉。我们将投入更多的精力对市场需求进行深入剖析，超越表面的需求，深入挖掘潜在的市场痛点和机遇。通过对市场需求的细致了解，用外购和进口钢材、铁合金再加工生产钢材、铁合金项目将更有针对性地设计解决方案，满足市场的多样化需求，从而更好地促进用外购和进口钢材、铁合金再加工生产钢材、铁合金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用外购和进口钢材、铁合金再加工生产钢材、铁合金项目战略至关重要。我们将对竞争态势进行更为深入的分析，包括但不限于市场份额、产品特点、客户满意度等多个维度。通过深度的竞争分析，用外购和进口钢材、铁合金再加工生产钢材、铁合金项目将能够更准确地把握市场脉搏，制定具有竞争力的用外购和进口钢材、铁合金再加工生产钢材、铁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用外购和进口钢材、铁合金再加工生产钢材、铁合金项目的发展具有直接的影响。我们将进行更为全面的法规和政策分析，了解行业发展中的潜在法律风险和合规挑战。通过充分了解和遵守相关法规，用外购和进口钢材、铁合金再加工生产钢材、铁合金项目将确保在法律框架内合法合规运营，为用外购和进口钢材、铁合金再加工生产钢材、铁合金项目的稳健发展提供有力支持。</w:t>
      </w:r>
    </w:p>
    <w:p>
      <w:pPr>
        <w:pStyle w:val="Heading2"/>
        <w:ind w:firstLine="560" w:firstLineChars="200"/>
        <w:rPr>
          <w:rFonts w:ascii="仿宋" w:eastAsia="仿宋" w:hAnsi="仿宋" w:cs="仿宋" w:hint="eastAsia"/>
          <w:sz w:val="28"/>
          <w:lang w:eastAsia="zh-CN"/>
        </w:rPr>
      </w:pPr>
      <w:bookmarkStart w:id="18" w:name="_Toc9524"/>
      <w:r>
        <w:rPr>
          <w:rFonts w:ascii="仿宋" w:eastAsia="仿宋" w:hAnsi="仿宋" w:cs="仿宋" w:hint="eastAsia"/>
          <w:sz w:val="28"/>
          <w:lang w:eastAsia="zh-CN"/>
        </w:rPr>
        <w:t>(二)、用外购和进口钢材、铁合金再加工生产钢材、铁合金项目建设必要性分析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https://d.book118.com/276123202214010032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用外购和进口钢材、铁合金再加工生产钢材、铁合金项目规划设计蓝图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493619"/>
    <w:rsid w:val="514936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2320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2024-01-07T19:46:00Z</dcterms:created>
  <dcterms:modified xsi:type="dcterms:W3CDTF">2024-01-07T19:47:05Z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DAEFD7B2B75E45B2AF38390289AA77C2_11</vt:lpwstr>
  </property>
  <property fmtid="{D5CDD505-2E9C-101B-9397-08002B2CF9AE}" pid="3" name="KSOProductBuildVer">
    <vt:lpwstr>2052-12.1.0.16120</vt:lpwstr>
  </property>
</Properties>
</file>