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hint="eastAsia"/>
        </w:rPr>
      </w:pPr>
    </w:p>
    <w:p>
      <w:pPr>
        <w:spacing w:line="360" w:lineRule="auto"/>
        <w:jc w:val="center"/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t>江苏省南通市2019年中考化学试卷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一、单选题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t>1．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2018年10月，南通被授予“国家森林城市”称号。为了使南通这座江风海韵森林城变得天更蓝、水更清、景更美，下列做法应该禁止的是（）   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A．工业废水直接排入河流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B．加强对烟花爆竹燃放管理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C．生产生活垃圾分类放置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D．鼓励对旧金属回收再利用</w:t>
      </w:r>
    </w:p>
    <w:p>
      <w:pPr>
        <w:spacing w:line="360" w:lineRule="auto"/>
        <w:ind w:left="0"/>
        <w:jc w:val="left"/>
        <w:textAlignment w:val="center"/>
      </w:pPr>
      <w:r>
        <w:t>2．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乙烯（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4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）是重要的石油化工产品。乙烯属于（）   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A．盐 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B．碱   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C．氧化物 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D．有机物</w:t>
      </w:r>
    </w:p>
    <w:p>
      <w:pPr>
        <w:spacing w:line="360" w:lineRule="auto"/>
        <w:ind w:left="0"/>
        <w:jc w:val="left"/>
      </w:pPr>
      <w:r>
        <w:t>3．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下列实验操作正确的是（）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w:r>
        <w:drawing>
          <wp:inline distT="0" distB="0" distL="0" distR="0">
            <wp:extent cx="897255" cy="9480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7467" cy="9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滴加试剂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w:r>
        <w:drawing>
          <wp:inline distT="0" distB="0" distL="0" distR="0">
            <wp:extent cx="1083310" cy="1066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3733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加热液体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w:r>
        <w:drawing>
          <wp:inline distT="0" distB="0" distL="0" distR="0">
            <wp:extent cx="1219200" cy="10325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3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检查气密性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w:r>
        <w:drawing>
          <wp:inline distT="0" distB="0" distL="0" distR="0">
            <wp:extent cx="930910" cy="98171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1333" cy="98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闻气体气味</w:t>
      </w:r>
      <w:bookmarkStart w:id="0" w:name="_GoBack"/>
      <w:bookmarkEnd w:id="0"/>
    </w:p>
    <w:p>
      <w:pPr>
        <w:spacing w:line="360" w:lineRule="auto"/>
        <w:ind w:left="0"/>
        <w:jc w:val="left"/>
      </w:pPr>
      <w:r>
        <w:t>4．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下列说法正确的是（）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A．合金中一定不含有非金属元素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B．空气是由氮气、氧气两种气体组成的混合物</w:t>
      </w:r>
    </w:p>
    <w:p>
      <w:pPr>
        <w:spacing w:line="360" w:lineRule="auto"/>
        <w:ind w:firstLine="286" w:firstLineChars="130"/>
        <w:jc w:val="left"/>
        <w:sectPr>
          <w:headerReference w:type="default" r:id="rId8"/>
          <w:footerReference w:type="default" r:id="rId9"/>
          <w:pgSz w:w="11906" w:h="16838"/>
          <w:pgMar w:top="1134" w:right="707" w:bottom="937" w:left="1134" w:header="426" w:footer="515" w:gutter="0"/>
          <w:cols w:num="1" w:space="425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C．维生素是为人类机体活动提供能量的营养物质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D．金刚石和石墨是由碳元素组成的不同的单质</w:t>
      </w:r>
    </w:p>
    <w:p>
      <w:pPr>
        <w:spacing w:line="360" w:lineRule="auto"/>
        <w:ind w:left="0"/>
        <w:jc w:val="left"/>
      </w:pPr>
      <w:r>
        <w:t>5．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下列有关物质的性质与用途具有对应关系的是（）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A．铝具有导电性，可用于制炊具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B．活性炭具有吸附性，可用于净化水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C．盐酸具有挥发性，可用于除铁锈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D．浓硫酸具有腐蚀性，可用作干燥剂</w:t>
      </w:r>
    </w:p>
    <w:p>
      <w:pPr>
        <w:spacing w:line="360" w:lineRule="auto"/>
        <w:ind w:left="0"/>
        <w:jc w:val="left"/>
      </w:pPr>
      <w:r>
        <w:t>6．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氧气是生命活动的必需气体。下列关于氧气的性质、制备说法正确的是（）  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2844800" cy="19304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A．保持氧气化学性质的最小粒子是氧分子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B．可用向下排空气法或排水法收集氧气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C．铁丝在氧气中剧烈燃烧，生成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Fe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D．利用如图装置可比较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MnO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和CuO对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分解的影响</w:t>
      </w:r>
    </w:p>
    <w:p>
      <w:pPr>
        <w:spacing w:line="360" w:lineRule="auto"/>
        <w:ind w:left="0"/>
        <w:jc w:val="left"/>
        <w:textAlignment w:val="center"/>
      </w:pPr>
      <w:r>
        <w:t>7．</w:t>
      </w:r>
      <w:r>
        <w:rPr>
          <w:rFonts w:ascii="Times New Roman" w:hAnsi="Times New Roman"/>
          <w:b w:val="0"/>
          <w:i w:val="0"/>
          <w:color w:val="000000"/>
          <w:sz w:val="22"/>
        </w:rPr>
        <w:t>我国科学家屠呦呦因研制出青蒿素（C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15</w:t>
      </w:r>
      <w:r>
        <w:rPr>
          <w:rFonts w:ascii="Times New Roman" w:hAnsi="Times New Roman"/>
          <w:b w:val="0"/>
          <w:i w:val="0"/>
          <w:color w:val="000000"/>
          <w:sz w:val="22"/>
        </w:rPr>
        <w:t>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22</w:t>
      </w:r>
      <w:r>
        <w:rPr>
          <w:rFonts w:ascii="Times New Roman" w:hAnsi="Times New Roman"/>
          <w:b w:val="0"/>
          <w:i w:val="0"/>
          <w:color w:val="000000"/>
          <w:sz w:val="22"/>
        </w:rPr>
        <w:t>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5</w:t>
      </w:r>
      <w:r>
        <w:rPr>
          <w:rFonts w:ascii="Times New Roman" w:hAnsi="Times New Roman"/>
          <w:b w:val="0"/>
          <w:i w:val="0"/>
          <w:color w:val="000000"/>
          <w:sz w:val="22"/>
        </w:rPr>
        <w:t>）和双氢青蒿素（C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15</w:t>
      </w:r>
      <w:r>
        <w:rPr>
          <w:rFonts w:ascii="Times New Roman" w:hAnsi="Times New Roman"/>
          <w:b w:val="0"/>
          <w:i w:val="0"/>
          <w:color w:val="000000"/>
          <w:sz w:val="22"/>
        </w:rPr>
        <w:t>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24</w:t>
      </w:r>
      <w:r>
        <w:rPr>
          <w:rFonts w:ascii="Times New Roman" w:hAnsi="Times New Roman"/>
          <w:b w:val="0"/>
          <w:i w:val="0"/>
          <w:color w:val="000000"/>
          <w:sz w:val="22"/>
        </w:rPr>
        <w:t>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5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）而荣获了诺贝尔奖，下列说法正确的是（）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A．青蒿素和双氢青蒿素分子的构成一定不同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B．碳、氢、氧三种元素均为人体必需的微量元素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C．青蒿素中碳元素和氢元素的质量比为15：22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D．青蒿素与水发生化合反应可生成双氢青蒿素</w:t>
      </w:r>
    </w:p>
    <w:p>
      <w:pPr>
        <w:spacing w:line="360" w:lineRule="auto"/>
        <w:ind w:left="0"/>
        <w:jc w:val="left"/>
        <w:textAlignment w:val="center"/>
        <w:sectPr>
          <w:headerReference w:type="default" r:id="rId11"/>
          <w:footerReference w:type="default" r:id="rId12"/>
          <w:type w:val="nextPage"/>
          <w:pgSz w:w="11906" w:h="16838"/>
          <w:pgMar w:top="1134" w:right="707" w:bottom="937" w:left="1134" w:header="426" w:footer="515" w:gutter="0"/>
          <w:pgNumType w:start="2"/>
          <w:cols w:num="1" w:space="425"/>
          <w:titlePg w:val="0"/>
          <w:docGrid w:type="lines" w:linePitch="312" w:charSpace="0"/>
        </w:sectPr>
      </w:pPr>
      <w:r>
        <w:t>8．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KNO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、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NaNO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、 </w:t>
      </w:r>
      <m:oMath>
        <m:r>
          <w:rPr>
            <w:rFonts w:ascii="Cambria Math" w:hAnsi="Cambria Math"/>
            <w:sz w:val="22"/>
            <w:szCs w:val="22"/>
            <w:lang w:eastAsia="zh-CN"/>
          </w:rPr>
          <m:t>NaCl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三种物质的溶解曲线如下图所示，下列说法正确的是（）  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2200910" cy="338645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1333" cy="338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KNO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的溶解度比 </w:t>
      </w:r>
      <m:oMath>
        <m:r>
          <w:rPr>
            <w:rFonts w:ascii="Cambria Math" w:hAnsi="Cambria Math"/>
            <w:sz w:val="22"/>
            <w:szCs w:val="22"/>
            <w:lang w:eastAsia="zh-CN"/>
          </w:rPr>
          <m:t>NaCl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大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B．将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KNO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饱和溶液降温，溶液中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KNO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的质量分数不变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KNO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饱和溶液中含少量 </w:t>
      </w:r>
      <m:oMath>
        <m:r>
          <w:rPr>
            <w:rFonts w:ascii="Cambria Math" w:hAnsi="Cambria Math"/>
            <w:sz w:val="22"/>
            <w:szCs w:val="22"/>
            <w:lang w:eastAsia="zh-CN"/>
          </w:rPr>
          <m:t>NaCl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，可通过降温结晶的方法提纯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D．将100g40℃的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NaNO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饱和溶液降温至0℃，析出31g晶体</w:t>
      </w:r>
    </w:p>
    <w:p>
      <w:pPr>
        <w:spacing w:line="360" w:lineRule="auto"/>
        <w:ind w:left="0"/>
        <w:jc w:val="left"/>
      </w:pPr>
      <w:r>
        <w:t>9．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下列实验操作能达到实验目的的是（）  </w:t>
      </w:r>
    </w:p>
    <w:tbl>
      <w:tblPr>
        <w:tblStyle w:val="TableNormal"/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414"/>
        <w:gridCol w:w="5972"/>
      </w:tblGrid>
      <w:tr>
        <w:tblPrEx>
          <w:tblW w:w="0" w:type="auto"/>
          <w:tblInd w:w="380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24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实验目的</w:t>
            </w:r>
          </w:p>
        </w:tc>
        <w:tc>
          <w:tcPr>
            <w:tcW w:w="5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实验操作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24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比较铜和银的金属活动性</w:t>
            </w:r>
          </w:p>
        </w:tc>
        <w:tc>
          <w:tcPr>
            <w:tcW w:w="5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将铜片和银片放入硫酸亚铁溶液中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24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鉴别甲烷和氢气</w:t>
            </w:r>
          </w:p>
        </w:tc>
        <w:tc>
          <w:tcPr>
            <w:tcW w:w="5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分别点燃从导管放出的气体，在火焰上方各罩一个内壁涂有澄清石灰水的烧杯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24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测定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zh-CN"/>
                </w:rPr>
                <m:t>NaOH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 溶液的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zh-CN"/>
                </w:rPr>
                <m:t>pH</m:t>
              </m:r>
            </m:oMath>
          </w:p>
        </w:tc>
        <w:tc>
          <w:tcPr>
            <w:tcW w:w="5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用玻璃棒蘸取溶液滴到湿润的pH试纸上，把试纸显示的颜色与标准比色卡对照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24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除去 </w:t>
            </w:r>
            <m:oMath>
              <m:sSub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 中混有的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zh-CN"/>
                </w:rPr>
                <m:t>HCl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 气体</w:t>
            </w:r>
          </w:p>
        </w:tc>
        <w:tc>
          <w:tcPr>
            <w:tcW w:w="5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将混合气体缓缓通过装有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zh-CN"/>
                </w:rPr>
                <m:t>NaOH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 溶液的洗气瓶</w:t>
            </w:r>
          </w:p>
        </w:tc>
      </w:tr>
    </w:tbl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A．A 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B．B 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C．C 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>
      <w:pPr>
        <w:spacing w:line="360" w:lineRule="auto"/>
        <w:ind w:left="0"/>
        <w:jc w:val="left"/>
        <w:textAlignment w:val="center"/>
        <w:sectPr>
          <w:headerReference w:type="default" r:id="rId14"/>
          <w:footerReference w:type="default" r:id="rId15"/>
          <w:type w:val="nextPage"/>
          <w:pgSz w:w="11906" w:h="16838"/>
          <w:pgMar w:top="1134" w:right="707" w:bottom="937" w:left="1134" w:header="426" w:footer="515" w:gutter="0"/>
          <w:pgNumType w:start="3"/>
          <w:cols w:num="1" w:space="425"/>
          <w:titlePg w:val="0"/>
          <w:docGrid w:type="lines" w:linePitch="312" w:charSpace="0"/>
        </w:sectPr>
      </w:pPr>
      <w:r>
        <w:t>10．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称取mg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CaC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4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⋅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O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（相对分子质量为146，其中氧元素的化合价为-2）置于氮气流中加热残留固体质量随温度的变化如图所示（图中各点对应固体均为纯净物），其中 </w:t>
      </w:r>
      <m:oMath>
        <m:r>
          <w:rPr>
            <w:rFonts w:ascii="Cambria Math" w:hAnsi="Cambria Math"/>
            <w:sz w:val="22"/>
            <w:szCs w:val="22"/>
            <w:lang w:eastAsia="zh-CN"/>
          </w:rPr>
          <m:t>A→B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发生反应：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CaC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4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·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O</m:t>
        </m:r>
        <m:eqArr>
          <m:e>
            <m:limLow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Δ _</m:t>
                </m:r>
              </m:e>
              <m:lim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_</m:t>
                </m:r>
              </m:lim>
            </m:limLow>
          </m:e>
          <m:e/>
        </m:eqAr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CaC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4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+H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O</m:t>
        </m:r>
      </m:oMath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 。下列说法正确的是（）  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2726055" cy="18796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26267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CaC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4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中碳元素的化合价为+2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m=8.2</m:t>
        </m:r>
      </m:oMath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C→D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发生反应的化学方程式为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CaC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4</m:t>
            </m:r>
          </m:sub>
        </m:sSub>
        <m:sSup>
          <m:e/>
          <m:sup>
            <m:limLow>
              <m:e>
                <m:limLow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   △   </m:t>
                    </m:r>
                  </m:e>
                  <m:lim>
                    <m: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_</m:t>
                    </m:r>
                  </m:lim>
                </m:limLow>
              </m:e>
              <m:lim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_</m:t>
                </m:r>
              </m:lim>
            </m:limLow>
          </m:sup>
        </m:sSup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CaCO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+CO↑</m:t>
        </m:r>
      </m:oMath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D．F点对应固体的化学式为 </w:t>
      </w:r>
      <m:oMath>
        <m:r>
          <w:rPr>
            <w:rFonts w:ascii="Cambria Math" w:hAnsi="Cambria Math"/>
            <w:sz w:val="22"/>
            <w:szCs w:val="22"/>
            <w:lang w:eastAsia="zh-CN"/>
          </w:rPr>
          <m:t>Ca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(OH)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二、填空题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t>11．</w:t>
      </w:r>
      <w:r>
        <w:rPr>
          <w:rFonts w:ascii="Times New Roman" w:hAnsi="Times New Roman"/>
          <w:b w:val="0"/>
          <w:i w:val="0"/>
          <w:color w:val="000000"/>
          <w:sz w:val="22"/>
        </w:rPr>
        <w:t>2019年为“元素周期表年”，元素周期表是学习和研究化学的重要工具。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（1）原子序数为1~18的元素在元素周期表中的位置如下表所示。</w:t>
      </w:r>
    </w:p>
    <w:tbl>
      <w:tblPr>
        <w:tblStyle w:val="TableNormal"/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693"/>
        <w:gridCol w:w="736"/>
        <w:gridCol w:w="725"/>
        <w:gridCol w:w="720"/>
        <w:gridCol w:w="717"/>
        <w:gridCol w:w="717"/>
        <w:gridCol w:w="723"/>
        <w:gridCol w:w="693"/>
      </w:tblGrid>
      <w:tr>
        <w:tblPrEx>
          <w:tblW w:w="0" w:type="auto"/>
          <w:tblInd w:w="380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第1周期</w:t>
            </w:r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H</w:t>
            </w:r>
          </w:p>
        </w:tc>
        <w:tc>
          <w:tcPr>
            <w:tcW w:w="7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　</w:t>
            </w:r>
          </w:p>
        </w:tc>
        <w:tc>
          <w:tcPr>
            <w:tcW w:w="7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　</w:t>
            </w:r>
          </w:p>
        </w:tc>
        <w:tc>
          <w:tcPr>
            <w:tcW w:w="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　</w:t>
            </w:r>
          </w:p>
        </w:tc>
        <w:tc>
          <w:tcPr>
            <w:tcW w:w="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　</w:t>
            </w:r>
          </w:p>
        </w:tc>
        <w:tc>
          <w:tcPr>
            <w:tcW w:w="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　</w:t>
            </w:r>
          </w:p>
        </w:tc>
        <w:tc>
          <w:tcPr>
            <w:tcW w:w="7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　</w:t>
            </w:r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He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第2周期</w:t>
            </w:r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Li</w:t>
            </w:r>
          </w:p>
        </w:tc>
        <w:tc>
          <w:tcPr>
            <w:tcW w:w="7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Be</w:t>
            </w:r>
          </w:p>
        </w:tc>
        <w:tc>
          <w:tcPr>
            <w:tcW w:w="7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N</w:t>
            </w:r>
          </w:p>
        </w:tc>
        <w:tc>
          <w:tcPr>
            <w:tcW w:w="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O</w:t>
            </w:r>
          </w:p>
        </w:tc>
        <w:tc>
          <w:tcPr>
            <w:tcW w:w="7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F</w:t>
            </w:r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Ne</w:t>
            </w:r>
          </w:p>
        </w:tc>
      </w:tr>
      <w:tr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第3周期</w:t>
            </w:r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Na</w:t>
            </w:r>
          </w:p>
        </w:tc>
        <w:tc>
          <w:tcPr>
            <w:tcW w:w="7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Mg</w:t>
            </w:r>
          </w:p>
        </w:tc>
        <w:tc>
          <w:tcPr>
            <w:tcW w:w="7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Al</w:t>
            </w:r>
          </w:p>
        </w:tc>
        <w:tc>
          <w:tcPr>
            <w:tcW w:w="7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Si</w:t>
            </w:r>
          </w:p>
        </w:tc>
        <w:tc>
          <w:tcPr>
            <w:tcW w:w="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</w:t>
            </w:r>
          </w:p>
        </w:tc>
        <w:tc>
          <w:tcPr>
            <w:tcW w:w="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S</w:t>
            </w:r>
          </w:p>
        </w:tc>
        <w:tc>
          <w:tcPr>
            <w:tcW w:w="7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Cl</w:t>
            </w:r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Ar</w:t>
            </w:r>
          </w:p>
        </w:tc>
      </w:tr>
    </w:tbl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Al属于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（填“金属”或“非金属”）元素，其原子的核电荷数为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Na原子的结构示意图为 </w:t>
      </w:r>
      <w:r>
        <w:drawing>
          <wp:inline distT="0" distB="0" distL="0" distR="0">
            <wp:extent cx="812800" cy="67691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67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，则钠离子的核外电子数为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③</w:t>
      </w:r>
      <w:r>
        <w:rPr>
          <w:rFonts w:ascii="Times New Roman" w:hAnsi="Times New Roman"/>
          <w:b w:val="0"/>
          <w:i w:val="0"/>
          <w:color w:val="000000"/>
          <w:sz w:val="22"/>
        </w:rPr>
        <w:t>周期表中磷元素的有关信息如图所示，图中“30.97”所表示的含义是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.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626110" cy="9652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6533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sectPr>
          <w:headerReference w:type="default" r:id="rId19"/>
          <w:footerReference w:type="default" r:id="rId20"/>
          <w:type w:val="nextPage"/>
          <w:pgSz w:w="11906" w:h="16838"/>
          <w:pgMar w:top="1134" w:right="707" w:bottom="937" w:left="1134" w:header="426" w:footer="515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（2）根据周期表体现的结构与性质之间的关系，某同学构建了铜及其化合物的“化合价一物质类别”关系图。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2861310" cy="19812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61733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写出物质X的化学式：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写出由物质Y转化为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CuSO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4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的化学反应方程式：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.</w:t>
      </w:r>
    </w:p>
    <w:p>
      <w:pPr>
        <w:spacing w:line="360" w:lineRule="auto"/>
        <w:ind w:left="0"/>
        <w:jc w:val="left"/>
      </w:pPr>
      <w:r>
        <w:t>12．</w:t>
      </w:r>
      <w:r>
        <w:rPr>
          <w:rFonts w:ascii="Times New Roman" w:hAnsi="Times New Roman"/>
          <w:b w:val="0"/>
          <w:i w:val="0"/>
          <w:color w:val="000000"/>
          <w:sz w:val="22"/>
        </w:rPr>
        <w:t>燃料的发现和利用提高了人类生活的质量，推动了人类文明的进步。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（1）将煤隔绝空气加强热，得到焦炭、煤气等，该过程属于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（填“物理”或“化学”）变化。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煤与高温水蒸气反应生成CO和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在300℃、1.5MPa、催化剂存在的条件下，CO和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可转变为液体燃料甲醇 </w:t>
      </w:r>
      <m:oMath>
        <m:r>
          <w:rPr>
            <w:rFonts w:ascii="Cambria Math" w:hAnsi="Cambria Math"/>
            <w:sz w:val="22"/>
            <w:szCs w:val="22"/>
            <w:lang w:eastAsia="zh-CN"/>
          </w:rPr>
          <m:t>(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CH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OH)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。写出CO与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反应生成甲醇的化学方程式：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（2）焦炭（主要成分是碳）是高炉炼铁的重要原料。炼铁高炉内发生的主要化学反应如图1所示，其中反应</w:t>
      </w: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体现了焦炭的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性。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图1 </w:t>
      </w:r>
      <w:r>
        <w:drawing>
          <wp:inline distT="0" distB="0" distL="0" distR="0">
            <wp:extent cx="2776855" cy="17780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77067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图2 </w:t>
      </w:r>
      <w:r>
        <w:drawing>
          <wp:inline distT="0" distB="0" distL="0" distR="0">
            <wp:extent cx="2302510" cy="179451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02933" cy="17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  <w:sectPr>
          <w:headerReference w:type="default" r:id="rId24"/>
          <w:footerReference w:type="default" r:id="rId25"/>
          <w:type w:val="nextPage"/>
          <w:pgSz w:w="11906" w:h="16838"/>
          <w:pgMar w:top="1134" w:right="707" w:bottom="937" w:left="1134" w:header="426" w:footer="515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（3）乙醇可作为酒精灯、酒精喷灯或灯的燃料。某钢质酒精喷灯的结构如图2所示。使用酒精喷灯时，先在预热盘中注入酒精并点然，一段时间后，调节空气调节杆，即可点燃酒精喷灯。结合燃烧的条件回答：点燃预热盘中酒精的目的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（4）氢气的制取和储存越来越受到人们的关注。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最理想的制氢方法：在合适的催化剂作用下，利用太阳光使水分解。该制氢过程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（填“吸收”或“放出”）能量，生成的氢气与氧气在相同条件下的体积之比为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我国稀土资源丰富，某种稀土储氢材料（用M表示）的储氢原理可表示为 </w:t>
      </w:r>
      <m:oMath>
        <m:r>
          <w:rPr>
            <w:rFonts w:ascii="Cambria Math" w:hAnsi="Cambria Math"/>
            <w:sz w:val="22"/>
            <w:szCs w:val="22"/>
            <w:lang w:eastAsia="zh-CN"/>
          </w:rPr>
          <m:t>M+3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sSup>
          <m:e/>
          <m:sup>
            <m:limLow>
              <m:e>
                <m:limLow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   1.5×</m:t>
                    </m:r>
                    <m:sSup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eastAsia="zh-CN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eastAsia="zh-CN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Pa   </m:t>
                    </m:r>
                  </m:e>
                  <m:lim>
                    <m: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_</m:t>
                    </m:r>
                  </m:lim>
                </m:limLow>
              </m:e>
              <m:lim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_</m:t>
                </m:r>
              </m:lim>
            </m:limLow>
          </m:sup>
        </m:sSup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LaNi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5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6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。M的化学式为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三、流程题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  <w:textAlignment w:val="center"/>
      </w:pPr>
      <w:r>
        <w:t>13．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氧化镁在医药等后业应用泛。实验室以菱镁矿（主要成分为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MgCO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，含少量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FeCO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等）为原料制备高纯氧化镁的实验流程如下：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5283200" cy="104965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104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（1）为了提高“酸浸”的效果，可采取的措施有：适当升高温度、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MgCO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与盐酸反应的化学方程式为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（2）“氧化”过程中，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FeCl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转化为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FeCl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，该反应属于基本反应类型中的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（3）“沉淀”时需严格控制NaOH溶液的用量，其目的是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（4）“滤液”中的溶质主要是 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MgCl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和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四、科学探究题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t>14．</w:t>
      </w:r>
      <w:r>
        <w:rPr>
          <w:rFonts w:ascii="Times New Roman" w:hAnsi="Times New Roman"/>
          <w:b w:val="0"/>
          <w:i w:val="0"/>
          <w:color w:val="000000"/>
          <w:sz w:val="22"/>
        </w:rPr>
        <w:t>我国海水晒盐的历史悠久。学习小组对粗盐进行提纯，并利用氯化钠进行实验探究。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（1）Ⅰ.粗盐的提纯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粗盐中含有不溶性泥沙、可溶性CaCl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，MgCl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等杂质。学习小组设计了如下方案提纯粗盐：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5266055" cy="135445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6266" cy="135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用化学方程式表示Na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溶液的作用：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（2）“过滤”中玻璃棒的作用为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；“操作X”的名称为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p>
      <w:pPr>
        <w:spacing w:line="360" w:lineRule="auto"/>
        <w:ind w:firstLine="286" w:firstLineChars="130"/>
        <w:jc w:val="left"/>
        <w:sectPr>
          <w:headerReference w:type="default" r:id="rId28"/>
          <w:footerReference w:type="default" r:id="rId29"/>
          <w:type w:val="nextPage"/>
          <w:pgSz w:w="11906" w:h="16838"/>
          <w:pgMar w:top="1134" w:right="707" w:bottom="937" w:left="1134" w:header="426" w:footer="515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（3）Ⅱ.探究氨盐水与二氧化碳的反应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步骤1：取50mL.浓氨水于锥形瓶中，加入NaCl晶体至不再溶解，制得氨盐水。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步骤2：向烧瓶中加入20mL氨盐水和约16g干冰，塞紧瓶塞，振荡、静置。一段时间后溶液中析出细小晶体，过滤、用冷水洗涤晶体并低温干燥。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（提出问题）晶体的成分是什么？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（实验探究1）</w:t>
      </w: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经甲同学检验，晶体中不含铵盐。甲同学的实验操作及现象是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乙同学取晶体少许，加入稀硝酸，晶体溶解并产生无色气体，再滴加几滴AgNO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溶液，未见明显现象，说明晶体中不含有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离子。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（提出猜想）晶体的成分为Na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或NaHCO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或两者的混合物。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（查阅资料）Na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受热不分解；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NaHCO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受热易分解：2NaHCO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m:oMath>
        <m:eqArr>
          <m:e>
            <m:limLow>
              <m:e>
                <m:limLow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加热</m:t>
                    </m:r>
                  </m:e>
                  <m:lim>
                    <m: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_</m:t>
                    </m:r>
                  </m:lim>
                </m:limLow>
              </m:e>
              <m:lim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_</m:t>
                </m:r>
              </m:lim>
            </m:limLow>
          </m:e>
          <m:e/>
        </m:eqAr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Na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+H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O+CO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↑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（实验探究2）称取m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>g晶体，利用下图装置（夹持仪器略）探究晶体的成分。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3488055" cy="123571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488267" cy="1236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（实验现象）反应一段时间后，试管口凝结了少量小液滴，Ba(OH)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溶液变浑浊。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（实验分析）</w:t>
      </w: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晶体中一定含有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（填化学式）。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将晶体加热至残留固体的质量不断改变，测得残留固体的质量为m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g。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若m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>g：m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g </w:t>
      </w:r>
      <m:oMath>
        <m:r>
          <w:rPr>
            <w:rFonts w:ascii="Cambria Math" w:hAnsi="Cambria Math"/>
            <w:sz w:val="22"/>
            <w:szCs w:val="22"/>
            <w:lang w:eastAsia="zh-CN"/>
          </w:rPr>
          <m:t>=</m:t>
        </m:r>
      </m:oMath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，说明晶体为NaHCO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（拓展延伸）</w:t>
      </w: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氨盐水与二氧化碳反应所得铵盐的用途为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丙同学认为通过测定装置B中沉淀的质量，经计算分析也可确定晶体的组成。请对两同学的观点进行评价：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五、综合题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  <w:textAlignment w:val="center"/>
      </w:pPr>
      <w:r>
        <w:t>15．</w:t>
      </w:r>
      <w:r>
        <w:rPr>
          <w:rFonts w:ascii="Times New Roman" w:hAnsi="Times New Roman"/>
          <w:b w:val="0"/>
          <w:i w:val="0"/>
          <w:color w:val="000000"/>
          <w:sz w:val="22"/>
        </w:rPr>
        <w:t>二氧化硫（SO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）是一种食品添加剂。葡萄酒酿造过程中添加少量SO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，可防止其变质，但须严格控制用量，我国《葡萄酒国家标准》中规定SO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的含量 </w:t>
      </w:r>
      <m:oMath>
        <m:r>
          <w:rPr>
            <w:rFonts w:ascii="Cambria Math" w:hAnsi="Cambria Math"/>
            <w:sz w:val="22"/>
            <w:szCs w:val="22"/>
            <w:lang w:eastAsia="zh-CN"/>
          </w:rPr>
          <m:t>⩽250mg/L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。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（1）SO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作为食品添加剂须严格控制用量的原因是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。 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（2）为检测某国产葡萄酒中SO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的含量是否符合国家标准，进行如下实验：</w:t>
      </w:r>
    </w:p>
    <w:p>
      <w:pPr>
        <w:spacing w:line="360" w:lineRule="auto"/>
        <w:ind w:firstLine="286" w:firstLineChars="130"/>
        <w:jc w:val="left"/>
        <w:textAlignment w:val="center"/>
        <w:sectPr>
          <w:headerReference w:type="default" r:id="rId31"/>
          <w:footerReference w:type="default" r:id="rId32"/>
          <w:type w:val="nextPage"/>
          <w:pgSz w:w="11906" w:h="16838"/>
          <w:pgMar w:top="1134" w:right="707" w:bottom="937" w:left="1134" w:header="426" w:footer="515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步骤l 取100mL该葡萄酒于锥形瓶中，加入质量分数为10%的H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溶液，将SO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完全转化成硫酸。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步骤2 向锥形瓶中滴加指示剂（这种指示剂在pH&lt;7的溶液中显紫色，在pH&gt;7的溶液中显绿色），用氢氧化钠溶液中和，测得锥形瓶中硫酸的质量为14.7mg。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步骤2中，滴入指示剂后溶液呈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色。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向10g30%的H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溶液中加入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g水，可稀释为10%的H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溶液。</w:t>
      </w:r>
    </w:p>
    <w:p>
      <w:pPr>
        <w:spacing w:line="360" w:lineRule="auto"/>
        <w:ind w:firstLine="286" w:firstLineChars="130"/>
        <w:jc w:val="left"/>
        <w:textAlignment w:val="center"/>
        <w:sectPr>
          <w:headerReference w:type="default" r:id="rId33"/>
          <w:footerReference w:type="default" r:id="rId34"/>
          <w:type w:val="nextPage"/>
          <w:pgSz w:w="11906" w:h="16838"/>
          <w:pgMar w:top="1134" w:right="707" w:bottom="937" w:left="1134" w:header="426" w:footer="515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Calibri" w:hAnsi="Calibri"/>
          <w:b w:val="0"/>
          <w:i w:val="0"/>
          <w:color w:val="000000"/>
          <w:sz w:val="22"/>
        </w:rPr>
        <w:t>③</w:t>
      </w:r>
      <w:r>
        <w:rPr>
          <w:rFonts w:ascii="Times New Roman" w:hAnsi="Times New Roman"/>
          <w:b w:val="0"/>
          <w:i w:val="0"/>
          <w:color w:val="000000"/>
          <w:sz w:val="22"/>
        </w:rPr>
        <w:t>通过计算判断该葡萄酒中SO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的含量是否符合国家标准。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</w:p>
    <w:p>
      <w:pPr>
        <w:spacing w:before="0" w:after="0" w:line="360" w:lineRule="auto"/>
        <w:jc w:val="center"/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t>答案解析部分</w:t>
      </w:r>
    </w:p>
    <w:p>
      <w:pPr>
        <w:spacing w:line="360" w:lineRule="auto"/>
        <w:ind w:left="0"/>
        <w:jc w:val="left"/>
      </w:pPr>
      <w:r>
        <w:t>1．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空气的污染与防治；保护水资源；合理利用金属资源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【解答】A.工业废水直接排入河流会污染河流中的水体，所以工业废水应处理达标后再排放，选项符合题意；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B.加强对烟花爆竹燃放管理，能够避免或减弱烟花爆竹燃放产生的污染物对环境造成的污染，选项不符合题意；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C.生产生活垃圾分类放置能够避免环境污染，且能回收某些资源，选项不符合题意；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D.鼓励对旧金属回收再利用，可以节约金属资源和能源，选项不符合题意，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故答案为：A。</w:t>
      </w:r>
    </w:p>
    <w:p>
      <w:pPr>
        <w:spacing w:line="360" w:lineRule="auto"/>
        <w:ind w:left="0"/>
        <w:jc w:val="left"/>
        <w:textAlignment w:val="center"/>
      </w:pP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【分析】A、根据工业废水直接排入河流，易污染水进行分析；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B、根据加强对烟花爆竹燃放管理，可以防止空气污染进行分析；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C、根据生产生活垃圾分类放置，可以防止污染环境进行分析；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D、根据旧金属回收再利用，可以节约资源进行分析。</w:t>
      </w:r>
    </w:p>
    <w:p>
      <w:pPr>
        <w:spacing w:line="360" w:lineRule="auto"/>
        <w:ind w:left="0"/>
        <w:jc w:val="left"/>
      </w:pPr>
      <w:r>
        <w:t>2．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酸、碱、盐的概念；有机物与无机物的区别；从组成上识别氧化物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【解答】由化学式可知，乙烯由碳元素与氢元素组成，是一种碳氢化合物，属于有机物，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故答案为：D。</w:t>
      </w:r>
    </w:p>
    <w:p>
      <w:pPr>
        <w:spacing w:line="360" w:lineRule="auto"/>
        <w:ind w:left="0"/>
        <w:jc w:val="left"/>
        <w:textAlignment w:val="center"/>
      </w:pP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【分析】根据含碳的化合物属于有机物（一氧化碳、二氧化碳、碳酸盐除外）进行分析。</w:t>
      </w:r>
    </w:p>
    <w:p>
      <w:pPr>
        <w:spacing w:line="360" w:lineRule="auto"/>
        <w:ind w:left="0"/>
        <w:jc w:val="left"/>
      </w:pPr>
      <w:r>
        <w:t>3．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检查装置的气密性；实验操作注意事项的探究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【解答】A、使用胶头滴管滴加液体时，拇指与食指捏在胶头的两侧，中指与无名指夹在胶头与玻璃管的连接处，选项不符合题意；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B、给试管中的液体加热时，液体不能超过试管容积的 </w:t>
      </w:r>
      <m:oMath>
        <m:f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3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，且使用酒精灯的外焰加入，同时手持试管夹的长柄，不要把拇指按在试管夹的短柄上，选项不符合题意；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C、检查装置的气密性时，将导管的出气端浸入水中，用手紧握试管外壁，观察到导管口产生气泡，表明装置的气密性良好，选项符合题意；</w:t>
      </w:r>
    </w:p>
    <w:p>
      <w:pPr>
        <w:spacing w:line="360" w:lineRule="auto"/>
        <w:ind w:left="0"/>
        <w:jc w:val="left"/>
        <w:sectPr>
          <w:headerReference w:type="default" r:id="rId35"/>
          <w:footerReference w:type="default" r:id="rId36"/>
          <w:type w:val="nextPage"/>
          <w:pgSz w:w="11906" w:h="16838"/>
          <w:pgMar w:top="1134" w:right="707" w:bottom="937" w:left="1134" w:header="426" w:footer="515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D、闻药品气味时，不能把鼻孔直接凑到试剂瓶口闻药品气味，应将打开瓶塞的试剂瓶放在面前，用手在瓶口上方轻轻扇动，使少量气体飘进鼻孔闻药品气味，选项不符合题意，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故答案为：C。</w:t>
      </w:r>
    </w:p>
    <w:p>
      <w:pPr>
        <w:spacing w:line="360" w:lineRule="auto"/>
        <w:ind w:left="0"/>
        <w:jc w:val="left"/>
        <w:textAlignment w:val="center"/>
      </w:pP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【分析】A、根据胶头滴管的用法考虑；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B、根据给试管内液体加热的注意事项考虑；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C、根据检查装置气密性必须在密闭容器中进行；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D、根据闻气体气味的方法考虑。</w:t>
      </w:r>
    </w:p>
    <w:p>
      <w:pPr>
        <w:spacing w:line="360" w:lineRule="auto"/>
        <w:ind w:left="0"/>
        <w:jc w:val="left"/>
      </w:pPr>
      <w:r>
        <w:t>4．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合金与合金的性质；生命活动与六大营养素；同素异形体和同素异形现象；纯净物和混合物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【解答】A.合金中可能含有非金属元素，如铁合金为铁碳合金，其中含有非金属元素-碳元素，选项不符合题意；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B.空气是由氮气、氧气、稀有气体、二氧化碳等多种物质组成的混合物，选项不符合题意；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C.维生素的作用是调节人体内的各种化学反应，不能为人类机体活动提供能量，选项不符合题意；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D.金刚石和石墨是由碳元素组成的性质不同的单质，选项符合题意，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故答案为：D。</w:t>
      </w:r>
    </w:p>
    <w:p>
      <w:pPr>
        <w:spacing w:line="360" w:lineRule="auto"/>
        <w:ind w:left="0"/>
        <w:jc w:val="left"/>
        <w:textAlignment w:val="center"/>
      </w:pP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【分析】A．根据合金的定义进行分析；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B．根据空气的组成进行分析；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C．根据维生素的作用进行分析；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D．根据金刚石和石墨的构成进行分析。</w:t>
      </w:r>
    </w:p>
    <w:p>
      <w:pPr>
        <w:spacing w:line="360" w:lineRule="auto"/>
        <w:ind w:left="0"/>
        <w:jc w:val="left"/>
      </w:pPr>
      <w:r>
        <w:t>5．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常见金属的特性及其应用；酸的物理性质及用途；根据浓硫酸或碱石灰的性质确定所能干燥的气体；碳单质的性质和用途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【解答】A.铝具有导热性，可用于制炊具，选项不符合题意；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B.活性炭具有吸附性，能够吸附水中的色素和异味，可用于净化水，选项符合题意；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C.盐酸能与金属氧化物发生化学反应，可用于除铁锈，选项不符合题意；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D.浓硫酸具有吸水性，可用作干燥剂来某些气体，选项不符合题意，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故答案为：B。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【分析】A．根据铝的导电性分析；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B．根据活性炭的吸附性分析；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C．根据盐酸的酸性分析；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D．根据浓硫酸的吸水性分析。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7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https://d.book118.com/276201050102010035</w:t>
        </w:r>
      </w:hyperlink>
    </w:p>
    <w:p>
      <w:pPr>
        <w:spacing w:line="360" w:lineRule="auto"/>
        <w:ind w:left="0"/>
        <w:jc w:val="left"/>
        <w:textAlignment w:val="center"/>
      </w:pPr>
    </w:p>
    <w:sectPr>
      <w:headerReference w:type="default" r:id="rId38"/>
      <w:footerReference w:type="default" r:id="rId39"/>
      <w:type w:val="nextPage"/>
      <w:pgSz w:w="11906" w:h="16838"/>
      <w:pgMar w:top="1134" w:right="707" w:bottom="937" w:left="1134" w:header="426" w:footer="515" w:gutter="0"/>
      <w:pgNumType w:start="10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2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4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4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5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6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7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8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9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83"/>
    <w:rsid w:val="001957A4"/>
    <w:rsid w:val="001C2E01"/>
    <w:rsid w:val="0023135B"/>
    <w:rsid w:val="002A3E4C"/>
    <w:rsid w:val="002F2B6F"/>
    <w:rsid w:val="004C353A"/>
    <w:rsid w:val="00530734"/>
    <w:rsid w:val="00534152"/>
    <w:rsid w:val="00534887"/>
    <w:rsid w:val="0071385B"/>
    <w:rsid w:val="00762740"/>
    <w:rsid w:val="007E26CD"/>
    <w:rsid w:val="008F3083"/>
    <w:rsid w:val="00B85EF2"/>
    <w:rsid w:val="00BE4FA2"/>
    <w:rsid w:val="00FA5B34"/>
    <w:rsid w:val="1F733CBF"/>
  </w:rsids>
  <w:docVars>
    <w:docVar w:name="commondata" w:val="eyJoZGlkIjoiZWQ3YzA4YzJlNmFmZjlkZTg5ZjhmMGIzMmFhYjY3OG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image" Target="media/image6.png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image" Target="media/image7.png" /><Relationship Id="rId17" Type="http://schemas.openxmlformats.org/officeDocument/2006/relationships/image" Target="media/image8.png" /><Relationship Id="rId18" Type="http://schemas.openxmlformats.org/officeDocument/2006/relationships/image" Target="media/image9.png" /><Relationship Id="rId19" Type="http://schemas.openxmlformats.org/officeDocument/2006/relationships/header" Target="header4.xml" /><Relationship Id="rId2" Type="http://schemas.openxmlformats.org/officeDocument/2006/relationships/webSettings" Target="webSettings.xml" /><Relationship Id="rId20" Type="http://schemas.openxmlformats.org/officeDocument/2006/relationships/footer" Target="footer4.xml" /><Relationship Id="rId21" Type="http://schemas.openxmlformats.org/officeDocument/2006/relationships/image" Target="media/image10.png" /><Relationship Id="rId22" Type="http://schemas.openxmlformats.org/officeDocument/2006/relationships/image" Target="media/image11.png" /><Relationship Id="rId23" Type="http://schemas.openxmlformats.org/officeDocument/2006/relationships/image" Target="media/image12.png" /><Relationship Id="rId24" Type="http://schemas.openxmlformats.org/officeDocument/2006/relationships/header" Target="header5.xml" /><Relationship Id="rId25" Type="http://schemas.openxmlformats.org/officeDocument/2006/relationships/footer" Target="footer5.xml" /><Relationship Id="rId26" Type="http://schemas.openxmlformats.org/officeDocument/2006/relationships/image" Target="media/image13.png" /><Relationship Id="rId27" Type="http://schemas.openxmlformats.org/officeDocument/2006/relationships/image" Target="media/image14.png" /><Relationship Id="rId28" Type="http://schemas.openxmlformats.org/officeDocument/2006/relationships/header" Target="header6.xml" /><Relationship Id="rId29" Type="http://schemas.openxmlformats.org/officeDocument/2006/relationships/footer" Target="footer6.xml" /><Relationship Id="rId3" Type="http://schemas.openxmlformats.org/officeDocument/2006/relationships/fontTable" Target="fontTable.xml" /><Relationship Id="rId30" Type="http://schemas.openxmlformats.org/officeDocument/2006/relationships/image" Target="media/image15.png" /><Relationship Id="rId31" Type="http://schemas.openxmlformats.org/officeDocument/2006/relationships/header" Target="header7.xml" /><Relationship Id="rId32" Type="http://schemas.openxmlformats.org/officeDocument/2006/relationships/footer" Target="footer7.xml" /><Relationship Id="rId33" Type="http://schemas.openxmlformats.org/officeDocument/2006/relationships/header" Target="header8.xml" /><Relationship Id="rId34" Type="http://schemas.openxmlformats.org/officeDocument/2006/relationships/footer" Target="footer8.xml" /><Relationship Id="rId35" Type="http://schemas.openxmlformats.org/officeDocument/2006/relationships/header" Target="header9.xml" /><Relationship Id="rId36" Type="http://schemas.openxmlformats.org/officeDocument/2006/relationships/footer" Target="footer9.xml" /><Relationship Id="rId37" Type="http://schemas.openxmlformats.org/officeDocument/2006/relationships/hyperlink" Target="https://d.book118.com/276201050102010035" TargetMode="External" /><Relationship Id="rId38" Type="http://schemas.openxmlformats.org/officeDocument/2006/relationships/header" Target="header10.xml" /><Relationship Id="rId39" Type="http://schemas.openxmlformats.org/officeDocument/2006/relationships/footer" Target="footer10.xml" /><Relationship Id="rId4" Type="http://schemas.openxmlformats.org/officeDocument/2006/relationships/image" Target="media/image1.png" /><Relationship Id="rId40" Type="http://schemas.openxmlformats.org/officeDocument/2006/relationships/theme" Target="theme/theme1.xml" /><Relationship Id="rId41" Type="http://schemas.openxmlformats.org/officeDocument/2006/relationships/styles" Target="styles.xml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0</Words>
  <Characters>0</Characters>
  <Application>Microsoft Office Word</Application>
  <DocSecurity>0</DocSecurity>
  <Lines>0</Lines>
  <Paragraphs>0</Paragraphs>
  <ScaleCrop>false</ScaleCrop>
  <Company>出卷网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江苏省南通市2019年中考化学试卷</dc:title>
  <dc:subject>chujuan.cn</dc:subject>
  <dc:creator>www.chujuan.cn</dc:creator>
  <dc:description>中小学教师出卷，试卷下载</dc:description>
  <cp:lastModifiedBy>未命名</cp:lastModifiedBy>
  <cp:revision>5</cp:revision>
  <dcterms:created xsi:type="dcterms:W3CDTF">2021-12-20T01:40:00Z</dcterms:created>
  <dcterms:modified xsi:type="dcterms:W3CDTF">2024-01-18T21:11:40Z</dcterms:modified>
  <cp:category>出卷宝; 出卷网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2822BFE88EDE44F596B5BE09E7C22FBB_12</vt:lpwstr>
  </property>
  <property fmtid="{D5CDD505-2E9C-101B-9397-08002B2CF9AE}" pid="3" name="KSOProductBuildVer">
    <vt:lpwstr>2052-12.1.0.16250</vt:lpwstr>
  </property>
</Properties>
</file>