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03" w:line="252" w:lineRule="auto"/>
        <w:ind w:left="4202" w:right="174" w:hanging="4078"/>
        <w:outlineLvl w:val="0"/>
        <w:rPr>
          <w:rFonts w:ascii="SimHei" w:eastAsia="SimHei" w:hAnsi="SimHei" w:cs="SimHei"/>
          <w:sz w:val="31"/>
          <w:szCs w:val="31"/>
        </w:rPr>
      </w:pPr>
      <w:r>
        <w:rPr>
          <w:rFonts w:ascii="SimHei" w:eastAsia="SimHei" w:hAnsi="SimHei" w:cs="SimHei"/>
          <w:spacing w:val="9"/>
          <w:sz w:val="31"/>
          <w:szCs w:val="31"/>
        </w:rPr>
        <w:t>绿色设计产品评价技术规范</w:t>
      </w:r>
      <w:r>
        <w:rPr>
          <w:rFonts w:ascii="SimHei" w:eastAsia="SimHei" w:hAnsi="SimHei" w:cs="SimHei"/>
          <w:spacing w:val="9"/>
          <w:sz w:val="31"/>
          <w:szCs w:val="31"/>
        </w:rPr>
        <w:t xml:space="preserve"> </w:t>
      </w:r>
      <w:r>
        <w:rPr>
          <w:rFonts w:ascii="SimHei" w:eastAsia="SimHei" w:hAnsi="SimHei" w:cs="SimHei"/>
          <w:spacing w:val="9"/>
          <w:sz w:val="31"/>
          <w:szCs w:val="31"/>
        </w:rPr>
        <w:t>碳素结构钢和低合金结构钢热轧钢板</w:t>
      </w:r>
      <w:r>
        <w:rPr>
          <w:rFonts w:ascii="SimHei" w:eastAsia="SimHei" w:hAnsi="SimHei" w:cs="SimHei"/>
          <w:spacing w:val="6"/>
          <w:sz w:val="31"/>
          <w:szCs w:val="31"/>
        </w:rPr>
        <w:t xml:space="preserve"> </w:t>
      </w:r>
      <w:r>
        <w:rPr>
          <w:rFonts w:ascii="SimHei" w:eastAsia="SimHei" w:hAnsi="SimHei" w:cs="SimHei"/>
          <w:spacing w:val="5"/>
          <w:sz w:val="31"/>
          <w:szCs w:val="31"/>
        </w:rPr>
        <w:t>及钢带</w:t>
      </w:r>
    </w:p>
    <w:p>
      <w:pPr>
        <w:spacing w:line="293" w:lineRule="auto"/>
        <w:rPr>
          <w:rFonts w:ascii="Arial"/>
          <w:sz w:val="21"/>
        </w:rPr>
      </w:pPr>
    </w:p>
    <w:p>
      <w:pPr>
        <w:spacing w:line="294" w:lineRule="auto"/>
        <w:rPr>
          <w:rFonts w:ascii="Arial"/>
          <w:sz w:val="21"/>
        </w:rPr>
      </w:pPr>
    </w:p>
    <w:p>
      <w:pPr>
        <w:spacing w:before="65" w:line="231" w:lineRule="auto"/>
        <w:ind w:left="12"/>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spacing w:line="307" w:lineRule="auto"/>
        <w:rPr>
          <w:rFonts w:ascii="Arial"/>
          <w:sz w:val="21"/>
        </w:rPr>
      </w:pPr>
    </w:p>
    <w:p>
      <w:pPr>
        <w:spacing w:before="65" w:line="257" w:lineRule="auto"/>
        <w:ind w:left="5" w:right="56" w:firstLine="416"/>
        <w:rPr>
          <w:rFonts w:ascii="SimSun" w:eastAsia="SimSun" w:hAnsi="SimSun" w:cs="SimSun"/>
          <w:sz w:val="20"/>
          <w:szCs w:val="20"/>
        </w:rPr>
      </w:pPr>
      <w:r>
        <w:rPr>
          <w:rFonts w:ascii="SimSun" w:eastAsia="SimSun" w:hAnsi="SimSun" w:cs="SimSun"/>
          <w:spacing w:val="8"/>
          <w:sz w:val="20"/>
          <w:szCs w:val="20"/>
        </w:rPr>
        <w:t>本文件规定了碳素结构钢和低合金结构钢热轧钢</w:t>
      </w:r>
      <w:r>
        <w:rPr>
          <w:rFonts w:ascii="SimSun" w:eastAsia="SimSun" w:hAnsi="SimSun" w:cs="SimSun"/>
          <w:spacing w:val="7"/>
          <w:sz w:val="20"/>
          <w:szCs w:val="20"/>
        </w:rPr>
        <w:t>板及钢带绿色设计产品评价的术语和定义、评价原</w:t>
      </w:r>
      <w:r>
        <w:rPr>
          <w:rFonts w:ascii="SimSun" w:eastAsia="SimSun" w:hAnsi="SimSun" w:cs="SimSun"/>
          <w:sz w:val="20"/>
          <w:szCs w:val="20"/>
        </w:rPr>
        <w:t xml:space="preserve"> </w:t>
      </w:r>
      <w:r>
        <w:rPr>
          <w:rFonts w:ascii="SimSun" w:eastAsia="SimSun" w:hAnsi="SimSun" w:cs="SimSun"/>
          <w:spacing w:val="9"/>
          <w:sz w:val="20"/>
          <w:szCs w:val="20"/>
        </w:rPr>
        <w:t>则和方法、评价要求、生命周期评价报告编制</w:t>
      </w:r>
      <w:r>
        <w:rPr>
          <w:rFonts w:ascii="SimSun" w:eastAsia="SimSun" w:hAnsi="SimSun" w:cs="SimSun"/>
          <w:spacing w:val="8"/>
          <w:sz w:val="20"/>
          <w:szCs w:val="20"/>
        </w:rPr>
        <w:t>方法。</w:t>
      </w:r>
    </w:p>
    <w:p>
      <w:pPr>
        <w:spacing w:before="66" w:line="624" w:lineRule="exact"/>
        <w:ind w:left="422"/>
        <w:rPr>
          <w:rFonts w:ascii="SimSun" w:eastAsia="SimSun" w:hAnsi="SimSun" w:cs="SimSun"/>
          <w:sz w:val="20"/>
          <w:szCs w:val="20"/>
        </w:rPr>
      </w:pPr>
      <w:r>
        <w:rPr>
          <w:rFonts w:ascii="SimSun" w:eastAsia="SimSun" w:hAnsi="SimSun" w:cs="SimSun"/>
          <w:spacing w:val="9"/>
          <w:position w:val="32"/>
          <w:sz w:val="20"/>
          <w:szCs w:val="20"/>
        </w:rPr>
        <w:t>本文件适用于碳素结构钢和低合金结构钢热轧钢板及钢带的绿色设计产品评价。</w:t>
      </w:r>
    </w:p>
    <w:p>
      <w:pPr>
        <w:spacing w:before="1" w:line="229" w:lineRule="auto"/>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spacing w:line="308" w:lineRule="auto"/>
        <w:rPr>
          <w:rFonts w:ascii="Arial"/>
          <w:sz w:val="21"/>
        </w:rPr>
      </w:pPr>
    </w:p>
    <w:p>
      <w:pPr>
        <w:spacing w:before="65" w:line="268" w:lineRule="auto"/>
        <w:ind w:firstLine="428"/>
        <w:jc w:val="both"/>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下列文件中的内容通过文中的规范性引用而构成本文件必不可少的条款。其中，注日期的引用</w:t>
      </w:r>
      <w:r>
        <w:rPr>
          <w:rFonts w:ascii="SimSun" w:eastAsia="SimSun" w:hAnsi="SimSun" w:cs="SimSun"/>
          <w:spacing w:val="3"/>
          <w:sz w:val="20"/>
          <w:szCs w:val="20"/>
        </w:rPr>
        <w:t>文件，</w:t>
      </w:r>
      <w:r>
        <w:rPr>
          <w:rFonts w:ascii="SimSun" w:eastAsia="SimSun" w:hAnsi="SimSun" w:cs="SimSun"/>
          <w:sz w:val="20"/>
          <w:szCs w:val="20"/>
        </w:rPr>
        <w:t xml:space="preserve"> </w:t>
      </w:r>
      <w:r>
        <w:rPr>
          <w:rFonts w:ascii="SimSun" w:eastAsia="SimSun" w:hAnsi="SimSun" w:cs="SimSun"/>
          <w:spacing w:val="8"/>
          <w:sz w:val="20"/>
          <w:szCs w:val="20"/>
        </w:rPr>
        <w:t>仅该日期对应的版本适用于本文件；不注日期的引用文件，其最</w:t>
      </w:r>
      <w:r>
        <w:rPr>
          <w:rFonts w:ascii="SimSun" w:eastAsia="SimSun" w:hAnsi="SimSun" w:cs="SimSun"/>
          <w:spacing w:val="7"/>
          <w:sz w:val="20"/>
          <w:szCs w:val="20"/>
        </w:rPr>
        <w:t>新版本（包括所有的修改单）适用于本</w:t>
      </w:r>
      <w:r>
        <w:rPr>
          <w:rFonts w:ascii="SimSun" w:eastAsia="SimSun" w:hAnsi="SimSun" w:cs="SimSun"/>
          <w:sz w:val="20"/>
          <w:szCs w:val="20"/>
        </w:rPr>
        <w:t xml:space="preserve"> </w:t>
      </w:r>
      <w:r>
        <w:rPr>
          <w:rFonts w:ascii="SimSun" w:eastAsia="SimSun" w:hAnsi="SimSun" w:cs="SimSun"/>
          <w:spacing w:val="3"/>
          <w:sz w:val="20"/>
          <w:szCs w:val="20"/>
        </w:rPr>
        <w:t>文件。</w:t>
      </w:r>
    </w:p>
    <w:p>
      <w:pPr>
        <w:pStyle w:val="BodyText"/>
        <w:spacing w:before="33" w:line="343" w:lineRule="exact"/>
        <w:ind w:left="420"/>
        <w:rPr>
          <w:rFonts w:ascii="SimSun" w:eastAsia="SimSun" w:hAnsi="SimSun" w:cs="SimSun"/>
        </w:rPr>
      </w:pPr>
      <w:r>
        <w:rPr>
          <w:position w:val="7"/>
        </w:rPr>
        <w:t>GB</w:t>
      </w:r>
      <w:r>
        <w:rPr>
          <w:spacing w:val="8"/>
          <w:position w:val="7"/>
        </w:rPr>
        <w:t xml:space="preserve">/T 3274  </w:t>
      </w:r>
      <w:r>
        <w:rPr>
          <w:rFonts w:ascii="SimSun" w:eastAsia="SimSun" w:hAnsi="SimSun" w:cs="SimSun"/>
          <w:spacing w:val="8"/>
          <w:position w:val="7"/>
        </w:rPr>
        <w:t>碳素结构钢和低合金结构钢热轧钢板和钢带</w:t>
      </w:r>
    </w:p>
    <w:p>
      <w:pPr>
        <w:pStyle w:val="BodyText"/>
        <w:spacing w:line="228" w:lineRule="auto"/>
        <w:ind w:left="420"/>
        <w:rPr>
          <w:rFonts w:ascii="SimSun" w:eastAsia="SimSun" w:hAnsi="SimSun" w:cs="SimSun"/>
        </w:rPr>
      </w:pPr>
      <w:r>
        <w:t>GB</w:t>
      </w:r>
      <w:r>
        <w:rPr>
          <w:spacing w:val="30"/>
        </w:rPr>
        <w:t xml:space="preserve"> </w:t>
      </w:r>
      <w:r>
        <w:rPr>
          <w:spacing w:val="6"/>
        </w:rPr>
        <w:t xml:space="preserve">13456    </w:t>
      </w:r>
      <w:r>
        <w:rPr>
          <w:rFonts w:ascii="SimSun" w:eastAsia="SimSun" w:hAnsi="SimSun" w:cs="SimSun"/>
          <w:spacing w:val="6"/>
        </w:rPr>
        <w:t>钢铁工业水污染排放标准</w:t>
      </w:r>
    </w:p>
    <w:p>
      <w:pPr>
        <w:pStyle w:val="BodyText"/>
        <w:spacing w:before="65" w:line="281" w:lineRule="exact"/>
        <w:ind w:left="420"/>
        <w:rPr>
          <w:rFonts w:ascii="SimSun" w:eastAsia="SimSun" w:hAnsi="SimSun" w:cs="SimSun"/>
        </w:rPr>
      </w:pPr>
      <w:r>
        <w:rPr>
          <w:position w:val="5"/>
        </w:rPr>
        <w:t>GB</w:t>
      </w:r>
      <w:r>
        <w:rPr>
          <w:spacing w:val="28"/>
          <w:position w:val="5"/>
        </w:rPr>
        <w:t xml:space="preserve"> </w:t>
      </w:r>
      <w:r>
        <w:rPr>
          <w:spacing w:val="7"/>
          <w:position w:val="5"/>
        </w:rPr>
        <w:t xml:space="preserve">17167    </w:t>
      </w:r>
      <w:r>
        <w:rPr>
          <w:rFonts w:ascii="SimSun" w:eastAsia="SimSun" w:hAnsi="SimSun" w:cs="SimSun"/>
          <w:spacing w:val="7"/>
          <w:position w:val="5"/>
        </w:rPr>
        <w:t>用能单位能源计量器具配备和管理通则</w:t>
      </w:r>
    </w:p>
    <w:p>
      <w:pPr>
        <w:pStyle w:val="BodyText"/>
        <w:spacing w:line="275" w:lineRule="exact"/>
        <w:ind w:left="420"/>
        <w:rPr>
          <w:rFonts w:ascii="SimSun" w:eastAsia="SimSun" w:hAnsi="SimSun" w:cs="SimSun"/>
        </w:rPr>
      </w:pPr>
      <w:r>
        <w:rPr>
          <w:position w:val="1"/>
        </w:rPr>
        <w:t>GB</w:t>
      </w:r>
      <w:r>
        <w:rPr>
          <w:spacing w:val="6"/>
          <w:position w:val="1"/>
        </w:rPr>
        <w:t>/T</w:t>
      </w:r>
      <w:r>
        <w:rPr>
          <w:spacing w:val="31"/>
          <w:position w:val="1"/>
        </w:rPr>
        <w:t xml:space="preserve"> </w:t>
      </w:r>
      <w:r>
        <w:rPr>
          <w:spacing w:val="6"/>
          <w:position w:val="1"/>
        </w:rPr>
        <w:t xml:space="preserve">18916.2    </w:t>
      </w:r>
      <w:r>
        <w:rPr>
          <w:rFonts w:ascii="SimSun" w:eastAsia="SimSun" w:hAnsi="SimSun" w:cs="SimSun"/>
          <w:spacing w:val="6"/>
          <w:position w:val="1"/>
        </w:rPr>
        <w:t>取水定额  第</w:t>
      </w:r>
      <w:r>
        <w:rPr>
          <w:spacing w:val="6"/>
          <w:position w:val="1"/>
        </w:rPr>
        <w:t>2</w:t>
      </w:r>
      <w:r>
        <w:rPr>
          <w:rFonts w:ascii="SimSun" w:eastAsia="SimSun" w:hAnsi="SimSun" w:cs="SimSun"/>
          <w:spacing w:val="6"/>
          <w:position w:val="1"/>
        </w:rPr>
        <w:t>部分：钢铁联合企业</w:t>
      </w:r>
    </w:p>
    <w:p>
      <w:pPr>
        <w:pStyle w:val="BodyText"/>
        <w:spacing w:before="37" w:line="275" w:lineRule="exact"/>
        <w:ind w:left="420"/>
        <w:rPr>
          <w:rFonts w:ascii="SimSun" w:eastAsia="SimSun" w:hAnsi="SimSun" w:cs="SimSun"/>
        </w:rPr>
      </w:pPr>
      <w:r>
        <w:rPr>
          <w:position w:val="1"/>
        </w:rPr>
        <w:t>GB</w:t>
      </w:r>
      <w:r>
        <w:rPr>
          <w:spacing w:val="4"/>
          <w:position w:val="1"/>
        </w:rPr>
        <w:t>/T</w:t>
      </w:r>
      <w:r>
        <w:rPr>
          <w:spacing w:val="41"/>
          <w:position w:val="1"/>
        </w:rPr>
        <w:t xml:space="preserve"> </w:t>
      </w:r>
      <w:r>
        <w:rPr>
          <w:spacing w:val="4"/>
          <w:position w:val="1"/>
        </w:rPr>
        <w:t xml:space="preserve">19001    </w:t>
      </w:r>
      <w:r>
        <w:rPr>
          <w:rFonts w:ascii="SimSun" w:eastAsia="SimSun" w:hAnsi="SimSun" w:cs="SimSun"/>
          <w:spacing w:val="4"/>
          <w:position w:val="1"/>
        </w:rPr>
        <w:t>质量管理体系</w:t>
      </w:r>
      <w:r>
        <w:rPr>
          <w:rFonts w:ascii="SimSun" w:eastAsia="SimSun" w:hAnsi="SimSun" w:cs="SimSun"/>
          <w:spacing w:val="10"/>
          <w:position w:val="1"/>
        </w:rPr>
        <w:t xml:space="preserve">  </w:t>
      </w:r>
      <w:r>
        <w:rPr>
          <w:rFonts w:ascii="SimSun" w:eastAsia="SimSun" w:hAnsi="SimSun" w:cs="SimSun"/>
          <w:spacing w:val="4"/>
          <w:position w:val="1"/>
        </w:rPr>
        <w:t>要求</w:t>
      </w:r>
    </w:p>
    <w:p>
      <w:pPr>
        <w:pStyle w:val="BodyText"/>
        <w:spacing w:before="37" w:line="312" w:lineRule="exact"/>
        <w:ind w:left="420"/>
        <w:rPr>
          <w:rFonts w:ascii="SimSun" w:eastAsia="SimSun" w:hAnsi="SimSun" w:cs="SimSun"/>
        </w:rPr>
      </w:pPr>
      <w:r>
        <w:rPr>
          <w:position w:val="4"/>
        </w:rPr>
        <w:t>GB</w:t>
      </w:r>
      <w:r>
        <w:rPr>
          <w:spacing w:val="7"/>
          <w:position w:val="4"/>
        </w:rPr>
        <w:t xml:space="preserve">/T 21256    </w:t>
      </w:r>
      <w:r>
        <w:rPr>
          <w:rFonts w:ascii="SimSun" w:eastAsia="SimSun" w:hAnsi="SimSun" w:cs="SimSun"/>
          <w:spacing w:val="7"/>
          <w:position w:val="4"/>
        </w:rPr>
        <w:t>粗钢单位产品能源消耗限额</w:t>
      </w:r>
    </w:p>
    <w:p>
      <w:pPr>
        <w:pStyle w:val="BodyText"/>
        <w:spacing w:line="275" w:lineRule="exact"/>
        <w:ind w:left="420"/>
        <w:rPr>
          <w:rFonts w:ascii="SimSun" w:eastAsia="SimSun" w:hAnsi="SimSun" w:cs="SimSun"/>
        </w:rPr>
      </w:pPr>
      <w:r>
        <w:rPr>
          <w:position w:val="1"/>
        </w:rPr>
        <w:t>GB</w:t>
      </w:r>
      <w:r>
        <w:rPr>
          <w:spacing w:val="7"/>
          <w:position w:val="1"/>
        </w:rPr>
        <w:t xml:space="preserve">/T 21342    </w:t>
      </w:r>
      <w:r>
        <w:rPr>
          <w:rFonts w:ascii="SimSun" w:eastAsia="SimSun" w:hAnsi="SimSun" w:cs="SimSun"/>
          <w:spacing w:val="7"/>
          <w:position w:val="1"/>
        </w:rPr>
        <w:t>焦炭单位产品能源消耗限额</w:t>
      </w:r>
    </w:p>
    <w:p>
      <w:pPr>
        <w:pStyle w:val="BodyText"/>
        <w:spacing w:before="37" w:line="275" w:lineRule="exact"/>
        <w:ind w:left="420"/>
        <w:rPr>
          <w:rFonts w:ascii="SimSun" w:eastAsia="SimSun" w:hAnsi="SimSun" w:cs="SimSun"/>
        </w:rPr>
      </w:pPr>
      <w:r>
        <w:rPr>
          <w:position w:val="1"/>
        </w:rPr>
        <w:t>GB</w:t>
      </w:r>
      <w:r>
        <w:rPr>
          <w:spacing w:val="6"/>
          <w:position w:val="1"/>
        </w:rPr>
        <w:t>/T 23331</w:t>
      </w:r>
      <w:r>
        <w:rPr>
          <w:spacing w:val="7"/>
          <w:position w:val="1"/>
        </w:rPr>
        <w:t xml:space="preserve">    </w:t>
      </w:r>
      <w:r>
        <w:rPr>
          <w:rFonts w:ascii="SimSun" w:eastAsia="SimSun" w:hAnsi="SimSun" w:cs="SimSun"/>
          <w:spacing w:val="6"/>
          <w:position w:val="1"/>
        </w:rPr>
        <w:t>能源管理体系  要求</w:t>
      </w:r>
    </w:p>
    <w:p>
      <w:pPr>
        <w:pStyle w:val="BodyText"/>
        <w:spacing w:before="37" w:line="275" w:lineRule="exact"/>
        <w:ind w:left="420"/>
        <w:rPr>
          <w:rFonts w:ascii="SimSun" w:eastAsia="SimSun" w:hAnsi="SimSun" w:cs="SimSun"/>
        </w:rPr>
      </w:pPr>
      <w:r>
        <w:rPr>
          <w:position w:val="1"/>
        </w:rPr>
        <w:t>GB</w:t>
      </w:r>
      <w:r>
        <w:rPr>
          <w:spacing w:val="7"/>
          <w:position w:val="1"/>
        </w:rPr>
        <w:t xml:space="preserve">/T 24001    </w:t>
      </w:r>
      <w:r>
        <w:rPr>
          <w:rFonts w:ascii="SimSun" w:eastAsia="SimSun" w:hAnsi="SimSun" w:cs="SimSun"/>
          <w:spacing w:val="7"/>
          <w:position w:val="1"/>
        </w:rPr>
        <w:t>环境管理体系  要求及使用指南</w:t>
      </w:r>
    </w:p>
    <w:p>
      <w:pPr>
        <w:pStyle w:val="BodyText"/>
        <w:spacing w:before="37" w:line="312" w:lineRule="exact"/>
        <w:ind w:left="420"/>
        <w:rPr>
          <w:rFonts w:ascii="SimSun" w:eastAsia="SimSun" w:hAnsi="SimSun" w:cs="SimSun"/>
        </w:rPr>
      </w:pPr>
      <w:r>
        <w:rPr>
          <w:position w:val="4"/>
        </w:rPr>
        <w:t>GB</w:t>
      </w:r>
      <w:r>
        <w:rPr>
          <w:spacing w:val="7"/>
          <w:position w:val="4"/>
        </w:rPr>
        <w:t xml:space="preserve">/T 24040    </w:t>
      </w:r>
      <w:r>
        <w:rPr>
          <w:rFonts w:ascii="SimSun" w:eastAsia="SimSun" w:hAnsi="SimSun" w:cs="SimSun"/>
          <w:spacing w:val="7"/>
          <w:position w:val="4"/>
        </w:rPr>
        <w:t>环境管理  生</w:t>
      </w:r>
      <w:r>
        <w:rPr>
          <w:rFonts w:ascii="SimSun" w:eastAsia="SimSun" w:hAnsi="SimSun" w:cs="SimSun"/>
          <w:spacing w:val="6"/>
          <w:position w:val="4"/>
        </w:rPr>
        <w:t>命周期评价</w:t>
      </w:r>
      <w:r>
        <w:rPr>
          <w:rFonts w:ascii="SimSun" w:eastAsia="SimSun" w:hAnsi="SimSun" w:cs="SimSun"/>
          <w:spacing w:val="13"/>
          <w:position w:val="4"/>
        </w:rPr>
        <w:t xml:space="preserve">  </w:t>
      </w:r>
      <w:r>
        <w:rPr>
          <w:rFonts w:ascii="SimSun" w:eastAsia="SimSun" w:hAnsi="SimSun" w:cs="SimSun"/>
          <w:spacing w:val="6"/>
          <w:position w:val="4"/>
        </w:rPr>
        <w:t>原则与框架</w:t>
      </w:r>
    </w:p>
    <w:p>
      <w:pPr>
        <w:pStyle w:val="BodyText"/>
        <w:spacing w:line="275" w:lineRule="exact"/>
        <w:ind w:left="420"/>
        <w:rPr>
          <w:rFonts w:ascii="SimSun" w:eastAsia="SimSun" w:hAnsi="SimSun" w:cs="SimSun"/>
        </w:rPr>
      </w:pPr>
      <w:r>
        <w:rPr>
          <w:position w:val="1"/>
        </w:rPr>
        <w:t>GB</w:t>
      </w:r>
      <w:r>
        <w:rPr>
          <w:spacing w:val="7"/>
          <w:position w:val="1"/>
        </w:rPr>
        <w:t xml:space="preserve">/T 24044    </w:t>
      </w:r>
      <w:r>
        <w:rPr>
          <w:rFonts w:ascii="SimSun" w:eastAsia="SimSun" w:hAnsi="SimSun" w:cs="SimSun"/>
          <w:spacing w:val="7"/>
          <w:position w:val="1"/>
        </w:rPr>
        <w:t>环境管理  生命周期评</w:t>
      </w:r>
      <w:r>
        <w:rPr>
          <w:rFonts w:ascii="SimSun" w:eastAsia="SimSun" w:hAnsi="SimSun" w:cs="SimSun"/>
          <w:spacing w:val="6"/>
          <w:position w:val="1"/>
        </w:rPr>
        <w:t>价</w:t>
      </w:r>
      <w:r>
        <w:rPr>
          <w:rFonts w:ascii="SimSun" w:eastAsia="SimSun" w:hAnsi="SimSun" w:cs="SimSun"/>
          <w:spacing w:val="11"/>
          <w:position w:val="1"/>
        </w:rPr>
        <w:t xml:space="preserve">  </w:t>
      </w:r>
      <w:r>
        <w:rPr>
          <w:rFonts w:ascii="SimSun" w:eastAsia="SimSun" w:hAnsi="SimSun" w:cs="SimSun"/>
          <w:spacing w:val="6"/>
          <w:position w:val="1"/>
        </w:rPr>
        <w:t>要求与指南</w:t>
      </w:r>
    </w:p>
    <w:p>
      <w:pPr>
        <w:pStyle w:val="BodyText"/>
        <w:spacing w:before="37" w:line="275" w:lineRule="exact"/>
        <w:ind w:left="420"/>
        <w:rPr>
          <w:rFonts w:ascii="SimSun" w:eastAsia="SimSun" w:hAnsi="SimSun" w:cs="SimSun"/>
        </w:rPr>
      </w:pPr>
      <w:r>
        <w:rPr>
          <w:position w:val="1"/>
        </w:rPr>
        <w:t>GB</w:t>
      </w:r>
      <w:r>
        <w:rPr>
          <w:spacing w:val="7"/>
          <w:position w:val="1"/>
        </w:rPr>
        <w:t xml:space="preserve">/T 28665    </w:t>
      </w:r>
      <w:r>
        <w:rPr>
          <w:rFonts w:ascii="SimSun" w:eastAsia="SimSun" w:hAnsi="SimSun" w:cs="SimSun"/>
          <w:spacing w:val="7"/>
          <w:position w:val="1"/>
        </w:rPr>
        <w:t>轧钢工业大气污染物排放标准</w:t>
      </w:r>
    </w:p>
    <w:p>
      <w:pPr>
        <w:pStyle w:val="BodyText"/>
        <w:spacing w:before="37" w:line="312" w:lineRule="exact"/>
        <w:ind w:left="420"/>
        <w:rPr>
          <w:rFonts w:ascii="SimSun" w:eastAsia="SimSun" w:hAnsi="SimSun" w:cs="SimSun"/>
        </w:rPr>
      </w:pPr>
      <w:r>
        <w:rPr>
          <w:position w:val="4"/>
        </w:rPr>
        <w:t>GB</w:t>
      </w:r>
      <w:r>
        <w:rPr>
          <w:spacing w:val="8"/>
          <w:position w:val="4"/>
        </w:rPr>
        <w:t xml:space="preserve">/T 30052    </w:t>
      </w:r>
      <w:r>
        <w:rPr>
          <w:rFonts w:ascii="SimSun" w:eastAsia="SimSun" w:hAnsi="SimSun" w:cs="SimSun"/>
          <w:spacing w:val="8"/>
          <w:position w:val="4"/>
        </w:rPr>
        <w:t>钢铁产品制造生命周期评价技术规</w:t>
      </w:r>
      <w:r>
        <w:rPr>
          <w:rFonts w:ascii="SimSun" w:eastAsia="SimSun" w:hAnsi="SimSun" w:cs="SimSun"/>
          <w:spacing w:val="7"/>
          <w:position w:val="4"/>
        </w:rPr>
        <w:t>范（产品种类规则）</w:t>
      </w:r>
    </w:p>
    <w:p>
      <w:pPr>
        <w:pStyle w:val="BodyText"/>
        <w:spacing w:line="275" w:lineRule="exact"/>
        <w:ind w:left="420"/>
        <w:rPr>
          <w:rFonts w:ascii="SimSun" w:eastAsia="SimSun" w:hAnsi="SimSun" w:cs="SimSun"/>
        </w:rPr>
      </w:pPr>
      <w:r>
        <w:rPr>
          <w:position w:val="1"/>
        </w:rPr>
        <w:t>GB</w:t>
      </w:r>
      <w:r>
        <w:rPr>
          <w:spacing w:val="6"/>
          <w:position w:val="1"/>
        </w:rPr>
        <w:t xml:space="preserve">/T 32161    </w:t>
      </w:r>
      <w:r>
        <w:rPr>
          <w:rFonts w:ascii="SimSun" w:eastAsia="SimSun" w:hAnsi="SimSun" w:cs="SimSun"/>
          <w:spacing w:val="6"/>
          <w:position w:val="1"/>
        </w:rPr>
        <w:t>生态设计产品评价通则</w:t>
      </w:r>
    </w:p>
    <w:p>
      <w:pPr>
        <w:pStyle w:val="BodyText"/>
        <w:spacing w:before="37" w:line="655" w:lineRule="exact"/>
        <w:ind w:left="420"/>
        <w:rPr>
          <w:rFonts w:ascii="SimSun" w:eastAsia="SimSun" w:hAnsi="SimSun" w:cs="SimSun"/>
        </w:rPr>
      </w:pPr>
      <w:r>
        <w:rPr>
          <w:position w:val="31"/>
        </w:rPr>
        <w:t>GB</w:t>
      </w:r>
      <w:r>
        <w:rPr>
          <w:spacing w:val="7"/>
          <w:position w:val="31"/>
        </w:rPr>
        <w:t xml:space="preserve">/T 45001    </w:t>
      </w:r>
      <w:r>
        <w:rPr>
          <w:rFonts w:ascii="SimSun" w:eastAsia="SimSun" w:hAnsi="SimSun" w:cs="SimSun"/>
          <w:spacing w:val="7"/>
          <w:position w:val="31"/>
        </w:rPr>
        <w:t>职业健康安全管理体系要求及使用指南</w:t>
      </w:r>
    </w:p>
    <w:p>
      <w:pPr>
        <w:spacing w:before="1" w:line="230" w:lineRule="auto"/>
        <w:ind w:left="1"/>
        <w:rPr>
          <w:rFonts w:ascii="SimHei" w:eastAsia="SimHei" w:hAnsi="SimHei" w:cs="SimHei"/>
          <w:sz w:val="20"/>
          <w:szCs w:val="20"/>
        </w:rPr>
        <w:sectPr>
          <w:footerReference w:type="default" r:id="rId4"/>
          <w:pgSz w:w="11906" w:h="16839"/>
          <w:pgMar w:top="1431" w:right="1078" w:bottom="1312" w:left="1424" w:header="0" w:footer="1134" w:gutter="0"/>
          <w:cols w:space="708"/>
        </w:sect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spacing w:line="276" w:lineRule="auto"/>
        <w:rPr>
          <w:rFonts w:ascii="Arial"/>
          <w:sz w:val="21"/>
        </w:rPr>
      </w:pPr>
    </w:p>
    <w:p>
      <w:pPr>
        <w:pStyle w:val="BodyText"/>
        <w:spacing w:before="65" w:line="530" w:lineRule="exact"/>
        <w:ind w:left="420"/>
        <w:rPr>
          <w:rFonts w:ascii="SimSun" w:eastAsia="SimSun" w:hAnsi="SimSun" w:cs="SimSun"/>
        </w:rPr>
      </w:pPr>
      <w:r>
        <w:rPr>
          <w:position w:val="21"/>
        </w:rPr>
        <w:t>GB</w:t>
      </w:r>
      <w:r>
        <w:rPr>
          <w:spacing w:val="7"/>
          <w:position w:val="21"/>
        </w:rPr>
        <w:t>/T 30052</w:t>
      </w:r>
      <w:r>
        <w:rPr>
          <w:spacing w:val="-23"/>
          <w:position w:val="21"/>
        </w:rPr>
        <w:t xml:space="preserve"> </w:t>
      </w:r>
      <w:r>
        <w:rPr>
          <w:rFonts w:ascii="SimSun" w:eastAsia="SimSun" w:hAnsi="SimSun" w:cs="SimSun"/>
          <w:spacing w:val="7"/>
          <w:position w:val="21"/>
        </w:rPr>
        <w:t>、</w:t>
      </w:r>
      <w:r>
        <w:rPr>
          <w:position w:val="21"/>
        </w:rPr>
        <w:t>GB</w:t>
      </w:r>
      <w:r>
        <w:rPr>
          <w:spacing w:val="7"/>
          <w:position w:val="21"/>
        </w:rPr>
        <w:t>/T 32161</w:t>
      </w:r>
      <w:r>
        <w:rPr>
          <w:rFonts w:ascii="SimSun" w:eastAsia="SimSun" w:hAnsi="SimSun" w:cs="SimSun"/>
          <w:spacing w:val="7"/>
          <w:position w:val="21"/>
        </w:rPr>
        <w:t>界定的以及下列术语和定义适用于本文件。</w:t>
      </w:r>
    </w:p>
    <w:p>
      <w:pPr>
        <w:spacing w:line="191" w:lineRule="auto"/>
        <w:ind w:left="1"/>
        <w:rPr>
          <w:rFonts w:ascii="SimHei" w:eastAsia="SimHei" w:hAnsi="SimHei" w:cs="SimHei"/>
          <w:sz w:val="20"/>
          <w:szCs w:val="20"/>
        </w:rPr>
      </w:pPr>
      <w:r>
        <w:rPr>
          <w:rFonts w:ascii="SimHei" w:eastAsia="SimHei" w:hAnsi="SimHei" w:cs="SimHei"/>
          <w:spacing w:val="2"/>
          <w:sz w:val="20"/>
          <w:szCs w:val="20"/>
        </w:rPr>
        <w:t>3.1</w:t>
      </w:r>
    </w:p>
    <w:p>
      <w:pPr>
        <w:pStyle w:val="BodyText"/>
        <w:spacing w:before="200" w:line="274" w:lineRule="exact"/>
        <w:ind w:left="421"/>
      </w:pPr>
      <w:r>
        <w:rPr>
          <w:rFonts w:ascii="SimSun" w:eastAsia="SimSun" w:hAnsi="SimSun" w:cs="SimSun"/>
          <w:spacing w:val="17"/>
          <w:position w:val="2"/>
        </w:rPr>
        <w:t xml:space="preserve">产品制造生命周期  </w:t>
      </w:r>
      <w:r>
        <w:rPr>
          <w:position w:val="2"/>
        </w:rPr>
        <w:t>life</w:t>
      </w:r>
      <w:r>
        <w:rPr>
          <w:spacing w:val="17"/>
          <w:position w:val="2"/>
        </w:rPr>
        <w:t xml:space="preserve"> </w:t>
      </w:r>
      <w:r>
        <w:rPr>
          <w:position w:val="2"/>
        </w:rPr>
        <w:t>cycle</w:t>
      </w:r>
      <w:r>
        <w:rPr>
          <w:spacing w:val="17"/>
          <w:position w:val="2"/>
        </w:rPr>
        <w:t xml:space="preserve"> </w:t>
      </w:r>
      <w:r>
        <w:rPr>
          <w:position w:val="2"/>
        </w:rPr>
        <w:t>of steel</w:t>
      </w:r>
      <w:r>
        <w:rPr>
          <w:spacing w:val="17"/>
          <w:position w:val="2"/>
        </w:rPr>
        <w:t xml:space="preserve"> </w:t>
      </w:r>
      <w:r>
        <w:rPr>
          <w:position w:val="2"/>
        </w:rPr>
        <w:t>products</w:t>
      </w:r>
      <w:r>
        <w:rPr>
          <w:spacing w:val="17"/>
          <w:position w:val="2"/>
        </w:rPr>
        <w:t xml:space="preserve"> </w:t>
      </w:r>
      <w:r>
        <w:rPr>
          <w:position w:val="2"/>
        </w:rPr>
        <w:t>manufacture</w:t>
      </w:r>
    </w:p>
    <w:p>
      <w:pPr>
        <w:pStyle w:val="BodyText"/>
        <w:spacing w:before="69" w:line="263" w:lineRule="auto"/>
        <w:ind w:right="58" w:firstLine="423"/>
        <w:rPr>
          <w:rFonts w:ascii="SimSun" w:eastAsia="SimSun" w:hAnsi="SimSun" w:cs="SimSun"/>
        </w:rPr>
      </w:pPr>
      <w:r>
        <w:rPr>
          <w:rFonts w:ascii="SimSun" w:eastAsia="SimSun" w:hAnsi="SimSun" w:cs="SimSun"/>
          <w:spacing w:val="7"/>
        </w:rPr>
        <w:t>从铁矿石、煤炭等原料、燃料开采开始，经过烧结、焦化等原料加工工序，炼铁、炼钢、轧钢等制</w:t>
      </w:r>
      <w:r>
        <w:rPr>
          <w:rFonts w:ascii="SimSun" w:eastAsia="SimSun" w:hAnsi="SimSun" w:cs="SimSun"/>
          <w:spacing w:val="17"/>
        </w:rPr>
        <w:t xml:space="preserve"> </w:t>
      </w:r>
      <w:r>
        <w:rPr>
          <w:rFonts w:ascii="SimSun" w:eastAsia="SimSun" w:hAnsi="SimSun" w:cs="SimSun"/>
          <w:spacing w:val="10"/>
        </w:rPr>
        <w:t>造工序，形成钢铁产品的过程，即</w:t>
      </w:r>
      <w:r>
        <w:rPr>
          <w:spacing w:val="10"/>
        </w:rPr>
        <w:t>“</w:t>
      </w:r>
      <w:r>
        <w:rPr>
          <w:rFonts w:ascii="SimSun" w:eastAsia="SimSun" w:hAnsi="SimSun" w:cs="SimSun"/>
          <w:spacing w:val="10"/>
        </w:rPr>
        <w:t>从摇篮到大门（</w:t>
      </w:r>
      <w:r>
        <w:t>from</w:t>
      </w:r>
      <w:r>
        <w:rPr>
          <w:spacing w:val="10"/>
        </w:rPr>
        <w:t xml:space="preserve"> </w:t>
      </w:r>
      <w:r>
        <w:t>cradle</w:t>
      </w:r>
      <w:r>
        <w:rPr>
          <w:spacing w:val="10"/>
        </w:rPr>
        <w:t xml:space="preserve"> </w:t>
      </w:r>
      <w:r>
        <w:t>to</w:t>
      </w:r>
      <w:r>
        <w:rPr>
          <w:spacing w:val="10"/>
        </w:rPr>
        <w:t xml:space="preserve"> </w:t>
      </w:r>
      <w:r>
        <w:t>gate</w:t>
      </w:r>
      <w:r>
        <w:rPr>
          <w:rFonts w:ascii="SimSun" w:eastAsia="SimSun" w:hAnsi="SimSun" w:cs="SimSun"/>
          <w:spacing w:val="10"/>
        </w:rPr>
        <w:t>）</w:t>
      </w:r>
      <w:r>
        <w:rPr>
          <w:spacing w:val="9"/>
        </w:rPr>
        <w:t>”</w:t>
      </w:r>
      <w:r>
        <w:rPr>
          <w:spacing w:val="-27"/>
        </w:rPr>
        <w:t xml:space="preserve"> </w:t>
      </w:r>
      <w:r>
        <w:rPr>
          <w:rFonts w:ascii="SimSun" w:eastAsia="SimSun" w:hAnsi="SimSun" w:cs="SimSun"/>
          <w:spacing w:val="9"/>
        </w:rPr>
        <w:t>的生命周期过程。</w:t>
      </w:r>
    </w:p>
    <w:p>
      <w:pPr>
        <w:pStyle w:val="BodyText"/>
        <w:spacing w:before="23" w:line="529" w:lineRule="exact"/>
        <w:ind w:left="430"/>
      </w:pPr>
      <w:r>
        <w:rPr>
          <w:spacing w:val="3"/>
          <w:position w:val="22"/>
        </w:rPr>
        <w:t>[</w:t>
      </w:r>
      <w:r>
        <w:rPr>
          <w:rFonts w:ascii="SimSun" w:eastAsia="SimSun" w:hAnsi="SimSun" w:cs="SimSun"/>
          <w:spacing w:val="3"/>
          <w:position w:val="22"/>
        </w:rPr>
        <w:t>来源：</w:t>
      </w:r>
      <w:r>
        <w:rPr>
          <w:position w:val="22"/>
        </w:rPr>
        <w:t>GB</w:t>
      </w:r>
      <w:r>
        <w:rPr>
          <w:spacing w:val="3"/>
          <w:position w:val="22"/>
        </w:rPr>
        <w:t>/T 30052-2013</w:t>
      </w:r>
      <w:r>
        <w:rPr>
          <w:spacing w:val="-22"/>
          <w:position w:val="22"/>
        </w:rPr>
        <w:t xml:space="preserve"> </w:t>
      </w:r>
      <w:r>
        <w:rPr>
          <w:rFonts w:ascii="SimSun" w:eastAsia="SimSun" w:hAnsi="SimSun" w:cs="SimSun"/>
          <w:spacing w:val="3"/>
          <w:position w:val="22"/>
        </w:rPr>
        <w:t>，</w:t>
      </w:r>
      <w:r>
        <w:rPr>
          <w:spacing w:val="3"/>
          <w:position w:val="22"/>
        </w:rPr>
        <w:t>3.</w:t>
      </w:r>
      <w:r>
        <w:rPr>
          <w:spacing w:val="-25"/>
          <w:position w:val="22"/>
        </w:rPr>
        <w:t xml:space="preserve"> </w:t>
      </w:r>
      <w:r>
        <w:rPr>
          <w:spacing w:val="3"/>
          <w:position w:val="22"/>
        </w:rPr>
        <w:t>1</w:t>
      </w:r>
      <w:r>
        <w:rPr>
          <w:spacing w:val="-29"/>
          <w:position w:val="22"/>
        </w:rPr>
        <w:t xml:space="preserve"> </w:t>
      </w:r>
      <w:r>
        <w:rPr>
          <w:rFonts w:ascii="SimSun" w:eastAsia="SimSun" w:hAnsi="SimSun" w:cs="SimSun"/>
          <w:spacing w:val="3"/>
          <w:position w:val="22"/>
        </w:rPr>
        <w:t>，有修改</w:t>
      </w:r>
      <w:r>
        <w:rPr>
          <w:spacing w:val="3"/>
          <w:position w:val="22"/>
        </w:rPr>
        <w:t>]</w:t>
      </w:r>
    </w:p>
    <w:p>
      <w:pPr>
        <w:spacing w:line="191" w:lineRule="auto"/>
        <w:ind w:left="1"/>
        <w:rPr>
          <w:rFonts w:ascii="SimHei" w:eastAsia="SimHei" w:hAnsi="SimHei" w:cs="SimHei"/>
          <w:sz w:val="20"/>
          <w:szCs w:val="20"/>
        </w:rPr>
      </w:pPr>
      <w:r>
        <w:rPr>
          <w:rFonts w:ascii="SimHei" w:eastAsia="SimHei" w:hAnsi="SimHei" w:cs="SimHei"/>
          <w:spacing w:val="2"/>
          <w:sz w:val="20"/>
          <w:szCs w:val="20"/>
        </w:rPr>
        <w:t>3.2</w:t>
      </w:r>
    </w:p>
    <w:p>
      <w:pPr>
        <w:pStyle w:val="BodyText"/>
        <w:spacing w:before="200" w:line="274" w:lineRule="exact"/>
        <w:ind w:left="423"/>
      </w:pPr>
      <w:r>
        <w:rPr>
          <w:rFonts w:ascii="SimSun" w:eastAsia="SimSun" w:hAnsi="SimSun" w:cs="SimSun"/>
          <w:spacing w:val="14"/>
          <w:position w:val="2"/>
        </w:rPr>
        <w:t xml:space="preserve">绿色设计 </w:t>
      </w:r>
      <w:r>
        <w:rPr>
          <w:position w:val="2"/>
        </w:rPr>
        <w:t>green</w:t>
      </w:r>
      <w:r>
        <w:rPr>
          <w:spacing w:val="14"/>
          <w:position w:val="2"/>
        </w:rPr>
        <w:t>-</w:t>
      </w:r>
      <w:r>
        <w:rPr>
          <w:position w:val="2"/>
        </w:rPr>
        <w:t>design</w:t>
      </w:r>
    </w:p>
    <w:p>
      <w:pPr>
        <w:spacing w:line="274" w:lineRule="exact"/>
        <w:sectPr>
          <w:footerReference w:type="default" r:id="rId5"/>
          <w:type w:val="nextPage"/>
          <w:pgSz w:w="11906" w:h="16839"/>
          <w:pgMar w:top="1431" w:right="1078" w:bottom="1312" w:left="1424" w:header="0" w:footer="1134" w:gutter="0"/>
          <w:pgNumType w:start="2"/>
          <w:cols w:space="708"/>
          <w:titlePg w:val="0"/>
        </w:sectPr>
      </w:pPr>
    </w:p>
    <w:p>
      <w:pPr>
        <w:spacing w:before="245" w:line="268" w:lineRule="auto"/>
        <w:ind w:left="9" w:firstLine="417"/>
        <w:jc w:val="both"/>
        <w:rPr>
          <w:rFonts w:ascii="SimSun" w:eastAsia="SimSun" w:hAnsi="SimSun" w:cs="SimSun"/>
          <w:sz w:val="20"/>
          <w:szCs w:val="20"/>
        </w:rPr>
      </w:pPr>
      <w:r>
        <w:rPr>
          <w:rFonts w:ascii="SimSun" w:eastAsia="SimSun" w:hAnsi="SimSun" w:cs="SimSun"/>
          <w:spacing w:val="4"/>
          <w:sz w:val="20"/>
          <w:szCs w:val="20"/>
        </w:rPr>
        <w:t>按照钢铁产品制造生命周期的理念，在产品设计开发阶段系统考虑原材料选用、生产、销售、使用、</w:t>
      </w:r>
      <w:r>
        <w:rPr>
          <w:rFonts w:ascii="SimSun" w:eastAsia="SimSun" w:hAnsi="SimSun" w:cs="SimSun"/>
          <w:spacing w:val="16"/>
          <w:sz w:val="20"/>
          <w:szCs w:val="20"/>
        </w:rPr>
        <w:t xml:space="preserve"> </w:t>
      </w:r>
      <w:r>
        <w:rPr>
          <w:rFonts w:ascii="SimSun" w:eastAsia="SimSun" w:hAnsi="SimSun" w:cs="SimSun"/>
          <w:spacing w:val="7"/>
          <w:sz w:val="20"/>
          <w:szCs w:val="20"/>
        </w:rPr>
        <w:t xml:space="preserve">回收、处理等各个环节对资源环境造成的影响，力求产品在钢铁产品制造生命周期中最大限度降低资源 </w:t>
      </w:r>
      <w:r>
        <w:rPr>
          <w:rFonts w:ascii="SimSun" w:eastAsia="SimSun" w:hAnsi="SimSun" w:cs="SimSun"/>
          <w:spacing w:val="9"/>
          <w:sz w:val="20"/>
          <w:szCs w:val="20"/>
        </w:rPr>
        <w:t>消耗、尽可能少用或不用含有有害物质的原材料，减少污染物产生和排放，从而实现环境保护</w:t>
      </w:r>
      <w:r>
        <w:rPr>
          <w:rFonts w:ascii="SimSun" w:eastAsia="SimSun" w:hAnsi="SimSun" w:cs="SimSun"/>
          <w:spacing w:val="8"/>
          <w:sz w:val="20"/>
          <w:szCs w:val="20"/>
        </w:rPr>
        <w:t>的活动。</w:t>
      </w:r>
    </w:p>
    <w:p>
      <w:pPr>
        <w:pStyle w:val="BodyText"/>
        <w:spacing w:before="34" w:line="529" w:lineRule="exact"/>
        <w:ind w:left="434"/>
      </w:pPr>
      <w:r>
        <w:rPr>
          <w:spacing w:val="4"/>
          <w:position w:val="22"/>
        </w:rPr>
        <w:t>[</w:t>
      </w:r>
      <w:r>
        <w:rPr>
          <w:rFonts w:ascii="SimSun" w:eastAsia="SimSun" w:hAnsi="SimSun" w:cs="SimSun"/>
          <w:spacing w:val="4"/>
          <w:position w:val="22"/>
        </w:rPr>
        <w:t>来源：</w:t>
      </w:r>
      <w:r>
        <w:rPr>
          <w:position w:val="22"/>
        </w:rPr>
        <w:t>GB</w:t>
      </w:r>
      <w:r>
        <w:rPr>
          <w:spacing w:val="4"/>
          <w:position w:val="22"/>
        </w:rPr>
        <w:t>/T 32161-2015</w:t>
      </w:r>
      <w:r>
        <w:rPr>
          <w:spacing w:val="-23"/>
          <w:position w:val="22"/>
        </w:rPr>
        <w:t xml:space="preserve"> </w:t>
      </w:r>
      <w:r>
        <w:rPr>
          <w:rFonts w:ascii="SimSun" w:eastAsia="SimSun" w:hAnsi="SimSun" w:cs="SimSun"/>
          <w:spacing w:val="4"/>
          <w:position w:val="22"/>
        </w:rPr>
        <w:t>，</w:t>
      </w:r>
      <w:r>
        <w:rPr>
          <w:spacing w:val="4"/>
          <w:position w:val="22"/>
        </w:rPr>
        <w:t>3.2</w:t>
      </w:r>
      <w:r>
        <w:rPr>
          <w:spacing w:val="-29"/>
          <w:position w:val="22"/>
        </w:rPr>
        <w:t xml:space="preserve"> </w:t>
      </w:r>
      <w:r>
        <w:rPr>
          <w:rFonts w:ascii="SimSun" w:eastAsia="SimSun" w:hAnsi="SimSun" w:cs="SimSun"/>
          <w:spacing w:val="4"/>
          <w:position w:val="22"/>
        </w:rPr>
        <w:t>，有修改</w:t>
      </w:r>
      <w:r>
        <w:rPr>
          <w:spacing w:val="4"/>
          <w:position w:val="22"/>
        </w:rPr>
        <w:t>]</w:t>
      </w:r>
    </w:p>
    <w:p>
      <w:pPr>
        <w:spacing w:line="191" w:lineRule="auto"/>
        <w:ind w:left="5"/>
        <w:rPr>
          <w:rFonts w:ascii="SimHei" w:eastAsia="SimHei" w:hAnsi="SimHei" w:cs="SimHei"/>
          <w:sz w:val="20"/>
          <w:szCs w:val="20"/>
        </w:rPr>
      </w:pPr>
      <w:r>
        <w:rPr>
          <w:rFonts w:ascii="SimHei" w:eastAsia="SimHei" w:hAnsi="SimHei" w:cs="SimHei"/>
          <w:spacing w:val="2"/>
          <w:sz w:val="20"/>
          <w:szCs w:val="20"/>
        </w:rPr>
        <w:t>3.3</w:t>
      </w:r>
    </w:p>
    <w:p>
      <w:pPr>
        <w:pStyle w:val="BodyText"/>
        <w:spacing w:before="199" w:line="274" w:lineRule="exact"/>
        <w:ind w:left="427"/>
      </w:pPr>
      <w:r>
        <w:rPr>
          <w:rFonts w:ascii="SimSun" w:eastAsia="SimSun" w:hAnsi="SimSun" w:cs="SimSun"/>
          <w:spacing w:val="15"/>
          <w:position w:val="2"/>
        </w:rPr>
        <w:t xml:space="preserve">绿色设计产品 </w:t>
      </w:r>
      <w:r>
        <w:rPr>
          <w:position w:val="2"/>
        </w:rPr>
        <w:t>green</w:t>
      </w:r>
      <w:r>
        <w:rPr>
          <w:spacing w:val="15"/>
          <w:position w:val="2"/>
        </w:rPr>
        <w:t>-</w:t>
      </w:r>
      <w:r>
        <w:rPr>
          <w:position w:val="2"/>
        </w:rPr>
        <w:t>design</w:t>
      </w:r>
      <w:r>
        <w:rPr>
          <w:spacing w:val="15"/>
          <w:position w:val="2"/>
        </w:rPr>
        <w:t xml:space="preserve"> </w:t>
      </w:r>
      <w:r>
        <w:rPr>
          <w:position w:val="2"/>
        </w:rPr>
        <w:t>product</w:t>
      </w:r>
    </w:p>
    <w:p>
      <w:pPr>
        <w:spacing w:before="68" w:line="227" w:lineRule="auto"/>
        <w:ind w:left="427"/>
        <w:rPr>
          <w:rFonts w:ascii="SimSun" w:eastAsia="SimSun" w:hAnsi="SimSun" w:cs="SimSun"/>
          <w:sz w:val="20"/>
          <w:szCs w:val="20"/>
        </w:rPr>
      </w:pPr>
      <w:r>
        <w:rPr>
          <w:rFonts w:ascii="SimSun" w:eastAsia="SimSun" w:hAnsi="SimSun" w:cs="SimSun"/>
          <w:spacing w:val="8"/>
          <w:sz w:val="20"/>
          <w:szCs w:val="20"/>
        </w:rPr>
        <w:t>符合绿色设计理念和评价要求的产品。</w:t>
      </w:r>
    </w:p>
    <w:p>
      <w:pPr>
        <w:pStyle w:val="BodyText"/>
        <w:spacing w:before="35" w:line="530" w:lineRule="exact"/>
        <w:ind w:left="434"/>
      </w:pPr>
      <w:r>
        <w:rPr>
          <w:spacing w:val="4"/>
          <w:position w:val="22"/>
        </w:rPr>
        <w:t>[</w:t>
      </w:r>
      <w:r>
        <w:rPr>
          <w:rFonts w:ascii="SimSun" w:eastAsia="SimSun" w:hAnsi="SimSun" w:cs="SimSun"/>
          <w:spacing w:val="4"/>
          <w:position w:val="22"/>
        </w:rPr>
        <w:t>来源：</w:t>
      </w:r>
      <w:r>
        <w:rPr>
          <w:position w:val="22"/>
        </w:rPr>
        <w:t>GB</w:t>
      </w:r>
      <w:r>
        <w:rPr>
          <w:spacing w:val="4"/>
          <w:position w:val="22"/>
        </w:rPr>
        <w:t>/T 32161-2015</w:t>
      </w:r>
      <w:r>
        <w:rPr>
          <w:spacing w:val="-23"/>
          <w:position w:val="22"/>
        </w:rPr>
        <w:t xml:space="preserve"> </w:t>
      </w:r>
      <w:r>
        <w:rPr>
          <w:rFonts w:ascii="SimSun" w:eastAsia="SimSun" w:hAnsi="SimSun" w:cs="SimSun"/>
          <w:spacing w:val="4"/>
          <w:position w:val="22"/>
        </w:rPr>
        <w:t>，</w:t>
      </w:r>
      <w:r>
        <w:rPr>
          <w:spacing w:val="4"/>
          <w:position w:val="22"/>
        </w:rPr>
        <w:t>3.3</w:t>
      </w:r>
      <w:r>
        <w:rPr>
          <w:spacing w:val="-29"/>
          <w:position w:val="22"/>
        </w:rPr>
        <w:t xml:space="preserve"> </w:t>
      </w:r>
      <w:r>
        <w:rPr>
          <w:rFonts w:ascii="SimSun" w:eastAsia="SimSun" w:hAnsi="SimSun" w:cs="SimSun"/>
          <w:spacing w:val="4"/>
          <w:position w:val="22"/>
        </w:rPr>
        <w:t>，有修改</w:t>
      </w:r>
      <w:r>
        <w:rPr>
          <w:spacing w:val="4"/>
          <w:position w:val="22"/>
        </w:rPr>
        <w:t>]</w:t>
      </w:r>
    </w:p>
    <w:p>
      <w:pPr>
        <w:spacing w:line="191" w:lineRule="auto"/>
        <w:ind w:left="5"/>
        <w:rPr>
          <w:rFonts w:ascii="SimHei" w:eastAsia="SimHei" w:hAnsi="SimHei" w:cs="SimHei"/>
          <w:sz w:val="20"/>
          <w:szCs w:val="20"/>
        </w:rPr>
      </w:pPr>
      <w:r>
        <w:rPr>
          <w:rFonts w:ascii="SimHei" w:eastAsia="SimHei" w:hAnsi="SimHei" w:cs="SimHei"/>
          <w:spacing w:val="2"/>
          <w:sz w:val="20"/>
          <w:szCs w:val="20"/>
        </w:rPr>
        <w:t>3.4</w:t>
      </w:r>
    </w:p>
    <w:p>
      <w:pPr>
        <w:pStyle w:val="BodyText"/>
        <w:spacing w:before="199" w:line="275" w:lineRule="exact"/>
        <w:ind w:left="427"/>
      </w:pPr>
      <w:r>
        <w:rPr>
          <w:rFonts w:ascii="SimSun" w:eastAsia="SimSun" w:hAnsi="SimSun" w:cs="SimSun"/>
          <w:spacing w:val="15"/>
          <w:position w:val="2"/>
        </w:rPr>
        <w:t xml:space="preserve">生命周期评价报告 </w:t>
      </w:r>
      <w:r>
        <w:rPr>
          <w:position w:val="2"/>
        </w:rPr>
        <w:t>report</w:t>
      </w:r>
      <w:r>
        <w:rPr>
          <w:spacing w:val="15"/>
          <w:position w:val="2"/>
        </w:rPr>
        <w:t xml:space="preserve"> </w:t>
      </w:r>
      <w:r>
        <w:rPr>
          <w:position w:val="2"/>
        </w:rPr>
        <w:t>for</w:t>
      </w:r>
      <w:r>
        <w:rPr>
          <w:spacing w:val="15"/>
          <w:position w:val="2"/>
        </w:rPr>
        <w:t xml:space="preserve"> </w:t>
      </w:r>
      <w:r>
        <w:rPr>
          <w:position w:val="2"/>
        </w:rPr>
        <w:t>life</w:t>
      </w:r>
      <w:r>
        <w:rPr>
          <w:spacing w:val="15"/>
          <w:position w:val="2"/>
        </w:rPr>
        <w:t xml:space="preserve"> </w:t>
      </w:r>
      <w:r>
        <w:rPr>
          <w:position w:val="2"/>
        </w:rPr>
        <w:t>cycle</w:t>
      </w:r>
      <w:r>
        <w:rPr>
          <w:spacing w:val="16"/>
          <w:position w:val="2"/>
        </w:rPr>
        <w:t xml:space="preserve"> </w:t>
      </w:r>
      <w:r>
        <w:rPr>
          <w:position w:val="2"/>
        </w:rPr>
        <w:t>assessment</w:t>
      </w:r>
    </w:p>
    <w:p>
      <w:pPr>
        <w:spacing w:before="69" w:line="257" w:lineRule="auto"/>
        <w:ind w:left="22" w:right="71" w:firstLine="404"/>
        <w:rPr>
          <w:rFonts w:ascii="SimSun" w:eastAsia="SimSun" w:hAnsi="SimSun" w:cs="SimSun"/>
          <w:sz w:val="20"/>
          <w:szCs w:val="20"/>
        </w:rPr>
      </w:pPr>
      <w:r>
        <w:rPr>
          <w:rFonts w:ascii="SimSun" w:eastAsia="SimSun" w:hAnsi="SimSun" w:cs="SimSun"/>
          <w:spacing w:val="8"/>
          <w:sz w:val="20"/>
          <w:szCs w:val="20"/>
        </w:rPr>
        <w:t>依据生命周期评价方法编制的，用于披露产品</w:t>
      </w:r>
      <w:r>
        <w:rPr>
          <w:rFonts w:ascii="SimSun" w:eastAsia="SimSun" w:hAnsi="SimSun" w:cs="SimSun"/>
          <w:spacing w:val="7"/>
          <w:sz w:val="20"/>
          <w:szCs w:val="20"/>
        </w:rPr>
        <w:t>绿色设计情况及钢铁产品制造生命周期环境影响信息</w:t>
      </w:r>
      <w:r>
        <w:rPr>
          <w:rFonts w:ascii="SimSun" w:eastAsia="SimSun" w:hAnsi="SimSun" w:cs="SimSun"/>
          <w:sz w:val="20"/>
          <w:szCs w:val="20"/>
        </w:rPr>
        <w:t xml:space="preserve"> </w:t>
      </w:r>
      <w:r>
        <w:rPr>
          <w:rFonts w:ascii="SimSun" w:eastAsia="SimSun" w:hAnsi="SimSun" w:cs="SimSun"/>
          <w:sz w:val="20"/>
          <w:szCs w:val="20"/>
        </w:rPr>
        <w:t>的报告。</w:t>
      </w:r>
    </w:p>
    <w:p>
      <w:pPr>
        <w:pStyle w:val="BodyText"/>
        <w:spacing w:before="36" w:line="654" w:lineRule="exact"/>
        <w:ind w:left="434"/>
      </w:pPr>
      <w:r>
        <w:rPr>
          <w:spacing w:val="4"/>
          <w:position w:val="32"/>
        </w:rPr>
        <w:t>[</w:t>
      </w:r>
      <w:r>
        <w:rPr>
          <w:rFonts w:ascii="SimSun" w:eastAsia="SimSun" w:hAnsi="SimSun" w:cs="SimSun"/>
          <w:spacing w:val="4"/>
          <w:position w:val="32"/>
        </w:rPr>
        <w:t>来源：</w:t>
      </w:r>
      <w:r>
        <w:rPr>
          <w:position w:val="32"/>
        </w:rPr>
        <w:t>GB</w:t>
      </w:r>
      <w:r>
        <w:rPr>
          <w:spacing w:val="4"/>
          <w:position w:val="32"/>
        </w:rPr>
        <w:t>/T 32161-2015</w:t>
      </w:r>
      <w:r>
        <w:rPr>
          <w:spacing w:val="-23"/>
          <w:position w:val="32"/>
        </w:rPr>
        <w:t xml:space="preserve"> </w:t>
      </w:r>
      <w:r>
        <w:rPr>
          <w:rFonts w:ascii="SimSun" w:eastAsia="SimSun" w:hAnsi="SimSun" w:cs="SimSun"/>
          <w:spacing w:val="4"/>
          <w:position w:val="32"/>
        </w:rPr>
        <w:t>，</w:t>
      </w:r>
      <w:r>
        <w:rPr>
          <w:spacing w:val="4"/>
          <w:position w:val="32"/>
        </w:rPr>
        <w:t>3.3</w:t>
      </w:r>
      <w:r>
        <w:rPr>
          <w:spacing w:val="-29"/>
          <w:position w:val="32"/>
        </w:rPr>
        <w:t xml:space="preserve"> </w:t>
      </w:r>
      <w:r>
        <w:rPr>
          <w:rFonts w:ascii="SimSun" w:eastAsia="SimSun" w:hAnsi="SimSun" w:cs="SimSun"/>
          <w:spacing w:val="4"/>
          <w:position w:val="32"/>
        </w:rPr>
        <w:t>，有修改</w:t>
      </w:r>
      <w:r>
        <w:rPr>
          <w:spacing w:val="4"/>
          <w:position w:val="32"/>
        </w:rPr>
        <w:t>]</w:t>
      </w:r>
    </w:p>
    <w:p>
      <w:pPr>
        <w:spacing w:before="1" w:line="229" w:lineRule="auto"/>
        <w:rPr>
          <w:rFonts w:ascii="SimHei" w:eastAsia="SimHei" w:hAnsi="SimHei" w:cs="SimHei"/>
          <w:sz w:val="20"/>
          <w:szCs w:val="20"/>
        </w:rPr>
      </w:pPr>
      <w:r>
        <w:rPr>
          <w:rFonts w:ascii="SimHei" w:eastAsia="SimHei" w:hAnsi="SimHei" w:cs="SimHei"/>
          <w:spacing w:val="8"/>
          <w:sz w:val="20"/>
          <w:szCs w:val="20"/>
        </w:rPr>
        <w:t>4</w:t>
      </w:r>
      <w:r>
        <w:rPr>
          <w:rFonts w:ascii="SimHei" w:eastAsia="SimHei" w:hAnsi="SimHei" w:cs="SimHei"/>
          <w:spacing w:val="8"/>
          <w:sz w:val="20"/>
          <w:szCs w:val="20"/>
        </w:rPr>
        <w:t xml:space="preserve">  </w:t>
      </w:r>
      <w:r>
        <w:rPr>
          <w:rFonts w:ascii="SimHei" w:eastAsia="SimHei" w:hAnsi="SimHei" w:cs="SimHei"/>
          <w:spacing w:val="8"/>
          <w:sz w:val="20"/>
          <w:szCs w:val="20"/>
        </w:rPr>
        <w:t>评价原则和方法</w:t>
      </w:r>
    </w:p>
    <w:p>
      <w:pPr>
        <w:spacing w:line="308" w:lineRule="auto"/>
        <w:rPr>
          <w:rFonts w:ascii="Arial"/>
          <w:sz w:val="21"/>
        </w:rPr>
      </w:pPr>
    </w:p>
    <w:p>
      <w:pPr>
        <w:spacing w:before="65" w:line="230" w:lineRule="auto"/>
        <w:rPr>
          <w:rFonts w:ascii="SimHei" w:eastAsia="SimHei" w:hAnsi="SimHei" w:cs="SimHei"/>
          <w:sz w:val="20"/>
          <w:szCs w:val="20"/>
        </w:rPr>
      </w:pPr>
      <w:r>
        <w:rPr>
          <w:rFonts w:ascii="SimHei" w:eastAsia="SimHei" w:hAnsi="SimHei" w:cs="SimHei"/>
          <w:spacing w:val="6"/>
          <w:sz w:val="20"/>
          <w:szCs w:val="20"/>
        </w:rPr>
        <w:t>4.1</w:t>
      </w:r>
      <w:r>
        <w:rPr>
          <w:rFonts w:ascii="SimHei" w:eastAsia="SimHei" w:hAnsi="SimHei" w:cs="SimHei"/>
          <w:spacing w:val="6"/>
          <w:sz w:val="20"/>
          <w:szCs w:val="20"/>
        </w:rPr>
        <w:t xml:space="preserve">  </w:t>
      </w:r>
      <w:r>
        <w:rPr>
          <w:rFonts w:ascii="SimHei" w:eastAsia="SimHei" w:hAnsi="SimHei" w:cs="SimHei"/>
          <w:spacing w:val="6"/>
          <w:sz w:val="20"/>
          <w:szCs w:val="20"/>
        </w:rPr>
        <w:t>评价原则</w:t>
      </w:r>
    </w:p>
    <w:p>
      <w:pPr>
        <w:spacing w:before="219" w:line="230" w:lineRule="auto"/>
        <w:rPr>
          <w:rFonts w:ascii="SimHei" w:eastAsia="SimHei" w:hAnsi="SimHei" w:cs="SimHei"/>
          <w:sz w:val="20"/>
          <w:szCs w:val="20"/>
        </w:rPr>
      </w:pPr>
      <w:r>
        <w:rPr>
          <w:rFonts w:ascii="SimHei" w:eastAsia="SimHei" w:hAnsi="SimHei" w:cs="SimHei"/>
          <w:spacing w:val="8"/>
          <w:sz w:val="20"/>
          <w:szCs w:val="20"/>
        </w:rPr>
        <w:t>4.1.1</w:t>
      </w:r>
      <w:r>
        <w:rPr>
          <w:rFonts w:ascii="SimHei" w:eastAsia="SimHei" w:hAnsi="SimHei" w:cs="SimHei"/>
          <w:spacing w:val="8"/>
          <w:sz w:val="20"/>
          <w:szCs w:val="20"/>
        </w:rPr>
        <w:t xml:space="preserve">  </w:t>
      </w:r>
      <w:r>
        <w:rPr>
          <w:rFonts w:ascii="SimHei" w:eastAsia="SimHei" w:hAnsi="SimHei" w:cs="SimHei"/>
          <w:spacing w:val="8"/>
          <w:sz w:val="20"/>
          <w:szCs w:val="20"/>
        </w:rPr>
        <w:t>生命周期评价与指标评价相结合的原则</w:t>
      </w:r>
    </w:p>
    <w:p>
      <w:pPr>
        <w:spacing w:before="218" w:line="273" w:lineRule="auto"/>
        <w:ind w:left="4" w:right="70" w:firstLine="422"/>
        <w:jc w:val="both"/>
        <w:rPr>
          <w:rFonts w:ascii="SimSun" w:eastAsia="SimSun" w:hAnsi="SimSun" w:cs="SimSun"/>
          <w:sz w:val="20"/>
          <w:szCs w:val="20"/>
        </w:rPr>
      </w:pPr>
      <w:r>
        <w:rPr>
          <w:rFonts w:ascii="SimSun" w:eastAsia="SimSun" w:hAnsi="SimSun" w:cs="SimSun"/>
          <w:spacing w:val="8"/>
          <w:sz w:val="20"/>
          <w:szCs w:val="20"/>
        </w:rPr>
        <w:t>依据生命周期评价方法，考虑碳素结构钢和低合</w:t>
      </w:r>
      <w:r>
        <w:rPr>
          <w:rFonts w:ascii="SimSun" w:eastAsia="SimSun" w:hAnsi="SimSun" w:cs="SimSun"/>
          <w:spacing w:val="7"/>
          <w:sz w:val="20"/>
          <w:szCs w:val="20"/>
        </w:rPr>
        <w:t>金结构钢热轧钢板及钢带产品的制造生命周期，深</w:t>
      </w:r>
      <w:r>
        <w:rPr>
          <w:rFonts w:ascii="SimSun" w:eastAsia="SimSun" w:hAnsi="SimSun" w:cs="SimSun"/>
          <w:sz w:val="20"/>
          <w:szCs w:val="20"/>
        </w:rPr>
        <w:t xml:space="preserve"> </w:t>
      </w:r>
      <w:r>
        <w:rPr>
          <w:rFonts w:ascii="SimSun" w:eastAsia="SimSun" w:hAnsi="SimSun" w:cs="SimSun"/>
          <w:spacing w:val="8"/>
          <w:sz w:val="20"/>
          <w:szCs w:val="20"/>
        </w:rPr>
        <w:t>入分析各阶段的资源消耗、生态环境、人体健康影响因素，选取不</w:t>
      </w:r>
      <w:r>
        <w:rPr>
          <w:rFonts w:ascii="SimSun" w:eastAsia="SimSun" w:hAnsi="SimSun" w:cs="SimSun"/>
          <w:spacing w:val="7"/>
          <w:sz w:val="20"/>
          <w:szCs w:val="20"/>
        </w:rPr>
        <w:t>同阶段的、可评价的指标构成评价指</w:t>
      </w:r>
      <w:r>
        <w:rPr>
          <w:rFonts w:ascii="SimSun" w:eastAsia="SimSun" w:hAnsi="SimSun" w:cs="SimSun"/>
          <w:sz w:val="20"/>
          <w:szCs w:val="20"/>
        </w:rPr>
        <w:t xml:space="preserve"> </w:t>
      </w:r>
      <w:r>
        <w:rPr>
          <w:rFonts w:ascii="SimSun" w:eastAsia="SimSun" w:hAnsi="SimSun" w:cs="SimSun"/>
          <w:spacing w:val="8"/>
          <w:sz w:val="20"/>
          <w:szCs w:val="20"/>
        </w:rPr>
        <w:t>标体系。在满足评价指标要求的基础上，采用生命周期评价方法，</w:t>
      </w:r>
      <w:r>
        <w:rPr>
          <w:rFonts w:ascii="SimSun" w:eastAsia="SimSun" w:hAnsi="SimSun" w:cs="SimSun"/>
          <w:spacing w:val="7"/>
          <w:sz w:val="20"/>
          <w:szCs w:val="20"/>
        </w:rPr>
        <w:t>进行生命周期影响评价，编制生命周</w:t>
      </w:r>
      <w:r>
        <w:rPr>
          <w:rFonts w:ascii="SimSun" w:eastAsia="SimSun" w:hAnsi="SimSun" w:cs="SimSun"/>
          <w:sz w:val="20"/>
          <w:szCs w:val="20"/>
        </w:rPr>
        <w:t xml:space="preserve"> </w:t>
      </w:r>
      <w:r>
        <w:rPr>
          <w:rFonts w:ascii="SimSun" w:eastAsia="SimSun" w:hAnsi="SimSun" w:cs="SimSun"/>
          <w:spacing w:val="9"/>
          <w:sz w:val="20"/>
          <w:szCs w:val="20"/>
        </w:rPr>
        <w:t>期评价报告并作为评价绿色设计产品的必要条件。</w:t>
      </w:r>
    </w:p>
    <w:p>
      <w:pPr>
        <w:spacing w:before="222" w:line="229" w:lineRule="auto"/>
        <w:rPr>
          <w:rFonts w:ascii="SimHei" w:eastAsia="SimHei" w:hAnsi="SimHei" w:cs="SimHei"/>
          <w:sz w:val="20"/>
          <w:szCs w:val="20"/>
        </w:rPr>
      </w:pPr>
      <w:r>
        <w:rPr>
          <w:rFonts w:ascii="SimHei" w:eastAsia="SimHei" w:hAnsi="SimHei" w:cs="SimHei"/>
          <w:spacing w:val="7"/>
          <w:sz w:val="20"/>
          <w:szCs w:val="20"/>
        </w:rPr>
        <w:t>4.1.2</w:t>
      </w:r>
      <w:r>
        <w:rPr>
          <w:rFonts w:ascii="SimHei" w:eastAsia="SimHei" w:hAnsi="SimHei" w:cs="SimHei"/>
          <w:spacing w:val="7"/>
          <w:sz w:val="20"/>
          <w:szCs w:val="20"/>
        </w:rPr>
        <w:t xml:space="preserve">  </w:t>
      </w:r>
      <w:r>
        <w:rPr>
          <w:rFonts w:ascii="SimHei" w:eastAsia="SimHei" w:hAnsi="SimHei" w:cs="SimHei"/>
          <w:spacing w:val="7"/>
          <w:sz w:val="20"/>
          <w:szCs w:val="20"/>
        </w:rPr>
        <w:t>环境影响种类最优选取原则</w:t>
      </w:r>
    </w:p>
    <w:p>
      <w:pPr>
        <w:pStyle w:val="BodyText"/>
        <w:spacing w:before="220" w:line="273" w:lineRule="auto"/>
        <w:ind w:left="5" w:right="73" w:firstLine="422"/>
        <w:jc w:val="both"/>
        <w:rPr>
          <w:rFonts w:ascii="SimSun" w:eastAsia="SimSun" w:hAnsi="SimSun" w:cs="SimSun"/>
        </w:rPr>
      </w:pPr>
      <w:r>
        <w:rPr>
          <w:rFonts w:ascii="SimSun" w:eastAsia="SimSun" w:hAnsi="SimSun" w:cs="SimSun"/>
          <w:spacing w:val="7"/>
        </w:rPr>
        <w:t>为降低生命周期生命评价的难度，宜选取具有影响大、社会关注度高、国家法律或政策明确要求的</w:t>
      </w:r>
      <w:r>
        <w:rPr>
          <w:rFonts w:ascii="SimSun" w:eastAsia="SimSun" w:hAnsi="SimSun" w:cs="SimSun"/>
          <w:spacing w:val="17"/>
        </w:rPr>
        <w:t xml:space="preserve"> </w:t>
      </w:r>
      <w:r>
        <w:rPr>
          <w:rFonts w:ascii="SimSun" w:eastAsia="SimSun" w:hAnsi="SimSun" w:cs="SimSun"/>
          <w:spacing w:val="9"/>
        </w:rPr>
        <w:t>环境影响种类，通常可在气候变化、臭氧层破坏、水体生态毒性、人体毒性</w:t>
      </w:r>
      <w:r>
        <w:rPr>
          <w:spacing w:val="9"/>
        </w:rPr>
        <w:t>-</w:t>
      </w:r>
      <w:r>
        <w:rPr>
          <w:rFonts w:ascii="SimSun" w:eastAsia="SimSun" w:hAnsi="SimSun" w:cs="SimSun"/>
          <w:spacing w:val="9"/>
        </w:rPr>
        <w:t>癌症影响、人</w:t>
      </w:r>
      <w:r>
        <w:rPr>
          <w:rFonts w:ascii="SimSun" w:eastAsia="SimSun" w:hAnsi="SimSun" w:cs="SimSun"/>
          <w:spacing w:val="8"/>
        </w:rPr>
        <w:t>体毒性</w:t>
      </w:r>
      <w:r>
        <w:rPr>
          <w:spacing w:val="8"/>
        </w:rPr>
        <w:t>-</w:t>
      </w:r>
      <w:r>
        <w:rPr>
          <w:rFonts w:ascii="SimSun" w:eastAsia="SimSun" w:hAnsi="SimSun" w:cs="SimSun"/>
          <w:spacing w:val="8"/>
        </w:rPr>
        <w:t>非癌</w:t>
      </w:r>
      <w:r>
        <w:rPr>
          <w:rFonts w:ascii="SimSun" w:eastAsia="SimSun" w:hAnsi="SimSun" w:cs="SimSun"/>
        </w:rPr>
        <w:t xml:space="preserve"> </w:t>
      </w:r>
      <w:r>
        <w:rPr>
          <w:rFonts w:ascii="SimSun" w:eastAsia="SimSun" w:hAnsi="SimSun" w:cs="SimSun"/>
          <w:spacing w:val="9"/>
        </w:rPr>
        <w:t>症影响、可吸入颗粒物、电离辐射</w:t>
      </w:r>
      <w:r>
        <w:rPr>
          <w:spacing w:val="9"/>
        </w:rPr>
        <w:t>-</w:t>
      </w:r>
      <w:r>
        <w:rPr>
          <w:rFonts w:ascii="SimSun" w:eastAsia="SimSun" w:hAnsi="SimSun" w:cs="SimSun"/>
          <w:spacing w:val="9"/>
        </w:rPr>
        <w:t>人体健康影响、光化学臭氧生成潜势、酸化、富营养化</w:t>
      </w:r>
      <w:r>
        <w:rPr>
          <w:spacing w:val="8"/>
        </w:rPr>
        <w:t>-</w:t>
      </w:r>
      <w:r>
        <w:rPr>
          <w:rFonts w:ascii="SimSun" w:eastAsia="SimSun" w:hAnsi="SimSun" w:cs="SimSun"/>
          <w:spacing w:val="8"/>
        </w:rPr>
        <w:t>陆地、富营</w:t>
      </w:r>
      <w:r>
        <w:rPr>
          <w:rFonts w:ascii="SimSun" w:eastAsia="SimSun" w:hAnsi="SimSun" w:cs="SimSun"/>
        </w:rPr>
        <w:t xml:space="preserve"> </w:t>
      </w:r>
      <w:r>
        <w:rPr>
          <w:rFonts w:ascii="SimSun" w:eastAsia="SimSun" w:hAnsi="SimSun" w:cs="SimSun"/>
          <w:spacing w:val="9"/>
        </w:rPr>
        <w:t>养化</w:t>
      </w:r>
      <w:r>
        <w:rPr>
          <w:spacing w:val="9"/>
        </w:rPr>
        <w:t>-</w:t>
      </w:r>
      <w:r>
        <w:rPr>
          <w:rFonts w:ascii="SimSun" w:eastAsia="SimSun" w:hAnsi="SimSun" w:cs="SimSun"/>
          <w:spacing w:val="9"/>
        </w:rPr>
        <w:t>水体、水资源消耗、矿物和化石能源消耗、土地利用变化等种类中选取，选取的数量不宜过多。</w:t>
      </w:r>
    </w:p>
    <w:p>
      <w:pPr>
        <w:spacing w:before="221" w:line="229" w:lineRule="auto"/>
        <w:rPr>
          <w:rFonts w:ascii="SimHei" w:eastAsia="SimHei" w:hAnsi="SimHei" w:cs="SimHei"/>
          <w:sz w:val="20"/>
          <w:szCs w:val="20"/>
        </w:rPr>
      </w:pPr>
      <w:r>
        <w:rPr>
          <w:rFonts w:ascii="SimHei" w:eastAsia="SimHei" w:hAnsi="SimHei" w:cs="SimHei"/>
          <w:spacing w:val="6"/>
          <w:sz w:val="20"/>
          <w:szCs w:val="20"/>
        </w:rPr>
        <w:t>4.2</w:t>
      </w:r>
      <w:r>
        <w:rPr>
          <w:rFonts w:ascii="SimHei" w:eastAsia="SimHei" w:hAnsi="SimHei" w:cs="SimHei"/>
          <w:spacing w:val="6"/>
          <w:sz w:val="20"/>
          <w:szCs w:val="20"/>
        </w:rPr>
        <w:t xml:space="preserve">  </w:t>
      </w:r>
      <w:r>
        <w:rPr>
          <w:rFonts w:ascii="SimHei" w:eastAsia="SimHei" w:hAnsi="SimHei" w:cs="SimHei"/>
          <w:spacing w:val="6"/>
          <w:sz w:val="20"/>
          <w:szCs w:val="20"/>
        </w:rPr>
        <w:t>评价方法</w:t>
      </w:r>
    </w:p>
    <w:p>
      <w:pPr>
        <w:spacing w:before="220" w:line="258" w:lineRule="auto"/>
        <w:ind w:left="22" w:right="70" w:firstLine="403"/>
        <w:rPr>
          <w:rFonts w:ascii="SimSun" w:eastAsia="SimSun" w:hAnsi="SimSun" w:cs="SimSun"/>
          <w:sz w:val="20"/>
          <w:szCs w:val="20"/>
        </w:rPr>
      </w:pPr>
      <w:r>
        <w:rPr>
          <w:rFonts w:ascii="SimSun" w:eastAsia="SimSun" w:hAnsi="SimSun" w:cs="SimSun"/>
          <w:spacing w:val="8"/>
          <w:sz w:val="20"/>
          <w:szCs w:val="20"/>
        </w:rPr>
        <w:t>本文件采用指标评价和生命周期评价相结合的方法</w:t>
      </w:r>
      <w:r>
        <w:rPr>
          <w:rFonts w:ascii="SimSun" w:eastAsia="SimSun" w:hAnsi="SimSun" w:cs="SimSun"/>
          <w:spacing w:val="7"/>
          <w:sz w:val="20"/>
          <w:szCs w:val="20"/>
        </w:rPr>
        <w:t>。碳素结构钢和低合金结构钢热轧钢板及钢带产</w:t>
      </w:r>
      <w:r>
        <w:rPr>
          <w:rFonts w:ascii="SimSun" w:eastAsia="SimSun" w:hAnsi="SimSun" w:cs="SimSun"/>
          <w:sz w:val="20"/>
          <w:szCs w:val="20"/>
        </w:rPr>
        <w:t xml:space="preserve"> </w:t>
      </w:r>
      <w:r>
        <w:rPr>
          <w:rFonts w:ascii="SimSun" w:eastAsia="SimSun" w:hAnsi="SimSun" w:cs="SimSun"/>
          <w:spacing w:val="8"/>
          <w:sz w:val="20"/>
          <w:szCs w:val="20"/>
        </w:rPr>
        <w:t>品应同时满足以下两个条件，可判定为绿色设计产品：</w:t>
      </w:r>
    </w:p>
    <w:p>
      <w:pPr>
        <w:pStyle w:val="BodyText"/>
        <w:spacing w:before="65" w:line="227" w:lineRule="auto"/>
        <w:ind w:left="425"/>
        <w:rPr>
          <w:rFonts w:ascii="SimSun" w:eastAsia="SimSun" w:hAnsi="SimSun" w:cs="SimSun"/>
        </w:rPr>
      </w:pPr>
      <w:r>
        <w:rPr>
          <w:spacing w:val="6"/>
        </w:rPr>
        <w:t>a</w:t>
      </w:r>
      <w:r>
        <w:rPr>
          <w:spacing w:val="-19"/>
        </w:rPr>
        <w:t xml:space="preserve"> </w:t>
      </w:r>
      <w:r>
        <w:rPr>
          <w:rFonts w:ascii="SimSun" w:eastAsia="SimSun" w:hAnsi="SimSun" w:cs="SimSun"/>
          <w:spacing w:val="6"/>
        </w:rPr>
        <w:t>）满足基本要求（见</w:t>
      </w:r>
      <w:r>
        <w:rPr>
          <w:spacing w:val="6"/>
        </w:rPr>
        <w:t>5.</w:t>
      </w:r>
      <w:r>
        <w:rPr>
          <w:spacing w:val="-25"/>
        </w:rPr>
        <w:t xml:space="preserve"> </w:t>
      </w:r>
      <w:r>
        <w:rPr>
          <w:spacing w:val="6"/>
        </w:rPr>
        <w:t>1</w:t>
      </w:r>
      <w:r>
        <w:rPr>
          <w:rFonts w:ascii="SimSun" w:eastAsia="SimSun" w:hAnsi="SimSun" w:cs="SimSun"/>
          <w:spacing w:val="6"/>
        </w:rPr>
        <w:t>）和评价指标要求（见</w:t>
      </w:r>
      <w:r>
        <w:rPr>
          <w:spacing w:val="5"/>
        </w:rPr>
        <w:t>5.2</w:t>
      </w:r>
      <w:r>
        <w:rPr>
          <w:rFonts w:ascii="SimSun" w:eastAsia="SimSun" w:hAnsi="SimSun" w:cs="SimSun"/>
        </w:rPr>
        <w:t>）；</w:t>
      </w:r>
    </w:p>
    <w:p>
      <w:pPr>
        <w:pStyle w:val="BodyText"/>
        <w:spacing w:before="35" w:line="655" w:lineRule="exact"/>
        <w:ind w:left="417"/>
        <w:rPr>
          <w:rFonts w:ascii="SimSun" w:eastAsia="SimSun" w:hAnsi="SimSun" w:cs="SimSun"/>
        </w:rPr>
      </w:pPr>
      <w:r>
        <w:rPr>
          <w:spacing w:val="9"/>
          <w:position w:val="32"/>
        </w:rPr>
        <w:t>b</w:t>
      </w:r>
      <w:r>
        <w:rPr>
          <w:rFonts w:ascii="SimSun" w:eastAsia="SimSun" w:hAnsi="SimSun" w:cs="SimSun"/>
          <w:spacing w:val="9"/>
          <w:position w:val="32"/>
        </w:rPr>
        <w:t>）提供碳素结构钢和低合金结构钢热轧钢板及钢带产品生命周期评价报告（见</w:t>
      </w:r>
      <w:r>
        <w:rPr>
          <w:spacing w:val="8"/>
          <w:position w:val="32"/>
        </w:rPr>
        <w:t>6.2</w:t>
      </w:r>
      <w:r>
        <w:rPr>
          <w:rFonts w:ascii="SimSun" w:eastAsia="SimSun" w:hAnsi="SimSun" w:cs="SimSun"/>
          <w:spacing w:val="8"/>
          <w:position w:val="32"/>
        </w:rPr>
        <w:t>）。</w:t>
      </w:r>
    </w:p>
    <w:p>
      <w:pPr>
        <w:spacing w:before="1" w:line="229" w:lineRule="auto"/>
        <w:rPr>
          <w:rFonts w:ascii="SimHei" w:eastAsia="SimHei" w:hAnsi="SimHei" w:cs="SimHei"/>
          <w:sz w:val="20"/>
          <w:szCs w:val="20"/>
        </w:rPr>
        <w:sectPr>
          <w:footerReference w:type="default" r:id="rId6"/>
          <w:pgSz w:w="11906" w:h="16839"/>
          <w:pgMar w:top="1431" w:right="1063" w:bottom="1312" w:left="1420" w:header="0" w:footer="1134" w:gutter="0"/>
          <w:pgNumType w:start="3"/>
          <w:cols w:space="708"/>
        </w:sectPr>
      </w:pPr>
      <w:r>
        <w:rPr>
          <w:rFonts w:ascii="SimHei" w:eastAsia="SimHei" w:hAnsi="SimHei" w:cs="SimHei"/>
          <w:spacing w:val="6"/>
          <w:sz w:val="20"/>
          <w:szCs w:val="20"/>
        </w:rPr>
        <w:t>5</w:t>
      </w:r>
      <w:r>
        <w:rPr>
          <w:rFonts w:ascii="SimHei" w:eastAsia="SimHei" w:hAnsi="SimHei" w:cs="SimHei"/>
          <w:spacing w:val="8"/>
          <w:sz w:val="20"/>
          <w:szCs w:val="20"/>
        </w:rPr>
        <w:t xml:space="preserve">  </w:t>
      </w:r>
      <w:r>
        <w:rPr>
          <w:rFonts w:ascii="SimHei" w:eastAsia="SimHei" w:hAnsi="SimHei" w:cs="SimHei"/>
          <w:spacing w:val="6"/>
          <w:sz w:val="20"/>
          <w:szCs w:val="20"/>
        </w:rPr>
        <w:t>评价要求</w:t>
      </w:r>
    </w:p>
    <w:p>
      <w:pPr>
        <w:spacing w:line="307" w:lineRule="auto"/>
        <w:rPr>
          <w:rFonts w:ascii="Arial"/>
          <w:sz w:val="21"/>
        </w:rPr>
      </w:pPr>
    </w:p>
    <w:p>
      <w:pPr>
        <w:spacing w:before="66" w:line="231" w:lineRule="auto"/>
        <w:rPr>
          <w:rFonts w:ascii="SimHei" w:eastAsia="SimHei" w:hAnsi="SimHei" w:cs="SimHei"/>
          <w:sz w:val="20"/>
          <w:szCs w:val="20"/>
        </w:rPr>
      </w:pPr>
      <w:r>
        <w:rPr>
          <w:rFonts w:ascii="SimHei" w:eastAsia="SimHei" w:hAnsi="SimHei" w:cs="SimHei"/>
          <w:spacing w:val="6"/>
          <w:sz w:val="20"/>
          <w:szCs w:val="20"/>
        </w:rPr>
        <w:t>5.1</w:t>
      </w:r>
      <w:r>
        <w:rPr>
          <w:rFonts w:ascii="SimHei" w:eastAsia="SimHei" w:hAnsi="SimHei" w:cs="SimHei"/>
          <w:spacing w:val="6"/>
          <w:sz w:val="20"/>
          <w:szCs w:val="20"/>
        </w:rPr>
        <w:t xml:space="preserve">  </w:t>
      </w:r>
      <w:r>
        <w:rPr>
          <w:rFonts w:ascii="SimHei" w:eastAsia="SimHei" w:hAnsi="SimHei" w:cs="SimHei"/>
          <w:spacing w:val="6"/>
          <w:sz w:val="20"/>
          <w:szCs w:val="20"/>
        </w:rPr>
        <w:t>基本要求</w:t>
      </w:r>
    </w:p>
    <w:p>
      <w:pPr>
        <w:spacing w:before="217" w:line="228" w:lineRule="auto"/>
        <w:ind w:left="425"/>
        <w:rPr>
          <w:rFonts w:ascii="SimSun" w:eastAsia="SimSun" w:hAnsi="SimSun" w:cs="SimSun"/>
          <w:sz w:val="20"/>
          <w:szCs w:val="20"/>
        </w:rPr>
      </w:pPr>
      <w:r>
        <w:rPr>
          <w:rFonts w:ascii="SimSun" w:eastAsia="SimSun" w:hAnsi="SimSun" w:cs="SimSun"/>
          <w:spacing w:val="9"/>
          <w:sz w:val="20"/>
          <w:szCs w:val="20"/>
        </w:rPr>
        <w:t>碳素结构钢和低合金结构钢热轧钢板及钢带生产企业应满足以下要求，包括但不限于：</w:t>
      </w:r>
    </w:p>
    <w:p>
      <w:pPr>
        <w:spacing w:line="228" w:lineRule="auto"/>
        <w:rPr>
          <w:rFonts w:ascii="SimSun" w:eastAsia="SimSun" w:hAnsi="SimSun" w:cs="SimSun"/>
          <w:sz w:val="20"/>
          <w:szCs w:val="20"/>
        </w:rPr>
        <w:sectPr>
          <w:footerReference w:type="default" r:id="rId7"/>
          <w:type w:val="nextPage"/>
          <w:pgSz w:w="11906" w:h="16839"/>
          <w:pgMar w:top="1431" w:right="1063" w:bottom="1312" w:left="1420" w:header="0" w:footer="1134" w:gutter="0"/>
          <w:pgNumType w:start="4"/>
          <w:cols w:space="708"/>
          <w:titlePg w:val="0"/>
        </w:sectPr>
      </w:pPr>
    </w:p>
    <w:p>
      <w:pPr>
        <w:pStyle w:val="BodyText"/>
        <w:spacing w:before="244" w:line="259" w:lineRule="auto"/>
        <w:ind w:left="123" w:right="175" w:firstLine="417"/>
        <w:rPr>
          <w:rFonts w:ascii="SimSun" w:eastAsia="SimSun" w:hAnsi="SimSun" w:cs="SimSun"/>
        </w:rPr>
      </w:pPr>
      <w:r>
        <w:rPr>
          <w:spacing w:val="8"/>
        </w:rPr>
        <w:t>a</w:t>
      </w:r>
      <w:r>
        <w:rPr>
          <w:spacing w:val="-9"/>
        </w:rPr>
        <w:t xml:space="preserve"> </w:t>
      </w:r>
      <w:r>
        <w:rPr>
          <w:rFonts w:ascii="SimSun" w:eastAsia="SimSun" w:hAnsi="SimSun" w:cs="SimSun"/>
          <w:spacing w:val="8"/>
        </w:rPr>
        <w:t>）应符合安全生产规范，生产企业三年内（投产不足三年的，</w:t>
      </w:r>
      <w:r>
        <w:rPr>
          <w:rFonts w:ascii="SimSun" w:eastAsia="SimSun" w:hAnsi="SimSun" w:cs="SimSun"/>
          <w:spacing w:val="-50"/>
        </w:rPr>
        <w:t xml:space="preserve"> </w:t>
      </w:r>
      <w:r>
        <w:rPr>
          <w:rFonts w:ascii="SimSun" w:eastAsia="SimSun" w:hAnsi="SimSun" w:cs="SimSun"/>
          <w:spacing w:val="8"/>
        </w:rPr>
        <w:t>自投产之日起）无重大安全和环境</w:t>
      </w:r>
      <w:r>
        <w:rPr>
          <w:rFonts w:ascii="SimSun" w:eastAsia="SimSun" w:hAnsi="SimSun" w:cs="SimSun"/>
        </w:rPr>
        <w:t xml:space="preserve"> </w:t>
      </w:r>
      <w:r>
        <w:rPr>
          <w:rFonts w:ascii="SimSun" w:eastAsia="SimSun" w:hAnsi="SimSun" w:cs="SimSun"/>
          <w:spacing w:val="5"/>
        </w:rPr>
        <w:t>污染事故；</w:t>
      </w:r>
    </w:p>
    <w:p>
      <w:pPr>
        <w:pStyle w:val="BodyText"/>
        <w:spacing w:before="33" w:line="272" w:lineRule="auto"/>
        <w:ind w:left="123" w:right="177" w:firstLine="409"/>
        <w:rPr>
          <w:rFonts w:ascii="SimSun" w:eastAsia="SimSun" w:hAnsi="SimSun" w:cs="SimSun"/>
        </w:rPr>
      </w:pPr>
      <w:r>
        <w:rPr>
          <w:spacing w:val="10"/>
        </w:rPr>
        <w:t>b</w:t>
      </w:r>
      <w:r>
        <w:rPr>
          <w:rFonts w:ascii="SimSun" w:eastAsia="SimSun" w:hAnsi="SimSun" w:cs="SimSun"/>
          <w:spacing w:val="10"/>
        </w:rPr>
        <w:t>）生产企业宜采用国家鼓励的先进技术和工艺，不应使用国家或有关部门发布的淘汰或禁止的技</w:t>
      </w:r>
      <w:r>
        <w:rPr>
          <w:rFonts w:ascii="SimSun" w:eastAsia="SimSun" w:hAnsi="SimSun" w:cs="SimSun"/>
        </w:rPr>
        <w:t xml:space="preserve"> </w:t>
      </w:r>
      <w:r>
        <w:rPr>
          <w:rFonts w:ascii="SimSun" w:eastAsia="SimSun" w:hAnsi="SimSun" w:cs="SimSun"/>
          <w:spacing w:val="8"/>
        </w:rPr>
        <w:t>术、工艺、装备及相关物质；</w:t>
      </w:r>
    </w:p>
    <w:p>
      <w:pPr>
        <w:pStyle w:val="BodyText"/>
        <w:spacing w:before="64" w:line="268" w:lineRule="auto"/>
        <w:ind w:left="122" w:right="104" w:firstLine="418"/>
        <w:rPr>
          <w:rFonts w:ascii="SimSun" w:eastAsia="SimSun" w:hAnsi="SimSun" w:cs="SimSun"/>
        </w:rPr>
      </w:pPr>
      <w:r>
        <w:rPr>
          <w:spacing w:val="9"/>
        </w:rPr>
        <w:t>c</w:t>
      </w:r>
      <w:r>
        <w:rPr>
          <w:spacing w:val="-19"/>
        </w:rPr>
        <w:t xml:space="preserve"> </w:t>
      </w:r>
      <w:r>
        <w:rPr>
          <w:rFonts w:ascii="SimSun" w:eastAsia="SimSun" w:hAnsi="SimSun" w:cs="SimSun"/>
          <w:spacing w:val="9"/>
        </w:rPr>
        <w:t xml:space="preserve">）固体废物应有专门的贮存场所，避免扬散、流失和渗漏；生产过程应配备粉尘回收装置；减少 </w:t>
      </w:r>
      <w:r>
        <w:rPr>
          <w:rFonts w:ascii="SimSun" w:eastAsia="SimSun" w:hAnsi="SimSun" w:cs="SimSun"/>
          <w:spacing w:val="5"/>
        </w:rPr>
        <w:t>固体废物的产生量，充分合理利用和无害化处置固体废弃物；生产</w:t>
      </w:r>
      <w:r>
        <w:rPr>
          <w:rFonts w:ascii="SimSun" w:eastAsia="SimSun" w:hAnsi="SimSun" w:cs="SimSun"/>
          <w:spacing w:val="4"/>
        </w:rPr>
        <w:t>企业应符合国家和地方有关环境法律、</w:t>
      </w:r>
      <w:r>
        <w:rPr>
          <w:rFonts w:ascii="SimSun" w:eastAsia="SimSun" w:hAnsi="SimSun" w:cs="SimSun"/>
        </w:rPr>
        <w:t xml:space="preserve"> </w:t>
      </w:r>
      <w:r>
        <w:rPr>
          <w:rFonts w:ascii="SimSun" w:eastAsia="SimSun" w:hAnsi="SimSun" w:cs="SimSun"/>
          <w:spacing w:val="9"/>
        </w:rPr>
        <w:t>法规、污染物排放达到国家和地方排放控制和排污许可管理要求；</w:t>
      </w:r>
    </w:p>
    <w:p>
      <w:pPr>
        <w:pStyle w:val="BodyText"/>
        <w:spacing w:before="34" w:line="274" w:lineRule="exact"/>
        <w:jc w:val="right"/>
        <w:rPr>
          <w:rFonts w:ascii="SimSun" w:eastAsia="SimSun" w:hAnsi="SimSun" w:cs="SimSun"/>
        </w:rPr>
      </w:pPr>
      <w:r>
        <w:rPr>
          <w:spacing w:val="6"/>
          <w:position w:val="1"/>
        </w:rPr>
        <w:t>d</w:t>
      </w:r>
      <w:r>
        <w:rPr>
          <w:rFonts w:ascii="SimSun" w:eastAsia="SimSun" w:hAnsi="SimSun" w:cs="SimSun"/>
          <w:spacing w:val="6"/>
          <w:position w:val="1"/>
        </w:rPr>
        <w:t>）应确保参与绿色设计产品评价的产品质量符合</w:t>
      </w:r>
      <w:r>
        <w:rPr>
          <w:position w:val="1"/>
        </w:rPr>
        <w:t>GB</w:t>
      </w:r>
      <w:r>
        <w:rPr>
          <w:spacing w:val="6"/>
          <w:position w:val="1"/>
        </w:rPr>
        <w:t>/T 3274</w:t>
      </w:r>
      <w:r>
        <w:rPr>
          <w:rFonts w:ascii="SimSun" w:eastAsia="SimSun" w:hAnsi="SimSun" w:cs="SimSun"/>
          <w:spacing w:val="6"/>
          <w:position w:val="1"/>
        </w:rPr>
        <w:t>的规定，并满足用户设计和使用的要求。</w:t>
      </w:r>
    </w:p>
    <w:p>
      <w:pPr>
        <w:pStyle w:val="BodyText"/>
        <w:spacing w:before="39" w:line="272" w:lineRule="auto"/>
        <w:ind w:left="123" w:right="174" w:firstLine="417"/>
        <w:rPr>
          <w:rFonts w:ascii="SimSun" w:eastAsia="SimSun" w:hAnsi="SimSun" w:cs="SimSun"/>
        </w:rPr>
      </w:pPr>
      <w:r>
        <w:rPr>
          <w:spacing w:val="6"/>
        </w:rPr>
        <w:t>e</w:t>
      </w:r>
      <w:r>
        <w:rPr>
          <w:spacing w:val="-19"/>
        </w:rPr>
        <w:t xml:space="preserve"> </w:t>
      </w:r>
      <w:r>
        <w:rPr>
          <w:rFonts w:ascii="SimSun" w:eastAsia="SimSun" w:hAnsi="SimSun" w:cs="SimSun"/>
          <w:spacing w:val="6"/>
        </w:rPr>
        <w:t>）生产企业应按照</w:t>
      </w:r>
      <w:r>
        <w:t>GB</w:t>
      </w:r>
      <w:r>
        <w:rPr>
          <w:spacing w:val="6"/>
        </w:rPr>
        <w:t>/T</w:t>
      </w:r>
      <w:r>
        <w:rPr>
          <w:spacing w:val="27"/>
        </w:rPr>
        <w:t xml:space="preserve"> </w:t>
      </w:r>
      <w:r>
        <w:rPr>
          <w:spacing w:val="6"/>
        </w:rPr>
        <w:t>19001</w:t>
      </w:r>
      <w:r>
        <w:rPr>
          <w:spacing w:val="-26"/>
        </w:rPr>
        <w:t xml:space="preserve"> </w:t>
      </w:r>
      <w:r>
        <w:rPr>
          <w:rFonts w:ascii="SimSun" w:eastAsia="SimSun" w:hAnsi="SimSun" w:cs="SimSun"/>
          <w:spacing w:val="6"/>
        </w:rPr>
        <w:t>、</w:t>
      </w:r>
      <w:r>
        <w:t>GB</w:t>
      </w:r>
      <w:r>
        <w:rPr>
          <w:spacing w:val="6"/>
        </w:rPr>
        <w:t>/T 23331</w:t>
      </w:r>
      <w:r>
        <w:rPr>
          <w:spacing w:val="-26"/>
        </w:rPr>
        <w:t xml:space="preserve"> </w:t>
      </w:r>
      <w:r>
        <w:rPr>
          <w:rFonts w:ascii="SimSun" w:eastAsia="SimSun" w:hAnsi="SimSun" w:cs="SimSun"/>
          <w:spacing w:val="6"/>
        </w:rPr>
        <w:t>、</w:t>
      </w:r>
      <w:r>
        <w:t>GB</w:t>
      </w:r>
      <w:r>
        <w:rPr>
          <w:spacing w:val="6"/>
        </w:rPr>
        <w:t>/T 24001</w:t>
      </w:r>
      <w:r>
        <w:rPr>
          <w:rFonts w:ascii="SimSun" w:eastAsia="SimSun" w:hAnsi="SimSun" w:cs="SimSun"/>
          <w:spacing w:val="6"/>
        </w:rPr>
        <w:t>和</w:t>
      </w:r>
      <w:r>
        <w:t>GB</w:t>
      </w:r>
      <w:r>
        <w:rPr>
          <w:spacing w:val="6"/>
        </w:rPr>
        <w:t>/T</w:t>
      </w:r>
      <w:r>
        <w:rPr>
          <w:spacing w:val="5"/>
        </w:rPr>
        <w:t xml:space="preserve"> 45001</w:t>
      </w:r>
      <w:r>
        <w:rPr>
          <w:rFonts w:ascii="SimSun" w:eastAsia="SimSun" w:hAnsi="SimSun" w:cs="SimSun"/>
          <w:spacing w:val="5"/>
        </w:rPr>
        <w:t>分别建立、实施、保持并</w:t>
      </w:r>
      <w:r>
        <w:rPr>
          <w:rFonts w:ascii="SimSun" w:eastAsia="SimSun" w:hAnsi="SimSun" w:cs="SimSun"/>
        </w:rPr>
        <w:t xml:space="preserve"> </w:t>
      </w:r>
      <w:r>
        <w:rPr>
          <w:rFonts w:ascii="SimSun" w:eastAsia="SimSun" w:hAnsi="SimSun" w:cs="SimSun"/>
          <w:spacing w:val="9"/>
        </w:rPr>
        <w:t>持续改进质量管理、能源管理、环境管理和职业健康安全管理体系；</w:t>
      </w:r>
    </w:p>
    <w:p>
      <w:pPr>
        <w:pStyle w:val="BodyText"/>
        <w:spacing w:before="33" w:line="273" w:lineRule="auto"/>
        <w:ind w:left="123" w:right="174" w:firstLine="417"/>
        <w:rPr>
          <w:rFonts w:ascii="SimSun" w:eastAsia="SimSun" w:hAnsi="SimSun" w:cs="SimSun"/>
        </w:rPr>
      </w:pPr>
      <w:r>
        <w:rPr>
          <w:spacing w:val="9"/>
        </w:rPr>
        <w:t>f</w:t>
      </w:r>
      <w:r>
        <w:rPr>
          <w:rFonts w:ascii="SimSun" w:eastAsia="SimSun" w:hAnsi="SimSun" w:cs="SimSun"/>
          <w:spacing w:val="9"/>
        </w:rPr>
        <w:t>）生产企业应按照</w:t>
      </w:r>
      <w:r>
        <w:t>GB</w:t>
      </w:r>
      <w:r>
        <w:rPr>
          <w:spacing w:val="33"/>
        </w:rPr>
        <w:t xml:space="preserve"> </w:t>
      </w:r>
      <w:r>
        <w:rPr>
          <w:spacing w:val="9"/>
        </w:rPr>
        <w:t>17167</w:t>
      </w:r>
      <w:r>
        <w:rPr>
          <w:rFonts w:ascii="SimSun" w:eastAsia="SimSun" w:hAnsi="SimSun" w:cs="SimSun"/>
          <w:spacing w:val="9"/>
        </w:rPr>
        <w:t>配备能源计量器具，并根据环保法律法规和标准要求开展污染物监测</w:t>
      </w:r>
      <w:r>
        <w:rPr>
          <w:rFonts w:ascii="SimSun" w:eastAsia="SimSun" w:hAnsi="SimSun" w:cs="SimSun"/>
        </w:rPr>
        <w:t xml:space="preserve"> </w:t>
      </w:r>
      <w:r>
        <w:rPr>
          <w:rFonts w:ascii="SimSun" w:eastAsia="SimSun" w:hAnsi="SimSun" w:cs="SimSun"/>
          <w:spacing w:val="7"/>
        </w:rPr>
        <w:t>或配备在线监测设备。</w:t>
      </w:r>
    </w:p>
    <w:p>
      <w:pPr>
        <w:spacing w:before="220" w:line="230" w:lineRule="auto"/>
        <w:ind w:left="116"/>
        <w:rPr>
          <w:rFonts w:ascii="SimHei" w:eastAsia="SimHei" w:hAnsi="SimHei" w:cs="SimHei"/>
          <w:sz w:val="20"/>
          <w:szCs w:val="20"/>
        </w:rPr>
      </w:pPr>
      <w:r>
        <w:rPr>
          <w:rFonts w:ascii="SimHei" w:eastAsia="SimHei" w:hAnsi="SimHei" w:cs="SimHei"/>
          <w:spacing w:val="7"/>
          <w:sz w:val="20"/>
          <w:szCs w:val="20"/>
        </w:rPr>
        <w:t>5.2</w:t>
      </w:r>
      <w:r>
        <w:rPr>
          <w:rFonts w:ascii="SimHei" w:eastAsia="SimHei" w:hAnsi="SimHei" w:cs="SimHei"/>
          <w:spacing w:val="7"/>
          <w:sz w:val="20"/>
          <w:szCs w:val="20"/>
        </w:rPr>
        <w:t xml:space="preserve">  </w:t>
      </w:r>
      <w:r>
        <w:rPr>
          <w:rFonts w:ascii="SimHei" w:eastAsia="SimHei" w:hAnsi="SimHei" w:cs="SimHei"/>
          <w:spacing w:val="7"/>
          <w:sz w:val="20"/>
          <w:szCs w:val="20"/>
        </w:rPr>
        <w:t>评价指标要求</w:t>
      </w:r>
    </w:p>
    <w:p>
      <w:pPr>
        <w:spacing w:before="219" w:line="258" w:lineRule="auto"/>
        <w:ind w:left="121" w:right="177" w:firstLine="420"/>
        <w:rPr>
          <w:rFonts w:ascii="SimSun" w:eastAsia="SimSun" w:hAnsi="SimSun" w:cs="SimSun"/>
          <w:sz w:val="20"/>
          <w:szCs w:val="20"/>
        </w:rPr>
      </w:pPr>
      <w:r>
        <w:rPr>
          <w:rFonts w:ascii="SimSun" w:eastAsia="SimSun" w:hAnsi="SimSun" w:cs="SimSun"/>
          <w:spacing w:val="8"/>
          <w:sz w:val="20"/>
          <w:szCs w:val="20"/>
        </w:rPr>
        <w:t>碳素结构钢和低合金结构钢热轧钢板及钢带的</w:t>
      </w:r>
      <w:r>
        <w:rPr>
          <w:rFonts w:ascii="SimSun" w:eastAsia="SimSun" w:hAnsi="SimSun" w:cs="SimSun"/>
          <w:spacing w:val="7"/>
          <w:sz w:val="20"/>
          <w:szCs w:val="20"/>
        </w:rPr>
        <w:t>评价指标由一级指标和二级指标组成，其中一级指标</w:t>
      </w:r>
      <w:r>
        <w:rPr>
          <w:rFonts w:ascii="SimSun" w:eastAsia="SimSun" w:hAnsi="SimSun" w:cs="SimSun"/>
          <w:sz w:val="20"/>
          <w:szCs w:val="20"/>
        </w:rPr>
        <w:t xml:space="preserve"> </w:t>
      </w:r>
      <w:r>
        <w:rPr>
          <w:rFonts w:ascii="SimSun" w:eastAsia="SimSun" w:hAnsi="SimSun" w:cs="SimSun"/>
          <w:spacing w:val="9"/>
          <w:sz w:val="20"/>
          <w:szCs w:val="20"/>
        </w:rPr>
        <w:t>包括资源属性指标、能源属性指标、环境属性指标、产品属性指标和低碳属性指标。</w:t>
      </w:r>
    </w:p>
    <w:p>
      <w:pPr>
        <w:pStyle w:val="BodyText"/>
        <w:spacing w:before="64" w:line="227" w:lineRule="auto"/>
        <w:ind w:left="541"/>
        <w:rPr>
          <w:rFonts w:ascii="SimSun" w:eastAsia="SimSun" w:hAnsi="SimSun" w:cs="SimSun"/>
        </w:rPr>
      </w:pPr>
      <w:r>
        <w:rPr>
          <w:rFonts w:ascii="SimSun" w:eastAsia="SimSun" w:hAnsi="SimSun" w:cs="SimSun"/>
          <w:spacing w:val="9"/>
        </w:rPr>
        <w:t>碳素结构钢和低合金结构钢热轧钢板及钢带的评价指标名称、基准值、判定依据等要求见表</w:t>
      </w:r>
      <w:r>
        <w:rPr>
          <w:spacing w:val="9"/>
        </w:rPr>
        <w:t>1</w:t>
      </w:r>
      <w:r>
        <w:rPr>
          <w:rFonts w:ascii="SimSun" w:eastAsia="SimSun" w:hAnsi="SimSun" w:cs="SimSun"/>
          <w:spacing w:val="9"/>
        </w:rPr>
        <w:t>。</w:t>
      </w:r>
    </w:p>
    <w:p>
      <w:pPr>
        <w:spacing w:line="466" w:lineRule="auto"/>
        <w:rPr>
          <w:rFonts w:ascii="Arial"/>
          <w:sz w:val="21"/>
        </w:rPr>
      </w:pPr>
    </w:p>
    <w:p>
      <w:pPr>
        <w:pStyle w:val="BodyText"/>
        <w:spacing w:before="66" w:line="229" w:lineRule="auto"/>
        <w:ind w:left="2123"/>
        <w:rPr>
          <w:rFonts w:ascii="SimHei" w:eastAsia="SimHei" w:hAnsi="SimHei" w:cs="SimHei"/>
        </w:rPr>
      </w:pPr>
      <w:r>
        <w:rPr>
          <w:rFonts w:ascii="SimHei" w:eastAsia="SimHei" w:hAnsi="SimHei" w:cs="SimHei"/>
          <w:spacing w:val="8"/>
        </w:rPr>
        <w:t>表</w:t>
      </w:r>
      <w:r>
        <w:rPr>
          <w:spacing w:val="8"/>
        </w:rPr>
        <w:t xml:space="preserve">1    </w:t>
      </w:r>
      <w:r>
        <w:rPr>
          <w:rFonts w:ascii="SimHei" w:eastAsia="SimHei" w:hAnsi="SimHei" w:cs="SimHei"/>
          <w:spacing w:val="8"/>
        </w:rPr>
        <w:t>碳素结构钢和低合金结构钢热轧钢板及钢带评价指标要求</w:t>
      </w:r>
    </w:p>
    <w:tbl>
      <w:tblPr>
        <w:tblStyle w:val="TableNormal0"/>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6"/>
        <w:gridCol w:w="1180"/>
        <w:gridCol w:w="2392"/>
        <w:gridCol w:w="751"/>
        <w:gridCol w:w="1322"/>
        <w:gridCol w:w="2235"/>
        <w:gridCol w:w="988"/>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706" w:type="dxa"/>
            <w:vAlign w:val="top"/>
          </w:tcPr>
          <w:p>
            <w:pPr>
              <w:pStyle w:val="TableText"/>
              <w:spacing w:before="71" w:line="312" w:lineRule="exact"/>
              <w:ind w:left="180"/>
            </w:pPr>
            <w:r>
              <w:rPr>
                <w:position w:val="9"/>
              </w:rPr>
              <w:t>一级</w:t>
            </w:r>
          </w:p>
          <w:p>
            <w:pPr>
              <w:pStyle w:val="TableText"/>
              <w:spacing w:line="220" w:lineRule="auto"/>
              <w:ind w:left="179"/>
            </w:pPr>
            <w:r>
              <w:rPr>
                <w:spacing w:val="-5"/>
              </w:rPr>
              <w:t>指标</w:t>
            </w:r>
          </w:p>
        </w:tc>
        <w:tc>
          <w:tcPr>
            <w:tcW w:w="3572" w:type="dxa"/>
            <w:gridSpan w:val="2"/>
            <w:vAlign w:val="top"/>
          </w:tcPr>
          <w:p>
            <w:pPr>
              <w:pStyle w:val="TableText"/>
              <w:spacing w:before="227" w:line="221" w:lineRule="auto"/>
              <w:ind w:left="1430"/>
            </w:pPr>
            <w:r>
              <w:rPr>
                <w:spacing w:val="-3"/>
              </w:rPr>
              <w:t>二级指标</w:t>
            </w:r>
          </w:p>
        </w:tc>
        <w:tc>
          <w:tcPr>
            <w:tcW w:w="751" w:type="dxa"/>
            <w:vAlign w:val="top"/>
          </w:tcPr>
          <w:p>
            <w:pPr>
              <w:pStyle w:val="TableText"/>
              <w:spacing w:before="227" w:line="221" w:lineRule="auto"/>
              <w:ind w:left="201"/>
            </w:pPr>
            <w:r>
              <w:rPr>
                <w:spacing w:val="-5"/>
              </w:rPr>
              <w:t>单位</w:t>
            </w:r>
          </w:p>
        </w:tc>
        <w:tc>
          <w:tcPr>
            <w:tcW w:w="1322" w:type="dxa"/>
            <w:vAlign w:val="top"/>
          </w:tcPr>
          <w:p>
            <w:pPr>
              <w:pStyle w:val="TableText"/>
              <w:spacing w:before="227" w:line="220" w:lineRule="auto"/>
              <w:ind w:left="395"/>
            </w:pPr>
            <w:r>
              <w:rPr>
                <w:spacing w:val="-3"/>
              </w:rPr>
              <w:t>基准值</w:t>
            </w:r>
          </w:p>
        </w:tc>
        <w:tc>
          <w:tcPr>
            <w:tcW w:w="2235" w:type="dxa"/>
            <w:vAlign w:val="top"/>
          </w:tcPr>
          <w:p>
            <w:pPr>
              <w:pStyle w:val="TableText"/>
              <w:spacing w:before="227" w:line="219" w:lineRule="auto"/>
              <w:ind w:left="314"/>
            </w:pPr>
            <w:r>
              <w:rPr>
                <w:spacing w:val="-1"/>
              </w:rPr>
              <w:t>测试依据和确认条件</w:t>
            </w:r>
          </w:p>
        </w:tc>
        <w:tc>
          <w:tcPr>
            <w:tcW w:w="988" w:type="dxa"/>
            <w:vAlign w:val="top"/>
          </w:tcPr>
          <w:p>
            <w:pPr>
              <w:pStyle w:val="TableText"/>
              <w:spacing w:before="72" w:line="270" w:lineRule="auto"/>
              <w:ind w:left="137" w:right="132"/>
            </w:pPr>
            <w:r>
              <w:rPr>
                <w:spacing w:val="-2"/>
              </w:rPr>
              <w:t>所属生命</w:t>
            </w:r>
            <w:r>
              <w:t xml:space="preserve"> </w:t>
            </w:r>
            <w:r>
              <w:rPr>
                <w:spacing w:val="-2"/>
              </w:rPr>
              <w:t>周期阶段</w:t>
            </w:r>
          </w:p>
        </w:tc>
      </w:tr>
      <w:tr>
        <w:tblPrEx>
          <w:tblW w:w="9574" w:type="dxa"/>
          <w:tblInd w:w="2" w:type="dxa"/>
          <w:tblLayout w:type="fixed"/>
        </w:tblPrEx>
        <w:trPr>
          <w:trHeight w:val="317"/>
        </w:trPr>
        <w:tc>
          <w:tcPr>
            <w:tcW w:w="706" w:type="dxa"/>
            <w:vMerge w:val="restart"/>
            <w:tcBorders>
              <w:bottom w:val="nil"/>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TableText"/>
              <w:spacing w:before="59" w:line="312" w:lineRule="exact"/>
              <w:ind w:left="185"/>
            </w:pPr>
            <w:r>
              <w:rPr>
                <w:spacing w:val="-8"/>
                <w:position w:val="9"/>
              </w:rPr>
              <w:t>资源</w:t>
            </w:r>
          </w:p>
          <w:p>
            <w:pPr>
              <w:pStyle w:val="TableText"/>
              <w:spacing w:line="221" w:lineRule="auto"/>
              <w:ind w:left="179"/>
            </w:pPr>
            <w:r>
              <w:rPr>
                <w:spacing w:val="-5"/>
              </w:rPr>
              <w:t>属性</w:t>
            </w:r>
          </w:p>
        </w:tc>
        <w:tc>
          <w:tcPr>
            <w:tcW w:w="1180" w:type="dxa"/>
            <w:vMerge w:val="restart"/>
            <w:tcBorders>
              <w:bottom w:val="nil"/>
            </w:tcBorders>
            <w:vAlign w:val="top"/>
          </w:tcPr>
          <w:p>
            <w:pPr>
              <w:spacing w:line="277" w:lineRule="auto"/>
              <w:rPr>
                <w:rFonts w:ascii="Arial"/>
                <w:sz w:val="21"/>
              </w:rPr>
            </w:pPr>
          </w:p>
          <w:p>
            <w:pPr>
              <w:pStyle w:val="TableText"/>
              <w:spacing w:before="59" w:line="271" w:lineRule="auto"/>
              <w:ind w:left="412" w:right="140" w:hanging="267"/>
            </w:pPr>
            <w:r>
              <w:rPr>
                <w:spacing w:val="-3"/>
              </w:rPr>
              <w:t>原材料质量</w:t>
            </w:r>
            <w:r>
              <w:rPr>
                <w:spacing w:val="2"/>
              </w:rPr>
              <w:t xml:space="preserve"> </w:t>
            </w:r>
            <w:r>
              <w:rPr>
                <w:spacing w:val="-4"/>
              </w:rPr>
              <w:t>要求</w:t>
            </w:r>
          </w:p>
        </w:tc>
        <w:tc>
          <w:tcPr>
            <w:tcW w:w="2392" w:type="dxa"/>
            <w:vAlign w:val="top"/>
          </w:tcPr>
          <w:p>
            <w:pPr>
              <w:pStyle w:val="TableText"/>
              <w:spacing w:before="67" w:line="220" w:lineRule="auto"/>
              <w:ind w:left="665"/>
            </w:pPr>
            <w:r>
              <w:rPr>
                <w:spacing w:val="-2"/>
              </w:rPr>
              <w:t>高炉入炉品味</w:t>
            </w:r>
          </w:p>
        </w:tc>
        <w:tc>
          <w:tcPr>
            <w:tcW w:w="751" w:type="dxa"/>
            <w:vAlign w:val="top"/>
          </w:tcPr>
          <w:p>
            <w:pPr>
              <w:spacing w:before="40" w:line="236" w:lineRule="exact"/>
              <w:ind w:left="302"/>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22" w:type="dxa"/>
            <w:vAlign w:val="top"/>
          </w:tcPr>
          <w:p>
            <w:pPr>
              <w:spacing w:before="101" w:line="185" w:lineRule="auto"/>
              <w:ind w:left="52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≥57</w:t>
            </w:r>
          </w:p>
        </w:tc>
        <w:tc>
          <w:tcPr>
            <w:tcW w:w="2235" w:type="dxa"/>
            <w:vMerge w:val="restart"/>
            <w:tcBorders>
              <w:bottom w:val="nil"/>
            </w:tcBorders>
            <w:vAlign w:val="top"/>
          </w:tcPr>
          <w:p>
            <w:pPr>
              <w:pStyle w:val="TableText"/>
              <w:spacing w:before="30" w:line="232" w:lineRule="auto"/>
              <w:ind w:left="113" w:right="104" w:firstLine="2"/>
              <w:jc w:val="both"/>
            </w:pPr>
            <w:r>
              <w:rPr>
                <w:spacing w:val="-1"/>
              </w:rPr>
              <w:t>按照《钢铁行业（高炉炼</w:t>
            </w:r>
            <w:r>
              <w:rPr>
                <w:spacing w:val="1"/>
              </w:rPr>
              <w:t xml:space="preserve"> </w:t>
            </w:r>
            <w:r>
              <w:rPr>
                <w:spacing w:val="-1"/>
              </w:rPr>
              <w:t>铁）清洁生产评价指标体</w:t>
            </w:r>
            <w:r>
              <w:rPr>
                <w:spacing w:val="3"/>
              </w:rPr>
              <w:t xml:space="preserve"> </w:t>
            </w:r>
            <w:r>
              <w:rPr>
                <w:spacing w:val="-8"/>
              </w:rPr>
              <w:t>系》和</w:t>
            </w:r>
            <w:r>
              <w:rPr>
                <w:spacing w:val="-36"/>
              </w:rPr>
              <w:t xml:space="preserve"> </w:t>
            </w:r>
            <w:r>
              <w:rPr>
                <w:rFonts w:ascii="Times New Roman" w:eastAsia="Times New Roman" w:hAnsi="Times New Roman" w:cs="Times New Roman"/>
                <w:spacing w:val="-8"/>
              </w:rPr>
              <w:t>GB</w:t>
            </w:r>
            <w:r>
              <w:rPr>
                <w:rFonts w:ascii="Times New Roman" w:eastAsia="Times New Roman" w:hAnsi="Times New Roman" w:cs="Times New Roman"/>
                <w:spacing w:val="9"/>
              </w:rPr>
              <w:t xml:space="preserve"> </w:t>
            </w:r>
            <w:r>
              <w:rPr>
                <w:rFonts w:ascii="Times New Roman" w:eastAsia="Times New Roman" w:hAnsi="Times New Roman" w:cs="Times New Roman"/>
                <w:spacing w:val="-8"/>
              </w:rPr>
              <w:t>50427</w:t>
            </w:r>
            <w:r>
              <w:rPr>
                <w:rFonts w:ascii="Times New Roman" w:eastAsia="Times New Roman" w:hAnsi="Times New Roman" w:cs="Times New Roman"/>
                <w:spacing w:val="10"/>
              </w:rPr>
              <w:t xml:space="preserve"> </w:t>
            </w:r>
            <w:r>
              <w:rPr>
                <w:spacing w:val="-8"/>
              </w:rPr>
              <w:t>标准，提</w:t>
            </w:r>
            <w:r>
              <w:t xml:space="preserve"> </w:t>
            </w:r>
            <w:r>
              <w:rPr>
                <w:spacing w:val="-1"/>
              </w:rPr>
              <w:t>供采购合同、采购原料清</w:t>
            </w:r>
            <w:r>
              <w:rPr>
                <w:spacing w:val="3"/>
              </w:rPr>
              <w:t xml:space="preserve"> </w:t>
            </w:r>
            <w:r>
              <w:rPr>
                <w:spacing w:val="-1"/>
              </w:rPr>
              <w:t>单及证明材料。</w:t>
            </w:r>
          </w:p>
        </w:tc>
        <w:tc>
          <w:tcPr>
            <w:tcW w:w="988" w:type="dxa"/>
            <w:vMerge w:val="restart"/>
            <w:tcBorders>
              <w:bottom w:val="nil"/>
            </w:tcBorders>
            <w:vAlign w:val="top"/>
          </w:tcPr>
          <w:p>
            <w:pPr>
              <w:spacing w:line="278" w:lineRule="auto"/>
              <w:rPr>
                <w:rFonts w:ascii="Arial"/>
                <w:sz w:val="21"/>
              </w:rPr>
            </w:pPr>
          </w:p>
          <w:p>
            <w:pPr>
              <w:pStyle w:val="TableText"/>
              <w:spacing w:before="58" w:line="271" w:lineRule="auto"/>
              <w:ind w:left="411" w:right="132" w:hanging="269"/>
            </w:pPr>
            <w:r>
              <w:rPr>
                <w:spacing w:val="-3"/>
              </w:rPr>
              <w:t>原材料获</w:t>
            </w:r>
            <w:r>
              <w:t xml:space="preserve"> </w:t>
            </w:r>
            <w:r>
              <w:t>取</w:t>
            </w:r>
          </w:p>
        </w:tc>
      </w:tr>
      <w:tr>
        <w:tblPrEx>
          <w:tblW w:w="9574" w:type="dxa"/>
          <w:tblInd w:w="2" w:type="dxa"/>
          <w:tblLayout w:type="fixed"/>
        </w:tblPrEx>
        <w:trPr>
          <w:trHeight w:val="849"/>
        </w:trPr>
        <w:tc>
          <w:tcPr>
            <w:tcW w:w="706" w:type="dxa"/>
            <w:vMerge/>
            <w:tcBorders>
              <w:top w:val="nil"/>
              <w:bottom w:val="nil"/>
            </w:tcBorders>
            <w:vAlign w:val="top"/>
          </w:tcPr>
          <w:p>
            <w:pPr>
              <w:rPr>
                <w:rFonts w:ascii="Arial"/>
                <w:sz w:val="21"/>
              </w:rPr>
            </w:pPr>
          </w:p>
        </w:tc>
        <w:tc>
          <w:tcPr>
            <w:tcW w:w="1180" w:type="dxa"/>
            <w:vMerge/>
            <w:tcBorders>
              <w:top w:val="nil"/>
            </w:tcBorders>
            <w:vAlign w:val="top"/>
          </w:tcPr>
          <w:p>
            <w:pPr>
              <w:rPr>
                <w:rFonts w:ascii="Arial"/>
                <w:sz w:val="21"/>
              </w:rPr>
            </w:pPr>
          </w:p>
        </w:tc>
        <w:tc>
          <w:tcPr>
            <w:tcW w:w="2392" w:type="dxa"/>
            <w:vAlign w:val="top"/>
          </w:tcPr>
          <w:p>
            <w:pPr>
              <w:spacing w:line="272" w:lineRule="auto"/>
              <w:rPr>
                <w:rFonts w:ascii="Arial"/>
                <w:sz w:val="21"/>
              </w:rPr>
            </w:pPr>
          </w:p>
          <w:p>
            <w:pPr>
              <w:pStyle w:val="TableText"/>
              <w:spacing w:before="59" w:line="221" w:lineRule="auto"/>
              <w:ind w:left="928"/>
            </w:pPr>
            <w:r>
              <w:rPr>
                <w:spacing w:val="-3"/>
              </w:rPr>
              <w:t>废钢铁</w:t>
            </w:r>
          </w:p>
        </w:tc>
        <w:tc>
          <w:tcPr>
            <w:tcW w:w="751" w:type="dxa"/>
            <w:vAlign w:val="top"/>
          </w:tcPr>
          <w:p>
            <w:pPr>
              <w:spacing w:line="385" w:lineRule="auto"/>
              <w:rPr>
                <w:rFonts w:ascii="Arial"/>
                <w:sz w:val="21"/>
              </w:rPr>
            </w:pPr>
          </w:p>
          <w:p>
            <w:pPr>
              <w:spacing w:before="52" w:line="87" w:lineRule="exact"/>
              <w:ind w:left="34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22" w:type="dxa"/>
            <w:vAlign w:val="top"/>
          </w:tcPr>
          <w:p>
            <w:pPr>
              <w:pStyle w:val="TableText"/>
              <w:spacing w:before="100" w:line="212" w:lineRule="auto"/>
              <w:ind w:right="14"/>
              <w:jc w:val="right"/>
            </w:pPr>
            <w:r>
              <w:rPr>
                <w:spacing w:val="-11"/>
              </w:rPr>
              <w:t>符合《废钢铁》</w:t>
            </w:r>
          </w:p>
          <w:p>
            <w:pPr>
              <w:pStyle w:val="TableText"/>
              <w:spacing w:line="259" w:lineRule="exact"/>
              <w:ind w:left="121"/>
            </w:pPr>
            <w:r>
              <w:rPr>
                <w:spacing w:val="-2"/>
                <w:position w:val="1"/>
              </w:rPr>
              <w:t>（</w:t>
            </w:r>
            <w:r>
              <w:rPr>
                <w:rFonts w:ascii="Times New Roman" w:eastAsia="Times New Roman" w:hAnsi="Times New Roman" w:cs="Times New Roman"/>
                <w:spacing w:val="-2"/>
                <w:position w:val="1"/>
              </w:rPr>
              <w:t>GB/T 4223</w:t>
            </w:r>
            <w:r>
              <w:rPr>
                <w:spacing w:val="-2"/>
                <w:position w:val="1"/>
              </w:rPr>
              <w:t>）</w:t>
            </w:r>
          </w:p>
          <w:p>
            <w:pPr>
              <w:pStyle w:val="TableText"/>
              <w:spacing w:line="220" w:lineRule="auto"/>
              <w:ind w:left="306"/>
            </w:pPr>
            <w:r>
              <w:rPr>
                <w:spacing w:val="-2"/>
              </w:rPr>
              <w:t>标准要求</w:t>
            </w:r>
          </w:p>
        </w:tc>
        <w:tc>
          <w:tcPr>
            <w:tcW w:w="2235" w:type="dxa"/>
            <w:vMerge/>
            <w:tcBorders>
              <w:top w:val="nil"/>
            </w:tcBorders>
            <w:vAlign w:val="top"/>
          </w:tcPr>
          <w:p>
            <w:pPr>
              <w:rPr>
                <w:rFonts w:ascii="Arial"/>
                <w:sz w:val="21"/>
              </w:rPr>
            </w:pPr>
          </w:p>
        </w:tc>
        <w:tc>
          <w:tcPr>
            <w:tcW w:w="988" w:type="dxa"/>
            <w:vMerge/>
            <w:tcBorders>
              <w:top w:val="nil"/>
            </w:tcBorders>
            <w:vAlign w:val="top"/>
          </w:tcPr>
          <w:p>
            <w:pPr>
              <w:rPr>
                <w:rFonts w:ascii="Arial"/>
                <w:sz w:val="21"/>
              </w:rPr>
            </w:pPr>
          </w:p>
        </w:tc>
      </w:tr>
      <w:tr>
        <w:tblPrEx>
          <w:tblW w:w="9574" w:type="dxa"/>
          <w:tblInd w:w="2" w:type="dxa"/>
          <w:tblLayout w:type="fixed"/>
        </w:tblPrEx>
        <w:trPr>
          <w:trHeight w:val="628"/>
        </w:trPr>
        <w:tc>
          <w:tcPr>
            <w:tcW w:w="706" w:type="dxa"/>
            <w:vMerge/>
            <w:tcBorders>
              <w:top w:val="nil"/>
              <w:bottom w:val="nil"/>
            </w:tcBorders>
            <w:vAlign w:val="top"/>
          </w:tcPr>
          <w:p>
            <w:pPr>
              <w:rPr>
                <w:rFonts w:ascii="Arial"/>
                <w:sz w:val="21"/>
              </w:rPr>
            </w:pPr>
          </w:p>
        </w:tc>
        <w:tc>
          <w:tcPr>
            <w:tcW w:w="1180"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59" w:line="220" w:lineRule="auto"/>
              <w:ind w:left="323"/>
            </w:pPr>
            <w:r>
              <w:rPr>
                <w:spacing w:val="-4"/>
              </w:rPr>
              <w:t>水资源</w:t>
            </w:r>
          </w:p>
        </w:tc>
        <w:tc>
          <w:tcPr>
            <w:tcW w:w="2392" w:type="dxa"/>
            <w:vAlign w:val="top"/>
          </w:tcPr>
          <w:p>
            <w:pPr>
              <w:pStyle w:val="TableText"/>
              <w:spacing w:before="67" w:line="270" w:lineRule="auto"/>
              <w:ind w:left="854" w:right="176" w:hanging="669"/>
            </w:pPr>
            <w:r>
              <w:rPr>
                <w:spacing w:val="-2"/>
              </w:rPr>
              <w:t>高炉</w:t>
            </w:r>
            <w:r>
              <w:rPr>
                <w:rFonts w:ascii="Times New Roman" w:eastAsia="Times New Roman" w:hAnsi="Times New Roman" w:cs="Times New Roman"/>
                <w:spacing w:val="-2"/>
              </w:rPr>
              <w:t>-</w:t>
            </w:r>
            <w:r>
              <w:rPr>
                <w:spacing w:val="-2"/>
              </w:rPr>
              <w:t>转炉生产工艺单位产</w:t>
            </w:r>
            <w:r>
              <w:rPr>
                <w:spacing w:val="8"/>
              </w:rPr>
              <w:t xml:space="preserve"> </w:t>
            </w:r>
            <w:r>
              <w:rPr>
                <w:spacing w:val="-6"/>
              </w:rPr>
              <w:t>品取水量</w:t>
            </w:r>
          </w:p>
        </w:tc>
        <w:tc>
          <w:tcPr>
            <w:tcW w:w="751" w:type="dxa"/>
            <w:vAlign w:val="top"/>
          </w:tcPr>
          <w:p>
            <w:pPr>
              <w:spacing w:before="196" w:line="236" w:lineRule="exact"/>
              <w:ind w:left="226"/>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m</w:t>
            </w:r>
            <w:r>
              <w:rPr>
                <w:rFonts w:ascii="Times New Roman" w:eastAsia="Times New Roman" w:hAnsi="Times New Roman" w:cs="Times New Roman"/>
                <w:position w:val="6"/>
                <w:sz w:val="11"/>
                <w:szCs w:val="11"/>
              </w:rPr>
              <w:t>3</w:t>
            </w:r>
            <w:r>
              <w:rPr>
                <w:rFonts w:ascii="Times New Roman" w:eastAsia="Times New Roman" w:hAnsi="Times New Roman" w:cs="Times New Roman"/>
                <w:position w:val="1"/>
                <w:sz w:val="18"/>
                <w:szCs w:val="18"/>
              </w:rPr>
              <w:t>/t</w:t>
            </w:r>
          </w:p>
        </w:tc>
        <w:tc>
          <w:tcPr>
            <w:tcW w:w="1322" w:type="dxa"/>
            <w:vAlign w:val="top"/>
          </w:tcPr>
          <w:p>
            <w:pPr>
              <w:spacing w:before="254" w:line="188" w:lineRule="auto"/>
              <w:ind w:left="49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≤3.5</w:t>
            </w:r>
          </w:p>
        </w:tc>
        <w:tc>
          <w:tcPr>
            <w:tcW w:w="2235" w:type="dxa"/>
            <w:vMerge w:val="restart"/>
            <w:tcBorders>
              <w:bottom w:val="nil"/>
            </w:tcBorders>
            <w:vAlign w:val="top"/>
          </w:tcPr>
          <w:p>
            <w:pPr>
              <w:pStyle w:val="TableText"/>
              <w:spacing w:before="223" w:line="233" w:lineRule="auto"/>
              <w:ind w:left="113" w:right="142" w:firstLine="2"/>
              <w:jc w:val="both"/>
            </w:pPr>
            <w:r>
              <w:rPr>
                <w:spacing w:val="-1"/>
              </w:rPr>
              <w:t>按照《钢铁行业清洁生产</w:t>
            </w:r>
            <w:r>
              <w:rPr>
                <w:spacing w:val="1"/>
              </w:rPr>
              <w:t xml:space="preserve"> </w:t>
            </w:r>
            <w:r>
              <w:rPr>
                <w:spacing w:val="-1"/>
              </w:rPr>
              <w:t>评价指标体系》要求，并</w:t>
            </w:r>
            <w:r>
              <w:rPr>
                <w:spacing w:val="3"/>
              </w:rPr>
              <w:t xml:space="preserve"> </w:t>
            </w:r>
            <w:r>
              <w:rPr>
                <w:spacing w:val="-2"/>
              </w:rPr>
              <w:t>提供基础数据</w:t>
            </w:r>
          </w:p>
        </w:tc>
        <w:tc>
          <w:tcPr>
            <w:tcW w:w="988"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59" w:line="220" w:lineRule="auto"/>
              <w:ind w:left="137"/>
            </w:pPr>
            <w:r>
              <w:rPr>
                <w:spacing w:val="-2"/>
              </w:rPr>
              <w:t>产品生产</w:t>
            </w:r>
          </w:p>
        </w:tc>
      </w:tr>
      <w:tr>
        <w:tblPrEx>
          <w:tblW w:w="9574" w:type="dxa"/>
          <w:tblInd w:w="2" w:type="dxa"/>
          <w:tblLayout w:type="fixed"/>
        </w:tblPrEx>
        <w:trPr>
          <w:trHeight w:val="462"/>
        </w:trPr>
        <w:tc>
          <w:tcPr>
            <w:tcW w:w="706"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2392" w:type="dxa"/>
            <w:vAlign w:val="top"/>
          </w:tcPr>
          <w:p>
            <w:pPr>
              <w:pStyle w:val="TableText"/>
              <w:spacing w:before="142" w:line="220" w:lineRule="auto"/>
              <w:ind w:left="230"/>
            </w:pPr>
            <w:r>
              <w:rPr>
                <w:spacing w:val="-3"/>
              </w:rPr>
              <w:t>电炉工艺单位产品取水量</w:t>
            </w:r>
          </w:p>
        </w:tc>
        <w:tc>
          <w:tcPr>
            <w:tcW w:w="751" w:type="dxa"/>
            <w:vAlign w:val="top"/>
          </w:tcPr>
          <w:p>
            <w:pPr>
              <w:spacing w:before="115" w:line="236" w:lineRule="exact"/>
              <w:ind w:left="226"/>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m</w:t>
            </w:r>
            <w:r>
              <w:rPr>
                <w:rFonts w:ascii="Times New Roman" w:eastAsia="Times New Roman" w:hAnsi="Times New Roman" w:cs="Times New Roman"/>
                <w:position w:val="6"/>
                <w:sz w:val="11"/>
                <w:szCs w:val="11"/>
              </w:rPr>
              <w:t>3</w:t>
            </w:r>
            <w:r>
              <w:rPr>
                <w:rFonts w:ascii="Times New Roman" w:eastAsia="Times New Roman" w:hAnsi="Times New Roman" w:cs="Times New Roman"/>
                <w:position w:val="1"/>
                <w:sz w:val="18"/>
                <w:szCs w:val="18"/>
              </w:rPr>
              <w:t>/t</w:t>
            </w:r>
          </w:p>
        </w:tc>
        <w:tc>
          <w:tcPr>
            <w:tcW w:w="1322" w:type="dxa"/>
            <w:vAlign w:val="top"/>
          </w:tcPr>
          <w:p>
            <w:pPr>
              <w:spacing w:before="173" w:line="188" w:lineRule="auto"/>
              <w:ind w:left="498"/>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≤2.6</w:t>
            </w:r>
          </w:p>
        </w:tc>
        <w:tc>
          <w:tcPr>
            <w:tcW w:w="2235" w:type="dxa"/>
            <w:vMerge/>
            <w:tcBorders>
              <w:top w:val="nil"/>
            </w:tcBorders>
            <w:vAlign w:val="top"/>
          </w:tcPr>
          <w:p>
            <w:pPr>
              <w:rPr>
                <w:rFonts w:ascii="Arial"/>
                <w:sz w:val="21"/>
              </w:rPr>
            </w:pP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598"/>
        </w:trPr>
        <w:tc>
          <w:tcPr>
            <w:tcW w:w="706"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2392" w:type="dxa"/>
            <w:vAlign w:val="top"/>
          </w:tcPr>
          <w:p>
            <w:pPr>
              <w:pStyle w:val="TableText"/>
              <w:spacing w:before="210" w:line="220" w:lineRule="auto"/>
              <w:ind w:left="662"/>
            </w:pPr>
            <w:r>
              <w:rPr>
                <w:spacing w:val="-2"/>
              </w:rPr>
              <w:t>水重复利用率</w:t>
            </w:r>
          </w:p>
        </w:tc>
        <w:tc>
          <w:tcPr>
            <w:tcW w:w="751" w:type="dxa"/>
            <w:vAlign w:val="top"/>
          </w:tcPr>
          <w:p>
            <w:pPr>
              <w:spacing w:before="181" w:line="236" w:lineRule="exact"/>
              <w:ind w:left="302"/>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22" w:type="dxa"/>
            <w:vAlign w:val="top"/>
          </w:tcPr>
          <w:p>
            <w:pPr>
              <w:spacing w:before="239" w:line="188" w:lineRule="auto"/>
              <w:ind w:left="52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≥97</w:t>
            </w:r>
          </w:p>
        </w:tc>
        <w:tc>
          <w:tcPr>
            <w:tcW w:w="2235" w:type="dxa"/>
            <w:vAlign w:val="top"/>
          </w:tcPr>
          <w:p>
            <w:pPr>
              <w:pStyle w:val="TableText"/>
              <w:spacing w:before="65" w:line="243" w:lineRule="auto"/>
              <w:ind w:left="128" w:right="43" w:hanging="12"/>
            </w:pPr>
            <w:r>
              <w:rPr>
                <w:spacing w:val="-2"/>
              </w:rPr>
              <w:t>按照</w:t>
            </w:r>
            <w:r>
              <w:rPr>
                <w:spacing w:val="-27"/>
              </w:rPr>
              <w:t xml:space="preserve"> </w:t>
            </w:r>
            <w:r>
              <w:rPr>
                <w:rFonts w:ascii="Times New Roman" w:eastAsia="Times New Roman" w:hAnsi="Times New Roman" w:cs="Times New Roman"/>
                <w:spacing w:val="-2"/>
              </w:rPr>
              <w:t xml:space="preserve">GB/T 26924 </w:t>
            </w:r>
            <w:r>
              <w:rPr>
                <w:spacing w:val="-2"/>
              </w:rPr>
              <w:t>标准和</w:t>
            </w:r>
            <w:r>
              <w:t xml:space="preserve">   </w:t>
            </w:r>
            <w:r>
              <w:rPr>
                <w:spacing w:val="-9"/>
              </w:rPr>
              <w:t>附录</w:t>
            </w:r>
            <w:r>
              <w:rPr>
                <w:spacing w:val="-35"/>
              </w:rPr>
              <w:t xml:space="preserve"> </w:t>
            </w:r>
            <w:r>
              <w:rPr>
                <w:rFonts w:ascii="Times New Roman" w:eastAsia="Times New Roman" w:hAnsi="Times New Roman" w:cs="Times New Roman"/>
                <w:spacing w:val="-9"/>
              </w:rPr>
              <w:t>A</w:t>
            </w:r>
            <w:r>
              <w:rPr>
                <w:spacing w:val="-9"/>
              </w:rPr>
              <w:t>，并提供基础数据。</w:t>
            </w: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705"/>
        </w:trPr>
        <w:tc>
          <w:tcPr>
            <w:tcW w:w="706" w:type="dxa"/>
            <w:vMerge/>
            <w:tcBorders>
              <w:top w:val="nil"/>
            </w:tcBorders>
            <w:vAlign w:val="top"/>
          </w:tcPr>
          <w:p>
            <w:pPr>
              <w:rPr>
                <w:rFonts w:ascii="Arial"/>
                <w:sz w:val="21"/>
              </w:rPr>
            </w:pPr>
          </w:p>
        </w:tc>
        <w:tc>
          <w:tcPr>
            <w:tcW w:w="1180" w:type="dxa"/>
            <w:vMerge/>
            <w:tcBorders>
              <w:top w:val="nil"/>
            </w:tcBorders>
            <w:vAlign w:val="top"/>
          </w:tcPr>
          <w:p>
            <w:pPr>
              <w:rPr>
                <w:rFonts w:ascii="Arial"/>
                <w:sz w:val="21"/>
              </w:rPr>
            </w:pPr>
          </w:p>
        </w:tc>
        <w:tc>
          <w:tcPr>
            <w:tcW w:w="2392" w:type="dxa"/>
            <w:vAlign w:val="top"/>
          </w:tcPr>
          <w:p>
            <w:pPr>
              <w:pStyle w:val="TableText"/>
              <w:spacing w:before="262" w:line="220" w:lineRule="auto"/>
              <w:ind w:left="209"/>
            </w:pPr>
            <w:r>
              <w:rPr>
                <w:spacing w:val="-1"/>
              </w:rPr>
              <w:t>含铁尘（泥）回收利用率</w:t>
            </w:r>
          </w:p>
        </w:tc>
        <w:tc>
          <w:tcPr>
            <w:tcW w:w="751" w:type="dxa"/>
            <w:vAlign w:val="top"/>
          </w:tcPr>
          <w:p>
            <w:pPr>
              <w:spacing w:before="236" w:line="236" w:lineRule="exact"/>
              <w:ind w:left="302"/>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22" w:type="dxa"/>
            <w:vAlign w:val="top"/>
          </w:tcPr>
          <w:p>
            <w:pPr>
              <w:rPr>
                <w:rFonts w:ascii="Arial"/>
                <w:sz w:val="21"/>
              </w:rPr>
            </w:pPr>
          </w:p>
          <w:p>
            <w:pPr>
              <w:spacing w:before="52" w:line="188" w:lineRule="auto"/>
              <w:ind w:left="545"/>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100</w:t>
            </w:r>
          </w:p>
        </w:tc>
        <w:tc>
          <w:tcPr>
            <w:tcW w:w="2235" w:type="dxa"/>
            <w:vAlign w:val="top"/>
          </w:tcPr>
          <w:p>
            <w:pPr>
              <w:pStyle w:val="TableText"/>
              <w:spacing w:before="31" w:line="227" w:lineRule="auto"/>
              <w:ind w:left="113" w:right="142" w:firstLine="2"/>
              <w:jc w:val="both"/>
            </w:pPr>
            <w:r>
              <w:rPr>
                <w:spacing w:val="-1"/>
              </w:rPr>
              <w:t>按照《钢铁行业清洁生产</w:t>
            </w:r>
            <w:r>
              <w:rPr>
                <w:spacing w:val="1"/>
              </w:rPr>
              <w:t xml:space="preserve"> </w:t>
            </w:r>
            <w:r>
              <w:rPr>
                <w:spacing w:val="-1"/>
              </w:rPr>
              <w:t>评价指标体系》要求，并</w:t>
            </w:r>
            <w:r>
              <w:rPr>
                <w:spacing w:val="3"/>
              </w:rPr>
              <w:t xml:space="preserve"> </w:t>
            </w:r>
            <w:r>
              <w:rPr>
                <w:spacing w:val="-2"/>
              </w:rPr>
              <w:t>提供基础数据</w:t>
            </w:r>
          </w:p>
        </w:tc>
        <w:tc>
          <w:tcPr>
            <w:tcW w:w="988" w:type="dxa"/>
            <w:vMerge/>
            <w:tcBorders>
              <w:top w:val="nil"/>
            </w:tcBorders>
            <w:vAlign w:val="top"/>
          </w:tcPr>
          <w:p>
            <w:pPr>
              <w:rPr>
                <w:rFonts w:ascii="Arial"/>
                <w:sz w:val="21"/>
              </w:rPr>
            </w:pPr>
          </w:p>
        </w:tc>
      </w:tr>
      <w:tr>
        <w:tblPrEx>
          <w:tblW w:w="9574" w:type="dxa"/>
          <w:tblInd w:w="2" w:type="dxa"/>
          <w:tblLayout w:type="fixed"/>
        </w:tblPrEx>
        <w:trPr>
          <w:trHeight w:val="459"/>
        </w:trPr>
        <w:tc>
          <w:tcPr>
            <w:tcW w:w="706" w:type="dxa"/>
            <w:tcBorders>
              <w:bottom w:val="nil"/>
            </w:tcBorders>
            <w:vAlign w:val="top"/>
          </w:tcPr>
          <w:p>
            <w:pPr>
              <w:spacing w:line="253" w:lineRule="auto"/>
              <w:rPr>
                <w:rFonts w:ascii="Arial"/>
                <w:sz w:val="21"/>
              </w:rPr>
            </w:pPr>
          </w:p>
        </w:tc>
        <w:tc>
          <w:tcPr>
            <w:tcW w:w="1180" w:type="dxa"/>
            <w:tcBorders>
              <w:bottom w:val="nil"/>
            </w:tcBorders>
            <w:vAlign w:val="top"/>
          </w:tcPr>
          <w:p>
            <w:pPr>
              <w:spacing w:line="253" w:lineRule="auto"/>
              <w:rPr>
                <w:rFonts w:ascii="Arial"/>
                <w:sz w:val="21"/>
              </w:rPr>
            </w:pPr>
          </w:p>
        </w:tc>
        <w:tc>
          <w:tcPr>
            <w:tcW w:w="2392" w:type="dxa"/>
            <w:vAlign w:val="top"/>
          </w:tcPr>
          <w:p>
            <w:pPr>
              <w:pStyle w:val="TableText"/>
              <w:spacing w:before="140" w:line="219" w:lineRule="auto"/>
              <w:ind w:left="388"/>
            </w:pPr>
            <w:r>
              <w:rPr>
                <w:spacing w:val="-1"/>
              </w:rPr>
              <w:t>烧结工序（含脱硝）</w:t>
            </w:r>
          </w:p>
        </w:tc>
        <w:tc>
          <w:tcPr>
            <w:tcW w:w="751" w:type="dxa"/>
            <w:vAlign w:val="top"/>
          </w:tcPr>
          <w:p>
            <w:pPr>
              <w:spacing w:before="111" w:line="236" w:lineRule="exact"/>
              <w:ind w:left="154"/>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kgce/t</w:t>
            </w:r>
          </w:p>
        </w:tc>
        <w:tc>
          <w:tcPr>
            <w:tcW w:w="1322" w:type="dxa"/>
            <w:vAlign w:val="top"/>
          </w:tcPr>
          <w:p>
            <w:pPr>
              <w:spacing w:before="169" w:line="188" w:lineRule="auto"/>
              <w:ind w:left="52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≤54</w:t>
            </w:r>
          </w:p>
        </w:tc>
        <w:tc>
          <w:tcPr>
            <w:tcW w:w="2235" w:type="dxa"/>
            <w:tcBorders>
              <w:bottom w:val="nil"/>
            </w:tcBorders>
            <w:vAlign w:val="top"/>
          </w:tcPr>
          <w:p>
            <w:pPr>
              <w:pStyle w:val="TableText"/>
              <w:spacing w:before="30" w:after="0" w:line="230" w:lineRule="auto"/>
              <w:ind w:left="114" w:right="142" w:firstLine="1"/>
            </w:pPr>
            <w:r>
              <w:rPr>
                <w:spacing w:val="-1"/>
              </w:rPr>
              <w:t>按照《钢铁行业（烧结、</w:t>
            </w:r>
            <w:r>
              <w:rPr>
                <w:spacing w:val="1"/>
              </w:rPr>
              <w:t xml:space="preserve"> </w:t>
            </w:r>
            <w:r>
              <w:rPr>
                <w:spacing w:val="-1"/>
              </w:rPr>
              <w:t>球团）清洁生产评价指标</w:t>
            </w:r>
            <w:r>
              <w:rPr>
                <w:spacing w:val="2"/>
              </w:rPr>
              <w:t xml:space="preserve"> </w:t>
            </w:r>
          </w:p>
        </w:tc>
        <w:tc>
          <w:tcPr>
            <w:tcW w:w="988" w:type="dxa"/>
            <w:tcBorders>
              <w:bottom w:val="nil"/>
            </w:tcBorders>
            <w:vAlign w:val="top"/>
          </w:tcPr>
          <w:p>
            <w:pPr>
              <w:spacing w:line="284" w:lineRule="auto"/>
              <w:rPr>
                <w:rFonts w:ascii="Arial"/>
                <w:sz w:val="21"/>
              </w:rPr>
            </w:pPr>
          </w:p>
        </w:tc>
      </w:tr>
    </w:tbl>
    <w:p>
      <w:pPr>
        <w:sectPr>
          <w:footerReference w:type="default" r:id="rId8"/>
          <w:pgSz w:w="11906" w:h="16839"/>
          <w:pgMar w:top="1431" w:right="959" w:bottom="1311" w:left="1305" w:header="0" w:footer="1134" w:gutter="0"/>
          <w:pgNumType w:start="5"/>
          <w:cols w:space="708"/>
        </w:sectPr>
      </w:pPr>
    </w:p>
    <w:tbl>
      <w:tblPr>
        <w:tblStyle w:val="TableNormal1"/>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6"/>
        <w:gridCol w:w="1180"/>
        <w:gridCol w:w="1194"/>
        <w:gridCol w:w="1198"/>
        <w:gridCol w:w="751"/>
        <w:gridCol w:w="1322"/>
        <w:gridCol w:w="2235"/>
        <w:gridCol w:w="988"/>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59"/>
        </w:trPr>
        <w:tc>
          <w:tcPr>
            <w:tcW w:w="706"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58" w:line="312" w:lineRule="exact"/>
              <w:ind w:left="184"/>
            </w:pPr>
            <w:r>
              <w:rPr>
                <w:spacing w:val="-8"/>
                <w:position w:val="9"/>
              </w:rPr>
              <w:t>能源</w:t>
            </w:r>
          </w:p>
          <w:p>
            <w:pPr>
              <w:pStyle w:val="TableText"/>
              <w:spacing w:line="221" w:lineRule="auto"/>
              <w:ind w:left="179"/>
            </w:pPr>
            <w:r>
              <w:rPr>
                <w:spacing w:val="-5"/>
              </w:rPr>
              <w:t>属性</w:t>
            </w:r>
          </w:p>
        </w:tc>
        <w:tc>
          <w:tcPr>
            <w:tcW w:w="1180"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58" w:line="270" w:lineRule="auto"/>
              <w:ind w:left="321" w:right="140" w:hanging="179"/>
            </w:pPr>
            <w:r>
              <w:rPr>
                <w:spacing w:val="-2"/>
              </w:rPr>
              <w:t>单位产品能</w:t>
            </w:r>
            <w:r>
              <w:t xml:space="preserve"> </w:t>
            </w:r>
            <w:r>
              <w:rPr>
                <w:spacing w:val="-3"/>
              </w:rPr>
              <w:t>耗指标</w:t>
            </w:r>
          </w:p>
        </w:tc>
        <w:tc>
          <w:tcPr>
            <w:tcW w:w="2392" w:type="dxa"/>
            <w:gridSpan w:val="2"/>
            <w:vAlign w:val="top"/>
          </w:tcPr>
          <w:p/>
        </w:tc>
        <w:tc>
          <w:tcPr>
            <w:tcW w:w="751" w:type="dxa"/>
            <w:vAlign w:val="top"/>
          </w:tcPr>
          <w:p/>
        </w:tc>
        <w:tc>
          <w:tcPr>
            <w:tcW w:w="1322" w:type="dxa"/>
            <w:vAlign w:val="top"/>
          </w:tcPr>
          <w:p/>
        </w:tc>
        <w:tc>
          <w:tcPr>
            <w:tcW w:w="2235" w:type="dxa"/>
            <w:vMerge w:val="restart"/>
            <w:tcBorders>
              <w:bottom w:val="nil"/>
            </w:tcBorders>
            <w:vAlign w:val="top"/>
          </w:tcPr>
          <w:p>
            <w:pPr>
              <w:pStyle w:val="TableText"/>
              <w:spacing w:before="0" w:line="230" w:lineRule="auto"/>
              <w:ind w:left="114" w:right="142" w:firstLine="1"/>
            </w:pPr>
            <w:r>
              <w:rPr>
                <w:spacing w:val="-3"/>
              </w:rPr>
              <w:t>体系》标准和附录</w:t>
            </w:r>
            <w:r>
              <w:rPr>
                <w:spacing w:val="-42"/>
              </w:rPr>
              <w:t xml:space="preserve"> </w:t>
            </w:r>
            <w:r>
              <w:rPr>
                <w:rFonts w:ascii="Times New Roman" w:eastAsia="Times New Roman" w:hAnsi="Times New Roman" w:cs="Times New Roman"/>
                <w:spacing w:val="-3"/>
              </w:rPr>
              <w:t>A</w:t>
            </w:r>
            <w:r>
              <w:rPr>
                <w:rFonts w:ascii="Times New Roman" w:eastAsia="Times New Roman" w:hAnsi="Times New Roman" w:cs="Times New Roman"/>
                <w:spacing w:val="-26"/>
              </w:rPr>
              <w:t xml:space="preserve"> </w:t>
            </w:r>
            <w:r>
              <w:rPr>
                <w:spacing w:val="-3"/>
              </w:rPr>
              <w:t>，并</w:t>
            </w:r>
            <w:r>
              <w:t xml:space="preserve"> </w:t>
            </w:r>
            <w:r>
              <w:rPr>
                <w:spacing w:val="-2"/>
              </w:rPr>
              <w:t>提供基础数据。</w:t>
            </w:r>
          </w:p>
        </w:tc>
        <w:tc>
          <w:tcPr>
            <w:tcW w:w="988" w:type="dxa"/>
            <w:vMerge w:val="restart"/>
            <w:tcBorders>
              <w:bottom w:val="nil"/>
            </w:tcBorders>
            <w:vAlign w:val="top"/>
          </w:tcPr>
          <w:p>
            <w:pPr>
              <w:spacing w:line="284" w:lineRule="auto"/>
              <w:rPr>
                <w:rFonts w:ascii="Arial"/>
                <w:sz w:val="21"/>
              </w:rPr>
            </w:pPr>
          </w:p>
          <w:p>
            <w:pPr>
              <w:spacing w:line="284" w:lineRule="auto"/>
              <w:rPr>
                <w:rFonts w:ascii="Arial"/>
                <w:sz w:val="21"/>
              </w:rPr>
            </w:pPr>
          </w:p>
          <w:p>
            <w:pPr>
              <w:spacing w:line="285" w:lineRule="auto"/>
              <w:rPr>
                <w:rFonts w:ascii="Arial"/>
                <w:sz w:val="21"/>
              </w:rPr>
            </w:pPr>
          </w:p>
          <w:p>
            <w:pPr>
              <w:spacing w:line="285" w:lineRule="auto"/>
              <w:rPr>
                <w:rFonts w:ascii="Arial"/>
                <w:sz w:val="21"/>
              </w:rPr>
            </w:pPr>
          </w:p>
          <w:p>
            <w:pPr>
              <w:pStyle w:val="TableText"/>
              <w:spacing w:before="58" w:line="220" w:lineRule="auto"/>
              <w:ind w:left="137"/>
            </w:pPr>
            <w:r>
              <w:rPr>
                <w:spacing w:val="-2"/>
              </w:rPr>
              <w:t>产品生产</w:t>
            </w:r>
          </w:p>
        </w:tc>
      </w:tr>
      <w:tr>
        <w:tblPrEx>
          <w:tblW w:w="9574" w:type="dxa"/>
          <w:tblInd w:w="2" w:type="dxa"/>
          <w:tblLayout w:type="fixed"/>
        </w:tblPrEx>
        <w:trPr>
          <w:trHeight w:val="474"/>
        </w:trPr>
        <w:tc>
          <w:tcPr>
            <w:tcW w:w="706"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2392" w:type="dxa"/>
            <w:gridSpan w:val="2"/>
            <w:vAlign w:val="top"/>
          </w:tcPr>
          <w:p>
            <w:pPr>
              <w:pStyle w:val="TableText"/>
              <w:spacing w:before="146" w:line="222" w:lineRule="auto"/>
              <w:ind w:left="840"/>
            </w:pPr>
            <w:r>
              <w:rPr>
                <w:spacing w:val="-2"/>
              </w:rPr>
              <w:t>球团工序</w:t>
            </w:r>
          </w:p>
        </w:tc>
        <w:tc>
          <w:tcPr>
            <w:tcW w:w="751" w:type="dxa"/>
            <w:vAlign w:val="top"/>
          </w:tcPr>
          <w:p>
            <w:pPr>
              <w:spacing w:before="120" w:line="236" w:lineRule="exact"/>
              <w:ind w:left="154"/>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kgce/t</w:t>
            </w:r>
          </w:p>
        </w:tc>
        <w:tc>
          <w:tcPr>
            <w:tcW w:w="1322" w:type="dxa"/>
            <w:vAlign w:val="top"/>
          </w:tcPr>
          <w:p>
            <w:pPr>
              <w:spacing w:before="178" w:line="188" w:lineRule="auto"/>
              <w:ind w:left="52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≤36</w:t>
            </w:r>
          </w:p>
        </w:tc>
        <w:tc>
          <w:tcPr>
            <w:tcW w:w="2235" w:type="dxa"/>
            <w:vMerge/>
            <w:tcBorders>
              <w:top w:val="nil"/>
            </w:tcBorders>
            <w:vAlign w:val="top"/>
          </w:tcPr>
          <w:p>
            <w:pPr>
              <w:rPr>
                <w:rFonts w:ascii="Arial"/>
                <w:sz w:val="21"/>
              </w:rPr>
            </w:pP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938"/>
        </w:trPr>
        <w:tc>
          <w:tcPr>
            <w:tcW w:w="706"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2392" w:type="dxa"/>
            <w:gridSpan w:val="2"/>
            <w:vAlign w:val="top"/>
          </w:tcPr>
          <w:p>
            <w:pPr>
              <w:spacing w:line="320" w:lineRule="auto"/>
              <w:rPr>
                <w:rFonts w:ascii="Arial"/>
                <w:sz w:val="21"/>
              </w:rPr>
            </w:pPr>
          </w:p>
          <w:p>
            <w:pPr>
              <w:pStyle w:val="TableText"/>
              <w:spacing w:before="58" w:line="220" w:lineRule="auto"/>
              <w:ind w:left="797"/>
              <w:rPr>
                <w:rFonts w:ascii="Times New Roman" w:eastAsia="Times New Roman" w:hAnsi="Times New Roman" w:cs="Times New Roman"/>
                <w:sz w:val="11"/>
                <w:szCs w:val="11"/>
              </w:rPr>
            </w:pPr>
            <w:r>
              <w:rPr>
                <w:spacing w:val="-3"/>
              </w:rPr>
              <w:t>高炉工序</w:t>
            </w:r>
            <w:r>
              <w:rPr>
                <w:spacing w:val="-41"/>
              </w:rPr>
              <w:t xml:space="preserve"> </w:t>
            </w:r>
            <w:r>
              <w:rPr>
                <w:rFonts w:ascii="Times New Roman" w:eastAsia="Times New Roman" w:hAnsi="Times New Roman" w:cs="Times New Roman"/>
                <w:spacing w:val="-3"/>
                <w:position w:val="6"/>
                <w:sz w:val="11"/>
                <w:szCs w:val="11"/>
              </w:rPr>
              <w:t>c</w:t>
            </w:r>
          </w:p>
        </w:tc>
        <w:tc>
          <w:tcPr>
            <w:tcW w:w="751" w:type="dxa"/>
            <w:vAlign w:val="top"/>
          </w:tcPr>
          <w:p>
            <w:pPr>
              <w:spacing w:line="300" w:lineRule="auto"/>
              <w:rPr>
                <w:rFonts w:ascii="Arial"/>
                <w:sz w:val="21"/>
              </w:rPr>
            </w:pPr>
          </w:p>
          <w:p>
            <w:pPr>
              <w:spacing w:before="52" w:line="236" w:lineRule="exact"/>
              <w:ind w:left="154"/>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kgce/t</w:t>
            </w:r>
          </w:p>
        </w:tc>
        <w:tc>
          <w:tcPr>
            <w:tcW w:w="1322" w:type="dxa"/>
            <w:vAlign w:val="top"/>
          </w:tcPr>
          <w:p>
            <w:pPr>
              <w:spacing w:line="358" w:lineRule="auto"/>
              <w:rPr>
                <w:rFonts w:ascii="Arial"/>
                <w:sz w:val="21"/>
              </w:rPr>
            </w:pPr>
          </w:p>
          <w:p>
            <w:pPr>
              <w:spacing w:before="51" w:line="188" w:lineRule="auto"/>
              <w:ind w:left="476"/>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≤390</w:t>
            </w:r>
          </w:p>
        </w:tc>
        <w:tc>
          <w:tcPr>
            <w:tcW w:w="2235" w:type="dxa"/>
            <w:vAlign w:val="top"/>
          </w:tcPr>
          <w:p>
            <w:pPr>
              <w:pStyle w:val="TableText"/>
              <w:spacing w:before="30" w:line="230" w:lineRule="auto"/>
              <w:ind w:left="113" w:right="142" w:firstLine="2"/>
              <w:jc w:val="both"/>
            </w:pPr>
            <w:r>
              <w:rPr>
                <w:spacing w:val="-1"/>
              </w:rPr>
              <w:t>按照《钢铁行业（高炉炼</w:t>
            </w:r>
            <w:r>
              <w:rPr>
                <w:spacing w:val="1"/>
              </w:rPr>
              <w:t xml:space="preserve"> </w:t>
            </w:r>
            <w:r>
              <w:rPr>
                <w:spacing w:val="-1"/>
              </w:rPr>
              <w:t>铁）清洁生产评价指标体</w:t>
            </w:r>
            <w:r>
              <w:rPr>
                <w:spacing w:val="3"/>
              </w:rPr>
              <w:t xml:space="preserve"> </w:t>
            </w:r>
            <w:r>
              <w:rPr>
                <w:spacing w:val="-3"/>
              </w:rPr>
              <w:t>系》标准和附录</w:t>
            </w:r>
            <w:r>
              <w:rPr>
                <w:spacing w:val="-41"/>
              </w:rPr>
              <w:t xml:space="preserve"> </w:t>
            </w:r>
            <w:r>
              <w:rPr>
                <w:rFonts w:ascii="Times New Roman" w:eastAsia="Times New Roman" w:hAnsi="Times New Roman" w:cs="Times New Roman"/>
                <w:spacing w:val="-3"/>
              </w:rPr>
              <w:t>A</w:t>
            </w:r>
            <w:r>
              <w:rPr>
                <w:rFonts w:ascii="Times New Roman" w:eastAsia="Times New Roman" w:hAnsi="Times New Roman" w:cs="Times New Roman"/>
                <w:spacing w:val="-26"/>
              </w:rPr>
              <w:t xml:space="preserve"> </w:t>
            </w:r>
            <w:r>
              <w:rPr>
                <w:spacing w:val="-3"/>
              </w:rPr>
              <w:t>，并提</w:t>
            </w:r>
            <w:r>
              <w:t xml:space="preserve"> </w:t>
            </w:r>
            <w:r>
              <w:rPr>
                <w:spacing w:val="-2"/>
              </w:rPr>
              <w:t>供基础数据。</w:t>
            </w: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938"/>
        </w:trPr>
        <w:tc>
          <w:tcPr>
            <w:tcW w:w="706"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2392" w:type="dxa"/>
            <w:gridSpan w:val="2"/>
            <w:vAlign w:val="top"/>
          </w:tcPr>
          <w:p>
            <w:pPr>
              <w:spacing w:line="322" w:lineRule="auto"/>
              <w:rPr>
                <w:rFonts w:ascii="Arial"/>
                <w:sz w:val="21"/>
              </w:rPr>
            </w:pPr>
          </w:p>
          <w:p>
            <w:pPr>
              <w:pStyle w:val="TableText"/>
              <w:spacing w:before="59" w:line="221" w:lineRule="auto"/>
              <w:ind w:left="841"/>
            </w:pPr>
            <w:r>
              <w:rPr>
                <w:spacing w:val="-2"/>
              </w:rPr>
              <w:t>转炉工序</w:t>
            </w:r>
          </w:p>
        </w:tc>
        <w:tc>
          <w:tcPr>
            <w:tcW w:w="751" w:type="dxa"/>
            <w:vAlign w:val="top"/>
          </w:tcPr>
          <w:p>
            <w:pPr>
              <w:spacing w:line="300" w:lineRule="auto"/>
              <w:rPr>
                <w:rFonts w:ascii="Arial"/>
                <w:sz w:val="21"/>
              </w:rPr>
            </w:pPr>
          </w:p>
          <w:p>
            <w:pPr>
              <w:spacing w:before="52" w:line="236" w:lineRule="exact"/>
              <w:ind w:left="154"/>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kgce/t</w:t>
            </w:r>
          </w:p>
        </w:tc>
        <w:tc>
          <w:tcPr>
            <w:tcW w:w="1322" w:type="dxa"/>
            <w:vAlign w:val="top"/>
          </w:tcPr>
          <w:p>
            <w:pPr>
              <w:spacing w:line="358" w:lineRule="auto"/>
              <w:rPr>
                <w:rFonts w:ascii="Arial"/>
                <w:sz w:val="21"/>
              </w:rPr>
            </w:pPr>
          </w:p>
          <w:p>
            <w:pPr>
              <w:spacing w:before="52" w:line="188" w:lineRule="auto"/>
              <w:ind w:left="49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w:t>
            </w:r>
          </w:p>
        </w:tc>
        <w:tc>
          <w:tcPr>
            <w:tcW w:w="2235" w:type="dxa"/>
            <w:vAlign w:val="top"/>
          </w:tcPr>
          <w:p>
            <w:pPr>
              <w:pStyle w:val="TableText"/>
              <w:spacing w:before="149" w:line="232" w:lineRule="auto"/>
              <w:ind w:left="114" w:right="154" w:firstLine="1"/>
              <w:jc w:val="both"/>
            </w:pPr>
            <w:r>
              <w:rPr>
                <w:spacing w:val="-2"/>
              </w:rPr>
              <w:t>按照《钢铁行业（炼钢）</w:t>
            </w:r>
            <w:r>
              <w:t xml:space="preserve"> </w:t>
            </w:r>
            <w:r>
              <w:rPr>
                <w:spacing w:val="-2"/>
              </w:rPr>
              <w:t>清洁生产评价指标体系》</w:t>
            </w:r>
            <w:r>
              <w:rPr>
                <w:spacing w:val="1"/>
              </w:rPr>
              <w:t xml:space="preserve"> </w:t>
            </w:r>
            <w:r>
              <w:rPr>
                <w:spacing w:val="-3"/>
              </w:rPr>
              <w:t>标准，并提供基础数据。</w:t>
            </w: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327"/>
        </w:trPr>
        <w:tc>
          <w:tcPr>
            <w:tcW w:w="706" w:type="dxa"/>
            <w:vMerge/>
            <w:tcBorders>
              <w:top w:val="nil"/>
            </w:tcBorders>
            <w:vAlign w:val="top"/>
          </w:tcPr>
          <w:p>
            <w:pPr>
              <w:rPr>
                <w:rFonts w:ascii="Arial"/>
                <w:sz w:val="21"/>
              </w:rPr>
            </w:pPr>
          </w:p>
        </w:tc>
        <w:tc>
          <w:tcPr>
            <w:tcW w:w="1180" w:type="dxa"/>
            <w:vMerge/>
            <w:tcBorders>
              <w:top w:val="nil"/>
            </w:tcBorders>
            <w:vAlign w:val="top"/>
          </w:tcPr>
          <w:p>
            <w:pPr>
              <w:rPr>
                <w:rFonts w:ascii="Arial"/>
                <w:sz w:val="21"/>
              </w:rPr>
            </w:pPr>
          </w:p>
        </w:tc>
        <w:tc>
          <w:tcPr>
            <w:tcW w:w="1194" w:type="dxa"/>
            <w:vAlign w:val="top"/>
          </w:tcPr>
          <w:p>
            <w:pPr>
              <w:pStyle w:val="TableText"/>
              <w:spacing w:before="76" w:line="221" w:lineRule="auto"/>
              <w:ind w:left="261"/>
            </w:pPr>
            <w:r>
              <w:rPr>
                <w:spacing w:val="-8"/>
              </w:rPr>
              <w:t>电炉工序</w:t>
            </w:r>
          </w:p>
        </w:tc>
        <w:tc>
          <w:tcPr>
            <w:tcW w:w="1198" w:type="dxa"/>
            <w:vAlign w:val="top"/>
          </w:tcPr>
          <w:p>
            <w:pPr>
              <w:pStyle w:val="TableText"/>
              <w:spacing w:before="76" w:line="221" w:lineRule="auto"/>
              <w:ind w:left="241"/>
            </w:pPr>
            <w:r>
              <w:rPr>
                <w:spacing w:val="-2"/>
              </w:rPr>
              <w:t>全废钢法</w:t>
            </w:r>
          </w:p>
        </w:tc>
        <w:tc>
          <w:tcPr>
            <w:tcW w:w="751" w:type="dxa"/>
            <w:vAlign w:val="top"/>
          </w:tcPr>
          <w:p>
            <w:pPr>
              <w:spacing w:before="49" w:line="237" w:lineRule="exact"/>
              <w:ind w:left="154"/>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kgce/t</w:t>
            </w:r>
          </w:p>
        </w:tc>
        <w:tc>
          <w:tcPr>
            <w:tcW w:w="1322" w:type="dxa"/>
            <w:vAlign w:val="top"/>
          </w:tcPr>
          <w:p>
            <w:pPr>
              <w:spacing w:before="107" w:line="188" w:lineRule="auto"/>
              <w:ind w:left="52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≤64</w:t>
            </w:r>
          </w:p>
        </w:tc>
        <w:tc>
          <w:tcPr>
            <w:tcW w:w="2235" w:type="dxa"/>
            <w:vAlign w:val="top"/>
          </w:tcPr>
          <w:p>
            <w:pPr>
              <w:pStyle w:val="TableText"/>
              <w:spacing w:before="76" w:line="219" w:lineRule="auto"/>
              <w:ind w:left="116"/>
            </w:pPr>
            <w:r>
              <w:rPr>
                <w:spacing w:val="-2"/>
              </w:rPr>
              <w:t>按照</w:t>
            </w:r>
            <w:r>
              <w:rPr>
                <w:spacing w:val="-36"/>
              </w:rPr>
              <w:t xml:space="preserve"> </w:t>
            </w:r>
            <w:r>
              <w:rPr>
                <w:rFonts w:ascii="Times New Roman" w:eastAsia="Times New Roman" w:hAnsi="Times New Roman" w:cs="Times New Roman"/>
                <w:spacing w:val="-2"/>
              </w:rPr>
              <w:t>GB 32050</w:t>
            </w:r>
            <w:r>
              <w:rPr>
                <w:rFonts w:ascii="Times New Roman" w:eastAsia="Times New Roman" w:hAnsi="Times New Roman" w:cs="Times New Roman"/>
                <w:spacing w:val="9"/>
              </w:rPr>
              <w:t xml:space="preserve"> </w:t>
            </w:r>
            <w:r>
              <w:rPr>
                <w:spacing w:val="-2"/>
              </w:rPr>
              <w:t>标准和附</w:t>
            </w:r>
          </w:p>
        </w:tc>
        <w:tc>
          <w:tcPr>
            <w:tcW w:w="988" w:type="dxa"/>
            <w:vMerge/>
            <w:tcBorders>
              <w:top w:val="nil"/>
            </w:tcBorders>
            <w:vAlign w:val="top"/>
          </w:tcPr>
          <w:p>
            <w:pPr>
              <w:rPr>
                <w:rFonts w:ascii="Arial"/>
                <w:sz w:val="21"/>
              </w:rPr>
            </w:pPr>
          </w:p>
        </w:tc>
      </w:tr>
    </w:tbl>
    <w:p>
      <w:pPr>
        <w:rPr>
          <w:rFonts w:ascii="Arial"/>
          <w:sz w:val="21"/>
        </w:rPr>
      </w:pPr>
    </w:p>
    <w:p>
      <w:pPr>
        <w:rPr>
          <w:rFonts w:ascii="Arial" w:eastAsia="Arial" w:hAnsi="Arial" w:cs="Arial"/>
          <w:sz w:val="21"/>
          <w:szCs w:val="21"/>
        </w:rPr>
        <w:sectPr>
          <w:footerReference w:type="default" r:id="rId9"/>
          <w:type w:val="nextPage"/>
          <w:pgSz w:w="11906" w:h="16839"/>
          <w:pgMar w:top="1431" w:right="959" w:bottom="1311" w:left="1305" w:header="0" w:footer="1134" w:gutter="0"/>
          <w:pgNumType w:start="6"/>
          <w:cols w:space="708"/>
          <w:titlePg w:val="0"/>
        </w:sectPr>
      </w:pPr>
    </w:p>
    <w:tbl>
      <w:tblPr>
        <w:tblStyle w:val="TableNormal2"/>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5"/>
        <w:gridCol w:w="1180"/>
        <w:gridCol w:w="871"/>
        <w:gridCol w:w="324"/>
        <w:gridCol w:w="1198"/>
        <w:gridCol w:w="751"/>
        <w:gridCol w:w="1322"/>
        <w:gridCol w:w="2235"/>
        <w:gridCol w:w="988"/>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705" w:type="dxa"/>
            <w:vAlign w:val="top"/>
          </w:tcPr>
          <w:p>
            <w:pPr>
              <w:pStyle w:val="TableText"/>
              <w:spacing w:before="71" w:line="312" w:lineRule="exact"/>
              <w:ind w:left="180"/>
            </w:pPr>
            <w:r>
              <w:rPr>
                <w:position w:val="9"/>
              </w:rPr>
              <w:t>一级</w:t>
            </w:r>
          </w:p>
          <w:p>
            <w:pPr>
              <w:pStyle w:val="TableText"/>
              <w:spacing w:line="220" w:lineRule="auto"/>
              <w:ind w:left="179"/>
            </w:pPr>
            <w:r>
              <w:rPr>
                <w:spacing w:val="-5"/>
              </w:rPr>
              <w:t>指标</w:t>
            </w:r>
          </w:p>
        </w:tc>
        <w:tc>
          <w:tcPr>
            <w:tcW w:w="3573" w:type="dxa"/>
            <w:gridSpan w:val="4"/>
            <w:vAlign w:val="top"/>
          </w:tcPr>
          <w:p>
            <w:pPr>
              <w:pStyle w:val="TableText"/>
              <w:spacing w:before="227" w:line="221" w:lineRule="auto"/>
              <w:ind w:left="1431"/>
            </w:pPr>
            <w:r>
              <w:rPr>
                <w:spacing w:val="-3"/>
              </w:rPr>
              <w:t>二级指标</w:t>
            </w:r>
          </w:p>
        </w:tc>
        <w:tc>
          <w:tcPr>
            <w:tcW w:w="751" w:type="dxa"/>
            <w:vAlign w:val="top"/>
          </w:tcPr>
          <w:p>
            <w:pPr>
              <w:pStyle w:val="TableText"/>
              <w:spacing w:before="227" w:line="221" w:lineRule="auto"/>
              <w:ind w:left="201"/>
            </w:pPr>
            <w:r>
              <w:rPr>
                <w:spacing w:val="-5"/>
              </w:rPr>
              <w:t>单位</w:t>
            </w:r>
          </w:p>
        </w:tc>
        <w:tc>
          <w:tcPr>
            <w:tcW w:w="1322" w:type="dxa"/>
            <w:vAlign w:val="top"/>
          </w:tcPr>
          <w:p>
            <w:pPr>
              <w:pStyle w:val="TableText"/>
              <w:spacing w:before="227" w:line="220" w:lineRule="auto"/>
              <w:ind w:left="395"/>
            </w:pPr>
            <w:r>
              <w:rPr>
                <w:spacing w:val="-3"/>
              </w:rPr>
              <w:t>基准值</w:t>
            </w:r>
          </w:p>
        </w:tc>
        <w:tc>
          <w:tcPr>
            <w:tcW w:w="2235" w:type="dxa"/>
            <w:vAlign w:val="top"/>
          </w:tcPr>
          <w:p>
            <w:pPr>
              <w:pStyle w:val="TableText"/>
              <w:spacing w:before="227" w:line="219" w:lineRule="auto"/>
              <w:ind w:left="314"/>
            </w:pPr>
            <w:r>
              <w:rPr>
                <w:spacing w:val="-1"/>
              </w:rPr>
              <w:t>测试依据和确认条件</w:t>
            </w:r>
          </w:p>
        </w:tc>
        <w:tc>
          <w:tcPr>
            <w:tcW w:w="988" w:type="dxa"/>
            <w:vAlign w:val="top"/>
          </w:tcPr>
          <w:p>
            <w:pPr>
              <w:pStyle w:val="TableText"/>
              <w:spacing w:before="72" w:line="270" w:lineRule="auto"/>
              <w:ind w:left="137" w:right="132"/>
            </w:pPr>
            <w:r>
              <w:rPr>
                <w:spacing w:val="-2"/>
              </w:rPr>
              <w:t>所属生命</w:t>
            </w:r>
            <w:r>
              <w:t xml:space="preserve"> </w:t>
            </w:r>
            <w:r>
              <w:rPr>
                <w:spacing w:val="-2"/>
              </w:rPr>
              <w:t>周期阶段</w:t>
            </w:r>
          </w:p>
        </w:tc>
      </w:tr>
      <w:tr>
        <w:tblPrEx>
          <w:tblW w:w="9574" w:type="dxa"/>
          <w:tblInd w:w="2" w:type="dxa"/>
          <w:tblLayout w:type="fixed"/>
        </w:tblPrEx>
        <w:trPr>
          <w:trHeight w:val="324"/>
        </w:trPr>
        <w:tc>
          <w:tcPr>
            <w:tcW w:w="705" w:type="dxa"/>
            <w:vMerge w:val="restart"/>
            <w:tcBorders>
              <w:bottom w:val="nil"/>
            </w:tcBorders>
            <w:vAlign w:val="top"/>
          </w:tcPr>
          <w:p>
            <w:pPr>
              <w:rPr>
                <w:rFonts w:ascii="Arial"/>
                <w:sz w:val="21"/>
              </w:rPr>
            </w:pPr>
          </w:p>
        </w:tc>
        <w:tc>
          <w:tcPr>
            <w:tcW w:w="1180" w:type="dxa"/>
            <w:vMerge w:val="restart"/>
            <w:tcBorders>
              <w:bottom w:val="nil"/>
            </w:tcBorders>
            <w:vAlign w:val="top"/>
          </w:tcPr>
          <w:p>
            <w:pPr>
              <w:rPr>
                <w:rFonts w:ascii="Arial"/>
                <w:sz w:val="21"/>
              </w:rPr>
            </w:pPr>
          </w:p>
        </w:tc>
        <w:tc>
          <w:tcPr>
            <w:tcW w:w="1195" w:type="dxa"/>
            <w:gridSpan w:val="2"/>
            <w:vAlign w:val="top"/>
          </w:tcPr>
          <w:p>
            <w:pPr>
              <w:rPr>
                <w:rFonts w:ascii="Arial"/>
                <w:sz w:val="21"/>
              </w:rPr>
            </w:pPr>
          </w:p>
        </w:tc>
        <w:tc>
          <w:tcPr>
            <w:tcW w:w="1198" w:type="dxa"/>
            <w:vAlign w:val="top"/>
          </w:tcPr>
          <w:p>
            <w:pPr>
              <w:pStyle w:val="TableText"/>
              <w:spacing w:before="43" w:line="270" w:lineRule="exact"/>
              <w:ind w:left="78"/>
            </w:pPr>
            <w:r>
              <w:rPr>
                <w:rFonts w:ascii="Times New Roman" w:eastAsia="Times New Roman" w:hAnsi="Times New Roman" w:cs="Times New Roman"/>
                <w:spacing w:val="-2"/>
                <w:position w:val="2"/>
              </w:rPr>
              <w:t>30%</w:t>
            </w:r>
            <w:r>
              <w:rPr>
                <w:spacing w:val="-2"/>
                <w:position w:val="2"/>
              </w:rPr>
              <w:t>铁水热装</w:t>
            </w:r>
          </w:p>
        </w:tc>
        <w:tc>
          <w:tcPr>
            <w:tcW w:w="751" w:type="dxa"/>
            <w:vAlign w:val="top"/>
          </w:tcPr>
          <w:p>
            <w:pPr>
              <w:rPr>
                <w:rFonts w:ascii="Arial"/>
                <w:sz w:val="21"/>
              </w:rPr>
            </w:pPr>
          </w:p>
        </w:tc>
        <w:tc>
          <w:tcPr>
            <w:tcW w:w="1322" w:type="dxa"/>
            <w:vAlign w:val="top"/>
          </w:tcPr>
          <w:p>
            <w:pPr>
              <w:spacing w:before="103" w:line="185" w:lineRule="auto"/>
              <w:ind w:left="52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≤55</w:t>
            </w:r>
          </w:p>
        </w:tc>
        <w:tc>
          <w:tcPr>
            <w:tcW w:w="2235" w:type="dxa"/>
            <w:vAlign w:val="top"/>
          </w:tcPr>
          <w:p>
            <w:pPr>
              <w:pStyle w:val="TableText"/>
              <w:spacing w:before="29" w:line="219" w:lineRule="auto"/>
              <w:ind w:left="115"/>
            </w:pPr>
            <w:r>
              <w:rPr>
                <w:spacing w:val="-3"/>
              </w:rPr>
              <w:t>录</w:t>
            </w:r>
            <w:r>
              <w:rPr>
                <w:spacing w:val="-43"/>
              </w:rPr>
              <w:t xml:space="preserve"> </w:t>
            </w:r>
            <w:r>
              <w:rPr>
                <w:rFonts w:ascii="Times New Roman" w:eastAsia="Times New Roman" w:hAnsi="Times New Roman" w:cs="Times New Roman"/>
                <w:spacing w:val="-3"/>
              </w:rPr>
              <w:t>A</w:t>
            </w:r>
            <w:r>
              <w:rPr>
                <w:rFonts w:ascii="Times New Roman" w:eastAsia="Times New Roman" w:hAnsi="Times New Roman" w:cs="Times New Roman"/>
                <w:spacing w:val="-25"/>
              </w:rPr>
              <w:t xml:space="preserve"> </w:t>
            </w:r>
            <w:r>
              <w:rPr>
                <w:spacing w:val="-3"/>
              </w:rPr>
              <w:t>，并提供基础数据。</w:t>
            </w:r>
          </w:p>
        </w:tc>
        <w:tc>
          <w:tcPr>
            <w:tcW w:w="988" w:type="dxa"/>
            <w:vAlign w:val="top"/>
          </w:tcPr>
          <w:p>
            <w:pPr>
              <w:rPr>
                <w:rFonts w:ascii="Arial"/>
                <w:sz w:val="21"/>
              </w:rPr>
            </w:pPr>
          </w:p>
        </w:tc>
      </w:tr>
      <w:tr>
        <w:tblPrEx>
          <w:tblW w:w="9574" w:type="dxa"/>
          <w:tblInd w:w="2" w:type="dxa"/>
          <w:tblLayout w:type="fixed"/>
        </w:tblPrEx>
        <w:trPr>
          <w:trHeight w:val="472"/>
        </w:trPr>
        <w:tc>
          <w:tcPr>
            <w:tcW w:w="705" w:type="dxa"/>
            <w:vMerge/>
            <w:tcBorders>
              <w:top w:val="nil"/>
            </w:tcBorders>
            <w:vAlign w:val="top"/>
          </w:tcPr>
          <w:p>
            <w:pPr>
              <w:rPr>
                <w:rFonts w:ascii="Arial"/>
                <w:sz w:val="21"/>
              </w:rPr>
            </w:pPr>
          </w:p>
        </w:tc>
        <w:tc>
          <w:tcPr>
            <w:tcW w:w="1180" w:type="dxa"/>
            <w:vMerge/>
            <w:tcBorders>
              <w:top w:val="nil"/>
            </w:tcBorders>
            <w:vAlign w:val="top"/>
          </w:tcPr>
          <w:p>
            <w:pPr>
              <w:rPr>
                <w:rFonts w:ascii="Arial"/>
                <w:sz w:val="21"/>
              </w:rPr>
            </w:pPr>
          </w:p>
        </w:tc>
        <w:tc>
          <w:tcPr>
            <w:tcW w:w="2393" w:type="dxa"/>
            <w:gridSpan w:val="3"/>
            <w:vAlign w:val="top"/>
          </w:tcPr>
          <w:p>
            <w:pPr>
              <w:pStyle w:val="TableText"/>
              <w:spacing w:before="143" w:line="222" w:lineRule="auto"/>
              <w:ind w:left="844"/>
            </w:pPr>
            <w:r>
              <w:rPr>
                <w:spacing w:val="-3"/>
              </w:rPr>
              <w:t>轧钢工序</w:t>
            </w:r>
          </w:p>
        </w:tc>
        <w:tc>
          <w:tcPr>
            <w:tcW w:w="751" w:type="dxa"/>
            <w:vAlign w:val="top"/>
          </w:tcPr>
          <w:p>
            <w:pPr>
              <w:spacing w:before="117" w:line="236" w:lineRule="exact"/>
              <w:ind w:left="154"/>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kgce/t</w:t>
            </w:r>
          </w:p>
        </w:tc>
        <w:tc>
          <w:tcPr>
            <w:tcW w:w="1322" w:type="dxa"/>
            <w:vAlign w:val="top"/>
          </w:tcPr>
          <w:p>
            <w:pPr>
              <w:spacing w:before="175" w:line="188" w:lineRule="auto"/>
              <w:ind w:left="52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≤53</w:t>
            </w:r>
          </w:p>
        </w:tc>
        <w:tc>
          <w:tcPr>
            <w:tcW w:w="2235" w:type="dxa"/>
            <w:vAlign w:val="top"/>
          </w:tcPr>
          <w:p>
            <w:pPr>
              <w:pStyle w:val="TableText"/>
              <w:spacing w:before="29" w:line="222" w:lineRule="auto"/>
              <w:ind w:left="116" w:right="149"/>
            </w:pPr>
            <w:r>
              <w:rPr>
                <w:spacing w:val="-3"/>
              </w:rPr>
              <w:t>按照附录</w:t>
            </w:r>
            <w:r>
              <w:rPr>
                <w:spacing w:val="-43"/>
              </w:rPr>
              <w:t xml:space="preserve"> </w:t>
            </w:r>
            <w:r>
              <w:rPr>
                <w:rFonts w:ascii="Times New Roman" w:eastAsia="Times New Roman" w:hAnsi="Times New Roman" w:cs="Times New Roman"/>
                <w:spacing w:val="-3"/>
              </w:rPr>
              <w:t>A</w:t>
            </w:r>
            <w:r>
              <w:rPr>
                <w:rFonts w:ascii="Times New Roman" w:eastAsia="Times New Roman" w:hAnsi="Times New Roman" w:cs="Times New Roman"/>
                <w:spacing w:val="-26"/>
              </w:rPr>
              <w:t xml:space="preserve"> </w:t>
            </w:r>
            <w:r>
              <w:rPr>
                <w:spacing w:val="-3"/>
              </w:rPr>
              <w:t>，并提供基础</w:t>
            </w:r>
            <w:r>
              <w:t xml:space="preserve"> </w:t>
            </w:r>
            <w:r>
              <w:rPr>
                <w:spacing w:val="-3"/>
              </w:rPr>
              <w:t>数据。</w:t>
            </w:r>
          </w:p>
        </w:tc>
        <w:tc>
          <w:tcPr>
            <w:tcW w:w="988" w:type="dxa"/>
            <w:vAlign w:val="top"/>
          </w:tcPr>
          <w:p>
            <w:pPr>
              <w:rPr>
                <w:rFonts w:ascii="Arial"/>
                <w:sz w:val="21"/>
              </w:rPr>
            </w:pPr>
          </w:p>
        </w:tc>
      </w:tr>
      <w:tr>
        <w:tblPrEx>
          <w:tblW w:w="9574" w:type="dxa"/>
          <w:tblInd w:w="2" w:type="dxa"/>
          <w:tblLayout w:type="fixed"/>
        </w:tblPrEx>
        <w:trPr>
          <w:trHeight w:val="1405"/>
        </w:trPr>
        <w:tc>
          <w:tcPr>
            <w:tcW w:w="705" w:type="dxa"/>
            <w:vMerge w:val="restart"/>
            <w:tcBorders>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59" w:line="312" w:lineRule="exact"/>
              <w:ind w:left="177"/>
            </w:pPr>
            <w:r>
              <w:rPr>
                <w:spacing w:val="-4"/>
                <w:position w:val="9"/>
              </w:rPr>
              <w:t>环境</w:t>
            </w:r>
          </w:p>
          <w:p>
            <w:pPr>
              <w:pStyle w:val="TableText"/>
              <w:spacing w:line="221" w:lineRule="auto"/>
              <w:ind w:left="179"/>
            </w:pPr>
            <w:r>
              <w:rPr>
                <w:spacing w:val="-5"/>
              </w:rPr>
              <w:t>属性</w:t>
            </w:r>
          </w:p>
        </w:tc>
        <w:tc>
          <w:tcPr>
            <w:tcW w:w="1180" w:type="dxa"/>
            <w:vMerge w:val="restart"/>
            <w:tcBorders>
              <w:bottom w:val="nil"/>
            </w:tcBorders>
            <w:vAlign w:val="top"/>
          </w:tcPr>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59" w:line="220" w:lineRule="auto"/>
              <w:ind w:left="143"/>
            </w:pPr>
            <w:r>
              <w:rPr>
                <w:spacing w:val="-2"/>
              </w:rPr>
              <w:t>生产过程中</w:t>
            </w:r>
          </w:p>
          <w:p>
            <w:pPr>
              <w:pStyle w:val="TableText"/>
              <w:spacing w:before="97" w:line="221" w:lineRule="auto"/>
              <w:ind w:left="143"/>
            </w:pPr>
            <w:r>
              <w:rPr>
                <w:spacing w:val="-2"/>
              </w:rPr>
              <w:t>污染物排放</w:t>
            </w:r>
          </w:p>
          <w:p>
            <w:pPr>
              <w:pStyle w:val="TableText"/>
              <w:spacing w:before="96" w:line="226" w:lineRule="auto"/>
              <w:ind w:left="502"/>
            </w:pPr>
            <w:r>
              <w:t>量</w:t>
            </w:r>
          </w:p>
        </w:tc>
        <w:tc>
          <w:tcPr>
            <w:tcW w:w="2393" w:type="dxa"/>
            <w:gridSpan w:val="3"/>
            <w:vAlign w:val="top"/>
          </w:tcPr>
          <w:p>
            <w:pPr>
              <w:spacing w:line="273" w:lineRule="auto"/>
              <w:rPr>
                <w:rFonts w:ascii="Arial"/>
                <w:sz w:val="21"/>
              </w:rPr>
            </w:pPr>
          </w:p>
          <w:p>
            <w:pPr>
              <w:spacing w:line="274" w:lineRule="auto"/>
              <w:rPr>
                <w:rFonts w:ascii="Arial"/>
                <w:sz w:val="21"/>
              </w:rPr>
            </w:pPr>
          </w:p>
          <w:p>
            <w:pPr>
              <w:pStyle w:val="TableText"/>
              <w:spacing w:before="59" w:line="221" w:lineRule="auto"/>
              <w:ind w:left="302"/>
            </w:pPr>
            <w:r>
              <w:rPr>
                <w:spacing w:val="-1"/>
              </w:rPr>
              <w:t>无组织排放（颗粒物）</w:t>
            </w:r>
          </w:p>
        </w:tc>
        <w:tc>
          <w:tcPr>
            <w:tcW w:w="751" w:type="dxa"/>
            <w:vAlign w:val="top"/>
          </w:tcPr>
          <w:p>
            <w:pPr>
              <w:spacing w:line="330" w:lineRule="auto"/>
              <w:rPr>
                <w:rFonts w:ascii="Arial"/>
                <w:sz w:val="21"/>
              </w:rPr>
            </w:pPr>
          </w:p>
          <w:p>
            <w:pPr>
              <w:spacing w:line="331" w:lineRule="auto"/>
              <w:rPr>
                <w:rFonts w:ascii="Arial"/>
                <w:sz w:val="21"/>
              </w:rPr>
            </w:pPr>
          </w:p>
          <w:p>
            <w:pPr>
              <w:spacing w:before="51" w:line="87" w:lineRule="exact"/>
              <w:ind w:left="34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22" w:type="dxa"/>
            <w:vAlign w:val="top"/>
          </w:tcPr>
          <w:p>
            <w:pPr>
              <w:pStyle w:val="TableText"/>
              <w:spacing w:before="25" w:line="236" w:lineRule="auto"/>
              <w:ind w:left="126" w:right="117"/>
            </w:pPr>
            <w:r>
              <w:rPr>
                <w:spacing w:val="-4"/>
              </w:rPr>
              <w:t>车间（工序）</w:t>
            </w:r>
            <w:r>
              <w:rPr>
                <w:spacing w:val="2"/>
              </w:rPr>
              <w:t xml:space="preserve"> </w:t>
            </w:r>
            <w:r>
              <w:rPr>
                <w:spacing w:val="-2"/>
              </w:rPr>
              <w:t>无组织排放控</w:t>
            </w:r>
            <w:r>
              <w:rPr>
                <w:spacing w:val="3"/>
              </w:rPr>
              <w:t xml:space="preserve"> </w:t>
            </w:r>
            <w:r>
              <w:rPr>
                <w:spacing w:val="-2"/>
              </w:rPr>
              <w:t>制措施与浓度</w:t>
            </w:r>
            <w:r>
              <w:rPr>
                <w:spacing w:val="3"/>
              </w:rPr>
              <w:t xml:space="preserve"> </w:t>
            </w:r>
            <w:r>
              <w:rPr>
                <w:spacing w:val="-2"/>
              </w:rPr>
              <w:t>标准满足钢铁</w:t>
            </w:r>
            <w:r>
              <w:rPr>
                <w:spacing w:val="3"/>
              </w:rPr>
              <w:t xml:space="preserve"> </w:t>
            </w:r>
            <w:r>
              <w:rPr>
                <w:spacing w:val="-2"/>
              </w:rPr>
              <w:t>行业排污许可</w:t>
            </w:r>
          </w:p>
          <w:p>
            <w:pPr>
              <w:pStyle w:val="TableText"/>
              <w:spacing w:before="17" w:line="207" w:lineRule="auto"/>
              <w:ind w:left="486"/>
            </w:pPr>
            <w:r>
              <w:rPr>
                <w:spacing w:val="-4"/>
              </w:rPr>
              <w:t>要求</w:t>
            </w:r>
          </w:p>
        </w:tc>
        <w:tc>
          <w:tcPr>
            <w:tcW w:w="2235" w:type="dxa"/>
            <w:vAlign w:val="top"/>
          </w:tcPr>
          <w:p>
            <w:pPr>
              <w:pStyle w:val="TableText"/>
              <w:spacing w:before="145" w:line="235" w:lineRule="auto"/>
              <w:ind w:left="113" w:right="142" w:firstLine="1"/>
              <w:jc w:val="both"/>
            </w:pPr>
            <w:r>
              <w:rPr>
                <w:spacing w:val="-1"/>
              </w:rPr>
              <w:t>提供无组织排放控制措施</w:t>
            </w:r>
            <w:r>
              <w:rPr>
                <w:spacing w:val="2"/>
              </w:rPr>
              <w:t xml:space="preserve"> </w:t>
            </w:r>
            <w:r>
              <w:rPr>
                <w:spacing w:val="-1"/>
              </w:rPr>
              <w:t>清单；每半年第三方检测</w:t>
            </w:r>
            <w:r>
              <w:rPr>
                <w:spacing w:val="3"/>
              </w:rPr>
              <w:t xml:space="preserve"> </w:t>
            </w:r>
            <w:r>
              <w:rPr>
                <w:spacing w:val="-1"/>
              </w:rPr>
              <w:t>机构监测报告中所涉及的</w:t>
            </w:r>
            <w:r>
              <w:rPr>
                <w:spacing w:val="3"/>
              </w:rPr>
              <w:t xml:space="preserve"> </w:t>
            </w:r>
            <w:r>
              <w:rPr>
                <w:spacing w:val="-1"/>
              </w:rPr>
              <w:t>车间（工序）无组织监测</w:t>
            </w:r>
            <w:r>
              <w:rPr>
                <w:spacing w:val="3"/>
              </w:rPr>
              <w:t xml:space="preserve"> </w:t>
            </w:r>
            <w:r>
              <w:rPr>
                <w:spacing w:val="-3"/>
              </w:rPr>
              <w:t>结果。</w:t>
            </w:r>
          </w:p>
        </w:tc>
        <w:tc>
          <w:tcPr>
            <w:tcW w:w="988" w:type="dxa"/>
            <w:vMerge w:val="restart"/>
            <w:tcBorders>
              <w:bottom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TableText"/>
              <w:spacing w:before="58" w:line="220" w:lineRule="auto"/>
              <w:ind w:left="137"/>
            </w:pPr>
            <w:r>
              <w:rPr>
                <w:spacing w:val="-2"/>
              </w:rPr>
              <w:t>产品生产</w:t>
            </w:r>
          </w:p>
        </w:tc>
      </w:tr>
      <w:tr>
        <w:tblPrEx>
          <w:tblW w:w="9574" w:type="dxa"/>
          <w:tblInd w:w="2" w:type="dxa"/>
          <w:tblLayout w:type="fixed"/>
        </w:tblPrEx>
        <w:trPr>
          <w:trHeight w:val="345"/>
        </w:trPr>
        <w:tc>
          <w:tcPr>
            <w:tcW w:w="705"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871" w:type="dxa"/>
            <w:vMerge w:val="restart"/>
            <w:tcBorders>
              <w:bottom w:val="nil"/>
            </w:tcBorders>
            <w:vAlign w:val="top"/>
          </w:tcPr>
          <w:p>
            <w:pPr>
              <w:pStyle w:val="TableText"/>
              <w:spacing w:before="274" w:line="271" w:lineRule="auto"/>
              <w:ind w:left="348" w:right="163" w:hanging="180"/>
            </w:pPr>
            <w:r>
              <w:rPr>
                <w:spacing w:val="-3"/>
              </w:rPr>
              <w:t>烧结工</w:t>
            </w:r>
            <w:r>
              <w:rPr>
                <w:spacing w:val="1"/>
              </w:rPr>
              <w:t xml:space="preserve"> </w:t>
            </w:r>
            <w:r>
              <w:t>序</w:t>
            </w:r>
          </w:p>
        </w:tc>
        <w:tc>
          <w:tcPr>
            <w:tcW w:w="1522" w:type="dxa"/>
            <w:gridSpan w:val="2"/>
            <w:vAlign w:val="top"/>
          </w:tcPr>
          <w:p>
            <w:pPr>
              <w:pStyle w:val="TableText"/>
              <w:spacing w:before="80" w:line="221" w:lineRule="auto"/>
              <w:ind w:left="492"/>
            </w:pPr>
            <w:r>
              <w:rPr>
                <w:spacing w:val="-3"/>
              </w:rPr>
              <w:t>颗粒物</w:t>
            </w:r>
          </w:p>
        </w:tc>
        <w:tc>
          <w:tcPr>
            <w:tcW w:w="751" w:type="dxa"/>
            <w:vAlign w:val="top"/>
          </w:tcPr>
          <w:p>
            <w:pPr>
              <w:spacing w:before="54" w:line="236" w:lineRule="exact"/>
              <w:ind w:left="233"/>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22" w:type="dxa"/>
            <w:vAlign w:val="top"/>
          </w:tcPr>
          <w:p>
            <w:pPr>
              <w:spacing w:before="112" w:line="188" w:lineRule="auto"/>
              <w:ind w:left="45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≤0.09</w:t>
            </w:r>
          </w:p>
        </w:tc>
        <w:tc>
          <w:tcPr>
            <w:tcW w:w="2235" w:type="dxa"/>
            <w:vMerge w:val="restart"/>
            <w:tcBorders>
              <w:bottom w:val="nil"/>
            </w:tcBorders>
            <w:vAlign w:val="top"/>
          </w:tcPr>
          <w:p>
            <w:pPr>
              <w:spacing w:line="425" w:lineRule="auto"/>
              <w:rPr>
                <w:rFonts w:ascii="Arial"/>
                <w:sz w:val="21"/>
              </w:rPr>
            </w:pPr>
          </w:p>
          <w:p>
            <w:pPr>
              <w:pStyle w:val="TableText"/>
              <w:spacing w:before="58" w:line="236" w:lineRule="auto"/>
              <w:ind w:left="113" w:right="142" w:firstLine="2"/>
            </w:pPr>
            <w:r>
              <w:rPr>
                <w:spacing w:val="-1"/>
              </w:rPr>
              <w:t>按照《钢铁行业（烧结、</w:t>
            </w:r>
            <w:r>
              <w:rPr>
                <w:spacing w:val="1"/>
              </w:rPr>
              <w:t xml:space="preserve"> </w:t>
            </w:r>
            <w:r>
              <w:rPr>
                <w:spacing w:val="-1"/>
              </w:rPr>
              <w:t>球团）清洁生产评价指标</w:t>
            </w:r>
            <w:r>
              <w:rPr>
                <w:spacing w:val="3"/>
              </w:rPr>
              <w:t xml:space="preserve"> </w:t>
            </w:r>
            <w:r>
              <w:rPr>
                <w:spacing w:val="-1"/>
              </w:rPr>
              <w:t>体系》，并提供基础数据</w:t>
            </w:r>
            <w:r>
              <w:rPr>
                <w:spacing w:val="3"/>
              </w:rPr>
              <w:t xml:space="preserve"> </w:t>
            </w:r>
            <w:r>
              <w:rPr>
                <w:spacing w:val="-1"/>
              </w:rPr>
              <w:t>（按照一年生产周期计算</w:t>
            </w:r>
            <w:r>
              <w:rPr>
                <w:spacing w:val="3"/>
              </w:rPr>
              <w:t xml:space="preserve"> </w:t>
            </w:r>
            <w:r>
              <w:rPr>
                <w:spacing w:val="-2"/>
              </w:rPr>
              <w:t>平均值）。</w:t>
            </w: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5"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871" w:type="dxa"/>
            <w:vMerge/>
            <w:tcBorders>
              <w:top w:val="nil"/>
              <w:bottom w:val="nil"/>
            </w:tcBorders>
            <w:vAlign w:val="top"/>
          </w:tcPr>
          <w:p>
            <w:pPr>
              <w:rPr>
                <w:rFonts w:ascii="Arial"/>
                <w:sz w:val="21"/>
              </w:rPr>
            </w:pPr>
          </w:p>
        </w:tc>
        <w:tc>
          <w:tcPr>
            <w:tcW w:w="1522" w:type="dxa"/>
            <w:gridSpan w:val="2"/>
            <w:vAlign w:val="top"/>
          </w:tcPr>
          <w:p>
            <w:pPr>
              <w:spacing w:before="112" w:line="191" w:lineRule="auto"/>
              <w:ind w:left="625"/>
              <w:rPr>
                <w:rFonts w:ascii="Times New Roman" w:eastAsia="Times New Roman" w:hAnsi="Times New Roman" w:cs="Times New Roman"/>
                <w:sz w:val="11"/>
                <w:szCs w:val="11"/>
              </w:rPr>
            </w:pPr>
            <w:r>
              <w:rPr>
                <w:rFonts w:ascii="Times New Roman" w:eastAsia="Times New Roman" w:hAnsi="Times New Roman" w:cs="Times New Roman"/>
                <w:spacing w:val="-3"/>
                <w:sz w:val="18"/>
                <w:szCs w:val="18"/>
              </w:rPr>
              <w:t>SO</w:t>
            </w:r>
            <w:r>
              <w:rPr>
                <w:rFonts w:ascii="Times New Roman" w:eastAsia="Times New Roman" w:hAnsi="Times New Roman" w:cs="Times New Roman"/>
                <w:spacing w:val="-3"/>
                <w:position w:val="-1"/>
                <w:sz w:val="11"/>
                <w:szCs w:val="11"/>
              </w:rPr>
              <w:t>2</w:t>
            </w:r>
          </w:p>
        </w:tc>
        <w:tc>
          <w:tcPr>
            <w:tcW w:w="751" w:type="dxa"/>
            <w:vAlign w:val="top"/>
          </w:tcPr>
          <w:p>
            <w:pPr>
              <w:spacing w:before="54" w:line="236" w:lineRule="exact"/>
              <w:ind w:left="233"/>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22" w:type="dxa"/>
            <w:vAlign w:val="top"/>
          </w:tcPr>
          <w:p>
            <w:pPr>
              <w:spacing w:before="112" w:line="188" w:lineRule="auto"/>
              <w:ind w:left="4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≤0.</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5"/>
                <w:sz w:val="18"/>
                <w:szCs w:val="18"/>
              </w:rPr>
              <w:t>14</w:t>
            </w:r>
          </w:p>
        </w:tc>
        <w:tc>
          <w:tcPr>
            <w:tcW w:w="2235" w:type="dxa"/>
            <w:vMerge/>
            <w:tcBorders>
              <w:top w:val="nil"/>
              <w:bottom w:val="nil"/>
            </w:tcBorders>
            <w:vAlign w:val="top"/>
          </w:tcPr>
          <w:p>
            <w:pPr>
              <w:rPr>
                <w:rFonts w:ascii="Arial"/>
                <w:sz w:val="21"/>
              </w:rPr>
            </w:pP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5"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871" w:type="dxa"/>
            <w:vMerge/>
            <w:tcBorders>
              <w:top w:val="nil"/>
            </w:tcBorders>
            <w:vAlign w:val="top"/>
          </w:tcPr>
          <w:p>
            <w:pPr>
              <w:rPr>
                <w:rFonts w:ascii="Arial"/>
                <w:sz w:val="21"/>
              </w:rPr>
            </w:pPr>
          </w:p>
        </w:tc>
        <w:tc>
          <w:tcPr>
            <w:tcW w:w="1522" w:type="dxa"/>
            <w:gridSpan w:val="2"/>
            <w:vAlign w:val="top"/>
          </w:tcPr>
          <w:p>
            <w:pPr>
              <w:pStyle w:val="TableText"/>
              <w:spacing w:before="81" w:line="222" w:lineRule="auto"/>
              <w:ind w:right="15"/>
              <w:jc w:val="right"/>
            </w:pPr>
            <w:r>
              <w:rPr>
                <w:rFonts w:ascii="Times New Roman" w:eastAsia="Times New Roman" w:hAnsi="Times New Roman" w:cs="Times New Roman"/>
                <w:spacing w:val="1"/>
              </w:rPr>
              <w:t>NO</w:t>
            </w:r>
            <w:r>
              <w:rPr>
                <w:rFonts w:ascii="Times New Roman" w:eastAsia="Times New Roman" w:hAnsi="Times New Roman" w:cs="Times New Roman"/>
                <w:spacing w:val="1"/>
                <w:position w:val="-1"/>
                <w:sz w:val="11"/>
                <w:szCs w:val="11"/>
              </w:rPr>
              <w:t>X</w:t>
            </w:r>
            <w:r>
              <w:rPr>
                <w:spacing w:val="-14"/>
              </w:rPr>
              <w:t>（以</w:t>
            </w:r>
            <w:r>
              <w:rPr>
                <w:spacing w:val="-47"/>
              </w:rPr>
              <w:t xml:space="preserve"> </w:t>
            </w:r>
            <w:r>
              <w:rPr>
                <w:rFonts w:ascii="Times New Roman" w:eastAsia="Times New Roman" w:hAnsi="Times New Roman" w:cs="Times New Roman"/>
                <w:spacing w:val="-14"/>
              </w:rPr>
              <w:t>NO</w:t>
            </w:r>
            <w:r>
              <w:rPr>
                <w:rFonts w:ascii="Times New Roman" w:eastAsia="Times New Roman" w:hAnsi="Times New Roman" w:cs="Times New Roman"/>
                <w:spacing w:val="-1"/>
                <w:position w:val="-1"/>
                <w:sz w:val="11"/>
                <w:szCs w:val="11"/>
              </w:rPr>
              <w:t>2</w:t>
            </w:r>
            <w:r>
              <w:rPr>
                <w:rFonts w:ascii="Times New Roman" w:eastAsia="Times New Roman" w:hAnsi="Times New Roman" w:cs="Times New Roman"/>
                <w:spacing w:val="9"/>
                <w:position w:val="-1"/>
                <w:sz w:val="11"/>
                <w:szCs w:val="11"/>
              </w:rPr>
              <w:t xml:space="preserve"> </w:t>
            </w:r>
            <w:r>
              <w:rPr>
                <w:spacing w:val="-1"/>
              </w:rPr>
              <w:t>计）</w:t>
            </w:r>
          </w:p>
        </w:tc>
        <w:tc>
          <w:tcPr>
            <w:tcW w:w="751" w:type="dxa"/>
            <w:vAlign w:val="top"/>
          </w:tcPr>
          <w:p>
            <w:pPr>
              <w:spacing w:before="52" w:line="236" w:lineRule="exact"/>
              <w:ind w:left="233"/>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22" w:type="dxa"/>
            <w:vAlign w:val="top"/>
          </w:tcPr>
          <w:p>
            <w:pPr>
              <w:spacing w:before="110" w:line="188" w:lineRule="auto"/>
              <w:ind w:left="45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≤0.28</w:t>
            </w:r>
          </w:p>
        </w:tc>
        <w:tc>
          <w:tcPr>
            <w:tcW w:w="2235" w:type="dxa"/>
            <w:vMerge/>
            <w:tcBorders>
              <w:top w:val="nil"/>
              <w:bottom w:val="nil"/>
            </w:tcBorders>
            <w:vAlign w:val="top"/>
          </w:tcPr>
          <w:p>
            <w:pPr>
              <w:rPr>
                <w:rFonts w:ascii="Arial"/>
                <w:sz w:val="21"/>
              </w:rPr>
            </w:pP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5"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871" w:type="dxa"/>
            <w:vMerge w:val="restart"/>
            <w:tcBorders>
              <w:bottom w:val="nil"/>
            </w:tcBorders>
            <w:vAlign w:val="top"/>
          </w:tcPr>
          <w:p>
            <w:pPr>
              <w:pStyle w:val="TableText"/>
              <w:spacing w:before="275" w:line="271" w:lineRule="auto"/>
              <w:ind w:left="348" w:right="163" w:hanging="179"/>
            </w:pPr>
            <w:r>
              <w:rPr>
                <w:spacing w:val="-3"/>
              </w:rPr>
              <w:t>球团工</w:t>
            </w:r>
            <w:r>
              <w:t xml:space="preserve"> </w:t>
            </w:r>
            <w:r>
              <w:t>序</w:t>
            </w:r>
          </w:p>
        </w:tc>
        <w:tc>
          <w:tcPr>
            <w:tcW w:w="1522" w:type="dxa"/>
            <w:gridSpan w:val="2"/>
            <w:vAlign w:val="top"/>
          </w:tcPr>
          <w:p>
            <w:pPr>
              <w:pStyle w:val="TableText"/>
              <w:spacing w:before="81" w:line="221" w:lineRule="auto"/>
              <w:ind w:left="492"/>
            </w:pPr>
            <w:r>
              <w:rPr>
                <w:spacing w:val="-3"/>
              </w:rPr>
              <w:t>颗粒物</w:t>
            </w:r>
          </w:p>
        </w:tc>
        <w:tc>
          <w:tcPr>
            <w:tcW w:w="751" w:type="dxa"/>
            <w:vAlign w:val="top"/>
          </w:tcPr>
          <w:p>
            <w:pPr>
              <w:spacing w:before="53" w:line="236" w:lineRule="exact"/>
              <w:ind w:left="233"/>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22" w:type="dxa"/>
            <w:vAlign w:val="top"/>
          </w:tcPr>
          <w:p>
            <w:pPr>
              <w:spacing w:before="110" w:line="188" w:lineRule="auto"/>
              <w:ind w:left="45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≤0.08</w:t>
            </w:r>
          </w:p>
        </w:tc>
        <w:tc>
          <w:tcPr>
            <w:tcW w:w="2235" w:type="dxa"/>
            <w:vMerge/>
            <w:tcBorders>
              <w:top w:val="nil"/>
              <w:bottom w:val="nil"/>
            </w:tcBorders>
            <w:vAlign w:val="top"/>
          </w:tcPr>
          <w:p>
            <w:pPr>
              <w:rPr>
                <w:rFonts w:ascii="Arial"/>
                <w:sz w:val="21"/>
              </w:rPr>
            </w:pP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5"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871" w:type="dxa"/>
            <w:vMerge/>
            <w:tcBorders>
              <w:top w:val="nil"/>
              <w:bottom w:val="nil"/>
            </w:tcBorders>
            <w:vAlign w:val="top"/>
          </w:tcPr>
          <w:p>
            <w:pPr>
              <w:rPr>
                <w:rFonts w:ascii="Arial"/>
                <w:sz w:val="21"/>
              </w:rPr>
            </w:pPr>
          </w:p>
        </w:tc>
        <w:tc>
          <w:tcPr>
            <w:tcW w:w="1522" w:type="dxa"/>
            <w:gridSpan w:val="2"/>
            <w:vAlign w:val="top"/>
          </w:tcPr>
          <w:p>
            <w:pPr>
              <w:spacing w:before="110" w:line="194" w:lineRule="auto"/>
              <w:ind w:left="625"/>
              <w:rPr>
                <w:rFonts w:ascii="Times New Roman" w:eastAsia="Times New Roman" w:hAnsi="Times New Roman" w:cs="Times New Roman"/>
                <w:sz w:val="11"/>
                <w:szCs w:val="11"/>
              </w:rPr>
            </w:pPr>
            <w:r>
              <w:rPr>
                <w:rFonts w:ascii="Times New Roman" w:eastAsia="Times New Roman" w:hAnsi="Times New Roman" w:cs="Times New Roman"/>
                <w:spacing w:val="-3"/>
                <w:sz w:val="18"/>
                <w:szCs w:val="18"/>
              </w:rPr>
              <w:t>SO</w:t>
            </w:r>
            <w:r>
              <w:rPr>
                <w:rFonts w:ascii="Times New Roman" w:eastAsia="Times New Roman" w:hAnsi="Times New Roman" w:cs="Times New Roman"/>
                <w:spacing w:val="-3"/>
                <w:position w:val="-1"/>
                <w:sz w:val="11"/>
                <w:szCs w:val="11"/>
              </w:rPr>
              <w:t>2</w:t>
            </w:r>
          </w:p>
        </w:tc>
        <w:tc>
          <w:tcPr>
            <w:tcW w:w="751" w:type="dxa"/>
            <w:vAlign w:val="top"/>
          </w:tcPr>
          <w:p>
            <w:pPr>
              <w:spacing w:before="53" w:line="236" w:lineRule="exact"/>
              <w:ind w:left="233"/>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22" w:type="dxa"/>
            <w:vAlign w:val="top"/>
          </w:tcPr>
          <w:p>
            <w:pPr>
              <w:spacing w:before="111" w:line="188" w:lineRule="auto"/>
              <w:ind w:left="45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≤0.13</w:t>
            </w:r>
          </w:p>
        </w:tc>
        <w:tc>
          <w:tcPr>
            <w:tcW w:w="2235" w:type="dxa"/>
            <w:vMerge/>
            <w:tcBorders>
              <w:top w:val="nil"/>
              <w:bottom w:val="nil"/>
            </w:tcBorders>
            <w:vAlign w:val="top"/>
          </w:tcPr>
          <w:p>
            <w:pPr>
              <w:rPr>
                <w:rFonts w:ascii="Arial"/>
                <w:sz w:val="21"/>
              </w:rPr>
            </w:pP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5"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871" w:type="dxa"/>
            <w:vMerge/>
            <w:tcBorders>
              <w:top w:val="nil"/>
            </w:tcBorders>
            <w:vAlign w:val="top"/>
          </w:tcPr>
          <w:p>
            <w:pPr>
              <w:rPr>
                <w:rFonts w:ascii="Arial"/>
                <w:sz w:val="21"/>
              </w:rPr>
            </w:pPr>
          </w:p>
        </w:tc>
        <w:tc>
          <w:tcPr>
            <w:tcW w:w="1522" w:type="dxa"/>
            <w:gridSpan w:val="2"/>
            <w:vAlign w:val="top"/>
          </w:tcPr>
          <w:p>
            <w:pPr>
              <w:pStyle w:val="TableText"/>
              <w:spacing w:before="79" w:line="222" w:lineRule="auto"/>
              <w:ind w:right="15"/>
              <w:jc w:val="right"/>
            </w:pPr>
            <w:r>
              <w:rPr>
                <w:rFonts w:ascii="Times New Roman" w:eastAsia="Times New Roman" w:hAnsi="Times New Roman" w:cs="Times New Roman"/>
                <w:spacing w:val="1"/>
              </w:rPr>
              <w:t>NO</w:t>
            </w:r>
            <w:r>
              <w:rPr>
                <w:rFonts w:ascii="Times New Roman" w:eastAsia="Times New Roman" w:hAnsi="Times New Roman" w:cs="Times New Roman"/>
                <w:spacing w:val="1"/>
                <w:position w:val="-1"/>
                <w:sz w:val="11"/>
                <w:szCs w:val="11"/>
              </w:rPr>
              <w:t>X</w:t>
            </w:r>
            <w:r>
              <w:rPr>
                <w:spacing w:val="-14"/>
              </w:rPr>
              <w:t>（以</w:t>
            </w:r>
            <w:r>
              <w:rPr>
                <w:spacing w:val="-47"/>
              </w:rPr>
              <w:t xml:space="preserve"> </w:t>
            </w:r>
            <w:r>
              <w:rPr>
                <w:rFonts w:ascii="Times New Roman" w:eastAsia="Times New Roman" w:hAnsi="Times New Roman" w:cs="Times New Roman"/>
                <w:spacing w:val="-14"/>
              </w:rPr>
              <w:t>NO</w:t>
            </w:r>
            <w:r>
              <w:rPr>
                <w:rFonts w:ascii="Times New Roman" w:eastAsia="Times New Roman" w:hAnsi="Times New Roman" w:cs="Times New Roman"/>
                <w:spacing w:val="-1"/>
                <w:position w:val="-1"/>
                <w:sz w:val="11"/>
                <w:szCs w:val="11"/>
              </w:rPr>
              <w:t>2</w:t>
            </w:r>
            <w:r>
              <w:rPr>
                <w:rFonts w:ascii="Times New Roman" w:eastAsia="Times New Roman" w:hAnsi="Times New Roman" w:cs="Times New Roman"/>
                <w:spacing w:val="9"/>
                <w:position w:val="-1"/>
                <w:sz w:val="11"/>
                <w:szCs w:val="11"/>
              </w:rPr>
              <w:t xml:space="preserve"> </w:t>
            </w:r>
            <w:r>
              <w:rPr>
                <w:spacing w:val="-1"/>
              </w:rPr>
              <w:t>计）</w:t>
            </w:r>
          </w:p>
        </w:tc>
        <w:tc>
          <w:tcPr>
            <w:tcW w:w="751" w:type="dxa"/>
            <w:vAlign w:val="top"/>
          </w:tcPr>
          <w:p>
            <w:pPr>
              <w:spacing w:before="53" w:line="237" w:lineRule="exact"/>
              <w:ind w:left="233"/>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22" w:type="dxa"/>
            <w:vAlign w:val="top"/>
          </w:tcPr>
          <w:p>
            <w:pPr>
              <w:spacing w:before="111" w:line="188" w:lineRule="auto"/>
              <w:ind w:left="45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≤0.25</w:t>
            </w:r>
          </w:p>
        </w:tc>
        <w:tc>
          <w:tcPr>
            <w:tcW w:w="2235" w:type="dxa"/>
            <w:vMerge/>
            <w:tcBorders>
              <w:top w:val="nil"/>
            </w:tcBorders>
            <w:vAlign w:val="top"/>
          </w:tcPr>
          <w:p>
            <w:pPr>
              <w:rPr>
                <w:rFonts w:ascii="Arial"/>
                <w:sz w:val="21"/>
              </w:rPr>
            </w:pP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5"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871" w:type="dxa"/>
            <w:vMerge w:val="restart"/>
            <w:tcBorders>
              <w:bottom w:val="nil"/>
            </w:tcBorders>
            <w:vAlign w:val="top"/>
          </w:tcPr>
          <w:p>
            <w:pPr>
              <w:spacing w:line="317" w:lineRule="auto"/>
              <w:rPr>
                <w:rFonts w:ascii="Arial"/>
                <w:sz w:val="21"/>
              </w:rPr>
            </w:pPr>
          </w:p>
          <w:p>
            <w:pPr>
              <w:pStyle w:val="TableText"/>
              <w:spacing w:before="59" w:line="239" w:lineRule="auto"/>
              <w:ind w:left="263"/>
            </w:pPr>
            <w:r>
              <w:rPr>
                <w:spacing w:val="-6"/>
              </w:rPr>
              <w:t>高炉</w:t>
            </w:r>
          </w:p>
          <w:p>
            <w:pPr>
              <w:pStyle w:val="TableText"/>
              <w:spacing w:line="221" w:lineRule="auto"/>
              <w:ind w:left="260"/>
            </w:pPr>
            <w:r>
              <w:rPr>
                <w:spacing w:val="-5"/>
              </w:rPr>
              <w:t>工序</w:t>
            </w:r>
          </w:p>
        </w:tc>
        <w:tc>
          <w:tcPr>
            <w:tcW w:w="1522" w:type="dxa"/>
            <w:gridSpan w:val="2"/>
            <w:vAlign w:val="top"/>
          </w:tcPr>
          <w:p>
            <w:pPr>
              <w:pStyle w:val="TableText"/>
              <w:spacing w:before="80" w:line="221" w:lineRule="auto"/>
              <w:ind w:left="492"/>
            </w:pPr>
            <w:r>
              <w:rPr>
                <w:spacing w:val="-3"/>
              </w:rPr>
              <w:t>颗粒物</w:t>
            </w:r>
          </w:p>
        </w:tc>
        <w:tc>
          <w:tcPr>
            <w:tcW w:w="751" w:type="dxa"/>
            <w:vAlign w:val="top"/>
          </w:tcPr>
          <w:p>
            <w:pPr>
              <w:spacing w:before="54" w:line="236" w:lineRule="exact"/>
              <w:ind w:left="233"/>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22" w:type="dxa"/>
            <w:vAlign w:val="top"/>
          </w:tcPr>
          <w:p>
            <w:pPr>
              <w:spacing w:before="112" w:line="188" w:lineRule="auto"/>
              <w:ind w:left="45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≤0.20</w:t>
            </w:r>
          </w:p>
        </w:tc>
        <w:tc>
          <w:tcPr>
            <w:tcW w:w="2235" w:type="dxa"/>
            <w:vMerge w:val="restart"/>
            <w:tcBorders>
              <w:bottom w:val="nil"/>
            </w:tcBorders>
            <w:vAlign w:val="top"/>
          </w:tcPr>
          <w:p>
            <w:pPr>
              <w:pStyle w:val="TableText"/>
              <w:spacing w:before="26" w:line="233" w:lineRule="auto"/>
              <w:ind w:left="113" w:right="104" w:firstLine="2"/>
              <w:jc w:val="both"/>
            </w:pPr>
            <w:r>
              <w:rPr>
                <w:spacing w:val="-1"/>
              </w:rPr>
              <w:t>按照《钢铁行业（高炉炼</w:t>
            </w:r>
            <w:r>
              <w:rPr>
                <w:spacing w:val="1"/>
              </w:rPr>
              <w:t xml:space="preserve"> </w:t>
            </w:r>
            <w:r>
              <w:rPr>
                <w:spacing w:val="-1"/>
              </w:rPr>
              <w:t>铁）清洁生产评价指标体</w:t>
            </w:r>
            <w:r>
              <w:rPr>
                <w:spacing w:val="3"/>
              </w:rPr>
              <w:t xml:space="preserve"> </w:t>
            </w:r>
            <w:r>
              <w:rPr>
                <w:spacing w:val="-13"/>
              </w:rPr>
              <w:t>系》，并提供基础数据（按</w:t>
            </w:r>
            <w:r>
              <w:rPr>
                <w:spacing w:val="7"/>
              </w:rPr>
              <w:t xml:space="preserve"> </w:t>
            </w:r>
            <w:r>
              <w:rPr>
                <w:spacing w:val="-1"/>
              </w:rPr>
              <w:t>照一年生产周期计算平均</w:t>
            </w:r>
            <w:r>
              <w:rPr>
                <w:spacing w:val="3"/>
              </w:rPr>
              <w:t xml:space="preserve"> </w:t>
            </w:r>
            <w:r>
              <w:rPr>
                <w:spacing w:val="-3"/>
              </w:rPr>
              <w:t>值）。</w:t>
            </w: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5"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871" w:type="dxa"/>
            <w:vMerge/>
            <w:tcBorders>
              <w:top w:val="nil"/>
              <w:bottom w:val="nil"/>
            </w:tcBorders>
            <w:vAlign w:val="top"/>
          </w:tcPr>
          <w:p>
            <w:pPr>
              <w:rPr>
                <w:rFonts w:ascii="Arial"/>
                <w:sz w:val="21"/>
              </w:rPr>
            </w:pPr>
          </w:p>
        </w:tc>
        <w:tc>
          <w:tcPr>
            <w:tcW w:w="1522" w:type="dxa"/>
            <w:gridSpan w:val="2"/>
            <w:vAlign w:val="top"/>
          </w:tcPr>
          <w:p>
            <w:pPr>
              <w:spacing w:before="112" w:line="191" w:lineRule="auto"/>
              <w:ind w:left="625"/>
              <w:rPr>
                <w:rFonts w:ascii="Times New Roman" w:eastAsia="Times New Roman" w:hAnsi="Times New Roman" w:cs="Times New Roman"/>
                <w:sz w:val="11"/>
                <w:szCs w:val="11"/>
              </w:rPr>
            </w:pPr>
            <w:r>
              <w:rPr>
                <w:rFonts w:ascii="Times New Roman" w:eastAsia="Times New Roman" w:hAnsi="Times New Roman" w:cs="Times New Roman"/>
                <w:spacing w:val="-3"/>
                <w:sz w:val="18"/>
                <w:szCs w:val="18"/>
              </w:rPr>
              <w:t>SO</w:t>
            </w:r>
            <w:r>
              <w:rPr>
                <w:rFonts w:ascii="Times New Roman" w:eastAsia="Times New Roman" w:hAnsi="Times New Roman" w:cs="Times New Roman"/>
                <w:spacing w:val="-3"/>
                <w:position w:val="-1"/>
                <w:sz w:val="11"/>
                <w:szCs w:val="11"/>
              </w:rPr>
              <w:t>2</w:t>
            </w:r>
          </w:p>
        </w:tc>
        <w:tc>
          <w:tcPr>
            <w:tcW w:w="751" w:type="dxa"/>
            <w:vAlign w:val="top"/>
          </w:tcPr>
          <w:p>
            <w:pPr>
              <w:spacing w:before="54" w:line="236" w:lineRule="exact"/>
              <w:ind w:left="233"/>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22" w:type="dxa"/>
            <w:vAlign w:val="top"/>
          </w:tcPr>
          <w:p>
            <w:pPr>
              <w:spacing w:before="112" w:line="188" w:lineRule="auto"/>
              <w:ind w:left="45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≤0.10</w:t>
            </w:r>
          </w:p>
        </w:tc>
        <w:tc>
          <w:tcPr>
            <w:tcW w:w="2235" w:type="dxa"/>
            <w:vMerge/>
            <w:tcBorders>
              <w:top w:val="nil"/>
              <w:bottom w:val="nil"/>
            </w:tcBorders>
            <w:vAlign w:val="top"/>
          </w:tcPr>
          <w:p>
            <w:pPr>
              <w:rPr>
                <w:rFonts w:ascii="Arial"/>
                <w:sz w:val="21"/>
              </w:rPr>
            </w:pP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472"/>
        </w:trPr>
        <w:tc>
          <w:tcPr>
            <w:tcW w:w="705"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871" w:type="dxa"/>
            <w:vMerge/>
            <w:tcBorders>
              <w:top w:val="nil"/>
            </w:tcBorders>
            <w:vAlign w:val="top"/>
          </w:tcPr>
          <w:p>
            <w:pPr>
              <w:rPr>
                <w:rFonts w:ascii="Arial"/>
                <w:sz w:val="21"/>
              </w:rPr>
            </w:pPr>
          </w:p>
        </w:tc>
        <w:tc>
          <w:tcPr>
            <w:tcW w:w="1522" w:type="dxa"/>
            <w:gridSpan w:val="2"/>
            <w:vAlign w:val="top"/>
          </w:tcPr>
          <w:p>
            <w:pPr>
              <w:pStyle w:val="TableText"/>
              <w:spacing w:before="143" w:line="222" w:lineRule="auto"/>
              <w:ind w:right="15"/>
              <w:jc w:val="right"/>
            </w:pPr>
            <w:r>
              <w:rPr>
                <w:rFonts w:ascii="Times New Roman" w:eastAsia="Times New Roman" w:hAnsi="Times New Roman" w:cs="Times New Roman"/>
                <w:spacing w:val="1"/>
              </w:rPr>
              <w:t>NO</w:t>
            </w:r>
            <w:r>
              <w:rPr>
                <w:rFonts w:ascii="Times New Roman" w:eastAsia="Times New Roman" w:hAnsi="Times New Roman" w:cs="Times New Roman"/>
                <w:spacing w:val="1"/>
                <w:position w:val="-1"/>
                <w:sz w:val="11"/>
                <w:szCs w:val="11"/>
              </w:rPr>
              <w:t>X</w:t>
            </w:r>
            <w:r>
              <w:rPr>
                <w:spacing w:val="-14"/>
              </w:rPr>
              <w:t>（以</w:t>
            </w:r>
            <w:r>
              <w:rPr>
                <w:spacing w:val="-47"/>
              </w:rPr>
              <w:t xml:space="preserve"> </w:t>
            </w:r>
            <w:r>
              <w:rPr>
                <w:rFonts w:ascii="Times New Roman" w:eastAsia="Times New Roman" w:hAnsi="Times New Roman" w:cs="Times New Roman"/>
                <w:spacing w:val="-14"/>
              </w:rPr>
              <w:t>NO</w:t>
            </w:r>
            <w:r>
              <w:rPr>
                <w:rFonts w:ascii="Times New Roman" w:eastAsia="Times New Roman" w:hAnsi="Times New Roman" w:cs="Times New Roman"/>
                <w:spacing w:val="-1"/>
                <w:position w:val="-1"/>
                <w:sz w:val="11"/>
                <w:szCs w:val="11"/>
              </w:rPr>
              <w:t>2</w:t>
            </w:r>
            <w:r>
              <w:rPr>
                <w:rFonts w:ascii="Times New Roman" w:eastAsia="Times New Roman" w:hAnsi="Times New Roman" w:cs="Times New Roman"/>
                <w:spacing w:val="9"/>
                <w:position w:val="-1"/>
                <w:sz w:val="11"/>
                <w:szCs w:val="11"/>
              </w:rPr>
              <w:t xml:space="preserve"> </w:t>
            </w:r>
            <w:r>
              <w:rPr>
                <w:spacing w:val="-1"/>
              </w:rPr>
              <w:t>计）</w:t>
            </w:r>
          </w:p>
        </w:tc>
        <w:tc>
          <w:tcPr>
            <w:tcW w:w="751" w:type="dxa"/>
            <w:vAlign w:val="top"/>
          </w:tcPr>
          <w:p>
            <w:pPr>
              <w:spacing w:before="117" w:line="236" w:lineRule="exact"/>
              <w:ind w:left="233"/>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22" w:type="dxa"/>
            <w:vAlign w:val="top"/>
          </w:tcPr>
          <w:p>
            <w:pPr>
              <w:spacing w:before="175" w:line="188" w:lineRule="auto"/>
              <w:ind w:left="45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≤0.30</w:t>
            </w:r>
          </w:p>
        </w:tc>
        <w:tc>
          <w:tcPr>
            <w:tcW w:w="2235" w:type="dxa"/>
            <w:vMerge/>
            <w:tcBorders>
              <w:top w:val="nil"/>
            </w:tcBorders>
            <w:vAlign w:val="top"/>
          </w:tcPr>
          <w:p>
            <w:pPr>
              <w:rPr>
                <w:rFonts w:ascii="Arial"/>
                <w:sz w:val="21"/>
              </w:rPr>
            </w:pP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530"/>
        </w:trPr>
        <w:tc>
          <w:tcPr>
            <w:tcW w:w="705"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871" w:type="dxa"/>
            <w:vAlign w:val="top"/>
          </w:tcPr>
          <w:p>
            <w:pPr>
              <w:pStyle w:val="TableText"/>
              <w:spacing w:before="57" w:line="239" w:lineRule="auto"/>
              <w:ind w:left="258"/>
            </w:pPr>
            <w:r>
              <w:rPr>
                <w:spacing w:val="-4"/>
              </w:rPr>
              <w:t>转炉</w:t>
            </w:r>
          </w:p>
          <w:p>
            <w:pPr>
              <w:pStyle w:val="TableText"/>
              <w:spacing w:line="221" w:lineRule="auto"/>
              <w:ind w:left="260"/>
            </w:pPr>
            <w:r>
              <w:rPr>
                <w:spacing w:val="-5"/>
              </w:rPr>
              <w:t>工序</w:t>
            </w:r>
          </w:p>
        </w:tc>
        <w:tc>
          <w:tcPr>
            <w:tcW w:w="1522" w:type="dxa"/>
            <w:gridSpan w:val="2"/>
            <w:vAlign w:val="top"/>
          </w:tcPr>
          <w:p>
            <w:pPr>
              <w:pStyle w:val="TableText"/>
              <w:spacing w:before="173" w:line="221" w:lineRule="auto"/>
              <w:ind w:left="492"/>
            </w:pPr>
            <w:r>
              <w:rPr>
                <w:spacing w:val="-3"/>
              </w:rPr>
              <w:t>颗粒物</w:t>
            </w:r>
          </w:p>
        </w:tc>
        <w:tc>
          <w:tcPr>
            <w:tcW w:w="751" w:type="dxa"/>
            <w:vAlign w:val="top"/>
          </w:tcPr>
          <w:p>
            <w:pPr>
              <w:spacing w:before="146" w:line="237" w:lineRule="exact"/>
              <w:ind w:left="233"/>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22" w:type="dxa"/>
            <w:vAlign w:val="top"/>
          </w:tcPr>
          <w:p>
            <w:pPr>
              <w:spacing w:before="204" w:line="188" w:lineRule="auto"/>
              <w:ind w:left="454"/>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≤0.</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5"/>
                <w:sz w:val="18"/>
                <w:szCs w:val="18"/>
              </w:rPr>
              <w:t>11</w:t>
            </w:r>
          </w:p>
        </w:tc>
        <w:tc>
          <w:tcPr>
            <w:tcW w:w="2235" w:type="dxa"/>
            <w:vMerge w:val="restart"/>
            <w:tcBorders>
              <w:bottom w:val="nil"/>
            </w:tcBorders>
            <w:vAlign w:val="top"/>
          </w:tcPr>
          <w:p>
            <w:pPr>
              <w:pStyle w:val="TableText"/>
              <w:spacing w:before="59" w:line="235" w:lineRule="auto"/>
              <w:ind w:left="114" w:right="43" w:firstLine="1"/>
            </w:pPr>
            <w:r>
              <w:rPr>
                <w:spacing w:val="-2"/>
              </w:rPr>
              <w:t>按照《钢铁行业（炼钢）</w:t>
            </w:r>
            <w:r>
              <w:t xml:space="preserve">  </w:t>
            </w:r>
            <w:r>
              <w:rPr>
                <w:spacing w:val="-8"/>
              </w:rPr>
              <w:t>清洁生产评价指标体系》，</w:t>
            </w:r>
            <w:r>
              <w:rPr>
                <w:spacing w:val="7"/>
              </w:rPr>
              <w:t xml:space="preserve"> </w:t>
            </w:r>
            <w:r>
              <w:rPr>
                <w:spacing w:val="-1"/>
              </w:rPr>
              <w:t>并提供基础数据（按照一</w:t>
            </w:r>
            <w:r>
              <w:rPr>
                <w:spacing w:val="1"/>
              </w:rPr>
              <w:t xml:space="preserve">  </w:t>
            </w:r>
            <w:r>
              <w:rPr>
                <w:spacing w:val="-8"/>
              </w:rPr>
              <w:t>年生产周期计算平均值）。</w:t>
            </w: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472"/>
        </w:trPr>
        <w:tc>
          <w:tcPr>
            <w:tcW w:w="705"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871" w:type="dxa"/>
            <w:vAlign w:val="top"/>
          </w:tcPr>
          <w:p>
            <w:pPr>
              <w:pStyle w:val="TableText"/>
              <w:spacing w:before="27" w:line="241" w:lineRule="auto"/>
              <w:ind w:left="279"/>
            </w:pPr>
            <w:r>
              <w:rPr>
                <w:spacing w:val="-15"/>
              </w:rPr>
              <w:t>电炉</w:t>
            </w:r>
          </w:p>
          <w:p>
            <w:pPr>
              <w:pStyle w:val="TableText"/>
              <w:spacing w:line="204" w:lineRule="auto"/>
              <w:ind w:left="260"/>
            </w:pPr>
            <w:r>
              <w:rPr>
                <w:spacing w:val="-5"/>
              </w:rPr>
              <w:t>工序</w:t>
            </w:r>
          </w:p>
        </w:tc>
        <w:tc>
          <w:tcPr>
            <w:tcW w:w="1522" w:type="dxa"/>
            <w:gridSpan w:val="2"/>
            <w:vAlign w:val="top"/>
          </w:tcPr>
          <w:p>
            <w:pPr>
              <w:pStyle w:val="TableText"/>
              <w:spacing w:before="144" w:line="221" w:lineRule="auto"/>
              <w:ind w:left="492"/>
            </w:pPr>
            <w:r>
              <w:rPr>
                <w:spacing w:val="-3"/>
              </w:rPr>
              <w:t>颗粒物</w:t>
            </w:r>
          </w:p>
        </w:tc>
        <w:tc>
          <w:tcPr>
            <w:tcW w:w="751" w:type="dxa"/>
            <w:vAlign w:val="top"/>
          </w:tcPr>
          <w:p>
            <w:pPr>
              <w:spacing w:before="115" w:line="237" w:lineRule="exact"/>
              <w:ind w:left="233"/>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22" w:type="dxa"/>
            <w:vAlign w:val="top"/>
          </w:tcPr>
          <w:p>
            <w:pPr>
              <w:spacing w:before="173" w:line="188" w:lineRule="auto"/>
              <w:ind w:left="45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≤0.10</w:t>
            </w:r>
          </w:p>
        </w:tc>
        <w:tc>
          <w:tcPr>
            <w:tcW w:w="2235" w:type="dxa"/>
            <w:vMerge/>
            <w:tcBorders>
              <w:top w:val="nil"/>
            </w:tcBorders>
            <w:vAlign w:val="top"/>
          </w:tcPr>
          <w:p>
            <w:pPr>
              <w:rPr>
                <w:rFonts w:ascii="Arial"/>
                <w:sz w:val="21"/>
              </w:rPr>
            </w:pP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5"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871" w:type="dxa"/>
            <w:vMerge w:val="restart"/>
            <w:tcBorders>
              <w:bottom w:val="nil"/>
            </w:tcBorders>
            <w:vAlign w:val="top"/>
          </w:tcPr>
          <w:p>
            <w:pPr>
              <w:spacing w:line="431" w:lineRule="auto"/>
              <w:rPr>
                <w:rFonts w:ascii="Arial"/>
                <w:sz w:val="21"/>
              </w:rPr>
            </w:pPr>
          </w:p>
          <w:p>
            <w:pPr>
              <w:pStyle w:val="TableText"/>
              <w:spacing w:before="59" w:line="239" w:lineRule="auto"/>
              <w:ind w:left="261"/>
            </w:pPr>
            <w:r>
              <w:rPr>
                <w:spacing w:val="-5"/>
              </w:rPr>
              <w:t>轧钢</w:t>
            </w:r>
          </w:p>
          <w:p>
            <w:pPr>
              <w:pStyle w:val="TableText"/>
              <w:spacing w:line="221" w:lineRule="auto"/>
              <w:ind w:left="260"/>
            </w:pPr>
            <w:r>
              <w:rPr>
                <w:spacing w:val="-5"/>
              </w:rPr>
              <w:t>工序</w:t>
            </w:r>
          </w:p>
        </w:tc>
        <w:tc>
          <w:tcPr>
            <w:tcW w:w="1522" w:type="dxa"/>
            <w:gridSpan w:val="2"/>
            <w:vAlign w:val="top"/>
          </w:tcPr>
          <w:p>
            <w:pPr>
              <w:pStyle w:val="TableText"/>
              <w:spacing w:before="80" w:line="221" w:lineRule="auto"/>
              <w:ind w:left="492"/>
            </w:pPr>
            <w:r>
              <w:rPr>
                <w:spacing w:val="-3"/>
              </w:rPr>
              <w:t>颗粒物</w:t>
            </w:r>
          </w:p>
        </w:tc>
        <w:tc>
          <w:tcPr>
            <w:tcW w:w="751" w:type="dxa"/>
            <w:vAlign w:val="top"/>
          </w:tcPr>
          <w:p>
            <w:pPr>
              <w:spacing w:before="54" w:line="236" w:lineRule="exact"/>
              <w:ind w:left="233"/>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22" w:type="dxa"/>
            <w:vAlign w:val="top"/>
          </w:tcPr>
          <w:p>
            <w:pPr>
              <w:spacing w:before="111" w:line="188" w:lineRule="auto"/>
              <w:ind w:left="40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≤0.025</w:t>
            </w:r>
          </w:p>
        </w:tc>
        <w:tc>
          <w:tcPr>
            <w:tcW w:w="2235" w:type="dxa"/>
            <w:vMerge w:val="restart"/>
            <w:tcBorders>
              <w:bottom w:val="nil"/>
            </w:tcBorders>
            <w:vAlign w:val="top"/>
          </w:tcPr>
          <w:p>
            <w:pPr>
              <w:pStyle w:val="TableText"/>
              <w:spacing w:before="25" w:line="234" w:lineRule="auto"/>
              <w:ind w:left="113" w:right="104" w:firstLine="2"/>
              <w:jc w:val="both"/>
            </w:pPr>
            <w:r>
              <w:rPr>
                <w:spacing w:val="-1"/>
              </w:rPr>
              <w:t>按照《钢铁行业（钢延压</w:t>
            </w:r>
            <w:r>
              <w:rPr>
                <w:spacing w:val="1"/>
              </w:rPr>
              <w:t xml:space="preserve"> </w:t>
            </w:r>
            <w:r>
              <w:rPr>
                <w:spacing w:val="-1"/>
              </w:rPr>
              <w:t>加工）清洁生产评价指标</w:t>
            </w:r>
            <w:r>
              <w:rPr>
                <w:spacing w:val="3"/>
              </w:rPr>
              <w:t xml:space="preserve"> </w:t>
            </w:r>
            <w:r>
              <w:rPr>
                <w:spacing w:val="-1"/>
              </w:rPr>
              <w:t>体系》提供轧钢工序颗粒</w:t>
            </w:r>
            <w:r>
              <w:rPr>
                <w:spacing w:val="3"/>
              </w:rPr>
              <w:t xml:space="preserve"> </w:t>
            </w:r>
            <w:r>
              <w:rPr>
                <w:spacing w:val="-12"/>
              </w:rPr>
              <w:t>物、</w:t>
            </w:r>
            <w:r>
              <w:rPr>
                <w:rFonts w:ascii="Times New Roman" w:eastAsia="Times New Roman" w:hAnsi="Times New Roman" w:cs="Times New Roman"/>
                <w:spacing w:val="-12"/>
              </w:rPr>
              <w:t>SO</w:t>
            </w:r>
            <w:r>
              <w:rPr>
                <w:rFonts w:ascii="Times New Roman" w:eastAsia="Times New Roman" w:hAnsi="Times New Roman" w:cs="Times New Roman"/>
                <w:position w:val="-1"/>
                <w:sz w:val="11"/>
                <w:szCs w:val="11"/>
              </w:rPr>
              <w:t>2</w:t>
            </w:r>
            <w:r>
              <w:rPr>
                <w:spacing w:val="-13"/>
              </w:rPr>
              <w:t>、</w:t>
            </w:r>
            <w:r>
              <w:rPr>
                <w:rFonts w:ascii="Times New Roman" w:eastAsia="Times New Roman" w:hAnsi="Times New Roman" w:cs="Times New Roman"/>
                <w:spacing w:val="-13"/>
              </w:rPr>
              <w:t>NO</w:t>
            </w:r>
            <w:r>
              <w:rPr>
                <w:rFonts w:ascii="Times New Roman" w:eastAsia="Times New Roman" w:hAnsi="Times New Roman" w:cs="Times New Roman"/>
                <w:spacing w:val="-1"/>
                <w:position w:val="-1"/>
                <w:sz w:val="11"/>
                <w:szCs w:val="11"/>
              </w:rPr>
              <w:t>X</w:t>
            </w:r>
            <w:r>
              <w:rPr>
                <w:rFonts w:ascii="Times New Roman" w:eastAsia="Times New Roman" w:hAnsi="Times New Roman" w:cs="Times New Roman"/>
                <w:spacing w:val="12"/>
                <w:position w:val="-1"/>
                <w:sz w:val="11"/>
                <w:szCs w:val="11"/>
              </w:rPr>
              <w:t xml:space="preserve"> </w:t>
            </w:r>
            <w:r>
              <w:rPr>
                <w:spacing w:val="-1"/>
              </w:rPr>
              <w:t>排放量证明</w:t>
            </w:r>
            <w:r>
              <w:t xml:space="preserve"> </w:t>
            </w:r>
            <w:r>
              <w:rPr>
                <w:spacing w:val="-1"/>
              </w:rPr>
              <w:t>（按照一年生产周期计算</w:t>
            </w:r>
            <w:r>
              <w:rPr>
                <w:spacing w:val="3"/>
              </w:rPr>
              <w:t xml:space="preserve"> </w:t>
            </w:r>
            <w:r>
              <w:rPr>
                <w:spacing w:val="-2"/>
              </w:rPr>
              <w:t>平均值）</w:t>
            </w: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345"/>
        </w:trPr>
        <w:tc>
          <w:tcPr>
            <w:tcW w:w="705" w:type="dxa"/>
            <w:vMerge/>
            <w:tcBorders>
              <w:top w:val="nil"/>
              <w:bottom w:val="nil"/>
            </w:tcBorders>
            <w:vAlign w:val="top"/>
          </w:tcPr>
          <w:p>
            <w:pPr>
              <w:rPr>
                <w:rFonts w:ascii="Arial"/>
                <w:sz w:val="21"/>
              </w:rPr>
            </w:pPr>
          </w:p>
        </w:tc>
        <w:tc>
          <w:tcPr>
            <w:tcW w:w="1180" w:type="dxa"/>
            <w:vMerge/>
            <w:tcBorders>
              <w:top w:val="nil"/>
              <w:bottom w:val="nil"/>
            </w:tcBorders>
            <w:vAlign w:val="top"/>
          </w:tcPr>
          <w:p>
            <w:pPr>
              <w:rPr>
                <w:rFonts w:ascii="Arial"/>
                <w:sz w:val="21"/>
              </w:rPr>
            </w:pPr>
          </w:p>
        </w:tc>
        <w:tc>
          <w:tcPr>
            <w:tcW w:w="871" w:type="dxa"/>
            <w:vMerge/>
            <w:tcBorders>
              <w:top w:val="nil"/>
              <w:bottom w:val="nil"/>
            </w:tcBorders>
            <w:vAlign w:val="top"/>
          </w:tcPr>
          <w:p>
            <w:pPr>
              <w:rPr>
                <w:rFonts w:ascii="Arial"/>
                <w:sz w:val="21"/>
              </w:rPr>
            </w:pPr>
          </w:p>
        </w:tc>
        <w:tc>
          <w:tcPr>
            <w:tcW w:w="1522" w:type="dxa"/>
            <w:gridSpan w:val="2"/>
            <w:vAlign w:val="top"/>
          </w:tcPr>
          <w:p>
            <w:pPr>
              <w:spacing w:before="111" w:line="194" w:lineRule="auto"/>
              <w:ind w:left="625"/>
              <w:rPr>
                <w:rFonts w:ascii="Times New Roman" w:eastAsia="Times New Roman" w:hAnsi="Times New Roman" w:cs="Times New Roman"/>
                <w:sz w:val="11"/>
                <w:szCs w:val="11"/>
              </w:rPr>
            </w:pPr>
            <w:r>
              <w:rPr>
                <w:rFonts w:ascii="Times New Roman" w:eastAsia="Times New Roman" w:hAnsi="Times New Roman" w:cs="Times New Roman"/>
                <w:spacing w:val="-3"/>
                <w:sz w:val="18"/>
                <w:szCs w:val="18"/>
              </w:rPr>
              <w:t>SO</w:t>
            </w:r>
            <w:r>
              <w:rPr>
                <w:rFonts w:ascii="Times New Roman" w:eastAsia="Times New Roman" w:hAnsi="Times New Roman" w:cs="Times New Roman"/>
                <w:spacing w:val="-3"/>
                <w:position w:val="-1"/>
                <w:sz w:val="11"/>
                <w:szCs w:val="11"/>
              </w:rPr>
              <w:t>2</w:t>
            </w:r>
          </w:p>
        </w:tc>
        <w:tc>
          <w:tcPr>
            <w:tcW w:w="751" w:type="dxa"/>
            <w:vAlign w:val="top"/>
          </w:tcPr>
          <w:p>
            <w:pPr>
              <w:spacing w:before="54" w:line="236" w:lineRule="exact"/>
              <w:ind w:left="233"/>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22" w:type="dxa"/>
            <w:vAlign w:val="top"/>
          </w:tcPr>
          <w:p>
            <w:pPr>
              <w:spacing w:before="112" w:line="188" w:lineRule="auto"/>
              <w:ind w:left="45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≤0.05</w:t>
            </w:r>
          </w:p>
        </w:tc>
        <w:tc>
          <w:tcPr>
            <w:tcW w:w="2235" w:type="dxa"/>
            <w:vMerge/>
            <w:tcBorders>
              <w:top w:val="nil"/>
              <w:bottom w:val="nil"/>
            </w:tcBorders>
            <w:vAlign w:val="top"/>
          </w:tcPr>
          <w:p>
            <w:pPr>
              <w:rPr>
                <w:rFonts w:ascii="Arial"/>
                <w:sz w:val="21"/>
              </w:rPr>
            </w:pP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704"/>
        </w:trPr>
        <w:tc>
          <w:tcPr>
            <w:tcW w:w="705" w:type="dxa"/>
            <w:vMerge/>
            <w:tcBorders>
              <w:top w:val="nil"/>
            </w:tcBorders>
            <w:vAlign w:val="top"/>
          </w:tcPr>
          <w:p>
            <w:pPr>
              <w:rPr>
                <w:rFonts w:ascii="Arial"/>
                <w:sz w:val="21"/>
              </w:rPr>
            </w:pPr>
          </w:p>
        </w:tc>
        <w:tc>
          <w:tcPr>
            <w:tcW w:w="1180" w:type="dxa"/>
            <w:vMerge/>
            <w:tcBorders>
              <w:top w:val="nil"/>
            </w:tcBorders>
            <w:vAlign w:val="top"/>
          </w:tcPr>
          <w:p>
            <w:pPr>
              <w:rPr>
                <w:rFonts w:ascii="Arial"/>
                <w:sz w:val="21"/>
              </w:rPr>
            </w:pPr>
          </w:p>
        </w:tc>
        <w:tc>
          <w:tcPr>
            <w:tcW w:w="871" w:type="dxa"/>
            <w:vMerge/>
            <w:tcBorders>
              <w:top w:val="nil"/>
            </w:tcBorders>
            <w:vAlign w:val="top"/>
          </w:tcPr>
          <w:p>
            <w:pPr>
              <w:rPr>
                <w:rFonts w:ascii="Arial"/>
                <w:sz w:val="21"/>
              </w:rPr>
            </w:pPr>
          </w:p>
        </w:tc>
        <w:tc>
          <w:tcPr>
            <w:tcW w:w="1522" w:type="dxa"/>
            <w:gridSpan w:val="2"/>
            <w:vAlign w:val="top"/>
          </w:tcPr>
          <w:p>
            <w:pPr>
              <w:spacing w:before="174" w:line="194" w:lineRule="auto"/>
              <w:ind w:left="582"/>
              <w:rPr>
                <w:rFonts w:ascii="Times New Roman" w:eastAsia="Times New Roman" w:hAnsi="Times New Roman" w:cs="Times New Roman"/>
                <w:sz w:val="11"/>
                <w:szCs w:val="11"/>
              </w:rPr>
            </w:pPr>
            <w:r>
              <w:rPr>
                <w:rFonts w:ascii="Times New Roman" w:eastAsia="Times New Roman" w:hAnsi="Times New Roman" w:cs="Times New Roman"/>
                <w:spacing w:val="1"/>
                <w:sz w:val="18"/>
                <w:szCs w:val="18"/>
              </w:rPr>
              <w:t>NO</w:t>
            </w:r>
            <w:r>
              <w:rPr>
                <w:rFonts w:ascii="Times New Roman" w:eastAsia="Times New Roman" w:hAnsi="Times New Roman" w:cs="Times New Roman"/>
                <w:spacing w:val="1"/>
                <w:position w:val="-1"/>
                <w:sz w:val="11"/>
                <w:szCs w:val="11"/>
              </w:rPr>
              <w:t>X</w:t>
            </w:r>
          </w:p>
          <w:p>
            <w:pPr>
              <w:pStyle w:val="TableText"/>
              <w:spacing w:before="75" w:line="222" w:lineRule="auto"/>
              <w:ind w:left="217"/>
            </w:pPr>
            <w:r>
              <w:rPr>
                <w:spacing w:val="-3"/>
              </w:rPr>
              <w:t>（以</w:t>
            </w:r>
            <w:r>
              <w:rPr>
                <w:spacing w:val="-47"/>
              </w:rPr>
              <w:t xml:space="preserve"> </w:t>
            </w:r>
            <w:r>
              <w:rPr>
                <w:rFonts w:ascii="Times New Roman" w:eastAsia="Times New Roman" w:hAnsi="Times New Roman" w:cs="Times New Roman"/>
                <w:spacing w:val="-3"/>
              </w:rPr>
              <w:t>NO</w:t>
            </w:r>
            <w:r>
              <w:rPr>
                <w:rFonts w:ascii="Times New Roman" w:eastAsia="Times New Roman" w:hAnsi="Times New Roman" w:cs="Times New Roman"/>
                <w:spacing w:val="-3"/>
                <w:position w:val="-1"/>
                <w:sz w:val="11"/>
                <w:szCs w:val="11"/>
              </w:rPr>
              <w:t>2</w:t>
            </w:r>
            <w:r>
              <w:rPr>
                <w:rFonts w:ascii="Times New Roman" w:eastAsia="Times New Roman" w:hAnsi="Times New Roman" w:cs="Times New Roman"/>
                <w:spacing w:val="8"/>
                <w:w w:val="103"/>
                <w:position w:val="-1"/>
                <w:sz w:val="11"/>
                <w:szCs w:val="11"/>
              </w:rPr>
              <w:t xml:space="preserve"> </w:t>
            </w:r>
            <w:r>
              <w:rPr>
                <w:spacing w:val="-3"/>
              </w:rPr>
              <w:t>计）</w:t>
            </w:r>
          </w:p>
        </w:tc>
        <w:tc>
          <w:tcPr>
            <w:tcW w:w="751" w:type="dxa"/>
            <w:vAlign w:val="top"/>
          </w:tcPr>
          <w:p>
            <w:pPr>
              <w:spacing w:before="234" w:line="237" w:lineRule="exact"/>
              <w:ind w:left="233"/>
              <w:rPr>
                <w:rFonts w:ascii="Times New Roman" w:eastAsia="Times New Roman" w:hAnsi="Times New Roman" w:cs="Times New Roman"/>
                <w:sz w:val="18"/>
                <w:szCs w:val="18"/>
              </w:rPr>
            </w:pPr>
            <w:r>
              <w:rPr>
                <w:rFonts w:ascii="Times New Roman" w:eastAsia="Times New Roman" w:hAnsi="Times New Roman" w:cs="Times New Roman"/>
                <w:spacing w:val="-1"/>
                <w:position w:val="3"/>
                <w:sz w:val="18"/>
                <w:szCs w:val="18"/>
              </w:rPr>
              <w:t>kg/t</w:t>
            </w:r>
          </w:p>
        </w:tc>
        <w:tc>
          <w:tcPr>
            <w:tcW w:w="1322" w:type="dxa"/>
            <w:vAlign w:val="top"/>
          </w:tcPr>
          <w:p>
            <w:pPr>
              <w:spacing w:before="292" w:line="188" w:lineRule="auto"/>
              <w:ind w:left="454"/>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≤0.15</w:t>
            </w:r>
          </w:p>
        </w:tc>
        <w:tc>
          <w:tcPr>
            <w:tcW w:w="2235" w:type="dxa"/>
            <w:vMerge/>
            <w:tcBorders>
              <w:top w:val="nil"/>
            </w:tcBorders>
            <w:vAlign w:val="top"/>
          </w:tcPr>
          <w:p>
            <w:pPr>
              <w:rPr>
                <w:rFonts w:ascii="Arial"/>
                <w:sz w:val="21"/>
              </w:rPr>
            </w:pP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628"/>
        </w:trPr>
        <w:tc>
          <w:tcPr>
            <w:tcW w:w="705" w:type="dxa"/>
            <w:vMerge w:val="restart"/>
            <w:tcBorders>
              <w:bottom w:val="nil"/>
            </w:tcBorders>
            <w:vAlign w:val="top"/>
          </w:tcPr>
          <w:p>
            <w:pPr>
              <w:spacing w:line="320" w:lineRule="auto"/>
              <w:rPr>
                <w:rFonts w:ascii="Arial"/>
                <w:sz w:val="21"/>
              </w:rPr>
            </w:pPr>
          </w:p>
          <w:p>
            <w:pPr>
              <w:spacing w:line="321" w:lineRule="auto"/>
              <w:rPr>
                <w:rFonts w:ascii="Arial"/>
                <w:sz w:val="21"/>
              </w:rPr>
            </w:pPr>
          </w:p>
          <w:p>
            <w:pPr>
              <w:pStyle w:val="TableText"/>
              <w:spacing w:before="59" w:line="312" w:lineRule="exact"/>
              <w:ind w:left="177"/>
            </w:pPr>
            <w:r>
              <w:rPr>
                <w:spacing w:val="-4"/>
                <w:position w:val="9"/>
              </w:rPr>
              <w:t>产品</w:t>
            </w:r>
          </w:p>
          <w:p>
            <w:pPr>
              <w:pStyle w:val="TableText"/>
              <w:spacing w:line="221" w:lineRule="auto"/>
              <w:ind w:left="179"/>
            </w:pPr>
            <w:r>
              <w:rPr>
                <w:spacing w:val="-5"/>
              </w:rPr>
              <w:t>属性</w:t>
            </w:r>
          </w:p>
        </w:tc>
        <w:tc>
          <w:tcPr>
            <w:tcW w:w="3573" w:type="dxa"/>
            <w:gridSpan w:val="4"/>
            <w:vAlign w:val="top"/>
          </w:tcPr>
          <w:p>
            <w:pPr>
              <w:pStyle w:val="TableText"/>
              <w:spacing w:before="224" w:line="221" w:lineRule="auto"/>
              <w:ind w:left="1432"/>
            </w:pPr>
            <w:r>
              <w:rPr>
                <w:spacing w:val="-3"/>
              </w:rPr>
              <w:t>厚度公差</w:t>
            </w:r>
          </w:p>
        </w:tc>
        <w:tc>
          <w:tcPr>
            <w:tcW w:w="751" w:type="dxa"/>
            <w:vAlign w:val="top"/>
          </w:tcPr>
          <w:p>
            <w:pPr>
              <w:spacing w:line="277" w:lineRule="auto"/>
              <w:rPr>
                <w:rFonts w:ascii="Arial"/>
                <w:sz w:val="21"/>
              </w:rPr>
            </w:pPr>
          </w:p>
          <w:p>
            <w:pPr>
              <w:spacing w:before="52" w:line="87" w:lineRule="exact"/>
              <w:ind w:left="34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22" w:type="dxa"/>
            <w:vAlign w:val="top"/>
          </w:tcPr>
          <w:p>
            <w:pPr>
              <w:pStyle w:val="TableText"/>
              <w:spacing w:before="79" w:line="245" w:lineRule="auto"/>
              <w:ind w:left="238" w:right="161" w:hanging="69"/>
            </w:pPr>
            <w:r>
              <w:rPr>
                <w:spacing w:val="-2"/>
              </w:rPr>
              <w:t>应符合</w:t>
            </w:r>
            <w:r>
              <w:rPr>
                <w:spacing w:val="-41"/>
              </w:rPr>
              <w:t xml:space="preserve"> </w:t>
            </w:r>
            <w:r>
              <w:rPr>
                <w:rFonts w:ascii="Times New Roman" w:eastAsia="Times New Roman" w:hAnsi="Times New Roman" w:cs="Times New Roman"/>
                <w:spacing w:val="-2"/>
              </w:rPr>
              <w:t>GB/T</w:t>
            </w:r>
            <w:r>
              <w:rPr>
                <w:rFonts w:ascii="Times New Roman" w:eastAsia="Times New Roman" w:hAnsi="Times New Roman" w:cs="Times New Roman"/>
              </w:rPr>
              <w:t xml:space="preserve"> </w:t>
            </w:r>
            <w:r>
              <w:rPr>
                <w:rFonts w:ascii="Times New Roman" w:eastAsia="Times New Roman" w:hAnsi="Times New Roman" w:cs="Times New Roman"/>
                <w:spacing w:val="-5"/>
              </w:rPr>
              <w:t>709</w:t>
            </w:r>
            <w:r>
              <w:rPr>
                <w:rFonts w:ascii="Times New Roman" w:eastAsia="Times New Roman" w:hAnsi="Times New Roman" w:cs="Times New Roman"/>
                <w:spacing w:val="21"/>
                <w:w w:val="101"/>
              </w:rPr>
              <w:t xml:space="preserve"> </w:t>
            </w:r>
            <w:r>
              <w:rPr>
                <w:spacing w:val="-5"/>
              </w:rPr>
              <w:t>的规定</w:t>
            </w:r>
          </w:p>
        </w:tc>
        <w:tc>
          <w:tcPr>
            <w:tcW w:w="2235" w:type="dxa"/>
            <w:vAlign w:val="top"/>
          </w:tcPr>
          <w:p>
            <w:pPr>
              <w:pStyle w:val="TableText"/>
              <w:spacing w:before="41" w:line="284" w:lineRule="auto"/>
              <w:ind w:left="853" w:right="104" w:hanging="737"/>
            </w:pPr>
            <w:r>
              <w:rPr>
                <w:spacing w:val="-5"/>
              </w:rPr>
              <w:t>按照</w:t>
            </w:r>
            <w:r>
              <w:rPr>
                <w:spacing w:val="-37"/>
              </w:rPr>
              <w:t xml:space="preserve"> </w:t>
            </w:r>
            <w:r>
              <w:rPr>
                <w:rFonts w:ascii="Times New Roman" w:eastAsia="Times New Roman" w:hAnsi="Times New Roman" w:cs="Times New Roman"/>
                <w:spacing w:val="-5"/>
              </w:rPr>
              <w:t>GB/T3274</w:t>
            </w:r>
            <w:r>
              <w:rPr>
                <w:spacing w:val="-5"/>
              </w:rPr>
              <w:t>，并提供基</w:t>
            </w:r>
            <w:r>
              <w:t xml:space="preserve"> </w:t>
            </w:r>
            <w:r>
              <w:rPr>
                <w:spacing w:val="-3"/>
              </w:rPr>
              <w:t>础数据</w:t>
            </w: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628"/>
        </w:trPr>
        <w:tc>
          <w:tcPr>
            <w:tcW w:w="705" w:type="dxa"/>
            <w:vMerge/>
            <w:tcBorders>
              <w:top w:val="nil"/>
              <w:bottom w:val="nil"/>
            </w:tcBorders>
            <w:vAlign w:val="top"/>
          </w:tcPr>
          <w:p>
            <w:pPr>
              <w:rPr>
                <w:rFonts w:ascii="Arial"/>
                <w:sz w:val="21"/>
              </w:rPr>
            </w:pPr>
          </w:p>
        </w:tc>
        <w:tc>
          <w:tcPr>
            <w:tcW w:w="3573" w:type="dxa"/>
            <w:gridSpan w:val="4"/>
            <w:vAlign w:val="top"/>
          </w:tcPr>
          <w:p>
            <w:pPr>
              <w:pStyle w:val="TableText"/>
              <w:spacing w:before="227" w:line="221" w:lineRule="auto"/>
              <w:ind w:left="1432"/>
            </w:pPr>
            <w:r>
              <w:rPr>
                <w:spacing w:val="-3"/>
              </w:rPr>
              <w:t>屈服强度</w:t>
            </w:r>
          </w:p>
        </w:tc>
        <w:tc>
          <w:tcPr>
            <w:tcW w:w="751" w:type="dxa"/>
            <w:vAlign w:val="top"/>
          </w:tcPr>
          <w:p>
            <w:pPr>
              <w:spacing w:line="278" w:lineRule="auto"/>
              <w:rPr>
                <w:rFonts w:ascii="Arial"/>
                <w:sz w:val="21"/>
              </w:rPr>
            </w:pPr>
          </w:p>
          <w:p>
            <w:pPr>
              <w:spacing w:before="52" w:line="86" w:lineRule="exact"/>
              <w:ind w:left="34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22" w:type="dxa"/>
            <w:vAlign w:val="top"/>
          </w:tcPr>
          <w:p>
            <w:pPr>
              <w:pStyle w:val="TableText"/>
              <w:spacing w:before="80" w:line="245" w:lineRule="auto"/>
              <w:ind w:left="238" w:right="161" w:hanging="69"/>
            </w:pPr>
            <w:r>
              <w:rPr>
                <w:spacing w:val="-2"/>
              </w:rPr>
              <w:t>应符合</w:t>
            </w:r>
            <w:r>
              <w:rPr>
                <w:spacing w:val="-41"/>
              </w:rPr>
              <w:t xml:space="preserve"> </w:t>
            </w:r>
            <w:r>
              <w:rPr>
                <w:rFonts w:ascii="Times New Roman" w:eastAsia="Times New Roman" w:hAnsi="Times New Roman" w:cs="Times New Roman"/>
                <w:spacing w:val="-2"/>
              </w:rPr>
              <w:t>GB/T</w:t>
            </w:r>
            <w:r>
              <w:rPr>
                <w:rFonts w:ascii="Times New Roman" w:eastAsia="Times New Roman" w:hAnsi="Times New Roman" w:cs="Times New Roman"/>
              </w:rPr>
              <w:t xml:space="preserve"> </w:t>
            </w:r>
            <w:r>
              <w:rPr>
                <w:rFonts w:ascii="Times New Roman" w:eastAsia="Times New Roman" w:hAnsi="Times New Roman" w:cs="Times New Roman"/>
                <w:spacing w:val="-5"/>
              </w:rPr>
              <w:t>700</w:t>
            </w:r>
            <w:r>
              <w:rPr>
                <w:rFonts w:ascii="Times New Roman" w:eastAsia="Times New Roman" w:hAnsi="Times New Roman" w:cs="Times New Roman"/>
                <w:spacing w:val="21"/>
                <w:w w:val="101"/>
              </w:rPr>
              <w:t xml:space="preserve"> </w:t>
            </w:r>
            <w:r>
              <w:rPr>
                <w:spacing w:val="-5"/>
              </w:rPr>
              <w:t>的规定</w:t>
            </w:r>
          </w:p>
        </w:tc>
        <w:tc>
          <w:tcPr>
            <w:tcW w:w="2235" w:type="dxa"/>
            <w:vAlign w:val="top"/>
          </w:tcPr>
          <w:p>
            <w:pPr>
              <w:pStyle w:val="TableText"/>
              <w:spacing w:before="42" w:line="285" w:lineRule="auto"/>
              <w:ind w:left="853" w:right="104" w:hanging="737"/>
            </w:pPr>
            <w:r>
              <w:rPr>
                <w:spacing w:val="-5"/>
              </w:rPr>
              <w:t>按照</w:t>
            </w:r>
            <w:r>
              <w:rPr>
                <w:spacing w:val="-37"/>
              </w:rPr>
              <w:t xml:space="preserve"> </w:t>
            </w:r>
            <w:r>
              <w:rPr>
                <w:rFonts w:ascii="Times New Roman" w:eastAsia="Times New Roman" w:hAnsi="Times New Roman" w:cs="Times New Roman"/>
                <w:spacing w:val="-5"/>
              </w:rPr>
              <w:t>GB/T3274</w:t>
            </w:r>
            <w:r>
              <w:rPr>
                <w:spacing w:val="-5"/>
              </w:rPr>
              <w:t>，并提供基</w:t>
            </w:r>
            <w:r>
              <w:t xml:space="preserve"> </w:t>
            </w:r>
            <w:r>
              <w:rPr>
                <w:spacing w:val="-3"/>
              </w:rPr>
              <w:t>础数据</w:t>
            </w:r>
          </w:p>
        </w:tc>
        <w:tc>
          <w:tcPr>
            <w:tcW w:w="988" w:type="dxa"/>
            <w:vMerge/>
            <w:tcBorders>
              <w:top w:val="nil"/>
              <w:bottom w:val="nil"/>
            </w:tcBorders>
            <w:vAlign w:val="top"/>
          </w:tcPr>
          <w:p>
            <w:pPr>
              <w:rPr>
                <w:rFonts w:ascii="Arial"/>
                <w:sz w:val="21"/>
              </w:rPr>
            </w:pPr>
          </w:p>
        </w:tc>
      </w:tr>
      <w:tr>
        <w:tblPrEx>
          <w:tblW w:w="9574" w:type="dxa"/>
          <w:tblInd w:w="2" w:type="dxa"/>
          <w:tblLayout w:type="fixed"/>
        </w:tblPrEx>
        <w:trPr>
          <w:trHeight w:val="633"/>
        </w:trPr>
        <w:tc>
          <w:tcPr>
            <w:tcW w:w="705" w:type="dxa"/>
            <w:vMerge/>
            <w:tcBorders>
              <w:top w:val="nil"/>
            </w:tcBorders>
            <w:vAlign w:val="top"/>
          </w:tcPr>
          <w:p>
            <w:pPr>
              <w:rPr>
                <w:rFonts w:ascii="Arial"/>
                <w:sz w:val="21"/>
              </w:rPr>
            </w:pPr>
          </w:p>
        </w:tc>
        <w:tc>
          <w:tcPr>
            <w:tcW w:w="1180" w:type="dxa"/>
            <w:vAlign w:val="top"/>
          </w:tcPr>
          <w:p>
            <w:pPr>
              <w:pStyle w:val="TableText"/>
              <w:spacing w:before="227" w:line="221" w:lineRule="auto"/>
              <w:ind w:left="237"/>
            </w:pPr>
            <w:r>
              <w:rPr>
                <w:spacing w:val="-3"/>
              </w:rPr>
              <w:t>弯曲性能</w:t>
            </w:r>
          </w:p>
        </w:tc>
        <w:tc>
          <w:tcPr>
            <w:tcW w:w="2393" w:type="dxa"/>
            <w:gridSpan w:val="3"/>
            <w:vAlign w:val="top"/>
          </w:tcPr>
          <w:p>
            <w:pPr>
              <w:pStyle w:val="TableText"/>
              <w:spacing w:before="111" w:line="229" w:lineRule="auto"/>
              <w:ind w:left="665" w:right="137" w:hanging="520"/>
            </w:pPr>
            <w:r>
              <w:rPr>
                <w:spacing w:val="-5"/>
              </w:rPr>
              <w:t>各牌号横向</w:t>
            </w:r>
            <w:r>
              <w:rPr>
                <w:spacing w:val="-13"/>
              </w:rPr>
              <w:t xml:space="preserve"> </w:t>
            </w:r>
            <w:r>
              <w:rPr>
                <w:rFonts w:ascii="Times New Roman" w:eastAsia="Times New Roman" w:hAnsi="Times New Roman" w:cs="Times New Roman"/>
                <w:spacing w:val="-5"/>
              </w:rPr>
              <w:t>180</w:t>
            </w:r>
            <w:r>
              <w:rPr>
                <w:rFonts w:ascii="Times New Roman" w:eastAsia="Times New Roman" w:hAnsi="Times New Roman" w:cs="Times New Roman"/>
                <w:spacing w:val="-23"/>
              </w:rPr>
              <w:t xml:space="preserve"> </w:t>
            </w:r>
            <w:r>
              <w:rPr>
                <w:spacing w:val="-5"/>
              </w:rPr>
              <w:t>°弯曲试验</w:t>
            </w:r>
            <w:r>
              <w:t xml:space="preserve"> </w:t>
            </w:r>
            <w:r>
              <w:rPr>
                <w:spacing w:val="-2"/>
              </w:rPr>
              <w:t>弯曲压头直径</w:t>
            </w:r>
          </w:p>
        </w:tc>
        <w:tc>
          <w:tcPr>
            <w:tcW w:w="751" w:type="dxa"/>
            <w:vAlign w:val="top"/>
          </w:tcPr>
          <w:p>
            <w:pPr>
              <w:spacing w:line="279" w:lineRule="auto"/>
              <w:rPr>
                <w:rFonts w:ascii="Arial"/>
                <w:sz w:val="21"/>
              </w:rPr>
            </w:pPr>
          </w:p>
          <w:p>
            <w:pPr>
              <w:spacing w:before="51" w:line="87" w:lineRule="exact"/>
              <w:ind w:left="349"/>
              <w:rPr>
                <w:rFonts w:ascii="Times New Roman" w:eastAsia="Times New Roman" w:hAnsi="Times New Roman" w:cs="Times New Roman"/>
                <w:sz w:val="18"/>
                <w:szCs w:val="18"/>
              </w:rPr>
            </w:pPr>
            <w:r>
              <w:rPr>
                <w:rFonts w:ascii="Times New Roman" w:eastAsia="Times New Roman" w:hAnsi="Times New Roman" w:cs="Times New Roman"/>
                <w:position w:val="-1"/>
                <w:sz w:val="18"/>
                <w:szCs w:val="18"/>
              </w:rPr>
              <w:t>-</w:t>
            </w:r>
          </w:p>
        </w:tc>
        <w:tc>
          <w:tcPr>
            <w:tcW w:w="1322" w:type="dxa"/>
            <w:vAlign w:val="top"/>
          </w:tcPr>
          <w:p>
            <w:pPr>
              <w:pStyle w:val="TableText"/>
              <w:spacing w:before="199" w:line="286" w:lineRule="exact"/>
              <w:ind w:left="331"/>
              <w:rPr>
                <w:rFonts w:ascii="Times New Roman" w:eastAsia="Times New Roman" w:hAnsi="Times New Roman" w:cs="Times New Roman"/>
              </w:rPr>
            </w:pPr>
            <w:r>
              <w:rPr>
                <w:rFonts w:ascii="Times New Roman" w:eastAsia="Times New Roman" w:hAnsi="Times New Roman" w:cs="Times New Roman"/>
                <w:spacing w:val="-4"/>
                <w:position w:val="2"/>
              </w:rPr>
              <w:t>d</w:t>
            </w:r>
            <w:r>
              <w:rPr>
                <w:rFonts w:ascii="Times New Roman" w:eastAsia="Times New Roman" w:hAnsi="Times New Roman" w:cs="Times New Roman"/>
                <w:spacing w:val="9"/>
                <w:position w:val="2"/>
              </w:rPr>
              <w:t xml:space="preserve">  </w:t>
            </w:r>
            <w:r>
              <w:rPr>
                <w:spacing w:val="-4"/>
                <w:position w:val="2"/>
              </w:rPr>
              <w:t>≤</w:t>
            </w:r>
            <w:r>
              <w:rPr>
                <w:rFonts w:ascii="Times New Roman" w:eastAsia="Times New Roman" w:hAnsi="Times New Roman" w:cs="Times New Roman"/>
                <w:spacing w:val="-4"/>
                <w:position w:val="2"/>
              </w:rPr>
              <w:t>1.5a</w:t>
            </w:r>
          </w:p>
        </w:tc>
        <w:tc>
          <w:tcPr>
            <w:tcW w:w="2235" w:type="dxa"/>
            <w:vAlign w:val="top"/>
          </w:tcPr>
          <w:p>
            <w:pPr>
              <w:pStyle w:val="TableText"/>
              <w:spacing w:before="72" w:after="0" w:line="270" w:lineRule="auto"/>
              <w:ind w:left="1032" w:right="123" w:hanging="894"/>
            </w:pPr>
            <w:r>
              <w:rPr>
                <w:spacing w:val="-2"/>
              </w:rPr>
              <w:t>实测数据，并提供基础数</w:t>
            </w:r>
            <w:r>
              <w:rPr>
                <w:spacing w:val="9"/>
              </w:rPr>
              <w:t xml:space="preserve"> </w:t>
            </w:r>
          </w:p>
        </w:tc>
        <w:tc>
          <w:tcPr>
            <w:tcW w:w="988" w:type="dxa"/>
            <w:vMerge/>
            <w:tcBorders>
              <w:top w:val="nil"/>
            </w:tcBorders>
            <w:vAlign w:val="top"/>
          </w:tcPr>
          <w:p>
            <w:pPr>
              <w:rPr>
                <w:rFonts w:ascii="Arial"/>
                <w:sz w:val="21"/>
              </w:rPr>
            </w:pPr>
          </w:p>
        </w:tc>
      </w:tr>
    </w:tbl>
    <w:p>
      <w:pPr>
        <w:sectPr>
          <w:footerReference w:type="default" r:id="rId10"/>
          <w:pgSz w:w="11906" w:h="16839"/>
          <w:pgMar w:top="1431" w:right="1021" w:bottom="1312" w:left="1305" w:header="0" w:footer="1134" w:gutter="0"/>
          <w:pgNumType w:start="7"/>
          <w:cols w:space="708"/>
        </w:sectPr>
      </w:pPr>
    </w:p>
    <w:tbl>
      <w:tblPr>
        <w:tblStyle w:val="TableNormal3"/>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5"/>
        <w:gridCol w:w="1180"/>
        <w:gridCol w:w="2393"/>
        <w:gridCol w:w="751"/>
        <w:gridCol w:w="1322"/>
        <w:gridCol w:w="2235"/>
        <w:gridCol w:w="988"/>
      </w:tblGrid>
      <w:tr>
        <w:tblPrEx>
          <w:tblW w:w="957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705" w:type="dxa"/>
            <w:tcBorders>
              <w:top w:val="nil"/>
            </w:tcBorders>
            <w:vAlign w:val="top"/>
          </w:tcPr>
          <w:p/>
        </w:tc>
        <w:tc>
          <w:tcPr>
            <w:tcW w:w="1180" w:type="dxa"/>
            <w:vAlign w:val="top"/>
          </w:tcPr>
          <w:p/>
        </w:tc>
        <w:tc>
          <w:tcPr>
            <w:tcW w:w="2393" w:type="dxa"/>
            <w:vAlign w:val="top"/>
          </w:tcPr>
          <w:p/>
        </w:tc>
        <w:tc>
          <w:tcPr>
            <w:tcW w:w="751" w:type="dxa"/>
            <w:vAlign w:val="top"/>
          </w:tcPr>
          <w:p/>
        </w:tc>
        <w:tc>
          <w:tcPr>
            <w:tcW w:w="1322" w:type="dxa"/>
            <w:vAlign w:val="top"/>
          </w:tcPr>
          <w:p/>
        </w:tc>
        <w:tc>
          <w:tcPr>
            <w:tcW w:w="2235" w:type="dxa"/>
            <w:vAlign w:val="top"/>
          </w:tcPr>
          <w:p>
            <w:pPr>
              <w:pStyle w:val="TableText"/>
              <w:spacing w:before="0" w:line="270" w:lineRule="auto"/>
              <w:ind w:left="1032" w:right="123" w:hanging="894"/>
            </w:pPr>
            <w:r>
              <w:t>据</w:t>
            </w:r>
          </w:p>
        </w:tc>
        <w:tc>
          <w:tcPr>
            <w:tcW w:w="988" w:type="dxa"/>
            <w:tcBorders>
              <w:top w:val="nil"/>
            </w:tcBorders>
            <w:vAlign w:val="top"/>
          </w:tcPr>
          <w:p/>
        </w:tc>
      </w:tr>
    </w:tbl>
    <w:p>
      <w:pPr>
        <w:spacing w:before="207" w:line="229" w:lineRule="auto"/>
        <w:ind w:left="116"/>
        <w:rPr>
          <w:rFonts w:ascii="SimHei" w:eastAsia="SimHei" w:hAnsi="SimHei" w:cs="SimHei"/>
          <w:sz w:val="20"/>
          <w:szCs w:val="20"/>
        </w:rPr>
      </w:pPr>
      <w:r>
        <w:rPr>
          <w:rFonts w:ascii="SimHei" w:eastAsia="SimHei" w:hAnsi="SimHei" w:cs="SimHei"/>
          <w:spacing w:val="8"/>
          <w:sz w:val="20"/>
          <w:szCs w:val="20"/>
        </w:rPr>
        <w:t>5.3</w:t>
      </w:r>
      <w:r>
        <w:rPr>
          <w:rFonts w:ascii="SimHei" w:eastAsia="SimHei" w:hAnsi="SimHei" w:cs="SimHei"/>
          <w:spacing w:val="8"/>
          <w:sz w:val="20"/>
          <w:szCs w:val="20"/>
        </w:rPr>
        <w:t xml:space="preserve">  </w:t>
      </w:r>
      <w:r>
        <w:rPr>
          <w:rFonts w:ascii="SimHei" w:eastAsia="SimHei" w:hAnsi="SimHei" w:cs="SimHei"/>
          <w:spacing w:val="8"/>
          <w:sz w:val="20"/>
          <w:szCs w:val="20"/>
        </w:rPr>
        <w:t>检验方法和指标计算方法</w:t>
      </w:r>
    </w:p>
    <w:p>
      <w:pPr>
        <w:pStyle w:val="BodyText"/>
        <w:spacing w:before="219" w:line="258" w:lineRule="auto"/>
        <w:ind w:left="123" w:right="113" w:firstLine="419"/>
        <w:rPr>
          <w:rFonts w:ascii="SimSun" w:eastAsia="SimSun" w:hAnsi="SimSun" w:cs="SimSun"/>
        </w:rPr>
      </w:pPr>
      <w:r>
        <w:rPr>
          <w:rFonts w:ascii="SimSun" w:eastAsia="SimSun" w:hAnsi="SimSun" w:cs="SimSun"/>
          <w:spacing w:val="10"/>
        </w:rPr>
        <w:t>本文件的各项指标的采集和检测按国家标准检测方法执行。相关数据处理和计算</w:t>
      </w:r>
      <w:r>
        <w:rPr>
          <w:rFonts w:ascii="SimSun" w:eastAsia="SimSun" w:hAnsi="SimSun" w:cs="SimSun"/>
          <w:spacing w:val="9"/>
        </w:rPr>
        <w:t>方法按照表</w:t>
      </w:r>
      <w:r>
        <w:rPr>
          <w:spacing w:val="9"/>
        </w:rPr>
        <w:t>1</w:t>
      </w:r>
      <w:r>
        <w:rPr>
          <w:rFonts w:ascii="SimSun" w:eastAsia="SimSun" w:hAnsi="SimSun" w:cs="SimSun"/>
          <w:spacing w:val="9"/>
        </w:rPr>
        <w:t>判定</w:t>
      </w:r>
      <w:r>
        <w:rPr>
          <w:rFonts w:ascii="SimSun" w:eastAsia="SimSun" w:hAnsi="SimSun" w:cs="SimSun"/>
        </w:rPr>
        <w:t xml:space="preserve"> </w:t>
      </w:r>
      <w:r>
        <w:rPr>
          <w:rFonts w:ascii="SimSun" w:eastAsia="SimSun" w:hAnsi="SimSun" w:cs="SimSun"/>
          <w:spacing w:val="7"/>
        </w:rPr>
        <w:t>依据中的方法执行。</w:t>
      </w:r>
    </w:p>
    <w:p>
      <w:pPr>
        <w:spacing w:line="310" w:lineRule="auto"/>
        <w:rPr>
          <w:rFonts w:ascii="Arial"/>
          <w:sz w:val="21"/>
        </w:rPr>
      </w:pPr>
    </w:p>
    <w:p>
      <w:pPr>
        <w:spacing w:before="65" w:line="229" w:lineRule="auto"/>
        <w:ind w:left="120"/>
        <w:rPr>
          <w:rFonts w:ascii="SimHei" w:eastAsia="SimHei" w:hAnsi="SimHei" w:cs="SimHei"/>
          <w:sz w:val="20"/>
          <w:szCs w:val="20"/>
        </w:rPr>
      </w:pPr>
      <w:r>
        <w:rPr>
          <w:rFonts w:ascii="SimHei" w:eastAsia="SimHei" w:hAnsi="SimHei" w:cs="SimHei"/>
          <w:spacing w:val="8"/>
          <w:sz w:val="20"/>
          <w:szCs w:val="20"/>
        </w:rPr>
        <w:t>6</w:t>
      </w:r>
      <w:r>
        <w:rPr>
          <w:rFonts w:ascii="SimHei" w:eastAsia="SimHei" w:hAnsi="SimHei" w:cs="SimHei"/>
          <w:spacing w:val="8"/>
          <w:sz w:val="20"/>
          <w:szCs w:val="20"/>
        </w:rPr>
        <w:t xml:space="preserve">  </w:t>
      </w:r>
      <w:r>
        <w:rPr>
          <w:rFonts w:ascii="SimHei" w:eastAsia="SimHei" w:hAnsi="SimHei" w:cs="SimHei"/>
          <w:spacing w:val="8"/>
          <w:sz w:val="20"/>
          <w:szCs w:val="20"/>
        </w:rPr>
        <w:t>生命周期评价报告编制方法</w:t>
      </w:r>
    </w:p>
    <w:p>
      <w:pPr>
        <w:spacing w:line="309" w:lineRule="auto"/>
        <w:rPr>
          <w:rFonts w:ascii="Arial"/>
          <w:sz w:val="21"/>
        </w:rPr>
      </w:pPr>
    </w:p>
    <w:p>
      <w:pPr>
        <w:spacing w:before="65" w:line="229" w:lineRule="auto"/>
        <w:ind w:left="120"/>
        <w:rPr>
          <w:rFonts w:ascii="SimHei" w:eastAsia="SimHei" w:hAnsi="SimHei" w:cs="SimHei"/>
          <w:sz w:val="20"/>
          <w:szCs w:val="20"/>
        </w:rPr>
      </w:pPr>
      <w:r>
        <w:rPr>
          <w:rFonts w:ascii="SimHei" w:eastAsia="SimHei" w:hAnsi="SimHei" w:cs="SimHei"/>
          <w:spacing w:val="6"/>
          <w:sz w:val="20"/>
          <w:szCs w:val="20"/>
        </w:rPr>
        <w:t>6.1</w:t>
      </w:r>
      <w:r>
        <w:rPr>
          <w:rFonts w:ascii="SimHei" w:eastAsia="SimHei" w:hAnsi="SimHei" w:cs="SimHei"/>
          <w:spacing w:val="6"/>
          <w:sz w:val="20"/>
          <w:szCs w:val="20"/>
        </w:rPr>
        <w:t xml:space="preserve">  </w:t>
      </w:r>
      <w:r>
        <w:rPr>
          <w:rFonts w:ascii="SimHei" w:eastAsia="SimHei" w:hAnsi="SimHei" w:cs="SimHei"/>
          <w:spacing w:val="6"/>
          <w:sz w:val="20"/>
          <w:szCs w:val="20"/>
        </w:rPr>
        <w:t>编制依据</w:t>
      </w:r>
    </w:p>
    <w:p>
      <w:pPr>
        <w:pStyle w:val="BodyText"/>
        <w:spacing w:before="221" w:line="257" w:lineRule="auto"/>
        <w:ind w:left="120" w:right="113" w:firstLine="420"/>
        <w:rPr>
          <w:rFonts w:ascii="SimSun" w:eastAsia="SimSun" w:hAnsi="SimSun" w:cs="SimSun"/>
        </w:rPr>
      </w:pPr>
      <w:r>
        <w:rPr>
          <w:rFonts w:ascii="SimSun" w:eastAsia="SimSun" w:hAnsi="SimSun" w:cs="SimSun"/>
          <w:spacing w:val="14"/>
        </w:rPr>
        <w:t>应依据附录</w:t>
      </w:r>
      <w:r>
        <w:rPr>
          <w:spacing w:val="14"/>
        </w:rPr>
        <w:t>B</w:t>
      </w:r>
      <w:r>
        <w:rPr>
          <w:rFonts w:ascii="SimSun" w:eastAsia="SimSun" w:hAnsi="SimSun" w:cs="SimSun"/>
          <w:spacing w:val="14"/>
        </w:rPr>
        <w:t>中的碳素结构钢和低合金结构钢热轧钢板及钢带产品生命周期评价方法框架建立生</w:t>
      </w:r>
      <w:r>
        <w:rPr>
          <w:rFonts w:ascii="SimSun" w:eastAsia="SimSun" w:hAnsi="SimSun" w:cs="SimSun"/>
          <w:spacing w:val="2"/>
        </w:rPr>
        <w:t xml:space="preserve"> </w:t>
      </w:r>
      <w:r>
        <w:rPr>
          <w:rFonts w:ascii="SimSun" w:eastAsia="SimSun" w:hAnsi="SimSun" w:cs="SimSun"/>
          <w:spacing w:val="9"/>
        </w:rPr>
        <w:t>命周期评价方法学，并依据此方法学编制生命周期评价报告。</w:t>
      </w:r>
    </w:p>
    <w:p>
      <w:pPr>
        <w:spacing w:line="257" w:lineRule="auto"/>
        <w:rPr>
          <w:rFonts w:ascii="SimSun" w:eastAsia="SimSun" w:hAnsi="SimSun" w:cs="SimSun"/>
        </w:rPr>
        <w:sectPr>
          <w:footerReference w:type="default" r:id="rId11"/>
          <w:type w:val="nextPage"/>
          <w:pgSz w:w="11906" w:h="16839"/>
          <w:pgMar w:top="1431" w:right="1021" w:bottom="1312" w:left="1305" w:header="0" w:footer="1134" w:gutter="0"/>
          <w:pgNumType w:start="8"/>
          <w:cols w:space="708"/>
          <w:titlePg w:val="0"/>
        </w:sectPr>
      </w:pPr>
    </w:p>
    <w:p>
      <w:pPr>
        <w:spacing w:before="245" w:line="231" w:lineRule="auto"/>
        <w:rPr>
          <w:rFonts w:ascii="SimHei" w:eastAsia="SimHei" w:hAnsi="SimHei" w:cs="SimHei"/>
          <w:sz w:val="20"/>
          <w:szCs w:val="20"/>
        </w:rPr>
      </w:pPr>
      <w:r>
        <w:rPr>
          <w:rFonts w:ascii="SimHei" w:eastAsia="SimHei" w:hAnsi="SimHei" w:cs="SimHei"/>
          <w:spacing w:val="6"/>
          <w:sz w:val="20"/>
          <w:szCs w:val="20"/>
        </w:rPr>
        <w:t>6.2</w:t>
      </w:r>
      <w:r>
        <w:rPr>
          <w:rFonts w:ascii="SimHei" w:eastAsia="SimHei" w:hAnsi="SimHei" w:cs="SimHei"/>
          <w:spacing w:val="6"/>
          <w:sz w:val="20"/>
          <w:szCs w:val="20"/>
        </w:rPr>
        <w:t xml:space="preserve">  </w:t>
      </w:r>
      <w:r>
        <w:rPr>
          <w:rFonts w:ascii="SimHei" w:eastAsia="SimHei" w:hAnsi="SimHei" w:cs="SimHei"/>
          <w:spacing w:val="6"/>
          <w:sz w:val="20"/>
          <w:szCs w:val="20"/>
        </w:rPr>
        <w:t>报告内容框架</w:t>
      </w:r>
    </w:p>
    <w:p>
      <w:pPr>
        <w:spacing w:before="218" w:line="231" w:lineRule="auto"/>
        <w:rPr>
          <w:rFonts w:ascii="SimHei" w:eastAsia="SimHei" w:hAnsi="SimHei" w:cs="SimHei"/>
          <w:sz w:val="20"/>
          <w:szCs w:val="20"/>
        </w:rPr>
      </w:pPr>
      <w:r>
        <w:rPr>
          <w:rFonts w:ascii="SimHei" w:eastAsia="SimHei" w:hAnsi="SimHei" w:cs="SimHei"/>
          <w:spacing w:val="5"/>
          <w:sz w:val="20"/>
          <w:szCs w:val="20"/>
        </w:rPr>
        <w:t>6.2.1</w:t>
      </w:r>
      <w:r>
        <w:rPr>
          <w:rFonts w:ascii="SimHei" w:eastAsia="SimHei" w:hAnsi="SimHei" w:cs="SimHei"/>
          <w:spacing w:val="5"/>
          <w:sz w:val="20"/>
          <w:szCs w:val="20"/>
        </w:rPr>
        <w:t xml:space="preserve">  </w:t>
      </w:r>
      <w:r>
        <w:rPr>
          <w:rFonts w:ascii="SimHei" w:eastAsia="SimHei" w:hAnsi="SimHei" w:cs="SimHei"/>
          <w:spacing w:val="5"/>
          <w:sz w:val="20"/>
          <w:szCs w:val="20"/>
        </w:rPr>
        <w:t>基本信息</w:t>
      </w:r>
    </w:p>
    <w:p>
      <w:pPr>
        <w:spacing w:before="218" w:line="273" w:lineRule="auto"/>
        <w:ind w:firstLine="418"/>
        <w:jc w:val="both"/>
        <w:rPr>
          <w:rFonts w:ascii="SimSun" w:eastAsia="SimSun" w:hAnsi="SimSun" w:cs="SimSun"/>
          <w:sz w:val="20"/>
          <w:szCs w:val="20"/>
        </w:rPr>
      </w:pPr>
      <w:r>
        <w:rPr>
          <w:rFonts w:ascii="SimSun" w:eastAsia="SimSun" w:hAnsi="SimSun" w:cs="SimSun"/>
          <w:spacing w:val="8"/>
          <w:sz w:val="20"/>
          <w:szCs w:val="20"/>
        </w:rPr>
        <w:t>报告应提供报告信息、申请者信息、评估对象信息</w:t>
      </w:r>
      <w:r>
        <w:rPr>
          <w:rFonts w:ascii="SimSun" w:eastAsia="SimSun" w:hAnsi="SimSun" w:cs="SimSun"/>
          <w:spacing w:val="7"/>
          <w:sz w:val="20"/>
          <w:szCs w:val="20"/>
        </w:rPr>
        <w:t>、采用的标准信息等基本信息。其中，报告信息</w:t>
      </w:r>
      <w:r>
        <w:rPr>
          <w:rFonts w:ascii="SimSun" w:eastAsia="SimSun" w:hAnsi="SimSun" w:cs="SimSun"/>
          <w:sz w:val="20"/>
          <w:szCs w:val="20"/>
        </w:rPr>
        <w:t xml:space="preserve"> </w:t>
      </w:r>
      <w:r>
        <w:rPr>
          <w:rFonts w:ascii="SimSun" w:eastAsia="SimSun" w:hAnsi="SimSun" w:cs="SimSun"/>
          <w:spacing w:val="9"/>
          <w:sz w:val="20"/>
          <w:szCs w:val="20"/>
        </w:rPr>
        <w:t>包括报告编号、编制人员、审核人员、发布日期等，申请者信息包括公司全称、组织机构代码、地址、</w:t>
      </w:r>
      <w:r>
        <w:rPr>
          <w:rFonts w:ascii="SimSun" w:eastAsia="SimSun" w:hAnsi="SimSun" w:cs="SimSun"/>
          <w:sz w:val="20"/>
          <w:szCs w:val="20"/>
        </w:rPr>
        <w:t xml:space="preserve"> </w:t>
      </w:r>
      <w:r>
        <w:rPr>
          <w:rFonts w:ascii="SimSun" w:eastAsia="SimSun" w:hAnsi="SimSun" w:cs="SimSun"/>
          <w:spacing w:val="8"/>
          <w:sz w:val="20"/>
          <w:szCs w:val="20"/>
        </w:rPr>
        <w:t>联系人、联系方式等，评估对象信息包括产品类型、主要技</w:t>
      </w:r>
      <w:r>
        <w:rPr>
          <w:rFonts w:ascii="SimSun" w:eastAsia="SimSun" w:hAnsi="SimSun" w:cs="SimSun"/>
          <w:spacing w:val="7"/>
          <w:sz w:val="20"/>
          <w:szCs w:val="20"/>
        </w:rPr>
        <w:t>术参数、制造商及厂址等，采用的标准信息</w:t>
      </w:r>
      <w:r>
        <w:rPr>
          <w:rFonts w:ascii="SimSun" w:eastAsia="SimSun" w:hAnsi="SimSun" w:cs="SimSun"/>
          <w:sz w:val="20"/>
          <w:szCs w:val="20"/>
        </w:rPr>
        <w:t xml:space="preserve"> </w:t>
      </w:r>
      <w:r>
        <w:rPr>
          <w:rFonts w:ascii="SimSun" w:eastAsia="SimSun" w:hAnsi="SimSun" w:cs="SimSun"/>
          <w:spacing w:val="8"/>
          <w:sz w:val="20"/>
          <w:szCs w:val="20"/>
        </w:rPr>
        <w:t>应包括标准名称及标准号。</w:t>
      </w:r>
    </w:p>
    <w:p>
      <w:pPr>
        <w:spacing w:before="219" w:line="230" w:lineRule="auto"/>
        <w:rPr>
          <w:rFonts w:ascii="SimHei" w:eastAsia="SimHei" w:hAnsi="SimHei" w:cs="SimHei"/>
          <w:sz w:val="20"/>
          <w:szCs w:val="20"/>
        </w:rPr>
      </w:pPr>
      <w:r>
        <w:rPr>
          <w:rFonts w:ascii="SimHei" w:eastAsia="SimHei" w:hAnsi="SimHei" w:cs="SimHei"/>
          <w:spacing w:val="6"/>
          <w:sz w:val="20"/>
          <w:szCs w:val="20"/>
        </w:rPr>
        <w:t>6.2.2</w:t>
      </w:r>
      <w:r>
        <w:rPr>
          <w:rFonts w:ascii="SimHei" w:eastAsia="SimHei" w:hAnsi="SimHei" w:cs="SimHei"/>
          <w:spacing w:val="6"/>
          <w:sz w:val="20"/>
          <w:szCs w:val="20"/>
        </w:rPr>
        <w:t xml:space="preserve">  </w:t>
      </w:r>
      <w:r>
        <w:rPr>
          <w:rFonts w:ascii="SimHei" w:eastAsia="SimHei" w:hAnsi="SimHei" w:cs="SimHei"/>
          <w:spacing w:val="6"/>
          <w:sz w:val="20"/>
          <w:szCs w:val="20"/>
        </w:rPr>
        <w:t>符合性评价</w:t>
      </w:r>
    </w:p>
    <w:p>
      <w:pPr>
        <w:pStyle w:val="BodyText"/>
        <w:spacing w:before="217" w:line="268" w:lineRule="auto"/>
        <w:ind w:left="2" w:right="61" w:firstLine="416"/>
        <w:jc w:val="both"/>
        <w:rPr>
          <w:rFonts w:ascii="SimSun" w:eastAsia="SimSun" w:hAnsi="SimSun" w:cs="SimSun"/>
        </w:rPr>
      </w:pPr>
      <w:r>
        <w:rPr>
          <w:rFonts w:ascii="SimSun" w:eastAsia="SimSun" w:hAnsi="SimSun" w:cs="SimSun"/>
          <w:spacing w:val="8"/>
        </w:rPr>
        <w:t>报告中应提供对基本要求和评价指标要求的符合</w:t>
      </w:r>
      <w:r>
        <w:rPr>
          <w:rFonts w:ascii="SimSun" w:eastAsia="SimSun" w:hAnsi="SimSun" w:cs="SimSun"/>
          <w:spacing w:val="7"/>
        </w:rPr>
        <w:t>性情况，并提供所有评价指标报告期比基期改进情</w:t>
      </w:r>
      <w:r>
        <w:rPr>
          <w:rFonts w:ascii="SimSun" w:eastAsia="SimSun" w:hAnsi="SimSun" w:cs="SimSun"/>
        </w:rPr>
        <w:t xml:space="preserve"> </w:t>
      </w:r>
      <w:r>
        <w:rPr>
          <w:rFonts w:ascii="SimSun" w:eastAsia="SimSun" w:hAnsi="SimSun" w:cs="SimSun"/>
          <w:spacing w:val="8"/>
        </w:rPr>
        <w:t>况的说明。其中报告期为当前评价的年份，一般是指碳素结构</w:t>
      </w:r>
      <w:r>
        <w:rPr>
          <w:rFonts w:ascii="SimSun" w:eastAsia="SimSun" w:hAnsi="SimSun" w:cs="SimSun"/>
          <w:spacing w:val="7"/>
        </w:rPr>
        <w:t>钢和低合金结构钢热轧钢板及钢带产品参</w:t>
      </w:r>
      <w:r>
        <w:rPr>
          <w:rFonts w:ascii="SimSun" w:eastAsia="SimSun" w:hAnsi="SimSun" w:cs="SimSun"/>
        </w:rPr>
        <w:t xml:space="preserve"> </w:t>
      </w:r>
      <w:r>
        <w:rPr>
          <w:rFonts w:ascii="SimSun" w:eastAsia="SimSun" w:hAnsi="SimSun" w:cs="SimSun"/>
          <w:spacing w:val="9"/>
        </w:rPr>
        <w:t>与评价的上一年；基期为一个对照年份，一般比报告期提前</w:t>
      </w:r>
      <w:r>
        <w:rPr>
          <w:spacing w:val="9"/>
        </w:rPr>
        <w:t>1</w:t>
      </w:r>
      <w:r>
        <w:rPr>
          <w:rFonts w:ascii="SimSun" w:eastAsia="SimSun" w:hAnsi="SimSun" w:cs="SimSun"/>
          <w:spacing w:val="9"/>
        </w:rPr>
        <w:t>年。</w:t>
      </w:r>
    </w:p>
    <w:p>
      <w:pPr>
        <w:spacing w:before="222" w:line="230" w:lineRule="auto"/>
        <w:rPr>
          <w:rFonts w:ascii="SimHei" w:eastAsia="SimHei" w:hAnsi="SimHei" w:cs="SimHei"/>
          <w:sz w:val="20"/>
          <w:szCs w:val="20"/>
        </w:rPr>
      </w:pPr>
      <w:r>
        <w:rPr>
          <w:rFonts w:ascii="SimHei" w:eastAsia="SimHei" w:hAnsi="SimHei" w:cs="SimHei"/>
          <w:spacing w:val="6"/>
          <w:sz w:val="20"/>
          <w:szCs w:val="20"/>
        </w:rPr>
        <w:t>6.2.3</w:t>
      </w:r>
      <w:r>
        <w:rPr>
          <w:rFonts w:ascii="SimHei" w:eastAsia="SimHei" w:hAnsi="SimHei" w:cs="SimHei"/>
          <w:spacing w:val="6"/>
          <w:sz w:val="20"/>
          <w:szCs w:val="20"/>
        </w:rPr>
        <w:t xml:space="preserve">  </w:t>
      </w:r>
      <w:r>
        <w:rPr>
          <w:rFonts w:ascii="SimHei" w:eastAsia="SimHei" w:hAnsi="SimHei" w:cs="SimHei"/>
          <w:spacing w:val="6"/>
          <w:sz w:val="20"/>
          <w:szCs w:val="20"/>
        </w:rPr>
        <w:t>生命周期评价</w:t>
      </w:r>
    </w:p>
    <w:p>
      <w:pPr>
        <w:spacing w:before="219" w:line="230" w:lineRule="auto"/>
        <w:rPr>
          <w:rFonts w:ascii="SimHei" w:eastAsia="SimHei" w:hAnsi="SimHei" w:cs="SimHei"/>
          <w:sz w:val="20"/>
          <w:szCs w:val="20"/>
        </w:rPr>
      </w:pPr>
      <w:r>
        <w:rPr>
          <w:rFonts w:ascii="SimHei" w:eastAsia="SimHei" w:hAnsi="SimHei" w:cs="SimHei"/>
          <w:spacing w:val="6"/>
          <w:sz w:val="20"/>
          <w:szCs w:val="20"/>
        </w:rPr>
        <w:t>6.2.4</w:t>
      </w:r>
      <w:r>
        <w:rPr>
          <w:rFonts w:ascii="SimHei" w:eastAsia="SimHei" w:hAnsi="SimHei" w:cs="SimHei"/>
          <w:spacing w:val="6"/>
          <w:sz w:val="20"/>
          <w:szCs w:val="20"/>
        </w:rPr>
        <w:t xml:space="preserve">  </w:t>
      </w:r>
      <w:r>
        <w:rPr>
          <w:rFonts w:ascii="SimHei" w:eastAsia="SimHei" w:hAnsi="SimHei" w:cs="SimHei"/>
          <w:spacing w:val="6"/>
          <w:sz w:val="20"/>
          <w:szCs w:val="20"/>
        </w:rPr>
        <w:t>评价对象及工具</w:t>
      </w:r>
    </w:p>
    <w:p>
      <w:pPr>
        <w:spacing w:before="219" w:line="268" w:lineRule="auto"/>
        <w:ind w:left="1" w:right="61" w:firstLine="417"/>
        <w:jc w:val="both"/>
        <w:rPr>
          <w:rFonts w:ascii="SimSun" w:eastAsia="SimSun" w:hAnsi="SimSun" w:cs="SimSun"/>
          <w:sz w:val="20"/>
          <w:szCs w:val="20"/>
        </w:rPr>
      </w:pPr>
      <w:r>
        <w:rPr>
          <w:rFonts w:ascii="SimSun" w:eastAsia="SimSun" w:hAnsi="SimSun" w:cs="SimSun"/>
          <w:spacing w:val="8"/>
          <w:sz w:val="20"/>
          <w:szCs w:val="20"/>
        </w:rPr>
        <w:t>报告中应详细描述评估的对象、功能单位和产品主要功</w:t>
      </w:r>
      <w:r>
        <w:rPr>
          <w:rFonts w:ascii="SimSun" w:eastAsia="SimSun" w:hAnsi="SimSun" w:cs="SimSun"/>
          <w:spacing w:val="7"/>
          <w:sz w:val="20"/>
          <w:szCs w:val="20"/>
        </w:rPr>
        <w:t>能，提供碳素结构钢和低合金结构钢热轧钢</w:t>
      </w:r>
      <w:r>
        <w:rPr>
          <w:rFonts w:ascii="SimSun" w:eastAsia="SimSun" w:hAnsi="SimSun" w:cs="SimSun"/>
          <w:sz w:val="20"/>
          <w:szCs w:val="20"/>
        </w:rPr>
        <w:t xml:space="preserve"> </w:t>
      </w:r>
      <w:r>
        <w:rPr>
          <w:rFonts w:ascii="SimSun" w:eastAsia="SimSun" w:hAnsi="SimSun" w:cs="SimSun"/>
          <w:spacing w:val="8"/>
          <w:sz w:val="20"/>
          <w:szCs w:val="20"/>
        </w:rPr>
        <w:t>板及钢带的原材料构成及主要技术参数表，绘制并说明碳</w:t>
      </w:r>
      <w:r>
        <w:rPr>
          <w:rFonts w:ascii="SimSun" w:eastAsia="SimSun" w:hAnsi="SimSun" w:cs="SimSun"/>
          <w:spacing w:val="7"/>
          <w:sz w:val="20"/>
          <w:szCs w:val="20"/>
        </w:rPr>
        <w:t>素结构钢和低合金结构钢热轧钢板及钢带的系</w:t>
      </w:r>
      <w:r>
        <w:rPr>
          <w:rFonts w:ascii="SimSun" w:eastAsia="SimSun" w:hAnsi="SimSun" w:cs="SimSun"/>
          <w:sz w:val="20"/>
          <w:szCs w:val="20"/>
        </w:rPr>
        <w:t xml:space="preserve"> </w:t>
      </w:r>
      <w:r>
        <w:rPr>
          <w:rFonts w:ascii="SimSun" w:eastAsia="SimSun" w:hAnsi="SimSun" w:cs="SimSun"/>
          <w:spacing w:val="9"/>
          <w:sz w:val="20"/>
          <w:szCs w:val="20"/>
        </w:rPr>
        <w:t>统边界，披露所使用的基于生命周期数据库的工具。</w:t>
      </w:r>
    </w:p>
    <w:p>
      <w:pPr>
        <w:pStyle w:val="BodyText"/>
        <w:spacing w:before="65" w:line="228" w:lineRule="auto"/>
        <w:ind w:left="421"/>
        <w:rPr>
          <w:rFonts w:ascii="SimSun" w:eastAsia="SimSun" w:hAnsi="SimSun" w:cs="SimSun"/>
        </w:rPr>
      </w:pPr>
      <w:r>
        <w:rPr>
          <w:rFonts w:ascii="SimSun" w:eastAsia="SimSun" w:hAnsi="SimSun" w:cs="SimSun"/>
          <w:spacing w:val="8"/>
        </w:rPr>
        <w:t>本文件以</w:t>
      </w:r>
      <w:r>
        <w:rPr>
          <w:spacing w:val="8"/>
        </w:rPr>
        <w:t>“</w:t>
      </w:r>
      <w:r>
        <w:rPr>
          <w:spacing w:val="-25"/>
        </w:rPr>
        <w:t xml:space="preserve"> </w:t>
      </w:r>
      <w:r>
        <w:rPr>
          <w:spacing w:val="8"/>
        </w:rPr>
        <w:t>1t</w:t>
      </w:r>
      <w:r>
        <w:rPr>
          <w:rFonts w:ascii="SimSun" w:eastAsia="SimSun" w:hAnsi="SimSun" w:cs="SimSun"/>
          <w:spacing w:val="8"/>
        </w:rPr>
        <w:t>碳素结构钢和低合金结构钢热轧钢板及钢带</w:t>
      </w:r>
      <w:r>
        <w:rPr>
          <w:spacing w:val="8"/>
        </w:rPr>
        <w:t>”</w:t>
      </w:r>
      <w:r>
        <w:rPr>
          <w:rFonts w:ascii="SimSun" w:eastAsia="SimSun" w:hAnsi="SimSun" w:cs="SimSun"/>
          <w:spacing w:val="8"/>
        </w:rPr>
        <w:t>为功能单位来表示。</w:t>
      </w:r>
    </w:p>
    <w:p>
      <w:pPr>
        <w:spacing w:before="221" w:line="231" w:lineRule="auto"/>
        <w:rPr>
          <w:rFonts w:ascii="SimHei" w:eastAsia="SimHei" w:hAnsi="SimHei" w:cs="SimHei"/>
          <w:sz w:val="20"/>
          <w:szCs w:val="20"/>
        </w:rPr>
      </w:pPr>
      <w:r>
        <w:rPr>
          <w:rFonts w:ascii="SimHei" w:eastAsia="SimHei" w:hAnsi="SimHei" w:cs="SimHei"/>
          <w:spacing w:val="7"/>
          <w:sz w:val="20"/>
          <w:szCs w:val="20"/>
        </w:rPr>
        <w:t>6.3</w:t>
      </w:r>
      <w:r>
        <w:rPr>
          <w:rFonts w:ascii="SimHei" w:eastAsia="SimHei" w:hAnsi="SimHei" w:cs="SimHei"/>
          <w:spacing w:val="7"/>
          <w:sz w:val="20"/>
          <w:szCs w:val="20"/>
        </w:rPr>
        <w:t xml:space="preserve">  </w:t>
      </w:r>
      <w:r>
        <w:rPr>
          <w:rFonts w:ascii="SimHei" w:eastAsia="SimHei" w:hAnsi="SimHei" w:cs="SimHei"/>
          <w:spacing w:val="7"/>
          <w:sz w:val="20"/>
          <w:szCs w:val="20"/>
        </w:rPr>
        <w:t>生命周期清单分析</w:t>
      </w:r>
    </w:p>
    <w:p>
      <w:pPr>
        <w:spacing w:before="218" w:line="258" w:lineRule="auto"/>
        <w:ind w:right="61" w:firstLine="419"/>
        <w:rPr>
          <w:rFonts w:ascii="SimSun" w:eastAsia="SimSun" w:hAnsi="SimSun" w:cs="SimSun"/>
          <w:sz w:val="20"/>
          <w:szCs w:val="20"/>
        </w:rPr>
      </w:pPr>
      <w:r>
        <w:rPr>
          <w:rFonts w:ascii="SimSun" w:eastAsia="SimSun" w:hAnsi="SimSun" w:cs="SimSun"/>
          <w:spacing w:val="8"/>
          <w:sz w:val="20"/>
          <w:szCs w:val="20"/>
        </w:rPr>
        <w:t>报告中应提供考虑的生命周期阶段，说明每个阶段所考</w:t>
      </w:r>
      <w:r>
        <w:rPr>
          <w:rFonts w:ascii="SimSun" w:eastAsia="SimSun" w:hAnsi="SimSun" w:cs="SimSun"/>
          <w:spacing w:val="7"/>
          <w:sz w:val="20"/>
          <w:szCs w:val="20"/>
        </w:rPr>
        <w:t>虑的清单因子及收集到的现场数据或背景数</w:t>
      </w:r>
      <w:r>
        <w:rPr>
          <w:rFonts w:ascii="SimSun" w:eastAsia="SimSun" w:hAnsi="SimSun" w:cs="SimSun"/>
          <w:sz w:val="20"/>
          <w:szCs w:val="20"/>
        </w:rPr>
        <w:t xml:space="preserve"> </w:t>
      </w:r>
      <w:r>
        <w:rPr>
          <w:rFonts w:ascii="SimSun" w:eastAsia="SimSun" w:hAnsi="SimSun" w:cs="SimSun"/>
          <w:spacing w:val="9"/>
          <w:sz w:val="20"/>
          <w:szCs w:val="20"/>
        </w:rPr>
        <w:t>据，涉及到数据分配的情况应说明分配方法和结果。</w:t>
      </w:r>
    </w:p>
    <w:p>
      <w:pPr>
        <w:spacing w:before="221" w:line="230" w:lineRule="auto"/>
        <w:rPr>
          <w:rFonts w:ascii="SimHei" w:eastAsia="SimHei" w:hAnsi="SimHei" w:cs="SimHei"/>
          <w:sz w:val="20"/>
          <w:szCs w:val="20"/>
        </w:rPr>
      </w:pPr>
      <w:r>
        <w:rPr>
          <w:rFonts w:ascii="SimHei" w:eastAsia="SimHei" w:hAnsi="SimHei" w:cs="SimHei"/>
          <w:spacing w:val="7"/>
          <w:sz w:val="20"/>
          <w:szCs w:val="20"/>
        </w:rPr>
        <w:t>6.4</w:t>
      </w:r>
      <w:r>
        <w:rPr>
          <w:rFonts w:ascii="SimHei" w:eastAsia="SimHei" w:hAnsi="SimHei" w:cs="SimHei"/>
          <w:spacing w:val="7"/>
          <w:sz w:val="20"/>
          <w:szCs w:val="20"/>
        </w:rPr>
        <w:t xml:space="preserve">  </w:t>
      </w:r>
      <w:r>
        <w:rPr>
          <w:rFonts w:ascii="SimHei" w:eastAsia="SimHei" w:hAnsi="SimHei" w:cs="SimHei"/>
          <w:spacing w:val="7"/>
          <w:sz w:val="20"/>
          <w:szCs w:val="20"/>
        </w:rPr>
        <w:t>生命周期影响评价</w:t>
      </w:r>
    </w:p>
    <w:p>
      <w:pPr>
        <w:spacing w:before="218" w:line="258" w:lineRule="auto"/>
        <w:ind w:left="1" w:right="61" w:firstLine="417"/>
        <w:rPr>
          <w:rFonts w:ascii="SimSun" w:eastAsia="SimSun" w:hAnsi="SimSun" w:cs="SimSun"/>
          <w:sz w:val="20"/>
          <w:szCs w:val="20"/>
        </w:rPr>
      </w:pPr>
      <w:r>
        <w:rPr>
          <w:rFonts w:ascii="SimSun" w:eastAsia="SimSun" w:hAnsi="SimSun" w:cs="SimSun"/>
          <w:spacing w:val="13"/>
          <w:sz w:val="20"/>
          <w:szCs w:val="20"/>
        </w:rPr>
        <w:t>报告中应提供碳素结构钢和低合金结构钢热轧钢</w:t>
      </w:r>
      <w:r>
        <w:rPr>
          <w:rFonts w:ascii="SimSun" w:eastAsia="SimSun" w:hAnsi="SimSun" w:cs="SimSun"/>
          <w:spacing w:val="12"/>
          <w:sz w:val="20"/>
          <w:szCs w:val="20"/>
        </w:rPr>
        <w:t>板及钢带生命周期各阶段的不同影响类型的特征</w:t>
      </w:r>
      <w:r>
        <w:rPr>
          <w:rFonts w:ascii="SimSun" w:eastAsia="SimSun" w:hAnsi="SimSun" w:cs="SimSun"/>
          <w:sz w:val="20"/>
          <w:szCs w:val="20"/>
        </w:rPr>
        <w:t xml:space="preserve"> </w:t>
      </w:r>
      <w:r>
        <w:rPr>
          <w:rFonts w:ascii="SimSun" w:eastAsia="SimSun" w:hAnsi="SimSun" w:cs="SimSun"/>
          <w:spacing w:val="9"/>
          <w:sz w:val="20"/>
          <w:szCs w:val="20"/>
        </w:rPr>
        <w:t>化值，并对不同影响类型在各生命周期阶段的分布情况进行比较分析。</w:t>
      </w:r>
    </w:p>
    <w:p>
      <w:pPr>
        <w:spacing w:before="222" w:line="229" w:lineRule="auto"/>
        <w:rPr>
          <w:rFonts w:ascii="SimHei" w:eastAsia="SimHei" w:hAnsi="SimHei" w:cs="SimHei"/>
          <w:sz w:val="20"/>
          <w:szCs w:val="20"/>
        </w:rPr>
      </w:pPr>
      <w:r>
        <w:rPr>
          <w:rFonts w:ascii="SimHei" w:eastAsia="SimHei" w:hAnsi="SimHei" w:cs="SimHei"/>
          <w:spacing w:val="7"/>
          <w:sz w:val="20"/>
          <w:szCs w:val="20"/>
        </w:rPr>
        <w:t>6.5</w:t>
      </w:r>
      <w:r>
        <w:rPr>
          <w:rFonts w:ascii="SimHei" w:eastAsia="SimHei" w:hAnsi="SimHei" w:cs="SimHei"/>
          <w:spacing w:val="7"/>
          <w:sz w:val="20"/>
          <w:szCs w:val="20"/>
        </w:rPr>
        <w:t xml:space="preserve">  </w:t>
      </w:r>
      <w:r>
        <w:rPr>
          <w:rFonts w:ascii="SimHei" w:eastAsia="SimHei" w:hAnsi="SimHei" w:cs="SimHei"/>
          <w:spacing w:val="7"/>
          <w:sz w:val="20"/>
          <w:szCs w:val="20"/>
        </w:rPr>
        <w:t>绿色设计改进方案</w:t>
      </w:r>
    </w:p>
    <w:p>
      <w:pPr>
        <w:spacing w:before="219" w:line="258" w:lineRule="auto"/>
        <w:ind w:left="4" w:right="61" w:firstLine="415"/>
        <w:rPr>
          <w:rFonts w:ascii="SimSun" w:eastAsia="SimSun" w:hAnsi="SimSun" w:cs="SimSun"/>
          <w:sz w:val="20"/>
          <w:szCs w:val="20"/>
        </w:rPr>
      </w:pPr>
      <w:r>
        <w:rPr>
          <w:rFonts w:ascii="SimSun" w:eastAsia="SimSun" w:hAnsi="SimSun" w:cs="SimSun"/>
          <w:spacing w:val="8"/>
          <w:sz w:val="20"/>
          <w:szCs w:val="20"/>
        </w:rPr>
        <w:t>在分析指标的符合性评价结果以及生命周期评价结果</w:t>
      </w:r>
      <w:r>
        <w:rPr>
          <w:rFonts w:ascii="SimSun" w:eastAsia="SimSun" w:hAnsi="SimSun" w:cs="SimSun"/>
          <w:spacing w:val="7"/>
          <w:sz w:val="20"/>
          <w:szCs w:val="20"/>
        </w:rPr>
        <w:t>的基础上，提出碳素结构钢和低合金结构钢热</w:t>
      </w:r>
      <w:r>
        <w:rPr>
          <w:rFonts w:ascii="SimSun" w:eastAsia="SimSun" w:hAnsi="SimSun" w:cs="SimSun"/>
          <w:sz w:val="20"/>
          <w:szCs w:val="20"/>
        </w:rPr>
        <w:t xml:space="preserve"> </w:t>
      </w:r>
      <w:r>
        <w:rPr>
          <w:rFonts w:ascii="SimSun" w:eastAsia="SimSun" w:hAnsi="SimSun" w:cs="SimSun"/>
          <w:spacing w:val="8"/>
          <w:sz w:val="20"/>
          <w:szCs w:val="20"/>
        </w:rPr>
        <w:t>轧钢板及钢带绿色设计改进的具体方案。</w:t>
      </w:r>
    </w:p>
    <w:p>
      <w:pPr>
        <w:spacing w:before="221" w:line="230" w:lineRule="auto"/>
        <w:rPr>
          <w:rFonts w:ascii="SimHei" w:eastAsia="SimHei" w:hAnsi="SimHei" w:cs="SimHei"/>
          <w:sz w:val="20"/>
          <w:szCs w:val="20"/>
        </w:rPr>
      </w:pPr>
      <w:r>
        <w:rPr>
          <w:rFonts w:ascii="SimHei" w:eastAsia="SimHei" w:hAnsi="SimHei" w:cs="SimHei"/>
          <w:spacing w:val="7"/>
          <w:sz w:val="20"/>
          <w:szCs w:val="20"/>
        </w:rPr>
        <w:t>6.6</w:t>
      </w:r>
      <w:r>
        <w:rPr>
          <w:rFonts w:ascii="SimHei" w:eastAsia="SimHei" w:hAnsi="SimHei" w:cs="SimHei"/>
          <w:spacing w:val="7"/>
          <w:sz w:val="20"/>
          <w:szCs w:val="20"/>
        </w:rPr>
        <w:t xml:space="preserve">  </w:t>
      </w:r>
      <w:r>
        <w:rPr>
          <w:rFonts w:ascii="SimHei" w:eastAsia="SimHei" w:hAnsi="SimHei" w:cs="SimHei"/>
          <w:spacing w:val="7"/>
          <w:sz w:val="20"/>
          <w:szCs w:val="20"/>
        </w:rPr>
        <w:t>评价报告主要结论</w:t>
      </w:r>
    </w:p>
    <w:p>
      <w:pPr>
        <w:spacing w:before="220" w:line="268" w:lineRule="auto"/>
        <w:ind w:firstLine="420"/>
        <w:jc w:val="both"/>
        <w:rPr>
          <w:rFonts w:ascii="SimSun" w:eastAsia="SimSun" w:hAnsi="SimSun" w:cs="SimSun"/>
          <w:sz w:val="20"/>
          <w:szCs w:val="20"/>
        </w:rPr>
      </w:pPr>
      <w:r>
        <w:rPr>
          <w:rFonts w:ascii="SimSun" w:eastAsia="SimSun" w:hAnsi="SimSun" w:cs="SimSun"/>
          <w:spacing w:val="9"/>
          <w:sz w:val="20"/>
          <w:szCs w:val="20"/>
        </w:rPr>
        <w:t>应说明碳素结构钢和低合金结构钢热轧钢板及钢带对评价指标的符合性结论、生命周期评价结</w:t>
      </w:r>
      <w:r>
        <w:rPr>
          <w:rFonts w:ascii="SimSun" w:eastAsia="SimSun" w:hAnsi="SimSun" w:cs="SimSun"/>
          <w:spacing w:val="8"/>
          <w:sz w:val="20"/>
          <w:szCs w:val="20"/>
        </w:rPr>
        <w:t>果、</w:t>
      </w:r>
      <w:r>
        <w:rPr>
          <w:rFonts w:ascii="SimSun" w:eastAsia="SimSun" w:hAnsi="SimSun" w:cs="SimSun"/>
          <w:sz w:val="20"/>
          <w:szCs w:val="20"/>
        </w:rPr>
        <w:t xml:space="preserve"> </w:t>
      </w:r>
      <w:r>
        <w:rPr>
          <w:rFonts w:ascii="SimSun" w:eastAsia="SimSun" w:hAnsi="SimSun" w:cs="SimSun"/>
          <w:spacing w:val="8"/>
          <w:sz w:val="20"/>
          <w:szCs w:val="20"/>
        </w:rPr>
        <w:t>提出的改进方案，并根据评价结论初步判断碳素结构钢和低合金</w:t>
      </w:r>
      <w:r>
        <w:rPr>
          <w:rFonts w:ascii="SimSun" w:eastAsia="SimSun" w:hAnsi="SimSun" w:cs="SimSun"/>
          <w:spacing w:val="7"/>
          <w:sz w:val="20"/>
          <w:szCs w:val="20"/>
        </w:rPr>
        <w:t>结构钢热轧钢板及钢带是否为绿色设计</w:t>
      </w:r>
      <w:r>
        <w:rPr>
          <w:rFonts w:ascii="SimSun" w:eastAsia="SimSun" w:hAnsi="SimSun" w:cs="SimSun"/>
          <w:sz w:val="20"/>
          <w:szCs w:val="20"/>
        </w:rPr>
        <w:t xml:space="preserve"> </w:t>
      </w:r>
      <w:r>
        <w:rPr>
          <w:rFonts w:ascii="SimSun" w:eastAsia="SimSun" w:hAnsi="SimSun" w:cs="SimSun"/>
          <w:spacing w:val="3"/>
          <w:sz w:val="20"/>
          <w:szCs w:val="20"/>
        </w:rPr>
        <w:t>产品。</w:t>
      </w:r>
    </w:p>
    <w:p>
      <w:pPr>
        <w:spacing w:before="220" w:line="233" w:lineRule="auto"/>
        <w:rPr>
          <w:rFonts w:ascii="SimHei" w:eastAsia="SimHei" w:hAnsi="SimHei" w:cs="SimHei"/>
          <w:sz w:val="20"/>
          <w:szCs w:val="20"/>
        </w:rPr>
      </w:pPr>
      <w:r>
        <w:rPr>
          <w:rFonts w:ascii="SimHei" w:eastAsia="SimHei" w:hAnsi="SimHei" w:cs="SimHei"/>
          <w:spacing w:val="1"/>
          <w:sz w:val="20"/>
          <w:szCs w:val="20"/>
        </w:rPr>
        <w:t>6.7</w:t>
      </w:r>
      <w:r>
        <w:rPr>
          <w:rFonts w:ascii="SimHei" w:eastAsia="SimHei" w:hAnsi="SimHei" w:cs="SimHei"/>
          <w:spacing w:val="15"/>
          <w:sz w:val="20"/>
          <w:szCs w:val="20"/>
        </w:rPr>
        <w:t xml:space="preserve">  </w:t>
      </w:r>
      <w:r>
        <w:rPr>
          <w:rFonts w:ascii="SimHei" w:eastAsia="SimHei" w:hAnsi="SimHei" w:cs="SimHei"/>
          <w:spacing w:val="1"/>
          <w:sz w:val="20"/>
          <w:szCs w:val="20"/>
        </w:rPr>
        <w:t>附件</w:t>
      </w:r>
    </w:p>
    <w:p>
      <w:pPr>
        <w:spacing w:before="216" w:line="312" w:lineRule="exact"/>
        <w:ind w:left="419"/>
        <w:rPr>
          <w:rFonts w:ascii="SimSun" w:eastAsia="SimSun" w:hAnsi="SimSun" w:cs="SimSun"/>
          <w:sz w:val="20"/>
          <w:szCs w:val="20"/>
        </w:rPr>
      </w:pPr>
      <w:r>
        <w:rPr>
          <w:rFonts w:ascii="SimSun" w:eastAsia="SimSun" w:hAnsi="SimSun" w:cs="SimSun"/>
          <w:spacing w:val="8"/>
          <w:position w:val="7"/>
          <w:sz w:val="20"/>
          <w:szCs w:val="20"/>
        </w:rPr>
        <w:t>报告中应在附件中提供：</w:t>
      </w:r>
    </w:p>
    <w:p>
      <w:pPr>
        <w:pStyle w:val="BodyText"/>
        <w:spacing w:before="1" w:line="227" w:lineRule="auto"/>
        <w:ind w:left="411"/>
        <w:rPr>
          <w:rFonts w:ascii="SimSun" w:eastAsia="SimSun" w:hAnsi="SimSun" w:cs="SimSun"/>
        </w:rPr>
      </w:pPr>
      <w:r>
        <w:rPr>
          <w:spacing w:val="9"/>
        </w:rPr>
        <w:t>——</w:t>
      </w:r>
      <w:r>
        <w:rPr>
          <w:rFonts w:ascii="SimSun" w:eastAsia="SimSun" w:hAnsi="SimSun" w:cs="SimSun"/>
          <w:spacing w:val="9"/>
        </w:rPr>
        <w:t>产品生产材料清单；</w:t>
      </w:r>
    </w:p>
    <w:p>
      <w:pPr>
        <w:pStyle w:val="BodyText"/>
        <w:spacing w:before="65" w:line="228" w:lineRule="auto"/>
        <w:ind w:left="411"/>
        <w:rPr>
          <w:rFonts w:ascii="SimSun" w:eastAsia="SimSun" w:hAnsi="SimSun" w:cs="SimSun"/>
        </w:rPr>
      </w:pPr>
      <w:r>
        <w:rPr>
          <w:spacing w:val="9"/>
        </w:rPr>
        <w:t>——</w:t>
      </w:r>
      <w:r>
        <w:rPr>
          <w:rFonts w:ascii="SimSun" w:eastAsia="SimSun" w:hAnsi="SimSun" w:cs="SimSun"/>
          <w:spacing w:val="9"/>
        </w:rPr>
        <w:t>产品工艺表（产品生产工艺过程示意图等）；</w:t>
      </w:r>
    </w:p>
    <w:p>
      <w:pPr>
        <w:pStyle w:val="BodyText"/>
        <w:spacing w:before="65" w:line="312" w:lineRule="exact"/>
        <w:ind w:left="411"/>
        <w:rPr>
          <w:rFonts w:ascii="SimSun" w:eastAsia="SimSun" w:hAnsi="SimSun" w:cs="SimSun"/>
        </w:rPr>
        <w:sectPr>
          <w:footerReference w:type="default" r:id="rId12"/>
          <w:pgSz w:w="11906" w:h="16839"/>
          <w:pgMar w:top="1431" w:right="1073" w:bottom="1311" w:left="1425" w:header="0" w:footer="1134" w:gutter="0"/>
          <w:pgNumType w:start="9"/>
          <w:cols w:space="708"/>
        </w:sectPr>
      </w:pPr>
      <w:r>
        <w:rPr>
          <w:spacing w:val="9"/>
          <w:position w:val="7"/>
        </w:rPr>
        <w:t>——</w:t>
      </w:r>
      <w:r>
        <w:rPr>
          <w:rFonts w:ascii="SimSun" w:eastAsia="SimSun" w:hAnsi="SimSun" w:cs="SimSun"/>
          <w:spacing w:val="9"/>
          <w:position w:val="7"/>
        </w:rPr>
        <w:t>各单元过程的数据收集表（见附录</w:t>
      </w:r>
      <w:r>
        <w:rPr>
          <w:spacing w:val="9"/>
          <w:position w:val="7"/>
        </w:rPr>
        <w:t>C</w:t>
      </w:r>
      <w:r>
        <w:rPr>
          <w:rFonts w:ascii="SimSun" w:eastAsia="SimSun" w:hAnsi="SimSun" w:cs="SimSun"/>
          <w:spacing w:val="6"/>
          <w:position w:val="7"/>
        </w:rPr>
        <w:t>）；</w:t>
      </w:r>
    </w:p>
    <w:p>
      <w:pPr>
        <w:pStyle w:val="BodyText"/>
        <w:spacing w:line="229" w:lineRule="auto"/>
        <w:ind w:left="411"/>
        <w:rPr>
          <w:rFonts w:ascii="SimSun" w:eastAsia="SimSun" w:hAnsi="SimSun" w:cs="SimSun"/>
        </w:rPr>
      </w:pPr>
      <w:r>
        <w:rPr>
          <w:spacing w:val="7"/>
        </w:rPr>
        <w:t>——</w:t>
      </w:r>
      <w:r>
        <w:rPr>
          <w:rFonts w:ascii="SimSun" w:eastAsia="SimSun" w:hAnsi="SimSun" w:cs="SimSun"/>
          <w:spacing w:val="7"/>
        </w:rPr>
        <w:t>其他。</w:t>
      </w:r>
    </w:p>
    <w:p>
      <w:pPr>
        <w:spacing w:line="229" w:lineRule="auto"/>
        <w:rPr>
          <w:rFonts w:ascii="SimSun" w:eastAsia="SimSun" w:hAnsi="SimSun" w:cs="SimSun"/>
        </w:rPr>
        <w:sectPr>
          <w:footerReference w:type="default" r:id="rId13"/>
          <w:type w:val="nextPage"/>
          <w:pgSz w:w="11906" w:h="16839"/>
          <w:pgMar w:top="1431" w:right="1073" w:bottom="1311" w:left="1425" w:header="0" w:footer="1134" w:gutter="0"/>
          <w:pgNumType w:start="10"/>
          <w:cols w:space="708"/>
          <w:titlePg w:val="0"/>
        </w:sect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footerReference w:type="default" r:id="rId14"/>
          <w:pgSz w:w="11906" w:h="16839"/>
          <w:pgMar w:top="1431" w:right="1332" w:bottom="400" w:left="1785" w:header="0" w:footer="0" w:gutter="0"/>
          <w:pgNumType w:start="11"/>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59" w:line="183" w:lineRule="auto"/>
        <w:jc w:val="right"/>
        <w:rPr>
          <w:rFonts w:ascii="SimSun" w:eastAsia="SimSun" w:hAnsi="SimSun" w:cs="SimSun"/>
          <w:sz w:val="18"/>
          <w:szCs w:val="18"/>
        </w:rPr>
      </w:pPr>
      <w:r>
        <w:rPr>
          <w:rFonts w:ascii="SimSun" w:eastAsia="SimSun" w:hAnsi="SimSun" w:cs="SimSun"/>
          <w:spacing w:val="-8"/>
          <w:sz w:val="18"/>
          <w:szCs w:val="18"/>
        </w:rPr>
        <w:t>8</w:t>
      </w:r>
    </w:p>
    <w:p>
      <w:pPr>
        <w:spacing w:line="183" w:lineRule="auto"/>
        <w:rPr>
          <w:rFonts w:ascii="SimSun" w:eastAsia="SimSun" w:hAnsi="SimSun" w:cs="SimSun"/>
          <w:sz w:val="18"/>
          <w:szCs w:val="18"/>
        </w:rPr>
        <w:sectPr>
          <w:footerReference w:type="default" r:id="rId15"/>
          <w:type w:val="nextPage"/>
          <w:pgSz w:w="11906" w:h="16839"/>
          <w:pgMar w:top="1431" w:right="1332" w:bottom="400" w:left="1785" w:header="0" w:footer="0" w:gutter="0"/>
          <w:pgNumType w:start="12"/>
          <w:cols w:space="708"/>
          <w:titlePg w:val="0"/>
        </w:sectPr>
      </w:pPr>
    </w:p>
    <w:p>
      <w:pPr>
        <w:pStyle w:val="BodyText"/>
        <w:spacing w:before="245" w:line="312" w:lineRule="exact"/>
        <w:ind w:left="4544"/>
      </w:pPr>
      <w:r>
        <w:rPr>
          <w:rFonts w:ascii="SimHei" w:eastAsia="SimHei" w:hAnsi="SimHei" w:cs="SimHei"/>
          <w:spacing w:val="-3"/>
          <w:position w:val="7"/>
        </w:rPr>
        <w:t>附</w:t>
      </w:r>
      <w:r>
        <w:rPr>
          <w:rFonts w:ascii="SimHei" w:eastAsia="SimHei" w:hAnsi="SimHei" w:cs="SimHei"/>
          <w:spacing w:val="16"/>
          <w:position w:val="7"/>
        </w:rPr>
        <w:t xml:space="preserve"> </w:t>
      </w:r>
      <w:r>
        <w:rPr>
          <w:rFonts w:ascii="SimHei" w:eastAsia="SimHei" w:hAnsi="SimHei" w:cs="SimHei"/>
          <w:spacing w:val="-3"/>
          <w:position w:val="7"/>
        </w:rPr>
        <w:t>录</w:t>
      </w:r>
      <w:r>
        <w:rPr>
          <w:rFonts w:ascii="SimHei" w:eastAsia="SimHei" w:hAnsi="SimHei" w:cs="SimHei"/>
          <w:spacing w:val="7"/>
          <w:position w:val="7"/>
        </w:rPr>
        <w:t xml:space="preserve"> </w:t>
      </w:r>
      <w:r>
        <w:rPr>
          <w:spacing w:val="-3"/>
          <w:position w:val="7"/>
        </w:rPr>
        <w:t>A</w:t>
      </w:r>
    </w:p>
    <w:p>
      <w:pPr>
        <w:spacing w:line="231" w:lineRule="auto"/>
        <w:ind w:left="4385"/>
        <w:rPr>
          <w:rFonts w:ascii="SimHei" w:eastAsia="SimHei" w:hAnsi="SimHei" w:cs="SimHei"/>
          <w:sz w:val="20"/>
          <w:szCs w:val="20"/>
        </w:rPr>
      </w:pPr>
      <w:r>
        <w:rPr>
          <w:rFonts w:ascii="SimHei" w:eastAsia="SimHei" w:hAnsi="SimHei" w:cs="SimHei"/>
          <w:spacing w:val="2"/>
          <w:sz w:val="20"/>
          <w:szCs w:val="20"/>
        </w:rPr>
        <w:t>（规范性）</w:t>
      </w:r>
    </w:p>
    <w:p>
      <w:pPr>
        <w:spacing w:before="61" w:line="229" w:lineRule="auto"/>
        <w:ind w:left="4052"/>
        <w:rPr>
          <w:rFonts w:ascii="SimHei" w:eastAsia="SimHei" w:hAnsi="SimHei" w:cs="SimHei"/>
          <w:sz w:val="20"/>
          <w:szCs w:val="20"/>
        </w:rPr>
      </w:pPr>
      <w:r>
        <w:rPr>
          <w:rFonts w:ascii="SimHei" w:eastAsia="SimHei" w:hAnsi="SimHei" w:cs="SimHei"/>
          <w:spacing w:val="8"/>
          <w:sz w:val="20"/>
          <w:szCs w:val="20"/>
        </w:rPr>
        <w:t>评价指标计算方法</w:t>
      </w:r>
    </w:p>
    <w:p>
      <w:pPr>
        <w:spacing w:line="309" w:lineRule="auto"/>
        <w:rPr>
          <w:rFonts w:ascii="Arial"/>
          <w:sz w:val="21"/>
        </w:rPr>
      </w:pPr>
    </w:p>
    <w:p>
      <w:pPr>
        <w:pStyle w:val="BodyText"/>
        <w:spacing w:before="65" w:line="229" w:lineRule="auto"/>
        <w:rPr>
          <w:rFonts w:ascii="SimHei" w:eastAsia="SimHei" w:hAnsi="SimHei" w:cs="SimHei"/>
        </w:rPr>
      </w:pPr>
      <w:r>
        <w:rPr>
          <w:spacing w:val="4"/>
        </w:rPr>
        <w:t>A.</w:t>
      </w:r>
      <w:r>
        <w:rPr>
          <w:spacing w:val="-24"/>
        </w:rPr>
        <w:t xml:space="preserve"> </w:t>
      </w:r>
      <w:r>
        <w:rPr>
          <w:spacing w:val="4"/>
        </w:rPr>
        <w:t>1</w:t>
      </w:r>
      <w:r>
        <w:rPr>
          <w:spacing w:val="6"/>
        </w:rPr>
        <w:t xml:space="preserve">    </w:t>
      </w:r>
      <w:r>
        <w:rPr>
          <w:rFonts w:ascii="SimHei" w:eastAsia="SimHei" w:hAnsi="SimHei" w:cs="SimHei"/>
          <w:spacing w:val="4"/>
        </w:rPr>
        <w:t>单位产品取水量</w:t>
      </w:r>
    </w:p>
    <w:p>
      <w:pPr>
        <w:spacing w:line="308" w:lineRule="auto"/>
        <w:rPr>
          <w:rFonts w:ascii="Arial"/>
          <w:sz w:val="21"/>
        </w:rPr>
      </w:pPr>
    </w:p>
    <w:p>
      <w:pPr>
        <w:pStyle w:val="BodyText"/>
        <w:spacing w:before="65" w:line="258" w:lineRule="auto"/>
        <w:ind w:left="4" w:right="71" w:firstLine="423"/>
        <w:rPr>
          <w:rFonts w:ascii="SimSun" w:eastAsia="SimSun" w:hAnsi="SimSun" w:cs="SimSun"/>
        </w:rPr>
      </w:pPr>
      <w:r>
        <w:rPr>
          <w:rFonts w:ascii="SimSun" w:eastAsia="SimSun" w:hAnsi="SimSun" w:cs="SimSun"/>
          <w:spacing w:val="7"/>
        </w:rPr>
        <w:t>生产过程中的用水量，计算时按照</w:t>
      </w:r>
      <w:r>
        <w:rPr>
          <w:spacing w:val="7"/>
        </w:rPr>
        <w:t>1</w:t>
      </w:r>
      <w:r>
        <w:rPr>
          <w:rFonts w:ascii="SimSun" w:eastAsia="SimSun" w:hAnsi="SimSun" w:cs="SimSun"/>
          <w:spacing w:val="7"/>
        </w:rPr>
        <w:t>年生产为周期计算平均值。每生产</w:t>
      </w:r>
      <w:r>
        <w:rPr>
          <w:spacing w:val="7"/>
        </w:rPr>
        <w:t>1</w:t>
      </w:r>
      <w:r>
        <w:rPr>
          <w:rFonts w:ascii="SimSun" w:eastAsia="SimSun" w:hAnsi="SimSun" w:cs="SimSun"/>
          <w:spacing w:val="7"/>
        </w:rPr>
        <w:t>吨碳素结构钢和低合金结构</w:t>
      </w:r>
      <w:r>
        <w:rPr>
          <w:rFonts w:ascii="SimSun" w:eastAsia="SimSun" w:hAnsi="SimSun" w:cs="SimSun"/>
          <w:spacing w:val="14"/>
        </w:rPr>
        <w:t xml:space="preserve"> </w:t>
      </w:r>
      <w:r>
        <w:rPr>
          <w:rFonts w:ascii="SimSun" w:eastAsia="SimSun" w:hAnsi="SimSun" w:cs="SimSun"/>
          <w:spacing w:val="8"/>
        </w:rPr>
        <w:t>钢热轧钢板及钢带所消耗的新水量，按照公式（</w:t>
      </w:r>
      <w:r>
        <w:rPr>
          <w:spacing w:val="8"/>
        </w:rPr>
        <w:t>A.</w:t>
      </w:r>
      <w:r>
        <w:rPr>
          <w:spacing w:val="-25"/>
        </w:rPr>
        <w:t xml:space="preserve"> </w:t>
      </w:r>
      <w:r>
        <w:rPr>
          <w:spacing w:val="8"/>
        </w:rPr>
        <w:t>1</w:t>
      </w:r>
      <w:r>
        <w:rPr>
          <w:rFonts w:ascii="SimSun" w:eastAsia="SimSun" w:hAnsi="SimSun" w:cs="SimSun"/>
          <w:spacing w:val="7"/>
        </w:rPr>
        <w:t>）计算：</w:t>
      </w:r>
    </w:p>
    <w:p>
      <w:pPr>
        <w:pStyle w:val="BodyText"/>
        <w:spacing w:before="158"/>
        <w:ind w:left="3845"/>
        <w:rPr>
          <w:rFonts w:ascii="SimSun" w:eastAsia="SimSun" w:hAnsi="SimSun" w:cs="SimSun"/>
        </w:rPr>
      </w:pPr>
      <w:r>
        <w:rPr>
          <w:rFonts w:ascii="Cambria Math" w:eastAsia="Cambria Math" w:hAnsi="Cambria Math" w:cs="Cambria Math"/>
          <w:spacing w:val="7"/>
        </w:rPr>
        <w:t>V</w:t>
      </w:r>
      <w:r>
        <w:rPr>
          <w:rFonts w:ascii="Cambria Math" w:eastAsia="Cambria Math" w:hAnsi="Cambria Math" w:cs="Cambria Math"/>
          <w:spacing w:val="25"/>
          <w:w w:val="101"/>
        </w:rPr>
        <w:t xml:space="preserve"> </w:t>
      </w:r>
      <w:r>
        <w:rPr>
          <w:rFonts w:ascii="Cambria Math" w:eastAsia="Cambria Math" w:hAnsi="Cambria Math" w:cs="Cambria Math"/>
          <w:spacing w:val="7"/>
        </w:rPr>
        <w:t>=</w:t>
      </w:r>
      <w:r>
        <w:rPr>
          <w:rFonts w:ascii="Cambria Math" w:eastAsia="Cambria Math" w:hAnsi="Cambria Math" w:cs="Cambria Math"/>
          <w:spacing w:val="13"/>
          <w:w w:val="101"/>
        </w:rPr>
        <w:t xml:space="preserve"> </w:t>
      </w:r>
      <w:r>
        <w:rPr>
          <w:position w:val="-13"/>
        </w:rPr>
        <w:drawing>
          <wp:inline distT="0" distB="0" distL="0" distR="0">
            <wp:extent cx="123101" cy="22917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6"/>
                    <a:stretch>
                      <a:fillRect/>
                    </a:stretch>
                  </pic:blipFill>
                  <pic:spPr>
                    <a:xfrm>
                      <a:off x="0" y="0"/>
                      <a:ext cx="123101" cy="229179"/>
                    </a:xfrm>
                    <a:prstGeom prst="rect">
                      <a:avLst/>
                    </a:prstGeom>
                  </pic:spPr>
                </pic:pic>
              </a:graphicData>
            </a:graphic>
          </wp:inline>
        </w:drawing>
      </w:r>
      <w:r>
        <w:rPr>
          <w:rFonts w:ascii="SimSun" w:eastAsia="SimSun" w:hAnsi="SimSun" w:cs="SimSun"/>
          <w:spacing w:val="7"/>
        </w:rPr>
        <w:t>……………………………………………………</w:t>
      </w:r>
      <w:r>
        <w:rPr>
          <w:rFonts w:ascii="SimSun" w:eastAsia="SimSun" w:hAnsi="SimSun" w:cs="SimSun"/>
          <w:spacing w:val="6"/>
        </w:rPr>
        <w:t>（</w:t>
      </w:r>
      <w:r>
        <w:rPr>
          <w:spacing w:val="6"/>
        </w:rPr>
        <w:t>A.</w:t>
      </w:r>
      <w:r>
        <w:rPr>
          <w:spacing w:val="-25"/>
        </w:rPr>
        <w:t xml:space="preserve"> </w:t>
      </w:r>
      <w:r>
        <w:rPr>
          <w:spacing w:val="6"/>
        </w:rPr>
        <w:t>1</w:t>
      </w:r>
      <w:r>
        <w:rPr>
          <w:rFonts w:ascii="SimSun" w:eastAsia="SimSun" w:hAnsi="SimSun" w:cs="SimSun"/>
          <w:spacing w:val="6"/>
        </w:rPr>
        <w:t>）</w:t>
      </w:r>
    </w:p>
    <w:p>
      <w:pPr>
        <w:pStyle w:val="BodyText"/>
        <w:spacing w:before="170" w:line="229" w:lineRule="auto"/>
        <w:ind w:left="430"/>
      </w:pPr>
      <w:r>
        <w:rPr>
          <w:rFonts w:ascii="SimSun" w:eastAsia="SimSun" w:hAnsi="SimSun" w:cs="SimSun"/>
          <w:spacing w:val="3"/>
        </w:rPr>
        <w:t>式中</w:t>
      </w:r>
      <w:r>
        <w:rPr>
          <w:spacing w:val="3"/>
        </w:rPr>
        <w:t>:</w:t>
      </w:r>
    </w:p>
    <w:p>
      <w:pPr>
        <w:pStyle w:val="BodyText"/>
        <w:spacing w:before="64" w:line="275" w:lineRule="auto"/>
        <w:ind w:left="16" w:right="71" w:firstLine="428"/>
        <w:rPr>
          <w:rFonts w:ascii="SimSun" w:eastAsia="SimSun" w:hAnsi="SimSun" w:cs="SimSun"/>
        </w:rPr>
      </w:pPr>
      <w:r>
        <w:rPr>
          <w:i/>
          <w:iCs/>
          <w:spacing w:val="9"/>
        </w:rPr>
        <w:t xml:space="preserve">V   </w:t>
      </w:r>
      <w:r>
        <w:rPr>
          <w:spacing w:val="9"/>
        </w:rPr>
        <w:t>——</w:t>
      </w:r>
      <w:r>
        <w:rPr>
          <w:rFonts w:ascii="SimSun" w:eastAsia="SimSun" w:hAnsi="SimSun" w:cs="SimSun"/>
          <w:spacing w:val="9"/>
        </w:rPr>
        <w:t>每生产</w:t>
      </w:r>
      <w:r>
        <w:rPr>
          <w:rFonts w:ascii="SimSun" w:eastAsia="SimSun" w:hAnsi="SimSun" w:cs="SimSun"/>
          <w:spacing w:val="-23"/>
        </w:rPr>
        <w:t xml:space="preserve"> </w:t>
      </w:r>
      <w:r>
        <w:rPr>
          <w:spacing w:val="9"/>
        </w:rPr>
        <w:t>1</w:t>
      </w:r>
      <w:r>
        <w:rPr>
          <w:spacing w:val="22"/>
          <w:w w:val="101"/>
        </w:rPr>
        <w:t xml:space="preserve"> </w:t>
      </w:r>
      <w:r>
        <w:rPr>
          <w:rFonts w:ascii="SimSun" w:eastAsia="SimSun" w:hAnsi="SimSun" w:cs="SimSun"/>
          <w:spacing w:val="9"/>
        </w:rPr>
        <w:t>吨碳素结构钢和低合金结构钢热</w:t>
      </w:r>
      <w:r>
        <w:rPr>
          <w:rFonts w:ascii="SimSun" w:eastAsia="SimSun" w:hAnsi="SimSun" w:cs="SimSun"/>
          <w:spacing w:val="8"/>
        </w:rPr>
        <w:t>轧钢板及钢带所消耗的新水量，单位为立方米每</w:t>
      </w:r>
      <w:r>
        <w:rPr>
          <w:rFonts w:ascii="SimSun" w:eastAsia="SimSun" w:hAnsi="SimSun" w:cs="SimSun"/>
        </w:rPr>
        <w:t xml:space="preserve"> </w:t>
      </w:r>
      <w:r>
        <w:rPr>
          <w:rFonts w:ascii="SimSun" w:eastAsia="SimSun" w:hAnsi="SimSun" w:cs="SimSun"/>
          <w:spacing w:val="2"/>
        </w:rPr>
        <w:t>吨（</w:t>
      </w:r>
      <w:r>
        <w:rPr>
          <w:spacing w:val="2"/>
        </w:rPr>
        <w:t>m</w:t>
      </w:r>
      <w:r>
        <w:rPr>
          <w:spacing w:val="2"/>
          <w:position w:val="6"/>
          <w:sz w:val="13"/>
          <w:szCs w:val="13"/>
        </w:rPr>
        <w:t>3</w:t>
      </w:r>
      <w:r>
        <w:rPr>
          <w:spacing w:val="2"/>
        </w:rPr>
        <w:t>/t</w:t>
      </w:r>
      <w:r>
        <w:rPr>
          <w:spacing w:val="-17"/>
        </w:rPr>
        <w:t xml:space="preserve"> </w:t>
      </w:r>
      <w:r>
        <w:rPr>
          <w:rFonts w:ascii="SimSun" w:eastAsia="SimSun" w:hAnsi="SimSun" w:cs="SimSun"/>
          <w:spacing w:val="-12"/>
        </w:rPr>
        <w:t>）；</w:t>
      </w:r>
    </w:p>
    <w:p>
      <w:pPr>
        <w:pStyle w:val="BodyText"/>
        <w:spacing w:before="28" w:line="221" w:lineRule="auto"/>
        <w:ind w:left="427"/>
        <w:rPr>
          <w:rFonts w:ascii="SimSun" w:eastAsia="SimSun" w:hAnsi="SimSun" w:cs="SimSun"/>
        </w:rPr>
      </w:pPr>
      <w:r>
        <w:drawing>
          <wp:inline distT="0" distB="0" distL="0" distR="0">
            <wp:extent cx="81206" cy="90776"/>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7"/>
                    <a:stretch>
                      <a:fillRect/>
                    </a:stretch>
                  </pic:blipFill>
                  <pic:spPr>
                    <a:xfrm>
                      <a:off x="0" y="0"/>
                      <a:ext cx="81206" cy="90776"/>
                    </a:xfrm>
                    <a:prstGeom prst="rect">
                      <a:avLst/>
                    </a:prstGeom>
                  </pic:spPr>
                </pic:pic>
              </a:graphicData>
            </a:graphic>
          </wp:inline>
        </w:drawing>
      </w:r>
      <w:r>
        <w:rPr>
          <w:position w:val="-4"/>
        </w:rPr>
        <w:drawing>
          <wp:inline distT="0" distB="0" distL="0" distR="0">
            <wp:extent cx="21760" cy="6386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8"/>
                    <a:stretch>
                      <a:fillRect/>
                    </a:stretch>
                  </pic:blipFill>
                  <pic:spPr>
                    <a:xfrm>
                      <a:off x="0" y="0"/>
                      <a:ext cx="21760" cy="63865"/>
                    </a:xfrm>
                    <a:prstGeom prst="rect">
                      <a:avLst/>
                    </a:prstGeom>
                  </pic:spPr>
                </pic:pic>
              </a:graphicData>
            </a:graphic>
          </wp:inline>
        </w:drawing>
      </w:r>
      <w:r>
        <w:rPr>
          <w:spacing w:val="24"/>
        </w:rPr>
        <w:t xml:space="preserve">  </w:t>
      </w:r>
      <w:r>
        <w:rPr>
          <w:spacing w:val="9"/>
        </w:rPr>
        <w:t>——</w:t>
      </w:r>
      <w:r>
        <w:rPr>
          <w:spacing w:val="-25"/>
        </w:rPr>
        <w:t xml:space="preserve"> </w:t>
      </w:r>
      <w:r>
        <w:rPr>
          <w:spacing w:val="9"/>
        </w:rPr>
        <w:t xml:space="preserve">1 </w:t>
      </w:r>
      <w:r>
        <w:rPr>
          <w:rFonts w:ascii="SimSun" w:eastAsia="SimSun" w:hAnsi="SimSun" w:cs="SimSun"/>
          <w:spacing w:val="9"/>
        </w:rPr>
        <w:t>年内碳素结构钢和低合金结构钢热轧钢板及钢</w:t>
      </w:r>
      <w:r>
        <w:rPr>
          <w:rFonts w:ascii="SimSun" w:eastAsia="SimSun" w:hAnsi="SimSun" w:cs="SimSun"/>
          <w:spacing w:val="8"/>
        </w:rPr>
        <w:t>带生产取新水量，单位为立方米（</w:t>
      </w:r>
      <w:r>
        <w:rPr>
          <w:spacing w:val="8"/>
        </w:rPr>
        <w:t>m</w:t>
      </w:r>
      <w:r>
        <w:rPr>
          <w:spacing w:val="8"/>
          <w:position w:val="6"/>
          <w:sz w:val="13"/>
          <w:szCs w:val="13"/>
        </w:rPr>
        <w:t xml:space="preserve">3 </w:t>
      </w:r>
      <w:r>
        <w:rPr>
          <w:rFonts w:ascii="SimSun" w:eastAsia="SimSun" w:hAnsi="SimSun" w:cs="SimSun"/>
          <w:spacing w:val="-13"/>
        </w:rPr>
        <w:t>）；</w:t>
      </w:r>
    </w:p>
    <w:p>
      <w:pPr>
        <w:pStyle w:val="BodyText"/>
        <w:spacing w:before="72" w:line="624" w:lineRule="exact"/>
        <w:ind w:left="423"/>
        <w:rPr>
          <w:rFonts w:ascii="SimSun" w:eastAsia="SimSun" w:hAnsi="SimSun" w:cs="SimSun"/>
        </w:rPr>
      </w:pPr>
      <w:r>
        <w:rPr>
          <w:position w:val="33"/>
        </w:rPr>
        <w:drawing>
          <wp:inline distT="0" distB="0" distL="0" distR="0">
            <wp:extent cx="111841" cy="8984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9"/>
                    <a:stretch>
                      <a:fillRect/>
                    </a:stretch>
                  </pic:blipFill>
                  <pic:spPr>
                    <a:xfrm>
                      <a:off x="0" y="0"/>
                      <a:ext cx="111841" cy="89848"/>
                    </a:xfrm>
                    <a:prstGeom prst="rect">
                      <a:avLst/>
                    </a:prstGeom>
                  </pic:spPr>
                </pic:pic>
              </a:graphicData>
            </a:graphic>
          </wp:inline>
        </w:drawing>
      </w:r>
      <w:r>
        <w:rPr>
          <w:position w:val="29"/>
        </w:rPr>
        <w:drawing>
          <wp:inline distT="0" distB="0" distL="0" distR="0">
            <wp:extent cx="39265" cy="4626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0"/>
                    <a:stretch>
                      <a:fillRect/>
                    </a:stretch>
                  </pic:blipFill>
                  <pic:spPr>
                    <a:xfrm>
                      <a:off x="0" y="0"/>
                      <a:ext cx="39265" cy="46266"/>
                    </a:xfrm>
                    <a:prstGeom prst="rect">
                      <a:avLst/>
                    </a:prstGeom>
                  </pic:spPr>
                </pic:pic>
              </a:graphicData>
            </a:graphic>
          </wp:inline>
        </w:drawing>
      </w:r>
      <w:r>
        <w:rPr>
          <w:spacing w:val="6"/>
          <w:position w:val="33"/>
        </w:rPr>
        <w:t xml:space="preserve">  </w:t>
      </w:r>
      <w:r>
        <w:rPr>
          <w:spacing w:val="8"/>
          <w:position w:val="33"/>
        </w:rPr>
        <w:t>——</w:t>
      </w:r>
      <w:r>
        <w:rPr>
          <w:spacing w:val="-25"/>
          <w:position w:val="33"/>
        </w:rPr>
        <w:t xml:space="preserve"> </w:t>
      </w:r>
      <w:r>
        <w:rPr>
          <w:spacing w:val="8"/>
          <w:position w:val="33"/>
        </w:rPr>
        <w:t xml:space="preserve">1 </w:t>
      </w:r>
      <w:r>
        <w:rPr>
          <w:rFonts w:ascii="SimSun" w:eastAsia="SimSun" w:hAnsi="SimSun" w:cs="SimSun"/>
          <w:spacing w:val="8"/>
          <w:position w:val="33"/>
        </w:rPr>
        <w:t>年内碳素结构钢和低合金结构钢热轧钢板及</w:t>
      </w:r>
      <w:r>
        <w:rPr>
          <w:rFonts w:ascii="SimSun" w:eastAsia="SimSun" w:hAnsi="SimSun" w:cs="SimSun"/>
          <w:spacing w:val="7"/>
          <w:position w:val="33"/>
        </w:rPr>
        <w:t>钢带生产总量，单位为吨（</w:t>
      </w:r>
      <w:r>
        <w:rPr>
          <w:spacing w:val="7"/>
          <w:position w:val="33"/>
        </w:rPr>
        <w:t>t</w:t>
      </w:r>
      <w:r>
        <w:rPr>
          <w:spacing w:val="-20"/>
          <w:position w:val="33"/>
        </w:rPr>
        <w:t xml:space="preserve"> </w:t>
      </w:r>
      <w:r>
        <w:rPr>
          <w:rFonts w:ascii="SimSun" w:eastAsia="SimSun" w:hAnsi="SimSun" w:cs="SimSun"/>
          <w:spacing w:val="7"/>
          <w:position w:val="33"/>
        </w:rPr>
        <w:t>）。</w:t>
      </w:r>
    </w:p>
    <w:p>
      <w:pPr>
        <w:pStyle w:val="BodyText"/>
        <w:spacing w:before="2" w:line="229" w:lineRule="auto"/>
        <w:rPr>
          <w:rFonts w:ascii="SimHei" w:eastAsia="SimHei" w:hAnsi="SimHei" w:cs="SimHei"/>
        </w:rPr>
      </w:pPr>
      <w:r>
        <w:rPr>
          <w:spacing w:val="6"/>
        </w:rPr>
        <w:t xml:space="preserve">A.2    </w:t>
      </w:r>
      <w:r>
        <w:rPr>
          <w:rFonts w:ascii="SimHei" w:eastAsia="SimHei" w:hAnsi="SimHei" w:cs="SimHei"/>
          <w:spacing w:val="6"/>
        </w:rPr>
        <w:t>水重复利用率</w:t>
      </w:r>
    </w:p>
    <w:p>
      <w:pPr>
        <w:spacing w:line="308" w:lineRule="auto"/>
        <w:rPr>
          <w:rFonts w:ascii="Arial"/>
          <w:sz w:val="21"/>
        </w:rPr>
      </w:pPr>
    </w:p>
    <w:p>
      <w:pPr>
        <w:pStyle w:val="BodyText"/>
        <w:spacing w:before="65" w:line="258" w:lineRule="auto"/>
        <w:ind w:left="8" w:right="71" w:firstLine="420"/>
        <w:rPr>
          <w:rFonts w:ascii="SimSun" w:eastAsia="SimSun" w:hAnsi="SimSun" w:cs="SimSun"/>
        </w:rPr>
      </w:pPr>
      <w:r>
        <w:rPr>
          <w:rFonts w:ascii="SimSun" w:eastAsia="SimSun" w:hAnsi="SimSun" w:cs="SimSun"/>
          <w:spacing w:val="10"/>
        </w:rPr>
        <w:t>水重复利用率计算时按照</w:t>
      </w:r>
      <w:r>
        <w:rPr>
          <w:spacing w:val="10"/>
        </w:rPr>
        <w:t>1</w:t>
      </w:r>
      <w:r>
        <w:rPr>
          <w:rFonts w:ascii="SimSun" w:eastAsia="SimSun" w:hAnsi="SimSun" w:cs="SimSun"/>
          <w:spacing w:val="10"/>
        </w:rPr>
        <w:t>年生产为周期计算。生产过程中使用的重复利用水</w:t>
      </w:r>
      <w:r>
        <w:rPr>
          <w:rFonts w:ascii="SimSun" w:eastAsia="SimSun" w:hAnsi="SimSun" w:cs="SimSun"/>
          <w:spacing w:val="9"/>
        </w:rPr>
        <w:t>量与总用水量进行计</w:t>
      </w:r>
      <w:r>
        <w:rPr>
          <w:rFonts w:ascii="SimSun" w:eastAsia="SimSun" w:hAnsi="SimSun" w:cs="SimSun"/>
        </w:rPr>
        <w:t xml:space="preserve"> </w:t>
      </w:r>
      <w:r>
        <w:rPr>
          <w:rFonts w:ascii="SimSun" w:eastAsia="SimSun" w:hAnsi="SimSun" w:cs="SimSun"/>
          <w:spacing w:val="7"/>
        </w:rPr>
        <w:t>算，按照公式（</w:t>
      </w:r>
      <w:r>
        <w:rPr>
          <w:spacing w:val="7"/>
        </w:rPr>
        <w:t>A.2</w:t>
      </w:r>
      <w:r>
        <w:rPr>
          <w:rFonts w:ascii="SimSun" w:eastAsia="SimSun" w:hAnsi="SimSun" w:cs="SimSun"/>
          <w:spacing w:val="7"/>
        </w:rPr>
        <w:t>）计算：</w:t>
      </w:r>
    </w:p>
    <w:p>
      <w:pPr>
        <w:pStyle w:val="BodyText"/>
        <w:spacing w:before="158"/>
        <w:ind w:left="3504"/>
        <w:rPr>
          <w:rFonts w:ascii="SimSun" w:eastAsia="SimSun" w:hAnsi="SimSun" w:cs="SimSun"/>
        </w:rPr>
      </w:pPr>
      <w:r>
        <w:rPr>
          <w:rFonts w:ascii="Cambria Math" w:eastAsia="Cambria Math" w:hAnsi="Cambria Math" w:cs="Cambria Math"/>
          <w:spacing w:val="6"/>
        </w:rPr>
        <w:t>W</w:t>
      </w:r>
      <w:r>
        <w:rPr>
          <w:rFonts w:ascii="Cambria Math" w:eastAsia="Cambria Math" w:hAnsi="Cambria Math" w:cs="Cambria Math"/>
          <w:spacing w:val="39"/>
          <w:w w:val="101"/>
        </w:rPr>
        <w:t xml:space="preserve"> </w:t>
      </w:r>
      <w:r>
        <w:rPr>
          <w:rFonts w:ascii="Cambria Math" w:eastAsia="Cambria Math" w:hAnsi="Cambria Math" w:cs="Cambria Math"/>
          <w:spacing w:val="6"/>
        </w:rPr>
        <w:t xml:space="preserve">= </w:t>
      </w:r>
      <w:r>
        <w:rPr>
          <w:position w:val="-13"/>
        </w:rPr>
        <w:drawing>
          <wp:inline distT="0" distB="0" distL="0" distR="0">
            <wp:extent cx="334937" cy="22864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1"/>
                    <a:stretch>
                      <a:fillRect/>
                    </a:stretch>
                  </pic:blipFill>
                  <pic:spPr>
                    <a:xfrm>
                      <a:off x="0" y="0"/>
                      <a:ext cx="334937" cy="228646"/>
                    </a:xfrm>
                    <a:prstGeom prst="rect">
                      <a:avLst/>
                    </a:prstGeom>
                  </pic:spPr>
                </pic:pic>
              </a:graphicData>
            </a:graphic>
          </wp:inline>
        </w:drawing>
      </w:r>
      <w:r>
        <w:rPr>
          <w:rFonts w:ascii="Cambria Math" w:eastAsia="Cambria Math" w:hAnsi="Cambria Math" w:cs="Cambria Math"/>
          <w:spacing w:val="15"/>
          <w:w w:val="101"/>
        </w:rPr>
        <w:t xml:space="preserve"> </w:t>
      </w:r>
      <w:r>
        <w:rPr>
          <w:rFonts w:ascii="Cambria Math" w:eastAsia="Cambria Math" w:hAnsi="Cambria Math" w:cs="Cambria Math"/>
          <w:spacing w:val="6"/>
        </w:rPr>
        <w:t>×</w:t>
      </w:r>
      <w:r>
        <w:rPr>
          <w:rFonts w:ascii="Cambria Math" w:eastAsia="Cambria Math" w:hAnsi="Cambria Math" w:cs="Cambria Math"/>
          <w:spacing w:val="21"/>
          <w:w w:val="102"/>
        </w:rPr>
        <w:t xml:space="preserve"> </w:t>
      </w:r>
      <w:r>
        <w:rPr>
          <w:rFonts w:ascii="Cambria Math" w:eastAsia="Cambria Math" w:hAnsi="Cambria Math" w:cs="Cambria Math"/>
          <w:spacing w:val="6"/>
        </w:rPr>
        <w:t>100%</w:t>
      </w:r>
      <w:r>
        <w:rPr>
          <w:rFonts w:ascii="SimSun" w:eastAsia="SimSun" w:hAnsi="SimSun" w:cs="SimSun"/>
          <w:spacing w:val="6"/>
        </w:rPr>
        <w:t>…………………………………………（</w:t>
      </w:r>
      <w:r>
        <w:rPr>
          <w:spacing w:val="6"/>
        </w:rPr>
        <w:t>A.2</w:t>
      </w:r>
      <w:r>
        <w:rPr>
          <w:rFonts w:ascii="SimSun" w:eastAsia="SimSun" w:hAnsi="SimSun" w:cs="SimSun"/>
          <w:spacing w:val="6"/>
        </w:rPr>
        <w:t>）</w:t>
      </w:r>
    </w:p>
    <w:p>
      <w:pPr>
        <w:pStyle w:val="BodyText"/>
        <w:spacing w:before="171" w:line="229" w:lineRule="auto"/>
        <w:ind w:left="430"/>
      </w:pPr>
      <w:r>
        <w:rPr>
          <w:rFonts w:ascii="SimSun" w:eastAsia="SimSun" w:hAnsi="SimSun" w:cs="SimSun"/>
          <w:spacing w:val="3"/>
        </w:rPr>
        <w:t>式中</w:t>
      </w:r>
      <w:r>
        <w:rPr>
          <w:spacing w:val="3"/>
        </w:rPr>
        <w:t>:</w:t>
      </w:r>
    </w:p>
    <w:p>
      <w:pPr>
        <w:pStyle w:val="BodyText"/>
        <w:spacing w:before="33" w:line="274" w:lineRule="exact"/>
        <w:ind w:left="443"/>
        <w:rPr>
          <w:rFonts w:ascii="SimSun" w:eastAsia="SimSun" w:hAnsi="SimSun" w:cs="SimSun"/>
        </w:rPr>
      </w:pPr>
      <w:r>
        <w:rPr>
          <w:i/>
          <w:iCs/>
          <w:spacing w:val="8"/>
          <w:position w:val="1"/>
        </w:rPr>
        <w:t>W</w:t>
      </w:r>
      <w:r>
        <w:rPr>
          <w:i/>
          <w:iCs/>
          <w:spacing w:val="-15"/>
          <w:position w:val="1"/>
        </w:rPr>
        <w:t xml:space="preserve"> </w:t>
      </w:r>
      <w:r>
        <w:rPr>
          <w:spacing w:val="8"/>
          <w:position w:val="1"/>
        </w:rPr>
        <w:t>——</w:t>
      </w:r>
      <w:r>
        <w:rPr>
          <w:rFonts w:ascii="SimSun" w:eastAsia="SimSun" w:hAnsi="SimSun" w:cs="SimSun"/>
          <w:spacing w:val="8"/>
          <w:position w:val="1"/>
        </w:rPr>
        <w:t>水重复利用率，</w:t>
      </w:r>
      <w:r>
        <w:rPr>
          <w:spacing w:val="8"/>
          <w:position w:val="1"/>
        </w:rPr>
        <w:t>%</w:t>
      </w:r>
      <w:r>
        <w:rPr>
          <w:rFonts w:ascii="SimSun" w:eastAsia="SimSun" w:hAnsi="SimSun" w:cs="SimSun"/>
          <w:spacing w:val="8"/>
          <w:position w:val="1"/>
        </w:rPr>
        <w:t>；</w:t>
      </w:r>
    </w:p>
    <w:p>
      <w:pPr>
        <w:pStyle w:val="BodyText"/>
        <w:spacing w:before="68" w:line="220" w:lineRule="auto"/>
        <w:ind w:left="428"/>
        <w:rPr>
          <w:rFonts w:ascii="SimSun" w:eastAsia="SimSun" w:hAnsi="SimSun" w:cs="SimSun"/>
        </w:rPr>
      </w:pPr>
      <w:r>
        <w:drawing>
          <wp:inline distT="0" distB="0" distL="0" distR="0">
            <wp:extent cx="120101" cy="90511"/>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2"/>
                    <a:stretch>
                      <a:fillRect/>
                    </a:stretch>
                  </pic:blipFill>
                  <pic:spPr>
                    <a:xfrm>
                      <a:off x="0" y="0"/>
                      <a:ext cx="120101" cy="90511"/>
                    </a:xfrm>
                    <a:prstGeom prst="rect">
                      <a:avLst/>
                    </a:prstGeom>
                  </pic:spPr>
                </pic:pic>
              </a:graphicData>
            </a:graphic>
          </wp:inline>
        </w:drawing>
      </w:r>
      <w:r>
        <w:rPr>
          <w:position w:val="-4"/>
        </w:rPr>
        <w:drawing>
          <wp:inline distT="0" distB="0" distL="0" distR="0">
            <wp:extent cx="42955" cy="4560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3"/>
                    <a:stretch>
                      <a:fillRect/>
                    </a:stretch>
                  </pic:blipFill>
                  <pic:spPr>
                    <a:xfrm>
                      <a:off x="0" y="0"/>
                      <a:ext cx="42955" cy="45604"/>
                    </a:xfrm>
                    <a:prstGeom prst="rect">
                      <a:avLst/>
                    </a:prstGeom>
                  </pic:spPr>
                </pic:pic>
              </a:graphicData>
            </a:graphic>
          </wp:inline>
        </w:drawing>
      </w:r>
      <w:r>
        <w:rPr>
          <w:spacing w:val="-41"/>
        </w:rPr>
        <w:t xml:space="preserve"> </w:t>
      </w:r>
      <w:r>
        <w:rPr>
          <w:spacing w:val="7"/>
        </w:rPr>
        <w:t>——</w:t>
      </w:r>
      <w:r>
        <w:rPr>
          <w:spacing w:val="-25"/>
        </w:rPr>
        <w:t xml:space="preserve"> </w:t>
      </w:r>
      <w:r>
        <w:rPr>
          <w:spacing w:val="7"/>
        </w:rPr>
        <w:t xml:space="preserve">1 </w:t>
      </w:r>
      <w:r>
        <w:rPr>
          <w:rFonts w:ascii="SimSun" w:eastAsia="SimSun" w:hAnsi="SimSun" w:cs="SimSun"/>
          <w:spacing w:val="7"/>
        </w:rPr>
        <w:t>年内重复利用水量，单位为立方米（</w:t>
      </w:r>
      <w:r>
        <w:rPr>
          <w:spacing w:val="7"/>
        </w:rPr>
        <w:t>m</w:t>
      </w:r>
      <w:r>
        <w:rPr>
          <w:spacing w:val="7"/>
          <w:position w:val="6"/>
          <w:sz w:val="13"/>
          <w:szCs w:val="13"/>
        </w:rPr>
        <w:t xml:space="preserve">3 </w:t>
      </w:r>
      <w:r>
        <w:rPr>
          <w:rFonts w:ascii="SimSun" w:eastAsia="SimSun" w:hAnsi="SimSun" w:cs="SimSun"/>
          <w:spacing w:val="-9"/>
        </w:rPr>
        <w:t>）；</w:t>
      </w:r>
    </w:p>
    <w:p>
      <w:pPr>
        <w:pStyle w:val="BodyText"/>
        <w:spacing w:before="74" w:line="624" w:lineRule="exact"/>
        <w:ind w:left="428"/>
        <w:rPr>
          <w:rFonts w:ascii="SimSun" w:eastAsia="SimSun" w:hAnsi="SimSun" w:cs="SimSun"/>
        </w:rPr>
      </w:pPr>
      <w:r>
        <w:rPr>
          <w:position w:val="33"/>
        </w:rPr>
        <w:drawing>
          <wp:inline distT="0" distB="0" distL="0" distR="0">
            <wp:extent cx="120061" cy="90511"/>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4"/>
                    <a:stretch>
                      <a:fillRect/>
                    </a:stretch>
                  </pic:blipFill>
                  <pic:spPr>
                    <a:xfrm>
                      <a:off x="0" y="0"/>
                      <a:ext cx="120061" cy="90511"/>
                    </a:xfrm>
                    <a:prstGeom prst="rect">
                      <a:avLst/>
                    </a:prstGeom>
                  </pic:spPr>
                </pic:pic>
              </a:graphicData>
            </a:graphic>
          </wp:inline>
        </w:drawing>
      </w:r>
      <w:r>
        <w:rPr>
          <w:position w:val="29"/>
        </w:rPr>
        <w:drawing>
          <wp:inline distT="0" distB="0" distL="0" distR="0">
            <wp:extent cx="52835" cy="46266"/>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5"/>
                    <a:stretch>
                      <a:fillRect/>
                    </a:stretch>
                  </pic:blipFill>
                  <pic:spPr>
                    <a:xfrm>
                      <a:off x="0" y="0"/>
                      <a:ext cx="52835" cy="46266"/>
                    </a:xfrm>
                    <a:prstGeom prst="rect">
                      <a:avLst/>
                    </a:prstGeom>
                  </pic:spPr>
                </pic:pic>
              </a:graphicData>
            </a:graphic>
          </wp:inline>
        </w:drawing>
      </w:r>
      <w:r>
        <w:rPr>
          <w:spacing w:val="-32"/>
          <w:position w:val="33"/>
        </w:rPr>
        <w:t xml:space="preserve"> </w:t>
      </w:r>
      <w:r>
        <w:rPr>
          <w:spacing w:val="5"/>
          <w:position w:val="33"/>
        </w:rPr>
        <w:t>——</w:t>
      </w:r>
      <w:r>
        <w:rPr>
          <w:spacing w:val="-25"/>
          <w:position w:val="33"/>
        </w:rPr>
        <w:t xml:space="preserve"> </w:t>
      </w:r>
      <w:r>
        <w:rPr>
          <w:spacing w:val="5"/>
          <w:position w:val="33"/>
        </w:rPr>
        <w:t xml:space="preserve">1 </w:t>
      </w:r>
      <w:r>
        <w:rPr>
          <w:rFonts w:ascii="SimSun" w:eastAsia="SimSun" w:hAnsi="SimSun" w:cs="SimSun"/>
          <w:spacing w:val="5"/>
          <w:position w:val="33"/>
        </w:rPr>
        <w:t>年内总补水量，单位为立方米（</w:t>
      </w:r>
      <w:r>
        <w:rPr>
          <w:spacing w:val="5"/>
          <w:position w:val="33"/>
        </w:rPr>
        <w:t>m</w:t>
      </w:r>
      <w:r>
        <w:rPr>
          <w:spacing w:val="5"/>
          <w:position w:val="39"/>
          <w:sz w:val="13"/>
          <w:szCs w:val="13"/>
        </w:rPr>
        <w:t xml:space="preserve">3 </w:t>
      </w:r>
      <w:r>
        <w:rPr>
          <w:rFonts w:ascii="SimSun" w:eastAsia="SimSun" w:hAnsi="SimSun" w:cs="SimSun"/>
          <w:spacing w:val="5"/>
          <w:position w:val="33"/>
        </w:rPr>
        <w:t>）。</w:t>
      </w:r>
    </w:p>
    <w:p>
      <w:pPr>
        <w:pStyle w:val="BodyText"/>
        <w:spacing w:before="1" w:line="229" w:lineRule="auto"/>
        <w:rPr>
          <w:rFonts w:ascii="SimHei" w:eastAsia="SimHei" w:hAnsi="SimHei" w:cs="SimHei"/>
        </w:rPr>
      </w:pPr>
      <w:r>
        <w:rPr>
          <w:spacing w:val="7"/>
        </w:rPr>
        <w:t xml:space="preserve">A.3    </w:t>
      </w:r>
      <w:r>
        <w:rPr>
          <w:rFonts w:ascii="SimHei" w:eastAsia="SimHei" w:hAnsi="SimHei" w:cs="SimHei"/>
          <w:spacing w:val="7"/>
        </w:rPr>
        <w:t>单位产品污染物排放量</w:t>
      </w:r>
    </w:p>
    <w:p>
      <w:pPr>
        <w:spacing w:line="308" w:lineRule="auto"/>
        <w:rPr>
          <w:rFonts w:ascii="Arial"/>
          <w:sz w:val="21"/>
        </w:rPr>
      </w:pPr>
    </w:p>
    <w:p>
      <w:pPr>
        <w:pStyle w:val="BodyText"/>
        <w:spacing w:before="65" w:line="258" w:lineRule="auto"/>
        <w:ind w:left="8" w:firstLine="419"/>
        <w:rPr>
          <w:rFonts w:ascii="SimSun" w:eastAsia="SimSun" w:hAnsi="SimSun" w:cs="SimSun"/>
        </w:rPr>
      </w:pPr>
      <w:r>
        <w:rPr>
          <w:rFonts w:ascii="SimSun" w:eastAsia="SimSun" w:hAnsi="SimSun" w:cs="SimSun"/>
          <w:spacing w:val="5"/>
        </w:rPr>
        <w:t>生产过程中各工序的颗粒物、</w:t>
      </w:r>
      <w:r>
        <w:t>SO</w:t>
      </w:r>
      <w:r>
        <w:rPr>
          <w:spacing w:val="5"/>
          <w:position w:val="-1"/>
          <w:sz w:val="13"/>
          <w:szCs w:val="13"/>
        </w:rPr>
        <w:t>2</w:t>
      </w:r>
      <w:r>
        <w:rPr>
          <w:rFonts w:ascii="SimSun" w:eastAsia="SimSun" w:hAnsi="SimSun" w:cs="SimSun"/>
          <w:spacing w:val="5"/>
        </w:rPr>
        <w:t>、</w:t>
      </w:r>
      <w:r>
        <w:t>NO</w:t>
      </w:r>
      <w:r>
        <w:rPr>
          <w:position w:val="-1"/>
          <w:sz w:val="13"/>
          <w:szCs w:val="13"/>
        </w:rPr>
        <w:t>x</w:t>
      </w:r>
      <w:r>
        <w:rPr>
          <w:rFonts w:ascii="SimSun" w:eastAsia="SimSun" w:hAnsi="SimSun" w:cs="SimSun"/>
          <w:spacing w:val="5"/>
        </w:rPr>
        <w:t>等主要污染物排放量，计算时按照</w:t>
      </w:r>
      <w:r>
        <w:rPr>
          <w:spacing w:val="5"/>
        </w:rPr>
        <w:t>1</w:t>
      </w:r>
      <w:r>
        <w:rPr>
          <w:rFonts w:ascii="SimSun" w:eastAsia="SimSun" w:hAnsi="SimSun" w:cs="SimSun"/>
          <w:spacing w:val="5"/>
        </w:rPr>
        <w:t>年生产周期计算平均值。</w:t>
      </w:r>
      <w:r>
        <w:rPr>
          <w:rFonts w:ascii="SimSun" w:eastAsia="SimSun" w:hAnsi="SimSun" w:cs="SimSun"/>
          <w:spacing w:val="9"/>
        </w:rPr>
        <w:t xml:space="preserve"> </w:t>
      </w:r>
      <w:r>
        <w:rPr>
          <w:rFonts w:ascii="SimSun" w:eastAsia="SimSun" w:hAnsi="SimSun" w:cs="SimSun"/>
          <w:spacing w:val="8"/>
        </w:rPr>
        <w:t>各工序每生产</w:t>
      </w:r>
      <w:r>
        <w:rPr>
          <w:spacing w:val="8"/>
        </w:rPr>
        <w:t xml:space="preserve">1  </w:t>
      </w:r>
      <w:r>
        <w:rPr>
          <w:rFonts w:ascii="SimSun" w:eastAsia="SimSun" w:hAnsi="SimSun" w:cs="SimSun"/>
          <w:spacing w:val="8"/>
        </w:rPr>
        <w:t>吨产品所排放的主要污染物量，按照公式（</w:t>
      </w:r>
      <w:r>
        <w:rPr>
          <w:spacing w:val="8"/>
        </w:rPr>
        <w:t>A.3</w:t>
      </w:r>
      <w:r>
        <w:rPr>
          <w:rFonts w:ascii="SimSun" w:eastAsia="SimSun" w:hAnsi="SimSun" w:cs="SimSun"/>
          <w:spacing w:val="8"/>
        </w:rPr>
        <w:t>）计算：</w:t>
      </w:r>
    </w:p>
    <w:p>
      <w:pPr>
        <w:pStyle w:val="BodyText"/>
        <w:spacing w:before="158"/>
        <w:ind w:left="4025"/>
        <w:rPr>
          <w:rFonts w:ascii="SimSun" w:eastAsia="SimSun" w:hAnsi="SimSun" w:cs="SimSun"/>
        </w:rPr>
      </w:pPr>
      <w:r>
        <w:rPr>
          <w:rFonts w:ascii="Cambria Math" w:eastAsia="Cambria Math" w:hAnsi="Cambria Math" w:cs="Cambria Math"/>
        </w:rPr>
        <w:t>W</w:t>
      </w:r>
      <w:r>
        <w:rPr>
          <w:rFonts w:ascii="Cambria Math" w:eastAsia="Cambria Math" w:hAnsi="Cambria Math" w:cs="Cambria Math"/>
          <w:position w:val="-3"/>
          <w:sz w:val="14"/>
          <w:szCs w:val="14"/>
        </w:rPr>
        <w:t>L</w:t>
      </w:r>
      <w:r>
        <w:rPr>
          <w:rFonts w:ascii="Cambria Math" w:eastAsia="Cambria Math" w:hAnsi="Cambria Math" w:cs="Cambria Math"/>
          <w:spacing w:val="11"/>
          <w:w w:val="101"/>
          <w:position w:val="-3"/>
          <w:sz w:val="14"/>
          <w:szCs w:val="14"/>
        </w:rPr>
        <w:t xml:space="preserve">  </w:t>
      </w:r>
      <w:r>
        <w:rPr>
          <w:rFonts w:ascii="Cambria Math" w:eastAsia="Cambria Math" w:hAnsi="Cambria Math" w:cs="Cambria Math"/>
          <w:spacing w:val="8"/>
        </w:rPr>
        <w:t xml:space="preserve">= </w:t>
      </w:r>
      <w:r>
        <w:rPr>
          <w:position w:val="-13"/>
        </w:rPr>
        <w:drawing>
          <wp:inline distT="0" distB="0" distL="0" distR="0">
            <wp:extent cx="179489" cy="227642"/>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6"/>
                    <a:stretch>
                      <a:fillRect/>
                    </a:stretch>
                  </pic:blipFill>
                  <pic:spPr>
                    <a:xfrm>
                      <a:off x="0" y="0"/>
                      <a:ext cx="179489" cy="227642"/>
                    </a:xfrm>
                    <a:prstGeom prst="rect">
                      <a:avLst/>
                    </a:prstGeom>
                  </pic:spPr>
                </pic:pic>
              </a:graphicData>
            </a:graphic>
          </wp:inline>
        </w:drawing>
      </w:r>
      <w:r>
        <w:rPr>
          <w:rFonts w:ascii="SimSun" w:eastAsia="SimSun" w:hAnsi="SimSun" w:cs="SimSun"/>
          <w:spacing w:val="8"/>
        </w:rPr>
        <w:t>………………………………………………（</w:t>
      </w:r>
      <w:r>
        <w:rPr>
          <w:spacing w:val="8"/>
        </w:rPr>
        <w:t>A.3</w:t>
      </w:r>
      <w:r>
        <w:rPr>
          <w:rFonts w:ascii="SimSun" w:eastAsia="SimSun" w:hAnsi="SimSun" w:cs="SimSun"/>
          <w:spacing w:val="8"/>
        </w:rPr>
        <w:t>）</w:t>
      </w:r>
    </w:p>
    <w:p>
      <w:pPr>
        <w:pStyle w:val="BodyText"/>
        <w:spacing w:before="173" w:line="229" w:lineRule="auto"/>
        <w:ind w:left="430"/>
      </w:pPr>
      <w:r>
        <w:rPr>
          <w:rFonts w:ascii="SimSun" w:eastAsia="SimSun" w:hAnsi="SimSun" w:cs="SimSun"/>
          <w:spacing w:val="3"/>
        </w:rPr>
        <w:t>式中</w:t>
      </w:r>
      <w:r>
        <w:rPr>
          <w:spacing w:val="3"/>
        </w:rPr>
        <w:t>:</w:t>
      </w:r>
    </w:p>
    <w:p>
      <w:pPr>
        <w:pStyle w:val="BodyText"/>
        <w:spacing w:before="33" w:line="274" w:lineRule="exact"/>
        <w:ind w:left="428"/>
        <w:rPr>
          <w:rFonts w:ascii="SimSun" w:eastAsia="SimSun" w:hAnsi="SimSun" w:cs="SimSun"/>
        </w:rPr>
      </w:pPr>
      <w:r>
        <w:rPr>
          <w:position w:val="2"/>
        </w:rPr>
        <w:drawing>
          <wp:inline distT="0" distB="0" distL="0" distR="0">
            <wp:extent cx="121259" cy="90511"/>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2"/>
                    <a:stretch>
                      <a:fillRect/>
                    </a:stretch>
                  </pic:blipFill>
                  <pic:spPr>
                    <a:xfrm>
                      <a:off x="0" y="0"/>
                      <a:ext cx="121259" cy="90511"/>
                    </a:xfrm>
                    <a:prstGeom prst="rect">
                      <a:avLst/>
                    </a:prstGeom>
                  </pic:spPr>
                </pic:pic>
              </a:graphicData>
            </a:graphic>
          </wp:inline>
        </w:drawing>
      </w:r>
      <w:r>
        <w:rPr>
          <w:position w:val="-2"/>
        </w:rPr>
        <w:drawing>
          <wp:inline distT="0" distB="0" distL="0" distR="0">
            <wp:extent cx="44825" cy="64054"/>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7"/>
                    <a:stretch>
                      <a:fillRect/>
                    </a:stretch>
                  </pic:blipFill>
                  <pic:spPr>
                    <a:xfrm>
                      <a:off x="0" y="0"/>
                      <a:ext cx="44825" cy="64054"/>
                    </a:xfrm>
                    <a:prstGeom prst="rect">
                      <a:avLst/>
                    </a:prstGeom>
                  </pic:spPr>
                </pic:pic>
              </a:graphicData>
            </a:graphic>
          </wp:inline>
        </w:drawing>
      </w:r>
      <w:r>
        <w:rPr>
          <w:spacing w:val="-37"/>
          <w:position w:val="2"/>
        </w:rPr>
        <w:t xml:space="preserve"> </w:t>
      </w:r>
      <w:r>
        <w:rPr>
          <w:spacing w:val="8"/>
          <w:position w:val="2"/>
        </w:rPr>
        <w:t>——</w:t>
      </w:r>
      <w:r>
        <w:rPr>
          <w:rFonts w:ascii="SimSun" w:eastAsia="SimSun" w:hAnsi="SimSun" w:cs="SimSun"/>
          <w:spacing w:val="8"/>
          <w:position w:val="2"/>
        </w:rPr>
        <w:t>各工序每生产</w:t>
      </w:r>
      <w:r>
        <w:rPr>
          <w:rFonts w:ascii="SimSun" w:eastAsia="SimSun" w:hAnsi="SimSun" w:cs="SimSun"/>
          <w:spacing w:val="-21"/>
          <w:position w:val="2"/>
        </w:rPr>
        <w:t xml:space="preserve"> </w:t>
      </w:r>
      <w:r>
        <w:rPr>
          <w:spacing w:val="8"/>
          <w:position w:val="2"/>
        </w:rPr>
        <w:t>1</w:t>
      </w:r>
      <w:r>
        <w:rPr>
          <w:spacing w:val="20"/>
          <w:position w:val="2"/>
        </w:rPr>
        <w:t xml:space="preserve"> </w:t>
      </w:r>
      <w:r>
        <w:rPr>
          <w:rFonts w:ascii="SimSun" w:eastAsia="SimSun" w:hAnsi="SimSun" w:cs="SimSun"/>
          <w:spacing w:val="8"/>
          <w:position w:val="2"/>
        </w:rPr>
        <w:t>吨产品外排污染物量，单位为千克每吨（</w:t>
      </w:r>
      <w:r>
        <w:rPr>
          <w:position w:val="2"/>
        </w:rPr>
        <w:t>kg</w:t>
      </w:r>
      <w:r>
        <w:rPr>
          <w:spacing w:val="8"/>
          <w:position w:val="2"/>
        </w:rPr>
        <w:t>/t</w:t>
      </w:r>
      <w:r>
        <w:rPr>
          <w:spacing w:val="-18"/>
          <w:position w:val="2"/>
        </w:rPr>
        <w:t xml:space="preserve"> </w:t>
      </w:r>
      <w:r>
        <w:rPr>
          <w:rFonts w:ascii="SimSun" w:eastAsia="SimSun" w:hAnsi="SimSun" w:cs="SimSun"/>
          <w:spacing w:val="-13"/>
          <w:position w:val="2"/>
        </w:rPr>
        <w:t>）；</w:t>
      </w:r>
    </w:p>
    <w:p>
      <w:pPr>
        <w:pStyle w:val="BodyText"/>
        <w:spacing w:before="38" w:line="274" w:lineRule="exact"/>
        <w:jc w:val="right"/>
        <w:rPr>
          <w:rFonts w:ascii="SimSun" w:eastAsia="SimSun" w:hAnsi="SimSun" w:cs="SimSun"/>
        </w:rPr>
        <w:sectPr>
          <w:footerReference w:type="default" r:id="rId28"/>
          <w:pgSz w:w="11906" w:h="16839"/>
          <w:pgMar w:top="1431" w:right="1062" w:bottom="1312" w:left="1420" w:header="0" w:footer="1134" w:gutter="0"/>
          <w:pgNumType w:start="13"/>
          <w:cols w:space="708"/>
        </w:sectPr>
      </w:pPr>
      <w:r>
        <w:rPr>
          <w:position w:val="2"/>
        </w:rPr>
        <w:drawing>
          <wp:inline distT="0" distB="0" distL="0" distR="0">
            <wp:extent cx="121820" cy="90511"/>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4"/>
                    <a:stretch>
                      <a:fillRect/>
                    </a:stretch>
                  </pic:blipFill>
                  <pic:spPr>
                    <a:xfrm>
                      <a:off x="0" y="0"/>
                      <a:ext cx="121820" cy="90511"/>
                    </a:xfrm>
                    <a:prstGeom prst="rect">
                      <a:avLst/>
                    </a:prstGeom>
                  </pic:spPr>
                </pic:pic>
              </a:graphicData>
            </a:graphic>
          </wp:inline>
        </w:drawing>
      </w:r>
      <w:r>
        <w:rPr>
          <w:position w:val="-2"/>
        </w:rPr>
        <w:drawing>
          <wp:inline distT="0" distB="0" distL="0" distR="0">
            <wp:extent cx="49516" cy="65378"/>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9"/>
                    <a:stretch>
                      <a:fillRect/>
                    </a:stretch>
                  </pic:blipFill>
                  <pic:spPr>
                    <a:xfrm>
                      <a:off x="0" y="0"/>
                      <a:ext cx="49516" cy="65378"/>
                    </a:xfrm>
                    <a:prstGeom prst="rect">
                      <a:avLst/>
                    </a:prstGeom>
                  </pic:spPr>
                </pic:pic>
              </a:graphicData>
            </a:graphic>
          </wp:inline>
        </w:drawing>
      </w:r>
      <w:r>
        <w:rPr>
          <w:position w:val="-2"/>
        </w:rPr>
        <w:drawing>
          <wp:inline distT="0" distB="0" distL="0" distR="0">
            <wp:extent cx="45032" cy="64054"/>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0"/>
                    <a:stretch>
                      <a:fillRect/>
                    </a:stretch>
                  </pic:blipFill>
                  <pic:spPr>
                    <a:xfrm>
                      <a:off x="0" y="0"/>
                      <a:ext cx="45032" cy="64054"/>
                    </a:xfrm>
                    <a:prstGeom prst="rect">
                      <a:avLst/>
                    </a:prstGeom>
                  </pic:spPr>
                </pic:pic>
              </a:graphicData>
            </a:graphic>
          </wp:inline>
        </w:drawing>
      </w:r>
      <w:r>
        <w:rPr>
          <w:spacing w:val="-35"/>
          <w:position w:val="2"/>
        </w:rPr>
        <w:t xml:space="preserve"> </w:t>
      </w:r>
      <w:r>
        <w:rPr>
          <w:spacing w:val="-1"/>
          <w:position w:val="2"/>
        </w:rPr>
        <w:t>——</w:t>
      </w:r>
      <w:r>
        <w:rPr>
          <w:rFonts w:ascii="SimSun" w:eastAsia="SimSun" w:hAnsi="SimSun" w:cs="SimSun"/>
          <w:spacing w:val="-1"/>
          <w:position w:val="2"/>
        </w:rPr>
        <w:t>各工序</w:t>
      </w:r>
      <w:r>
        <w:rPr>
          <w:rFonts w:ascii="SimSun" w:eastAsia="SimSun" w:hAnsi="SimSun" w:cs="SimSun"/>
          <w:spacing w:val="-23"/>
          <w:position w:val="2"/>
        </w:rPr>
        <w:t xml:space="preserve"> </w:t>
      </w:r>
      <w:r>
        <w:rPr>
          <w:spacing w:val="-1"/>
          <w:position w:val="2"/>
        </w:rPr>
        <w:t>1</w:t>
      </w:r>
      <w:r>
        <w:rPr>
          <w:spacing w:val="13"/>
          <w:position w:val="2"/>
        </w:rPr>
        <w:t xml:space="preserve"> </w:t>
      </w:r>
      <w:r>
        <w:rPr>
          <w:rFonts w:ascii="SimSun" w:eastAsia="SimSun" w:hAnsi="SimSun" w:cs="SimSun"/>
          <w:spacing w:val="-1"/>
          <w:position w:val="2"/>
        </w:rPr>
        <w:t>年内产品生产过程中的颗粒物、</w:t>
      </w:r>
      <w:r>
        <w:rPr>
          <w:spacing w:val="-1"/>
          <w:position w:val="2"/>
        </w:rPr>
        <w:t>SO</w:t>
      </w:r>
      <w:r>
        <w:rPr>
          <w:spacing w:val="-1"/>
          <w:position w:val="1"/>
          <w:sz w:val="13"/>
          <w:szCs w:val="13"/>
        </w:rPr>
        <w:t>2</w:t>
      </w:r>
      <w:r>
        <w:rPr>
          <w:rFonts w:ascii="SimSun" w:eastAsia="SimSun" w:hAnsi="SimSun" w:cs="SimSun"/>
          <w:spacing w:val="-1"/>
          <w:position w:val="2"/>
        </w:rPr>
        <w:t>、</w:t>
      </w:r>
      <w:r>
        <w:rPr>
          <w:spacing w:val="-1"/>
          <w:position w:val="2"/>
        </w:rPr>
        <w:t>NOx</w:t>
      </w:r>
      <w:r>
        <w:rPr>
          <w:spacing w:val="14"/>
          <w:position w:val="2"/>
        </w:rPr>
        <w:t xml:space="preserve"> </w:t>
      </w:r>
      <w:r>
        <w:rPr>
          <w:rFonts w:ascii="SimSun" w:eastAsia="SimSun" w:hAnsi="SimSun" w:cs="SimSun"/>
          <w:spacing w:val="-1"/>
          <w:position w:val="2"/>
        </w:rPr>
        <w:t>等主要污染物</w:t>
      </w:r>
      <w:r>
        <w:rPr>
          <w:rFonts w:ascii="SimSun" w:eastAsia="SimSun" w:hAnsi="SimSun" w:cs="SimSun"/>
          <w:spacing w:val="-2"/>
          <w:position w:val="2"/>
        </w:rPr>
        <w:t>排放量，单位为千克（</w:t>
      </w:r>
      <w:r>
        <w:rPr>
          <w:spacing w:val="-2"/>
          <w:position w:val="2"/>
        </w:rPr>
        <w:t>kg</w:t>
      </w:r>
      <w:r>
        <w:rPr>
          <w:rFonts w:ascii="SimSun" w:eastAsia="SimSun" w:hAnsi="SimSun" w:cs="SimSun"/>
          <w:spacing w:val="-49"/>
          <w:w w:val="90"/>
          <w:position w:val="2"/>
        </w:rPr>
        <w:t>）；</w:t>
      </w:r>
    </w:p>
    <w:p>
      <w:pPr>
        <w:pStyle w:val="BodyText"/>
        <w:spacing w:before="69" w:line="221" w:lineRule="auto"/>
        <w:ind w:left="425"/>
        <w:rPr>
          <w:rFonts w:ascii="SimSun" w:eastAsia="SimSun" w:hAnsi="SimSun" w:cs="SimSun"/>
        </w:rPr>
      </w:pPr>
      <w:r>
        <w:drawing>
          <wp:inline distT="0" distB="0" distL="0" distR="0">
            <wp:extent cx="78719" cy="89848"/>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1"/>
                    <a:stretch>
                      <a:fillRect/>
                    </a:stretch>
                  </pic:blipFill>
                  <pic:spPr>
                    <a:xfrm>
                      <a:off x="0" y="0"/>
                      <a:ext cx="78719" cy="89848"/>
                    </a:xfrm>
                    <a:prstGeom prst="rect">
                      <a:avLst/>
                    </a:prstGeom>
                  </pic:spPr>
                </pic:pic>
              </a:graphicData>
            </a:graphic>
          </wp:inline>
        </w:drawing>
      </w:r>
      <w:r>
        <w:rPr>
          <w:position w:val="-4"/>
        </w:rPr>
        <w:drawing>
          <wp:inline distT="0" distB="0" distL="0" distR="0">
            <wp:extent cx="52940" cy="65378"/>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2"/>
                    <a:stretch>
                      <a:fillRect/>
                    </a:stretch>
                  </pic:blipFill>
                  <pic:spPr>
                    <a:xfrm>
                      <a:off x="0" y="0"/>
                      <a:ext cx="52940" cy="65378"/>
                    </a:xfrm>
                    <a:prstGeom prst="rect">
                      <a:avLst/>
                    </a:prstGeom>
                  </pic:spPr>
                </pic:pic>
              </a:graphicData>
            </a:graphic>
          </wp:inline>
        </w:drawing>
      </w:r>
      <w:r>
        <w:rPr>
          <w:position w:val="-4"/>
        </w:rPr>
        <w:drawing>
          <wp:inline distT="0" distB="0" distL="0" distR="0">
            <wp:extent cx="53760" cy="65378"/>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3"/>
                    <a:stretch>
                      <a:fillRect/>
                    </a:stretch>
                  </pic:blipFill>
                  <pic:spPr>
                    <a:xfrm>
                      <a:off x="0" y="0"/>
                      <a:ext cx="53760" cy="65378"/>
                    </a:xfrm>
                    <a:prstGeom prst="rect">
                      <a:avLst/>
                    </a:prstGeom>
                  </pic:spPr>
                </pic:pic>
              </a:graphicData>
            </a:graphic>
          </wp:inline>
        </w:drawing>
      </w:r>
      <w:r>
        <w:rPr>
          <w:spacing w:val="-31"/>
        </w:rPr>
        <w:t xml:space="preserve"> </w:t>
      </w:r>
      <w:r>
        <w:rPr>
          <w:spacing w:val="6"/>
        </w:rPr>
        <w:t>——</w:t>
      </w:r>
      <w:r>
        <w:rPr>
          <w:rFonts w:ascii="SimSun" w:eastAsia="SimSun" w:hAnsi="SimSun" w:cs="SimSun"/>
          <w:spacing w:val="6"/>
        </w:rPr>
        <w:t>各工序</w:t>
      </w:r>
      <w:r>
        <w:rPr>
          <w:rFonts w:ascii="SimSun" w:eastAsia="SimSun" w:hAnsi="SimSun" w:cs="SimSun"/>
          <w:spacing w:val="-23"/>
        </w:rPr>
        <w:t xml:space="preserve"> </w:t>
      </w:r>
      <w:r>
        <w:rPr>
          <w:spacing w:val="6"/>
        </w:rPr>
        <w:t xml:space="preserve">1 </w:t>
      </w:r>
      <w:r>
        <w:rPr>
          <w:rFonts w:ascii="SimSun" w:eastAsia="SimSun" w:hAnsi="SimSun" w:cs="SimSun"/>
          <w:spacing w:val="6"/>
        </w:rPr>
        <w:t>年内产品生产总量，单位为吨（</w:t>
      </w:r>
      <w:r>
        <w:rPr>
          <w:spacing w:val="6"/>
        </w:rPr>
        <w:t>t</w:t>
      </w:r>
      <w:r>
        <w:rPr>
          <w:spacing w:val="-20"/>
        </w:rPr>
        <w:t xml:space="preserve"> </w:t>
      </w:r>
      <w:r>
        <w:rPr>
          <w:rFonts w:ascii="SimSun" w:eastAsia="SimSun" w:hAnsi="SimSun" w:cs="SimSun"/>
          <w:spacing w:val="6"/>
        </w:rPr>
        <w:t>）。</w:t>
      </w:r>
    </w:p>
    <w:p>
      <w:pPr>
        <w:spacing w:line="317" w:lineRule="auto"/>
        <w:rPr>
          <w:rFonts w:ascii="Arial"/>
          <w:sz w:val="21"/>
        </w:rPr>
      </w:pPr>
    </w:p>
    <w:p>
      <w:pPr>
        <w:pStyle w:val="BodyText"/>
        <w:spacing w:before="65" w:line="229" w:lineRule="auto"/>
        <w:rPr>
          <w:rFonts w:ascii="SimHei" w:eastAsia="SimHei" w:hAnsi="SimHei" w:cs="SimHei"/>
        </w:rPr>
      </w:pPr>
      <w:r>
        <w:rPr>
          <w:spacing w:val="6"/>
        </w:rPr>
        <w:t xml:space="preserve">A.4    </w:t>
      </w:r>
      <w:r>
        <w:rPr>
          <w:rFonts w:ascii="SimHei" w:eastAsia="SimHei" w:hAnsi="SimHei" w:cs="SimHei"/>
          <w:spacing w:val="6"/>
        </w:rPr>
        <w:t>单位产品能源消耗</w:t>
      </w:r>
    </w:p>
    <w:p>
      <w:pPr>
        <w:spacing w:line="309" w:lineRule="auto"/>
        <w:rPr>
          <w:rFonts w:ascii="Arial"/>
          <w:sz w:val="21"/>
        </w:rPr>
      </w:pPr>
    </w:p>
    <w:p>
      <w:pPr>
        <w:pStyle w:val="BodyText"/>
        <w:spacing w:before="66" w:line="228" w:lineRule="auto"/>
        <w:ind w:left="428"/>
        <w:rPr>
          <w:rFonts w:ascii="SimSun" w:eastAsia="SimSun" w:hAnsi="SimSun" w:cs="SimSun"/>
        </w:rPr>
      </w:pPr>
      <w:r>
        <w:rPr>
          <w:rFonts w:ascii="SimSun" w:eastAsia="SimSun" w:hAnsi="SimSun" w:cs="SimSun"/>
          <w:spacing w:val="8"/>
        </w:rPr>
        <w:t>各工序单位产品能源消耗按照公式（</w:t>
      </w:r>
      <w:r>
        <w:rPr>
          <w:spacing w:val="8"/>
        </w:rPr>
        <w:t>A.4</w:t>
      </w:r>
      <w:r>
        <w:rPr>
          <w:rFonts w:ascii="SimSun" w:eastAsia="SimSun" w:hAnsi="SimSun" w:cs="SimSun"/>
          <w:spacing w:val="8"/>
        </w:rPr>
        <w:t>）计算：</w:t>
      </w:r>
    </w:p>
    <w:p>
      <w:pPr>
        <w:pStyle w:val="BodyText"/>
        <w:spacing w:before="174"/>
        <w:ind w:left="4304"/>
        <w:rPr>
          <w:rFonts w:ascii="SimSun" w:eastAsia="SimSun" w:hAnsi="SimSun" w:cs="SimSun"/>
        </w:rPr>
      </w:pPr>
      <w:r>
        <w:rPr>
          <w:rFonts w:ascii="Cambria Math" w:eastAsia="Cambria Math" w:hAnsi="Cambria Math" w:cs="Cambria Math"/>
          <w:spacing w:val="7"/>
        </w:rPr>
        <w:t>E</w:t>
      </w:r>
      <w:r>
        <w:rPr>
          <w:rFonts w:ascii="Cambria Math" w:eastAsia="Cambria Math" w:hAnsi="Cambria Math" w:cs="Cambria Math"/>
          <w:spacing w:val="37"/>
        </w:rPr>
        <w:t xml:space="preserve"> </w:t>
      </w:r>
      <w:r>
        <w:rPr>
          <w:rFonts w:ascii="Cambria Math" w:eastAsia="Cambria Math" w:hAnsi="Cambria Math" w:cs="Cambria Math"/>
          <w:spacing w:val="7"/>
        </w:rPr>
        <w:t xml:space="preserve">= </w:t>
      </w:r>
      <w:r>
        <w:rPr>
          <w:position w:val="-10"/>
        </w:rPr>
        <w:drawing>
          <wp:inline distT="0" distB="0" distL="0" distR="0">
            <wp:extent cx="107861" cy="208833"/>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4"/>
                    <a:stretch>
                      <a:fillRect/>
                    </a:stretch>
                  </pic:blipFill>
                  <pic:spPr>
                    <a:xfrm>
                      <a:off x="0" y="0"/>
                      <a:ext cx="107861" cy="208833"/>
                    </a:xfrm>
                    <a:prstGeom prst="rect">
                      <a:avLst/>
                    </a:prstGeom>
                  </pic:spPr>
                </pic:pic>
              </a:graphicData>
            </a:graphic>
          </wp:inline>
        </w:drawing>
      </w:r>
      <w:r>
        <w:rPr>
          <w:rFonts w:ascii="SimSun" w:eastAsia="SimSun" w:hAnsi="SimSun" w:cs="SimSun"/>
          <w:spacing w:val="7"/>
        </w:rPr>
        <w:t>………………………………………………（</w:t>
      </w:r>
      <w:r>
        <w:rPr>
          <w:spacing w:val="7"/>
        </w:rPr>
        <w:t>A.4</w:t>
      </w:r>
      <w:r>
        <w:rPr>
          <w:rFonts w:ascii="SimSun" w:eastAsia="SimSun" w:hAnsi="SimSun" w:cs="SimSun"/>
          <w:spacing w:val="7"/>
        </w:rPr>
        <w:t>）</w:t>
      </w:r>
    </w:p>
    <w:p>
      <w:pPr>
        <w:pStyle w:val="BodyText"/>
        <w:spacing w:before="182" w:line="229" w:lineRule="auto"/>
        <w:ind w:left="430"/>
      </w:pPr>
      <w:r>
        <w:rPr>
          <w:rFonts w:ascii="SimSun" w:eastAsia="SimSun" w:hAnsi="SimSun" w:cs="SimSun"/>
          <w:spacing w:val="3"/>
        </w:rPr>
        <w:t>式中</w:t>
      </w:r>
      <w:r>
        <w:rPr>
          <w:spacing w:val="3"/>
        </w:rPr>
        <w:t>:</w:t>
      </w:r>
    </w:p>
    <w:p>
      <w:pPr>
        <w:spacing w:line="229"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5" w:history="1">
        <w:r>
          <w:rPr>
            <w:rFonts w:ascii="SimSun" w:eastAsia="SimSun" w:hAnsi="SimSun" w:cs="SimSun"/>
            <w:b/>
            <w:bCs/>
            <w:noProof w:val="0"/>
            <w:snapToGrid/>
            <w:color w:val="0000EE"/>
            <w:kern w:val="0"/>
            <w:sz w:val="30"/>
            <w:szCs w:val="30"/>
            <w:u w:val="single" w:color="0000EE"/>
          </w:rPr>
          <w:t>https://d.book118.com/277051045112006032</w:t>
        </w:r>
      </w:hyperlink>
    </w:p>
    <w:p>
      <w:pPr>
        <w:spacing w:line="229" w:lineRule="auto"/>
      </w:pPr>
    </w:p>
    <w:sectPr>
      <w:footerReference w:type="default" r:id="rId36"/>
      <w:type w:val="nextPage"/>
      <w:pgSz w:w="11906" w:h="16839"/>
      <w:pgMar w:top="1431" w:right="1062" w:bottom="1312" w:left="1420" w:header="0" w:footer="1134"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8"/>
      <w:rPr>
        <w:rFonts w:ascii="SimSun" w:eastAsia="SimSun" w:hAnsi="SimSun" w:cs="SimSun"/>
        <w:sz w:val="18"/>
        <w:szCs w:val="18"/>
      </w:rPr>
    </w:pPr>
    <w:r>
      <w:rPr>
        <w:rFonts w:ascii="SimSun" w:eastAsia="SimSun" w:hAnsi="SimSun" w:cs="SimSun"/>
        <w:sz w:val="18"/>
        <w:szCs w:val="18"/>
      </w:rPr>
      <w:t>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8"/>
      <w:rPr>
        <w:rFonts w:ascii="SimSun" w:eastAsia="SimSun" w:hAnsi="SimSun" w:cs="SimSun"/>
        <w:sz w:val="18"/>
        <w:szCs w:val="18"/>
      </w:rPr>
    </w:pPr>
    <w:r>
      <w:rPr>
        <w:rFonts w:ascii="SimSun" w:eastAsia="SimSun" w:hAnsi="SimSun" w:cs="SimSun"/>
        <w:sz w:val="18"/>
        <w:szCs w:val="18"/>
      </w:rP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8"/>
      <w:rPr>
        <w:rFonts w:ascii="SimSun" w:eastAsia="SimSun" w:hAnsi="SimSun" w:cs="SimSun"/>
        <w:sz w:val="18"/>
        <w:szCs w:val="18"/>
      </w:rPr>
    </w:pPr>
    <w:r>
      <w:rPr>
        <w:rFonts w:ascii="SimSun" w:eastAsia="SimSun" w:hAnsi="SimSun" w:cs="SimSun"/>
        <w:sz w:val="18"/>
        <w:szCs w:val="18"/>
      </w:rPr>
      <w:t>4</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68"/>
      <w:rPr>
        <w:rFonts w:ascii="SimSun" w:eastAsia="SimSun" w:hAnsi="SimSun" w:cs="SimSun"/>
        <w:sz w:val="18"/>
        <w:szCs w:val="18"/>
      </w:rPr>
    </w:pPr>
    <w:r>
      <w:rPr>
        <w:rFonts w:ascii="SimSun" w:eastAsia="SimSun" w:hAnsi="SimSun" w:cs="SimSun"/>
        <w:sz w:val="18"/>
        <w:szCs w:val="18"/>
      </w:rPr>
      <w:t>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188"/>
      <w:rPr>
        <w:rFonts w:ascii="SimSun" w:eastAsia="SimSun" w:hAnsi="SimSun" w:cs="SimSun"/>
        <w:sz w:val="18"/>
        <w:szCs w:val="18"/>
      </w:rPr>
    </w:pPr>
    <w:r>
      <w:rPr>
        <w:rFonts w:ascii="SimSun" w:eastAsia="SimSun" w:hAnsi="SimSun" w:cs="SimSun"/>
        <w:sz w:val="18"/>
        <w:szCs w:val="18"/>
      </w:rPr>
      <w:t>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188"/>
      <w:rPr>
        <w:rFonts w:ascii="SimSun" w:eastAsia="SimSun" w:hAnsi="SimSun" w:cs="SimSun"/>
        <w:sz w:val="18"/>
        <w:szCs w:val="18"/>
      </w:rPr>
    </w:pPr>
    <w:r>
      <w:rPr>
        <w:rFonts w:ascii="SimSun" w:eastAsia="SimSun" w:hAnsi="SimSun" w:cs="SimSun"/>
        <w:sz w:val="18"/>
        <w:szCs w:val="18"/>
      </w:rPr>
      <w:t>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86"/>
      <w:rPr>
        <w:rFonts w:ascii="SimSun" w:eastAsia="SimSun" w:hAnsi="SimSun" w:cs="SimSun"/>
        <w:sz w:val="18"/>
        <w:szCs w:val="18"/>
      </w:rPr>
    </w:pPr>
    <w:r>
      <w:rPr>
        <w:rFonts w:ascii="SimSun" w:eastAsia="SimSun" w:hAnsi="SimSun" w:cs="SimSun"/>
        <w:sz w:val="18"/>
        <w:szCs w:val="18"/>
      </w:rPr>
      <w:t>6</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186"/>
      <w:rPr>
        <w:rFonts w:ascii="SimSun" w:eastAsia="SimSun" w:hAnsi="SimSun" w:cs="SimSun"/>
        <w:sz w:val="18"/>
        <w:szCs w:val="18"/>
      </w:rPr>
    </w:pPr>
    <w:r>
      <w:rPr>
        <w:rFonts w:ascii="SimSun" w:eastAsia="SimSun" w:hAnsi="SimSun" w:cs="SimSun"/>
        <w:sz w:val="18"/>
        <w:szCs w:val="18"/>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68"/>
      <w:rPr>
        <w:rFonts w:ascii="SimSun" w:eastAsia="SimSun" w:hAnsi="SimSun" w:cs="SimSun"/>
        <w:sz w:val="18"/>
        <w:szCs w:val="18"/>
      </w:rPr>
    </w:pPr>
    <w:r>
      <w:rPr>
        <w:rFonts w:ascii="SimSun" w:eastAsia="SimSun" w:hAnsi="SimSun" w:cs="SimSun"/>
        <w:sz w:val="18"/>
        <w:szCs w:val="18"/>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68"/>
      <w:rPr>
        <w:rFonts w:ascii="SimSun" w:eastAsia="SimSun" w:hAnsi="SimSun" w:cs="SimSun"/>
        <w:sz w:val="18"/>
        <w:szCs w:val="18"/>
      </w:rPr>
    </w:pPr>
    <w:r>
      <w:rPr>
        <w:rFonts w:ascii="SimSun" w:eastAsia="SimSun" w:hAnsi="SimSun" w:cs="SimSun"/>
        <w:sz w:val="18"/>
        <w:szCs w:val="18"/>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70"/>
      <w:rPr>
        <w:rFonts w:ascii="SimSun" w:eastAsia="SimSun" w:hAnsi="SimSun" w:cs="SimSun"/>
        <w:sz w:val="18"/>
        <w:szCs w:val="18"/>
      </w:rPr>
    </w:pPr>
    <w:r>
      <w:rPr>
        <w:rFonts w:ascii="SimSun" w:eastAsia="SimSun" w:hAnsi="SimSun" w:cs="SimSun"/>
        <w:sz w:val="18"/>
        <w:szCs w:val="18"/>
      </w:rPr>
      <w:t>9</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70"/>
      <w:rPr>
        <w:rFonts w:ascii="SimSun" w:eastAsia="SimSun" w:hAnsi="SimSun" w:cs="SimSun"/>
        <w:sz w:val="18"/>
        <w:szCs w:val="18"/>
      </w:rPr>
    </w:pPr>
    <w:r>
      <w:rPr>
        <w:rFonts w:ascii="SimSun" w:eastAsia="SimSun" w:hAnsi="SimSun" w:cs="SimSun"/>
        <w:sz w:val="18"/>
        <w:szCs w:val="18"/>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image" Target="media/image1.png" /><Relationship Id="rId17" Type="http://schemas.openxmlformats.org/officeDocument/2006/relationships/image" Target="media/image2.png" /><Relationship Id="rId18" Type="http://schemas.openxmlformats.org/officeDocument/2006/relationships/image" Target="media/image3.png" /><Relationship Id="rId19" Type="http://schemas.openxmlformats.org/officeDocument/2006/relationships/image" Target="media/image4.png" /><Relationship Id="rId2" Type="http://schemas.openxmlformats.org/officeDocument/2006/relationships/webSettings" Target="webSettings.xml" /><Relationship Id="rId20" Type="http://schemas.openxmlformats.org/officeDocument/2006/relationships/image" Target="media/image5.png"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footer" Target="footer13.xml" /><Relationship Id="rId29" Type="http://schemas.openxmlformats.org/officeDocument/2006/relationships/image" Target="media/image13.png" /><Relationship Id="rId3" Type="http://schemas.openxmlformats.org/officeDocument/2006/relationships/fontTable" Target="fontTable.xml" /><Relationship Id="rId30" Type="http://schemas.openxmlformats.org/officeDocument/2006/relationships/image" Target="media/image14.png" /><Relationship Id="rId31" Type="http://schemas.openxmlformats.org/officeDocument/2006/relationships/image" Target="media/image15.png" /><Relationship Id="rId32" Type="http://schemas.openxmlformats.org/officeDocument/2006/relationships/image" Target="media/image16.png" /><Relationship Id="rId33" Type="http://schemas.openxmlformats.org/officeDocument/2006/relationships/image" Target="media/image17.png" /><Relationship Id="rId34" Type="http://schemas.openxmlformats.org/officeDocument/2006/relationships/image" Target="media/image18.png" /><Relationship Id="rId35" Type="http://schemas.openxmlformats.org/officeDocument/2006/relationships/hyperlink" Target="https://d.book118.com/277051045112006032" TargetMode="External" /><Relationship Id="rId36" Type="http://schemas.openxmlformats.org/officeDocument/2006/relationships/footer" Target="footer14.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2024-01-19T20:29:14Z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2024-01-19T20:29:17Z</vt:filetime>
  </property>
  <property fmtid="{D5CDD505-2E9C-101B-9397-08002B2CF9AE}" pid="3" name="CRO">
    <vt:lpwstr>wqlLaW5nc29mdCBQREYgdG8gV1BTIDkw</vt:lpwstr>
  </property>
  <property fmtid="{D5CDD505-2E9C-101B-9397-08002B2CF9AE}" pid="4" name="UsrData">
    <vt:lpwstr>65aa6b17b251f9001f20ff8dwl</vt:lpwstr>
  </property>
</Properties>
</file>