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96" w:lineRule="auto"/>
        <w:ind w:left="42"/>
        <w:rPr>
          <w:rFonts w:ascii="SimSun" w:eastAsia="SimSun" w:hAnsi="SimSun" w:cs="SimSun"/>
          <w:sz w:val="21"/>
          <w:szCs w:val="21"/>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18.15pt;height:40.3pt;margin-top:751.95pt;margin-left:390.94pt;mso-position-horizontal-relative:page;mso-position-vertical-relative:page;position:absolute;z-index:251661312" o:allowincell="f" filled="f" stroked="f">
            <o:lock v:ext="edit" aspectratio="f"/>
            <v:textbox style="layout-flow:vertical-ideographic" inset="0,0,0,0">
              <w:txbxContent>
                <w:p>
                  <w:pPr>
                    <w:pStyle w:val="BodyText"/>
                    <w:spacing w:before="20" w:line="201" w:lineRule="auto"/>
                    <w:ind w:left="20"/>
                  </w:pPr>
                  <w:r>
                    <w:rPr>
                      <w:spacing w:val="4"/>
                      <w:position w:val="-1"/>
                    </w:rPr>
                    <w:t>发</w:t>
                  </w:r>
                  <w:r>
                    <w:rPr>
                      <w:spacing w:val="82"/>
                      <w:position w:val="-1"/>
                    </w:rPr>
                    <w:t xml:space="preserve"> </w:t>
                  </w:r>
                  <w:r>
                    <w:rPr>
                      <w:spacing w:val="4"/>
                      <w:position w:val="1"/>
                    </w:rPr>
                    <w:t>出</w:t>
                  </w:r>
                </w:p>
              </w:txbxContent>
            </v:textbox>
          </v:shape>
        </w:pict>
      </w:r>
      <w:r>
        <w:pict>
          <v:shape id="_x0000_s1026" type="#_x0000_t202" style="width:18pt;height:40.3pt;margin-top:751.95pt;margin-left:418.38pt;mso-position-horizontal-relative:page;mso-position-vertical-relative:page;position:absolute;z-index:251662336" o:allowincell="f" filled="f" stroked="f">
            <o:lock v:ext="edit" aspectratio="f"/>
            <v:textbox style="layout-flow:vertical-ideographic" inset="0,0,0,0">
              <w:txbxContent>
                <w:p>
                  <w:pPr>
                    <w:pStyle w:val="BodyText"/>
                    <w:spacing w:before="20" w:line="212" w:lineRule="auto"/>
                    <w:ind w:left="20"/>
                  </w:pPr>
                  <w:r>
                    <w:rPr>
                      <w:spacing w:val="4"/>
                    </w:rPr>
                    <w:t>布</w:t>
                  </w:r>
                  <w:r>
                    <w:rPr>
                      <w:spacing w:val="82"/>
                    </w:rPr>
                    <w:t xml:space="preserve"> </w:t>
                  </w:r>
                  <w:r>
                    <w:rPr>
                      <w:spacing w:val="4"/>
                    </w:rPr>
                    <w:t>版</w:t>
                  </w:r>
                </w:p>
              </w:txbxContent>
            </v:textbox>
          </v:shape>
        </w:pict>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6"/>
          <w:sz w:val="21"/>
          <w:szCs w:val="21"/>
        </w:rPr>
        <w:t>ICS</w:t>
      </w:r>
      <w:r>
        <w:rPr>
          <w:rFonts w:ascii="SimSun" w:eastAsia="SimSun" w:hAnsi="SimSun" w:cs="SimSun"/>
          <w:spacing w:val="14"/>
          <w:sz w:val="21"/>
          <w:szCs w:val="21"/>
        </w:rPr>
        <w:t xml:space="preserve"> </w:t>
      </w:r>
      <w:r>
        <w:rPr>
          <w:rFonts w:ascii="SimSun" w:eastAsia="SimSun" w:hAnsi="SimSun" w:cs="SimSun"/>
          <w:b/>
          <w:bCs/>
          <w:spacing w:val="-6"/>
          <w:sz w:val="21"/>
          <w:szCs w:val="21"/>
        </w:rPr>
        <w:t>93.040</w:t>
      </w:r>
    </w:p>
    <w:p>
      <w:pPr>
        <w:spacing w:line="188" w:lineRule="auto"/>
        <w:ind w:left="3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CCS  P  28</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pStyle w:val="BodyText"/>
        <w:spacing w:before="159" w:line="221" w:lineRule="auto"/>
        <w:ind w:left="257"/>
        <w:outlineLvl w:val="0"/>
        <w:rPr>
          <w:sz w:val="49"/>
          <w:szCs w:val="49"/>
        </w:rPr>
      </w:pPr>
      <w:r>
        <w:rPr>
          <w:b/>
          <w:bCs/>
          <w:spacing w:val="-11"/>
          <w:sz w:val="49"/>
          <w:szCs w:val="49"/>
        </w:rPr>
        <w:t>江</w:t>
      </w:r>
      <w:r>
        <w:rPr>
          <w:spacing w:val="60"/>
          <w:sz w:val="49"/>
          <w:szCs w:val="49"/>
        </w:rPr>
        <w:t xml:space="preserve">   </w:t>
      </w:r>
      <w:r>
        <w:rPr>
          <w:b/>
          <w:bCs/>
          <w:spacing w:val="-11"/>
          <w:sz w:val="49"/>
          <w:szCs w:val="49"/>
        </w:rPr>
        <w:t>苏</w:t>
      </w:r>
      <w:r>
        <w:rPr>
          <w:spacing w:val="-11"/>
          <w:sz w:val="49"/>
          <w:szCs w:val="49"/>
        </w:rPr>
        <w:t xml:space="preserve">    </w:t>
      </w:r>
      <w:r>
        <w:rPr>
          <w:b/>
          <w:bCs/>
          <w:spacing w:val="-11"/>
          <w:sz w:val="49"/>
          <w:szCs w:val="49"/>
        </w:rPr>
        <w:t>省</w:t>
      </w:r>
      <w:r>
        <w:rPr>
          <w:spacing w:val="-11"/>
          <w:sz w:val="49"/>
          <w:szCs w:val="49"/>
        </w:rPr>
        <w:t xml:space="preserve">    </w:t>
      </w:r>
      <w:r>
        <w:rPr>
          <w:b/>
          <w:bCs/>
          <w:spacing w:val="-11"/>
          <w:sz w:val="49"/>
          <w:szCs w:val="49"/>
        </w:rPr>
        <w:t>地</w:t>
      </w:r>
      <w:r>
        <w:rPr>
          <w:spacing w:val="-11"/>
          <w:sz w:val="49"/>
          <w:szCs w:val="49"/>
        </w:rPr>
        <w:t xml:space="preserve">    </w:t>
      </w:r>
      <w:r>
        <w:rPr>
          <w:b/>
          <w:bCs/>
          <w:spacing w:val="-11"/>
          <w:sz w:val="49"/>
          <w:szCs w:val="49"/>
        </w:rPr>
        <w:t>方</w:t>
      </w:r>
      <w:r>
        <w:rPr>
          <w:spacing w:val="-11"/>
          <w:sz w:val="49"/>
          <w:szCs w:val="49"/>
        </w:rPr>
        <w:t xml:space="preserve">    </w:t>
      </w:r>
      <w:r>
        <w:rPr>
          <w:b/>
          <w:bCs/>
          <w:spacing w:val="-11"/>
          <w:sz w:val="49"/>
          <w:szCs w:val="49"/>
        </w:rPr>
        <w:t>标</w:t>
      </w:r>
      <w:r>
        <w:rPr>
          <w:spacing w:val="78"/>
          <w:sz w:val="49"/>
          <w:szCs w:val="49"/>
        </w:rPr>
        <w:t xml:space="preserve">   </w:t>
      </w:r>
      <w:r>
        <w:rPr>
          <w:b/>
          <w:bCs/>
          <w:spacing w:val="-11"/>
          <w:sz w:val="49"/>
          <w:szCs w:val="49"/>
        </w:rPr>
        <w:t>准</w:t>
      </w:r>
    </w:p>
    <w:p>
      <w:pPr>
        <w:spacing w:line="260" w:lineRule="auto"/>
        <w:rPr>
          <w:rFonts w:ascii="Arial"/>
          <w:sz w:val="21"/>
        </w:rPr>
      </w:pPr>
    </w:p>
    <w:p>
      <w:pPr>
        <w:spacing w:before="88" w:line="224" w:lineRule="auto"/>
        <w:ind w:left="7003"/>
        <w:rPr>
          <w:rFonts w:ascii="SimSun" w:eastAsia="SimSun" w:hAnsi="SimSun" w:cs="SimSun"/>
          <w:sz w:val="27"/>
          <w:szCs w:val="27"/>
        </w:rPr>
      </w:pPr>
      <w:r>
        <w:rPr>
          <w:rFonts w:ascii="SimSun" w:eastAsia="SimSun" w:hAnsi="SimSun" w:cs="SimSun"/>
          <w:b/>
          <w:bCs/>
          <w:spacing w:val="-4"/>
          <w:sz w:val="27"/>
          <w:szCs w:val="27"/>
        </w:rPr>
        <w:t>DB32/T</w:t>
      </w:r>
      <w:r>
        <w:rPr>
          <w:rFonts w:ascii="SimSun" w:eastAsia="SimSun" w:hAnsi="SimSun" w:cs="SimSun"/>
          <w:spacing w:val="43"/>
          <w:sz w:val="27"/>
          <w:szCs w:val="27"/>
        </w:rPr>
        <w:t xml:space="preserve"> </w:t>
      </w:r>
      <w:r>
        <w:rPr>
          <w:rFonts w:ascii="SimSun" w:eastAsia="SimSun" w:hAnsi="SimSun" w:cs="SimSun"/>
          <w:b/>
          <w:bCs/>
          <w:spacing w:val="-4"/>
          <w:sz w:val="27"/>
          <w:szCs w:val="27"/>
        </w:rPr>
        <w:t>4648—2024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59" w:line="221" w:lineRule="auto"/>
        <w:ind w:left="1677"/>
        <w:rPr>
          <w:sz w:val="49"/>
          <w:szCs w:val="49"/>
        </w:rPr>
      </w:pPr>
      <w:r>
        <w:rPr>
          <w:b/>
          <w:bCs/>
          <w:spacing w:val="54"/>
          <w:sz w:val="49"/>
          <w:szCs w:val="49"/>
        </w:rPr>
        <w:t>公路钢梁桥养护技术规范</w:t>
      </w:r>
    </w:p>
    <w:p>
      <w:pPr>
        <w:spacing w:line="420" w:lineRule="auto"/>
        <w:rPr>
          <w:rFonts w:ascii="Arial"/>
          <w:sz w:val="21"/>
        </w:rPr>
      </w:pPr>
    </w:p>
    <w:p>
      <w:pPr>
        <w:spacing w:before="77" w:line="249" w:lineRule="auto"/>
        <w:ind w:left="3560" w:right="1806" w:hanging="2120"/>
        <w:rPr>
          <w:rFonts w:ascii="Times New Roman" w:eastAsia="Times New Roman" w:hAnsi="Times New Roman" w:cs="Times New Roman"/>
          <w:sz w:val="27"/>
          <w:szCs w:val="27"/>
        </w:rPr>
      </w:pPr>
      <w:r>
        <w:rPr>
          <w:rFonts w:ascii="Times New Roman" w:eastAsia="Times New Roman" w:hAnsi="Times New Roman" w:cs="Times New Roman"/>
          <w:b/>
          <w:bCs/>
          <w:spacing w:val="-1"/>
          <w:sz w:val="27"/>
          <w:szCs w:val="27"/>
        </w:rPr>
        <w:t>Technical</w:t>
      </w:r>
      <w:r>
        <w:rPr>
          <w:rFonts w:ascii="Times New Roman" w:eastAsia="Times New Roman" w:hAnsi="Times New Roman" w:cs="Times New Roman"/>
          <w:b/>
          <w:bCs/>
          <w:spacing w:val="41"/>
          <w:sz w:val="27"/>
          <w:szCs w:val="27"/>
        </w:rPr>
        <w:t xml:space="preserve"> </w:t>
      </w:r>
      <w:r>
        <w:rPr>
          <w:rFonts w:ascii="Times New Roman" w:eastAsia="Times New Roman" w:hAnsi="Times New Roman" w:cs="Times New Roman"/>
          <w:b/>
          <w:bCs/>
          <w:spacing w:val="-1"/>
          <w:sz w:val="27"/>
          <w:szCs w:val="27"/>
        </w:rPr>
        <w:t>specification</w:t>
      </w:r>
      <w:r>
        <w:rPr>
          <w:rFonts w:ascii="Times New Roman" w:eastAsia="Times New Roman" w:hAnsi="Times New Roman" w:cs="Times New Roman"/>
          <w:b/>
          <w:bCs/>
          <w:spacing w:val="38"/>
          <w:w w:val="101"/>
          <w:sz w:val="27"/>
          <w:szCs w:val="27"/>
        </w:rPr>
        <w:t xml:space="preserve"> </w:t>
      </w:r>
      <w:r>
        <w:rPr>
          <w:rFonts w:ascii="Times New Roman" w:eastAsia="Times New Roman" w:hAnsi="Times New Roman" w:cs="Times New Roman"/>
          <w:b/>
          <w:bCs/>
          <w:spacing w:val="-1"/>
          <w:sz w:val="27"/>
          <w:szCs w:val="27"/>
        </w:rPr>
        <w:t>for</w:t>
      </w:r>
      <w:r>
        <w:rPr>
          <w:rFonts w:ascii="Times New Roman" w:eastAsia="Times New Roman" w:hAnsi="Times New Roman" w:cs="Times New Roman"/>
          <w:b/>
          <w:bCs/>
          <w:spacing w:val="40"/>
          <w:sz w:val="27"/>
          <w:szCs w:val="27"/>
        </w:rPr>
        <w:t xml:space="preserve"> </w:t>
      </w:r>
      <w:r>
        <w:rPr>
          <w:rFonts w:ascii="Times New Roman" w:eastAsia="Times New Roman" w:hAnsi="Times New Roman" w:cs="Times New Roman"/>
          <w:b/>
          <w:bCs/>
          <w:spacing w:val="-1"/>
          <w:sz w:val="27"/>
          <w:szCs w:val="27"/>
        </w:rPr>
        <w:t>maintenance</w:t>
      </w:r>
      <w:r>
        <w:rPr>
          <w:rFonts w:ascii="Times New Roman" w:eastAsia="Times New Roman" w:hAnsi="Times New Roman" w:cs="Times New Roman"/>
          <w:b/>
          <w:bCs/>
          <w:spacing w:val="40"/>
          <w:sz w:val="27"/>
          <w:szCs w:val="27"/>
        </w:rPr>
        <w:t xml:space="preserve"> </w:t>
      </w:r>
      <w:r>
        <w:rPr>
          <w:rFonts w:ascii="Times New Roman" w:eastAsia="Times New Roman" w:hAnsi="Times New Roman" w:cs="Times New Roman"/>
          <w:b/>
          <w:bCs/>
          <w:spacing w:val="-1"/>
          <w:sz w:val="27"/>
          <w:szCs w:val="27"/>
        </w:rPr>
        <w:t>of</w:t>
      </w:r>
      <w:r>
        <w:rPr>
          <w:rFonts w:ascii="Times New Roman" w:eastAsia="Times New Roman" w:hAnsi="Times New Roman" w:cs="Times New Roman"/>
          <w:b/>
          <w:bCs/>
          <w:spacing w:val="21"/>
          <w:sz w:val="27"/>
          <w:szCs w:val="27"/>
        </w:rPr>
        <w:t xml:space="preserve"> </w:t>
      </w:r>
      <w:r>
        <w:rPr>
          <w:rFonts w:ascii="Times New Roman" w:eastAsia="Times New Roman" w:hAnsi="Times New Roman" w:cs="Times New Roman"/>
          <w:b/>
          <w:bCs/>
          <w:spacing w:val="-1"/>
          <w:sz w:val="27"/>
          <w:szCs w:val="27"/>
        </w:rPr>
        <w:t>ste</w:t>
      </w:r>
      <w:r>
        <w:rPr>
          <w:rFonts w:ascii="Times New Roman" w:eastAsia="Times New Roman" w:hAnsi="Times New Roman" w:cs="Times New Roman"/>
          <w:b/>
          <w:bCs/>
          <w:spacing w:val="-2"/>
          <w:sz w:val="27"/>
          <w:szCs w:val="27"/>
        </w:rPr>
        <w:t>el</w:t>
      </w:r>
      <w:r>
        <w:rPr>
          <w:rFonts w:ascii="Times New Roman" w:eastAsia="Times New Roman" w:hAnsi="Times New Roman" w:cs="Times New Roman"/>
          <w:b/>
          <w:bCs/>
          <w:spacing w:val="40"/>
          <w:sz w:val="27"/>
          <w:szCs w:val="27"/>
        </w:rPr>
        <w:t xml:space="preserve"> </w:t>
      </w:r>
      <w:r>
        <w:rPr>
          <w:rFonts w:ascii="Times New Roman" w:eastAsia="Times New Roman" w:hAnsi="Times New Roman" w:cs="Times New Roman"/>
          <w:b/>
          <w:bCs/>
          <w:spacing w:val="-2"/>
          <w:sz w:val="27"/>
          <w:szCs w:val="27"/>
        </w:rPr>
        <w:t>girder</w:t>
      </w:r>
      <w:r>
        <w:rPr>
          <w:rFonts w:ascii="Times New Roman" w:eastAsia="Times New Roman" w:hAnsi="Times New Roman" w:cs="Times New Roman"/>
          <w:b/>
          <w:bCs/>
          <w:sz w:val="27"/>
          <w:szCs w:val="27"/>
        </w:rPr>
        <w:t xml:space="preserve"> </w:t>
      </w:r>
      <w:r>
        <w:rPr>
          <w:rFonts w:ascii="Times New Roman" w:eastAsia="Times New Roman" w:hAnsi="Times New Roman" w:cs="Times New Roman"/>
          <w:b/>
          <w:bCs/>
          <w:spacing w:val="-2"/>
          <w:sz w:val="27"/>
          <w:szCs w:val="27"/>
        </w:rPr>
        <w:t>bridges</w:t>
      </w:r>
      <w:r>
        <w:rPr>
          <w:rFonts w:ascii="Times New Roman" w:eastAsia="Times New Roman" w:hAnsi="Times New Roman" w:cs="Times New Roman"/>
          <w:b/>
          <w:bCs/>
          <w:spacing w:val="40"/>
          <w:sz w:val="27"/>
          <w:szCs w:val="27"/>
        </w:rPr>
        <w:t xml:space="preserve"> </w:t>
      </w:r>
      <w:r>
        <w:rPr>
          <w:rFonts w:ascii="Times New Roman" w:eastAsia="Times New Roman" w:hAnsi="Times New Roman" w:cs="Times New Roman"/>
          <w:b/>
          <w:bCs/>
          <w:spacing w:val="-2"/>
          <w:sz w:val="27"/>
          <w:szCs w:val="27"/>
        </w:rPr>
        <w:t>in</w:t>
      </w:r>
      <w:r>
        <w:rPr>
          <w:rFonts w:ascii="Times New Roman" w:eastAsia="Times New Roman" w:hAnsi="Times New Roman" w:cs="Times New Roman"/>
          <w:b/>
          <w:bCs/>
          <w:spacing w:val="34"/>
          <w:sz w:val="27"/>
          <w:szCs w:val="27"/>
        </w:rPr>
        <w:t xml:space="preserve"> </w:t>
      </w:r>
      <w:r>
        <w:rPr>
          <w:rFonts w:ascii="Times New Roman" w:eastAsia="Times New Roman" w:hAnsi="Times New Roman" w:cs="Times New Roman"/>
          <w:b/>
          <w:bCs/>
          <w:spacing w:val="-2"/>
          <w:sz w:val="27"/>
          <w:szCs w:val="27"/>
        </w:rPr>
        <w:t>highway</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sectPr>
          <w:pgSz w:w="12190" w:h="17230"/>
          <w:pgMar w:top="790" w:right="999" w:bottom="0" w:left="1539" w:header="0" w:footer="0" w:gutter="0"/>
          <w:cols w:num="1" w:space="708" w:equalWidth="0">
            <w:col w:w="9651" w:space="0"/>
          </w:cols>
        </w:sectPr>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12190" w:h="17230"/>
          <w:pgMar w:top="790" w:right="999" w:bottom="0" w:left="1539" w:header="0" w:footer="0" w:gutter="0"/>
          <w:pgNumType w:start="2"/>
          <w:cols w:num="1" w:space="708" w:equalWidth="0">
            <w:col w:w="9651" w:space="0"/>
          </w:cols>
          <w:titlePg w:val="0"/>
        </w:sectPr>
      </w:pPr>
    </w:p>
    <w:p>
      <w:pPr>
        <w:pStyle w:val="BodyText"/>
        <w:spacing w:before="55" w:line="188" w:lineRule="auto"/>
        <w:ind w:left="43"/>
      </w:pPr>
      <w:r>
        <w:rPr>
          <w:b/>
          <w:bCs/>
          <w:spacing w:val="-5"/>
        </w:rPr>
        <w:t>2024-01-09</w:t>
      </w:r>
      <w:r>
        <w:rPr>
          <w:spacing w:val="-5"/>
        </w:rPr>
        <w:t xml:space="preserve"> </w:t>
      </w:r>
      <w:r>
        <w:rPr>
          <w:b/>
          <w:bCs/>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7" w:lineRule="auto"/>
      </w:pPr>
      <w:r>
        <w:rPr>
          <w:b/>
          <w:bCs/>
          <w:spacing w:val="-3"/>
        </w:rPr>
        <w:t>2024-02-09</w:t>
      </w:r>
      <w:r>
        <w:rPr>
          <w:spacing w:val="-3"/>
        </w:rPr>
        <w:t xml:space="preserve"> </w:t>
      </w:r>
      <w:r>
        <w:rPr>
          <w:b/>
          <w:bCs/>
          <w:spacing w:val="-3"/>
        </w:rPr>
        <w:t>实施</w:t>
      </w:r>
    </w:p>
    <w:p>
      <w:pPr>
        <w:spacing w:line="187" w:lineRule="auto"/>
        <w:sectPr>
          <w:type w:val="continuous"/>
          <w:pgSz w:w="12190" w:h="17230"/>
          <w:pgMar w:top="790" w:right="999" w:bottom="0" w:left="1539" w:header="0" w:footer="0" w:gutter="0"/>
          <w:pgNumType w:start="3"/>
          <w:cols w:num="2" w:space="708" w:equalWidth="0">
            <w:col w:w="7504" w:space="100"/>
            <w:col w:w="2047" w:space="0"/>
          </w:cols>
        </w:sectPr>
      </w:pPr>
    </w:p>
    <w:p>
      <w:pPr>
        <w:spacing w:before="187"/>
      </w:pPr>
    </w:p>
    <w:p>
      <w:pPr>
        <w:sectPr>
          <w:type w:val="continuous"/>
          <w:pgSz w:w="12190" w:h="17230"/>
          <w:pgMar w:top="790" w:right="999" w:bottom="0" w:left="1539" w:header="0" w:footer="0" w:gutter="0"/>
          <w:pgNumType w:start="4"/>
          <w:cols w:num="1" w:space="708" w:equalWidth="0">
            <w:col w:w="9651" w:space="0"/>
          </w:cols>
        </w:sectPr>
      </w:pPr>
    </w:p>
    <w:p>
      <w:pPr>
        <w:pStyle w:val="BodyText"/>
        <w:spacing w:line="491" w:lineRule="exact"/>
        <w:ind w:left="2670"/>
      </w:pPr>
      <w:r>
        <w:rPr>
          <w:spacing w:val="45"/>
          <w:position w:val="16"/>
        </w:rPr>
        <w:t>江苏省市场监督管理局</w:t>
      </w:r>
    </w:p>
    <w:p>
      <w:pPr>
        <w:pStyle w:val="BodyText"/>
        <w:spacing w:line="187" w:lineRule="auto"/>
        <w:ind w:left="2720"/>
      </w:pPr>
      <w:r>
        <w:rPr>
          <w:spacing w:val="-14"/>
        </w:rPr>
        <w:t>中</w:t>
      </w:r>
      <w:r>
        <w:rPr>
          <w:spacing w:val="78"/>
        </w:rPr>
        <w:t xml:space="preserve"> </w:t>
      </w:r>
      <w:r>
        <w:rPr>
          <w:spacing w:val="-14"/>
        </w:rPr>
        <w:t>国</w:t>
      </w:r>
      <w:r>
        <w:rPr>
          <w:spacing w:val="83"/>
        </w:rPr>
        <w:t xml:space="preserve"> </w:t>
      </w:r>
      <w:r>
        <w:rPr>
          <w:spacing w:val="-14"/>
        </w:rPr>
        <w:t>标</w:t>
      </w:r>
      <w:r>
        <w:rPr>
          <w:spacing w:val="90"/>
        </w:rPr>
        <w:t xml:space="preserve"> </w:t>
      </w:r>
      <w:r>
        <w:rPr>
          <w:spacing w:val="-14"/>
        </w:rPr>
        <w:t>准</w:t>
      </w:r>
      <w:r>
        <w:rPr>
          <w:spacing w:val="106"/>
        </w:rPr>
        <w:t xml:space="preserve"> </w:t>
      </w:r>
      <w:r>
        <w:rPr>
          <w:spacing w:val="-14"/>
        </w:rPr>
        <w:t>出</w:t>
      </w:r>
      <w:r>
        <w:rPr>
          <w:spacing w:val="72"/>
        </w:rPr>
        <w:t xml:space="preserve"> </w:t>
      </w:r>
      <w:r>
        <w:rPr>
          <w:spacing w:val="-14"/>
        </w:rPr>
        <w:t>版</w:t>
      </w:r>
      <w:r>
        <w:rPr>
          <w:spacing w:val="-14"/>
        </w:rPr>
        <w:t xml:space="preserve">  </w:t>
      </w:r>
      <w:r>
        <w:rPr>
          <w:spacing w:val="-14"/>
        </w:rPr>
        <w:t>社</w:t>
      </w:r>
    </w:p>
    <w:p>
      <w:pPr>
        <w:spacing w:line="14" w:lineRule="auto"/>
        <w:rPr>
          <w:rFonts w:ascii="Arial"/>
          <w:sz w:val="2"/>
        </w:rPr>
      </w:pPr>
      <w:r>
        <w:rPr>
          <w:rFonts w:ascii="Arial" w:eastAsia="Arial" w:hAnsi="Arial" w:cs="Arial"/>
          <w:sz w:val="2"/>
          <w:szCs w:val="2"/>
        </w:rPr>
        <w:br w:type="column"/>
      </w:r>
    </w:p>
    <w:p>
      <w:pPr>
        <w:spacing w:line="14" w:lineRule="auto"/>
        <w:rPr>
          <w:rFonts w:ascii="Arial"/>
          <w:sz w:val="2"/>
        </w:rPr>
      </w:pPr>
      <w:r>
        <w:rPr>
          <w:rFonts w:ascii="Arial" w:eastAsia="Arial" w:hAnsi="Arial" w:cs="Arial"/>
          <w:sz w:val="2"/>
          <w:szCs w:val="2"/>
        </w:rPr>
        <w:br w:type="column"/>
      </w:r>
    </w:p>
    <w:p>
      <w:pPr>
        <w:spacing w:line="14" w:lineRule="auto"/>
        <w:rPr>
          <w:rFonts w:ascii="Arial" w:eastAsia="Arial" w:hAnsi="Arial" w:cs="Arial"/>
          <w:sz w:val="2"/>
          <w:szCs w:val="2"/>
        </w:rPr>
        <w:sectPr>
          <w:type w:val="continuous"/>
          <w:pgSz w:w="12190" w:h="17230"/>
          <w:pgMar w:top="790" w:right="999" w:bottom="0" w:left="1539" w:header="0" w:footer="0" w:gutter="0"/>
          <w:pgNumType w:start="5"/>
          <w:cols w:num="3" w:space="708" w:equalWidth="0">
            <w:col w:w="6081" w:space="100"/>
            <w:col w:w="720" w:space="0"/>
            <w:col w:w="27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 T  4648—2024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761106929"/>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9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pacing w:val="-8"/>
              <w:w w:val="85"/>
              <w:sz w:val="20"/>
              <w:szCs w:val="20"/>
            </w:rPr>
            <w:t>Ⅲ</w:t>
          </w:r>
        </w:p>
        <w:p>
          <w:pPr>
            <w:tabs>
              <w:tab w:val="right" w:leader="dot" w:pos="9305"/>
            </w:tabs>
            <w:spacing w:before="120" w:line="220"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范围</w:t>
          </w:r>
          <w:r>
            <w:rPr>
              <w:rFonts w:ascii="SimSun" w:eastAsia="SimSun" w:hAnsi="SimSun" w:cs="SimSun"/>
              <w:spacing w:val="50"/>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pacing w:val="-21"/>
                <w:sz w:val="20"/>
                <w:szCs w:val="20"/>
              </w:rPr>
              <w:t>1</w:t>
            </w:r>
          </w:hyperlink>
        </w:p>
        <w:p>
          <w:pPr>
            <w:tabs>
              <w:tab w:val="right" w:leader="dot" w:pos="9295"/>
            </w:tabs>
            <w:spacing w:before="121"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规范性引用文件</w:t>
          </w:r>
          <w:r>
            <w:rPr>
              <w:rFonts w:ascii="SimSun" w:eastAsia="SimSun" w:hAnsi="SimSun" w:cs="SimSun"/>
              <w:spacing w:val="43"/>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pacing w:val="-16"/>
                <w:sz w:val="20"/>
                <w:szCs w:val="20"/>
              </w:rPr>
              <w:t>1</w:t>
            </w:r>
          </w:hyperlink>
        </w:p>
        <w:p>
          <w:pPr>
            <w:tabs>
              <w:tab w:val="right" w:leader="dot" w:pos="928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术语和定义</w:t>
          </w:r>
          <w:r>
            <w:rPr>
              <w:rFonts w:ascii="SimSun" w:eastAsia="SimSun" w:hAnsi="SimSun" w:cs="SimSun"/>
              <w:spacing w:val="45"/>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295"/>
            </w:tabs>
            <w:spacing w:before="152"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14"/>
              <w:w w:val="101"/>
              <w:sz w:val="20"/>
              <w:szCs w:val="20"/>
            </w:rPr>
            <w:t xml:space="preserve">   </w:t>
          </w:r>
          <w:r>
            <w:rPr>
              <w:rFonts w:ascii="SimSun" w:eastAsia="SimSun" w:hAnsi="SimSun" w:cs="SimSun"/>
              <w:spacing w:val="6"/>
              <w:sz w:val="20"/>
              <w:szCs w:val="20"/>
            </w:rPr>
            <w:t>基本规定</w:t>
          </w:r>
          <w:r>
            <w:rPr>
              <w:rFonts w:ascii="SimSun" w:eastAsia="SimSun" w:hAnsi="SimSun" w:cs="SimSun"/>
              <w:spacing w:val="45"/>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90"/>
            </w:tabs>
            <w:spacing w:before="104"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5</w:t>
          </w:r>
          <w:r>
            <w:rPr>
              <w:rFonts w:ascii="Times New Roman" w:eastAsia="Times New Roman" w:hAnsi="Times New Roman" w:cs="Times New Roman"/>
              <w:spacing w:val="16"/>
              <w:w w:val="101"/>
              <w:sz w:val="20"/>
              <w:szCs w:val="20"/>
            </w:rPr>
            <w:t xml:space="preserve">   </w:t>
          </w:r>
          <w:r>
            <w:rPr>
              <w:rFonts w:ascii="SimSun" w:eastAsia="SimSun" w:hAnsi="SimSun" w:cs="SimSun"/>
              <w:spacing w:val="5"/>
              <w:sz w:val="20"/>
              <w:szCs w:val="20"/>
            </w:rPr>
            <w:t>检查</w:t>
          </w:r>
          <w:r>
            <w:rPr>
              <w:rFonts w:ascii="SimSun" w:eastAsia="SimSun" w:hAnsi="SimSun" w:cs="SimSun"/>
              <w:spacing w:val="64"/>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z w:val="20"/>
                <w:szCs w:val="20"/>
              </w:rPr>
              <w:t>3</w:t>
            </w:r>
          </w:hyperlink>
        </w:p>
        <w:p>
          <w:pPr>
            <w:tabs>
              <w:tab w:val="right" w:leader="dot" w:pos="9285"/>
            </w:tabs>
            <w:spacing w:before="143" w:line="220"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6</w:t>
          </w:r>
          <w:r>
            <w:rPr>
              <w:rFonts w:ascii="Times New Roman" w:eastAsia="Times New Roman" w:hAnsi="Times New Roman" w:cs="Times New Roman"/>
              <w:spacing w:val="4"/>
              <w:sz w:val="20"/>
              <w:szCs w:val="20"/>
            </w:rPr>
            <w:t xml:space="preserve">    </w:t>
          </w:r>
          <w:r>
            <w:rPr>
              <w:rFonts w:ascii="SimSun" w:eastAsia="SimSun" w:hAnsi="SimSun" w:cs="SimSun"/>
              <w:spacing w:val="7"/>
              <w:sz w:val="20"/>
              <w:szCs w:val="20"/>
            </w:rPr>
            <w:t>评定</w:t>
          </w:r>
          <w:r>
            <w:rPr>
              <w:rFonts w:ascii="SimSun" w:eastAsia="SimSun" w:hAnsi="SimSun" w:cs="SimSun"/>
              <w:spacing w:val="72"/>
              <w:sz w:val="20"/>
              <w:szCs w:val="20"/>
            </w:rPr>
            <w:t xml:space="preserve"> </w:t>
          </w:r>
          <w:r>
            <w:rPr>
              <w:rFonts w:ascii="SimSun" w:eastAsia="SimSun" w:hAnsi="SimSun" w:cs="SimSun"/>
              <w:sz w:val="20"/>
              <w:szCs w:val="20"/>
            </w:rPr>
            <w:tab/>
          </w:r>
          <w:hyperlink w:anchor="bookmark6" w:history="1">
            <w:r>
              <w:rPr>
                <w:rFonts w:ascii="Times New Roman" w:eastAsia="Times New Roman" w:hAnsi="Times New Roman" w:cs="Times New Roman"/>
                <w:spacing w:val="4"/>
                <w:sz w:val="20"/>
                <w:szCs w:val="20"/>
              </w:rPr>
              <w:t>4</w:t>
            </w:r>
          </w:hyperlink>
        </w:p>
        <w:p>
          <w:pPr>
            <w:tabs>
              <w:tab w:val="right" w:leader="dot" w:pos="9280"/>
            </w:tabs>
            <w:spacing w:before="145" w:line="224" w:lineRule="auto"/>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13"/>
              <w:sz w:val="20"/>
              <w:szCs w:val="20"/>
            </w:rPr>
            <w:t xml:space="preserve">   </w:t>
          </w:r>
          <w:r>
            <w:rPr>
              <w:rFonts w:ascii="SimSun" w:eastAsia="SimSun" w:hAnsi="SimSun" w:cs="SimSun"/>
              <w:spacing w:val="3"/>
              <w:sz w:val="20"/>
              <w:szCs w:val="20"/>
            </w:rPr>
            <w:t>处治</w:t>
          </w:r>
          <w:r>
            <w:rPr>
              <w:rFonts w:ascii="SimSun" w:eastAsia="SimSun" w:hAnsi="SimSun" w:cs="SimSun"/>
              <w:spacing w:val="61"/>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z w:val="20"/>
                <w:szCs w:val="20"/>
              </w:rPr>
              <w:t>5</w:t>
            </w:r>
          </w:hyperlink>
        </w:p>
        <w:p>
          <w:pPr>
            <w:tabs>
              <w:tab w:val="right" w:leader="dot" w:pos="9297"/>
            </w:tabs>
            <w:spacing w:before="102" w:line="219" w:lineRule="auto"/>
            <w:rPr>
              <w:rFonts w:ascii="Times New Roman" w:eastAsia="Times New Roman" w:hAnsi="Times New Roman" w:cs="Times New Roman"/>
              <w:sz w:val="20"/>
              <w:szCs w:val="20"/>
            </w:rPr>
          </w:pPr>
          <w:r>
            <w:rPr>
              <w:rFonts w:ascii="SimSun" w:eastAsia="SimSun" w:hAnsi="SimSun" w:cs="SimSun"/>
              <w:spacing w:val="9"/>
              <w:sz w:val="20"/>
              <w:szCs w:val="20"/>
            </w:rPr>
            <w:t>附录</w:t>
          </w:r>
          <w:r>
            <w:rPr>
              <w:rFonts w:ascii="Times New Roman" w:eastAsia="Times New Roman" w:hAnsi="Times New Roman" w:cs="Times New Roman"/>
              <w:spacing w:val="9"/>
              <w:sz w:val="20"/>
              <w:szCs w:val="20"/>
            </w:rPr>
            <w:t>A</w:t>
          </w:r>
          <w:r>
            <w:rPr>
              <w:rFonts w:ascii="Times New Roman" w:eastAsia="Times New Roman" w:hAnsi="Times New Roman" w:cs="Times New Roman"/>
              <w:spacing w:val="48"/>
              <w:w w:val="101"/>
              <w:sz w:val="20"/>
              <w:szCs w:val="20"/>
            </w:rPr>
            <w:t xml:space="preserve"> </w:t>
          </w:r>
          <w:r>
            <w:rPr>
              <w:rFonts w:ascii="SimSun" w:eastAsia="SimSun" w:hAnsi="SimSun" w:cs="SimSun"/>
              <w:spacing w:val="9"/>
              <w:sz w:val="20"/>
              <w:szCs w:val="20"/>
            </w:rPr>
            <w:t>(资料性)</w:t>
          </w:r>
          <w:r>
            <w:rPr>
              <w:rFonts w:ascii="SimSun" w:eastAsia="SimSun" w:hAnsi="SimSun" w:cs="SimSun"/>
              <w:spacing w:val="40"/>
              <w:sz w:val="20"/>
              <w:szCs w:val="20"/>
            </w:rPr>
            <w:t xml:space="preserve"> </w:t>
          </w:r>
          <w:r>
            <w:rPr>
              <w:rFonts w:ascii="SimSun" w:eastAsia="SimSun" w:hAnsi="SimSun" w:cs="SimSun"/>
              <w:spacing w:val="9"/>
              <w:sz w:val="20"/>
              <w:szCs w:val="20"/>
            </w:rPr>
            <w:t>病害重点部位分布图例</w:t>
          </w:r>
          <w:r>
            <w:rPr>
              <w:rFonts w:ascii="SimSun" w:eastAsia="SimSun" w:hAnsi="SimSun" w:cs="SimSun"/>
              <w:spacing w:val="-86"/>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8" w:history="1">
            <w:r>
              <w:rPr>
                <w:rFonts w:ascii="Times New Roman" w:eastAsia="Times New Roman" w:hAnsi="Times New Roman" w:cs="Times New Roman"/>
                <w:spacing w:val="-13"/>
                <w:sz w:val="20"/>
                <w:szCs w:val="20"/>
              </w:rPr>
              <w:t>8</w:t>
            </w:r>
          </w:hyperlink>
        </w:p>
        <w:p>
          <w:pPr>
            <w:tabs>
              <w:tab w:val="right" w:leader="dot" w:pos="9295"/>
            </w:tabs>
            <w:spacing w:before="133" w:line="219"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B</w:t>
          </w:r>
          <w:r>
            <w:rPr>
              <w:rFonts w:ascii="Times New Roman" w:eastAsia="Times New Roman" w:hAnsi="Times New Roman" w:cs="Times New Roman"/>
              <w:spacing w:val="37"/>
              <w:w w:val="101"/>
              <w:sz w:val="20"/>
              <w:szCs w:val="20"/>
            </w:rPr>
            <w:t xml:space="preserve"> </w:t>
          </w:r>
          <w:r>
            <w:rPr>
              <w:rFonts w:ascii="SimSun" w:eastAsia="SimSun" w:hAnsi="SimSun" w:cs="SimSun"/>
              <w:spacing w:val="10"/>
              <w:sz w:val="20"/>
              <w:szCs w:val="20"/>
            </w:rPr>
            <w:t>(资料性)</w:t>
          </w:r>
          <w:r>
            <w:rPr>
              <w:rFonts w:ascii="SimSun" w:eastAsia="SimSun" w:hAnsi="SimSun" w:cs="SimSun"/>
              <w:spacing w:val="47"/>
              <w:sz w:val="20"/>
              <w:szCs w:val="20"/>
            </w:rPr>
            <w:t xml:space="preserve"> </w:t>
          </w:r>
          <w:r>
            <w:rPr>
              <w:rFonts w:ascii="SimSun" w:eastAsia="SimSun" w:hAnsi="SimSun" w:cs="SimSun"/>
              <w:spacing w:val="10"/>
              <w:sz w:val="20"/>
              <w:szCs w:val="20"/>
            </w:rPr>
            <w:t>病害编码规则</w:t>
          </w:r>
          <w:r>
            <w:rPr>
              <w:rFonts w:ascii="SimSun" w:eastAsia="SimSun" w:hAnsi="SimSun" w:cs="SimSun"/>
              <w:spacing w:val="51"/>
              <w:sz w:val="20"/>
              <w:szCs w:val="20"/>
            </w:rPr>
            <w:t xml:space="preserve"> </w:t>
          </w:r>
          <w:r>
            <w:rPr>
              <w:rFonts w:ascii="SimSun" w:eastAsia="SimSun" w:hAnsi="SimSun" w:cs="SimSun"/>
              <w:sz w:val="20"/>
              <w:szCs w:val="20"/>
            </w:rPr>
            <w:tab/>
          </w:r>
          <w:r>
            <w:rPr>
              <w:rFonts w:ascii="SimSun" w:eastAsia="SimSun" w:hAnsi="SimSun" w:cs="SimSun"/>
              <w:spacing w:val="-17"/>
              <w:sz w:val="20"/>
              <w:szCs w:val="20"/>
            </w:rPr>
            <w:t xml:space="preserve"> </w:t>
          </w:r>
          <w:hyperlink w:anchor="bookmark9" w:history="1">
            <w:r>
              <w:rPr>
                <w:rFonts w:ascii="Times New Roman" w:eastAsia="Times New Roman" w:hAnsi="Times New Roman" w:cs="Times New Roman"/>
                <w:spacing w:val="-12"/>
                <w:sz w:val="20"/>
                <w:szCs w:val="20"/>
              </w:rPr>
              <w:t>11</w:t>
            </w:r>
          </w:hyperlink>
        </w:p>
        <w:p>
          <w:pPr>
            <w:tabs>
              <w:tab w:val="right" w:leader="dot" w:pos="9275"/>
            </w:tabs>
            <w:spacing w:before="123" w:line="219"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C</w:t>
          </w:r>
          <w:r>
            <w:rPr>
              <w:rFonts w:ascii="Times New Roman" w:eastAsia="Times New Roman" w:hAnsi="Times New Roman" w:cs="Times New Roman"/>
              <w:spacing w:val="40"/>
              <w:sz w:val="20"/>
              <w:szCs w:val="20"/>
            </w:rPr>
            <w:t xml:space="preserve"> </w:t>
          </w:r>
          <w:r>
            <w:rPr>
              <w:rFonts w:ascii="SimSun" w:eastAsia="SimSun" w:hAnsi="SimSun" w:cs="SimSun"/>
              <w:spacing w:val="10"/>
              <w:sz w:val="20"/>
              <w:szCs w:val="20"/>
            </w:rPr>
            <w:t>(规范性)</w:t>
          </w:r>
          <w:r>
            <w:rPr>
              <w:rFonts w:ascii="SimSun" w:eastAsia="SimSun" w:hAnsi="SimSun" w:cs="SimSun"/>
              <w:spacing w:val="46"/>
              <w:sz w:val="20"/>
              <w:szCs w:val="20"/>
            </w:rPr>
            <w:t xml:space="preserve"> </w:t>
          </w:r>
          <w:r>
            <w:rPr>
              <w:rFonts w:ascii="SimSun" w:eastAsia="SimSun" w:hAnsi="SimSun" w:cs="SimSun"/>
              <w:spacing w:val="10"/>
              <w:sz w:val="20"/>
              <w:szCs w:val="20"/>
            </w:rPr>
            <w:t>病害检查记录表</w:t>
          </w:r>
          <w:r>
            <w:rPr>
              <w:rFonts w:ascii="SimSun" w:eastAsia="SimSun" w:hAnsi="SimSun" w:cs="SimSun"/>
              <w:spacing w:val="49"/>
              <w:sz w:val="20"/>
              <w:szCs w:val="20"/>
            </w:rPr>
            <w:t xml:space="preserve"> </w:t>
          </w:r>
          <w:r>
            <w:rPr>
              <w:rFonts w:ascii="SimSun" w:eastAsia="SimSun" w:hAnsi="SimSun" w:cs="SimSun"/>
              <w:sz w:val="20"/>
              <w:szCs w:val="20"/>
            </w:rPr>
            <w:tab/>
          </w:r>
          <w:r>
            <w:rPr>
              <w:rFonts w:ascii="SimSun" w:eastAsia="SimSun" w:hAnsi="SimSun" w:cs="SimSun"/>
              <w:spacing w:val="-47"/>
              <w:sz w:val="20"/>
              <w:szCs w:val="20"/>
            </w:rPr>
            <w:t xml:space="preserve"> </w:t>
          </w:r>
          <w:hyperlink w:anchor="bookmark10" w:history="1">
            <w:r>
              <w:rPr>
                <w:rFonts w:ascii="Times New Roman" w:eastAsia="Times New Roman" w:hAnsi="Times New Roman" w:cs="Times New Roman"/>
                <w:spacing w:val="-6"/>
                <w:sz w:val="20"/>
                <w:szCs w:val="20"/>
              </w:rPr>
              <w:t>12</w:t>
            </w:r>
          </w:hyperlink>
        </w:p>
      </w:sdtContent>
    </w:sdt>
    <w:p>
      <w:pPr>
        <w:spacing w:line="219" w:lineRule="auto"/>
        <w:rPr>
          <w:rFonts w:ascii="Times New Roman" w:eastAsia="Times New Roman" w:hAnsi="Times New Roman" w:cs="Times New Roman"/>
          <w:sz w:val="20"/>
          <w:szCs w:val="20"/>
        </w:rPr>
        <w:sectPr>
          <w:footerReference w:type="default" r:id="rId7"/>
          <w:pgSz w:w="12190" w:h="17230"/>
          <w:pgMar w:top="1464" w:right="1321" w:bottom="1374" w:left="1559" w:header="0" w:footer="1196" w:gutter="0"/>
          <w:pgNumType w:start="6"/>
          <w:cols w:space="708"/>
        </w:sectPr>
      </w:pPr>
    </w:p>
    <w:p>
      <w:pPr>
        <w:spacing w:before="156" w:line="224" w:lineRule="auto"/>
        <w:ind w:left="7482"/>
        <w:rPr>
          <w:rFonts w:ascii="SimSun" w:eastAsia="SimSun" w:hAnsi="SimSun" w:cs="SimSun"/>
          <w:sz w:val="20"/>
          <w:szCs w:val="20"/>
        </w:rPr>
      </w:pPr>
      <w:r>
        <w:rPr>
          <w:rFonts w:ascii="SimSun" w:eastAsia="SimSun" w:hAnsi="SimSun" w:cs="SimSun"/>
          <w:b/>
          <w:bCs/>
          <w:spacing w:val="-2"/>
          <w:sz w:val="20"/>
          <w:szCs w:val="20"/>
        </w:rPr>
        <w:t>DB32/T</w:t>
      </w:r>
      <w:r>
        <w:rPr>
          <w:rFonts w:ascii="SimSun" w:eastAsia="SimSun" w:hAnsi="SimSun" w:cs="SimSun"/>
          <w:spacing w:val="-2"/>
          <w:sz w:val="20"/>
          <w:szCs w:val="20"/>
        </w:rPr>
        <w:t xml:space="preserve">  </w:t>
      </w:r>
      <w:r>
        <w:rPr>
          <w:rFonts w:ascii="SimSun" w:eastAsia="SimSun" w:hAnsi="SimSun" w:cs="SimSun"/>
          <w:b/>
          <w:bCs/>
          <w:spacing w:val="-2"/>
          <w:sz w:val="20"/>
          <w:szCs w:val="20"/>
        </w:rPr>
        <w:t>4648—2024</w:t>
      </w:r>
    </w:p>
    <w:p>
      <w:pPr>
        <w:spacing w:line="352" w:lineRule="auto"/>
        <w:rPr>
          <w:rFonts w:ascii="Arial"/>
          <w:sz w:val="21"/>
        </w:rPr>
      </w:pPr>
    </w:p>
    <w:p>
      <w:pPr>
        <w:spacing w:line="353" w:lineRule="auto"/>
        <w:rPr>
          <w:rFonts w:ascii="Arial"/>
          <w:sz w:val="21"/>
        </w:rPr>
      </w:pPr>
    </w:p>
    <w:p>
      <w:pPr>
        <w:pStyle w:val="BodyText"/>
        <w:spacing w:before="94" w:line="222" w:lineRule="auto"/>
        <w:ind w:left="4024"/>
        <w:rPr>
          <w:sz w:val="29"/>
          <w:szCs w:val="29"/>
        </w:rPr>
      </w:pPr>
      <w:bookmarkStart w:id="1" w:name="bookmark5"/>
      <w:bookmarkEnd w:id="1"/>
      <w:r>
        <w:rPr>
          <w:b/>
          <w:bCs/>
          <w:spacing w:val="-9"/>
          <w:sz w:val="29"/>
          <w:szCs w:val="29"/>
        </w:rPr>
        <w:t>前</w:t>
      </w:r>
      <w:r>
        <w:rPr>
          <w:spacing w:val="22"/>
          <w:sz w:val="29"/>
          <w:szCs w:val="29"/>
        </w:rPr>
        <w:t xml:space="preserve">    </w:t>
      </w:r>
      <w:r>
        <w:rPr>
          <w:b/>
          <w:bCs/>
          <w:spacing w:val="-9"/>
          <w:sz w:val="29"/>
          <w:szCs w:val="29"/>
        </w:rPr>
        <w:t>言</w:t>
      </w:r>
    </w:p>
    <w:p>
      <w:pPr>
        <w:spacing w:line="310" w:lineRule="auto"/>
        <w:rPr>
          <w:rFonts w:ascii="Arial"/>
          <w:sz w:val="21"/>
        </w:rPr>
      </w:pPr>
    </w:p>
    <w:p>
      <w:pPr>
        <w:spacing w:line="311" w:lineRule="auto"/>
        <w:rPr>
          <w:rFonts w:ascii="Arial"/>
          <w:sz w:val="21"/>
        </w:rPr>
      </w:pPr>
    </w:p>
    <w:p>
      <w:pPr>
        <w:spacing w:before="65" w:line="258" w:lineRule="auto"/>
        <w:ind w:right="86" w:firstLine="420"/>
        <w:rPr>
          <w:rFonts w:ascii="SimSun" w:eastAsia="SimSun" w:hAnsi="SimSun" w:cs="SimSun"/>
          <w:sz w:val="20"/>
          <w:szCs w:val="20"/>
        </w:rPr>
      </w:pPr>
      <w:r>
        <w:rPr>
          <w:rFonts w:ascii="SimSun" w:eastAsia="SimSun" w:hAnsi="SimSun" w:cs="SimSun"/>
          <w:spacing w:val="6"/>
          <w:sz w:val="20"/>
          <w:szCs w:val="20"/>
        </w:rPr>
        <w:t>本文件按照</w:t>
      </w:r>
      <w:r>
        <w:rPr>
          <w:rFonts w:ascii="SimSun" w:eastAsia="SimSun" w:hAnsi="SimSun" w:cs="SimSun"/>
          <w:spacing w:val="-56"/>
          <w:sz w:val="20"/>
          <w:szCs w:val="20"/>
        </w:rPr>
        <w:t xml:space="preserve"> </w:t>
      </w:r>
      <w:r>
        <w:rPr>
          <w:rFonts w:ascii="SimSun" w:eastAsia="SimSun" w:hAnsi="SimSun" w:cs="SimSun"/>
          <w:sz w:val="20"/>
          <w:szCs w:val="20"/>
        </w:rPr>
        <w:t>GB</w:t>
      </w:r>
      <w:r>
        <w:rPr>
          <w:rFonts w:ascii="SimSun" w:eastAsia="SimSun" w:hAnsi="SimSun" w:cs="SimSun"/>
          <w:spacing w:val="6"/>
          <w:sz w:val="20"/>
          <w:szCs w:val="20"/>
        </w:rPr>
        <w:t>/T1.1—2020《</w:t>
      </w:r>
      <w:r>
        <w:rPr>
          <w:rFonts w:ascii="SimSun" w:eastAsia="SimSun" w:hAnsi="SimSun" w:cs="SimSun"/>
          <w:spacing w:val="55"/>
          <w:sz w:val="20"/>
          <w:szCs w:val="20"/>
        </w:rPr>
        <w:t xml:space="preserve"> </w:t>
      </w:r>
      <w:r>
        <w:rPr>
          <w:rFonts w:ascii="SimSun" w:eastAsia="SimSun" w:hAnsi="SimSun" w:cs="SimSun"/>
          <w:spacing w:val="6"/>
          <w:sz w:val="20"/>
          <w:szCs w:val="20"/>
        </w:rPr>
        <w:t>标准化工作导则  第1部分：标准化文件的结构</w:t>
      </w:r>
      <w:r>
        <w:rPr>
          <w:rFonts w:ascii="SimSun" w:eastAsia="SimSun" w:hAnsi="SimSun" w:cs="SimSun"/>
          <w:spacing w:val="5"/>
          <w:sz w:val="20"/>
          <w:szCs w:val="20"/>
        </w:rPr>
        <w:t>和起草规则》的规定</w:t>
      </w:r>
      <w:r>
        <w:rPr>
          <w:rFonts w:ascii="SimSun" w:eastAsia="SimSun" w:hAnsi="SimSun" w:cs="SimSun"/>
          <w:sz w:val="20"/>
          <w:szCs w:val="20"/>
        </w:rPr>
        <w:t xml:space="preserve"> </w:t>
      </w:r>
      <w:r>
        <w:rPr>
          <w:rFonts w:ascii="SimSun" w:eastAsia="SimSun" w:hAnsi="SimSun" w:cs="SimSun"/>
          <w:spacing w:val="-3"/>
          <w:sz w:val="20"/>
          <w:szCs w:val="20"/>
        </w:rPr>
        <w:t>起草。</w:t>
      </w:r>
    </w:p>
    <w:p>
      <w:pPr>
        <w:spacing w:before="61" w:line="219" w:lineRule="auto"/>
        <w:ind w:left="420"/>
        <w:rPr>
          <w:rFonts w:ascii="SimSun" w:eastAsia="SimSun" w:hAnsi="SimSun" w:cs="SimSun"/>
          <w:sz w:val="20"/>
          <w:szCs w:val="20"/>
        </w:rPr>
      </w:pPr>
      <w:r>
        <w:rPr>
          <w:rFonts w:ascii="SimSun" w:eastAsia="SimSun" w:hAnsi="SimSun" w:cs="SimSun"/>
          <w:spacing w:val="8"/>
          <w:sz w:val="20"/>
          <w:szCs w:val="20"/>
        </w:rPr>
        <w:t>请注意本文件的某些内容可能涉及专利。本文件的发布机构不承担识</w:t>
      </w:r>
      <w:r>
        <w:rPr>
          <w:rFonts w:ascii="SimSun" w:eastAsia="SimSun" w:hAnsi="SimSun" w:cs="SimSun"/>
          <w:spacing w:val="7"/>
          <w:sz w:val="20"/>
          <w:szCs w:val="20"/>
        </w:rPr>
        <w:t>别专利的责任。</w:t>
      </w:r>
    </w:p>
    <w:p>
      <w:pPr>
        <w:spacing w:before="92" w:line="219" w:lineRule="auto"/>
        <w:ind w:left="420"/>
        <w:rPr>
          <w:rFonts w:ascii="SimSun" w:eastAsia="SimSun" w:hAnsi="SimSun" w:cs="SimSun"/>
          <w:sz w:val="20"/>
          <w:szCs w:val="20"/>
        </w:rPr>
      </w:pPr>
      <w:r>
        <w:rPr>
          <w:rFonts w:ascii="SimSun" w:eastAsia="SimSun" w:hAnsi="SimSun" w:cs="SimSun"/>
          <w:spacing w:val="4"/>
          <w:sz w:val="20"/>
          <w:szCs w:val="20"/>
        </w:rPr>
        <w:t>本文件由江苏省交通运输厅提出并归口。</w:t>
      </w:r>
    </w:p>
    <w:p>
      <w:pPr>
        <w:spacing w:before="43" w:line="276" w:lineRule="auto"/>
        <w:ind w:right="109" w:firstLine="420"/>
        <w:rPr>
          <w:rFonts w:ascii="SimSun" w:eastAsia="SimSun" w:hAnsi="SimSun" w:cs="SimSun"/>
          <w:sz w:val="20"/>
          <w:szCs w:val="20"/>
        </w:rPr>
      </w:pPr>
      <w:r>
        <w:rPr>
          <w:rFonts w:ascii="SimSun" w:eastAsia="SimSun" w:hAnsi="SimSun" w:cs="SimSun"/>
          <w:spacing w:val="1"/>
          <w:sz w:val="20"/>
          <w:szCs w:val="20"/>
        </w:rPr>
        <w:t>本文件起草单位：河海大学、江苏宁沪高速公路股份有限公司、江苏现代路桥有限责任公司、江苏高</w:t>
      </w:r>
      <w:r>
        <w:rPr>
          <w:rFonts w:ascii="SimSun" w:eastAsia="SimSun" w:hAnsi="SimSun" w:cs="SimSun"/>
          <w:spacing w:val="3"/>
          <w:sz w:val="20"/>
          <w:szCs w:val="20"/>
        </w:rPr>
        <w:t xml:space="preserve"> </w:t>
      </w:r>
      <w:r>
        <w:rPr>
          <w:rFonts w:ascii="SimSun" w:eastAsia="SimSun" w:hAnsi="SimSun" w:cs="SimSun"/>
          <w:spacing w:val="2"/>
          <w:sz w:val="20"/>
          <w:szCs w:val="20"/>
        </w:rPr>
        <w:t>速公路工程养护有限公司、中铁宝桥(扬州)有限</w:t>
      </w:r>
      <w:r>
        <w:rPr>
          <w:rFonts w:ascii="SimSun" w:eastAsia="SimSun" w:hAnsi="SimSun" w:cs="SimSun"/>
          <w:spacing w:val="1"/>
          <w:sz w:val="20"/>
          <w:szCs w:val="20"/>
        </w:rPr>
        <w:t>公司、江苏华通工程技术有限公司、江苏现代工程检测有</w:t>
      </w:r>
      <w:r>
        <w:rPr>
          <w:rFonts w:ascii="SimSun" w:eastAsia="SimSun" w:hAnsi="SimSun" w:cs="SimSun"/>
          <w:sz w:val="20"/>
          <w:szCs w:val="20"/>
        </w:rPr>
        <w:t xml:space="preserve"> </w:t>
      </w:r>
      <w:r>
        <w:rPr>
          <w:rFonts w:ascii="SimSun" w:eastAsia="SimSun" w:hAnsi="SimSun" w:cs="SimSun"/>
          <w:spacing w:val="1"/>
          <w:sz w:val="20"/>
          <w:szCs w:val="20"/>
        </w:rPr>
        <w:t>限公司、宁波市杭州湾大桥发展有限公司。</w:t>
      </w:r>
    </w:p>
    <w:p>
      <w:pPr>
        <w:spacing w:before="64" w:line="266" w:lineRule="auto"/>
        <w:ind w:firstLine="420"/>
        <w:rPr>
          <w:rFonts w:ascii="SimSun" w:eastAsia="SimSun" w:hAnsi="SimSun" w:cs="SimSun"/>
          <w:sz w:val="20"/>
          <w:szCs w:val="20"/>
        </w:rPr>
      </w:pPr>
      <w:r>
        <w:rPr>
          <w:rFonts w:ascii="SimSun" w:eastAsia="SimSun" w:hAnsi="SimSun" w:cs="SimSun"/>
          <w:spacing w:val="-9"/>
          <w:sz w:val="20"/>
          <w:szCs w:val="20"/>
        </w:rPr>
        <w:t>本文件主要起草人：吉伯海、茅荃、汪锋、孟令国、王革、刘红</w:t>
      </w:r>
      <w:r>
        <w:rPr>
          <w:rFonts w:ascii="SimSun" w:eastAsia="SimSun" w:hAnsi="SimSun" w:cs="SimSun"/>
          <w:spacing w:val="-10"/>
          <w:sz w:val="20"/>
          <w:szCs w:val="20"/>
        </w:rPr>
        <w:t>涛、傅中秋、胡健、肖龙、杨勇、王延明、</w:t>
      </w:r>
      <w:r>
        <w:rPr>
          <w:rFonts w:ascii="SimSun" w:eastAsia="SimSun" w:hAnsi="SimSun" w:cs="SimSun"/>
          <w:sz w:val="20"/>
          <w:szCs w:val="20"/>
        </w:rPr>
        <w:t xml:space="preserve"> </w:t>
      </w:r>
      <w:r>
        <w:rPr>
          <w:rFonts w:ascii="SimSun" w:eastAsia="SimSun" w:hAnsi="SimSun" w:cs="SimSun"/>
          <w:spacing w:val="-18"/>
          <w:sz w:val="20"/>
          <w:szCs w:val="20"/>
        </w:rPr>
        <w:t>邢晓桢、姚悦、卞思雨、汤啸天、赵跃、孙蕾蕾、章世祥、杨健、袁周致远、葛腾。</w:t>
      </w:r>
    </w:p>
    <w:p>
      <w:pPr>
        <w:spacing w:line="266" w:lineRule="auto"/>
        <w:rPr>
          <w:rFonts w:ascii="SimSun" w:eastAsia="SimSun" w:hAnsi="SimSun" w:cs="SimSun"/>
          <w:sz w:val="20"/>
          <w:szCs w:val="20"/>
        </w:rPr>
        <w:sectPr>
          <w:footerReference w:type="default" r:id="rId8"/>
          <w:pgSz w:w="12190" w:h="17230"/>
          <w:pgMar w:top="1464" w:right="1230" w:bottom="1353" w:left="1579" w:header="0" w:footer="1188" w:gutter="0"/>
          <w:pgNumType w:start="7"/>
          <w:cols w:space="708"/>
        </w:sectPr>
      </w:pPr>
    </w:p>
    <w:p>
      <w:pPr>
        <w:spacing w:before="166" w:line="224" w:lineRule="auto"/>
        <w:jc w:val="right"/>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4648—2024</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94" w:line="221" w:lineRule="auto"/>
        <w:ind w:left="2954"/>
        <w:rPr>
          <w:sz w:val="29"/>
          <w:szCs w:val="29"/>
        </w:rPr>
      </w:pPr>
      <w:bookmarkStart w:id="2" w:name="bookmark6"/>
      <w:bookmarkEnd w:id="2"/>
      <w:r>
        <w:rPr>
          <w:b/>
          <w:bCs/>
          <w:spacing w:val="19"/>
          <w:sz w:val="29"/>
          <w:szCs w:val="29"/>
        </w:rPr>
        <w:t>公路钢梁桥养护技术规范</w:t>
      </w:r>
    </w:p>
    <w:p>
      <w:pPr>
        <w:spacing w:line="279" w:lineRule="auto"/>
        <w:rPr>
          <w:rFonts w:ascii="Arial"/>
          <w:sz w:val="21"/>
        </w:rPr>
      </w:pPr>
    </w:p>
    <w:p>
      <w:pPr>
        <w:spacing w:line="279" w:lineRule="auto"/>
        <w:rPr>
          <w:rFonts w:ascii="Arial"/>
          <w:sz w:val="21"/>
        </w:rPr>
      </w:pPr>
    </w:p>
    <w:p>
      <w:pPr>
        <w:pStyle w:val="BodyText"/>
        <w:spacing w:before="61" w:line="223" w:lineRule="auto"/>
        <w:ind w:left="2"/>
        <w:rPr>
          <w:sz w:val="19"/>
          <w:szCs w:val="19"/>
        </w:rPr>
      </w:pPr>
      <w:r>
        <w:rPr>
          <w:b/>
          <w:bCs/>
          <w:spacing w:val="-10"/>
          <w:sz w:val="19"/>
          <w:szCs w:val="19"/>
        </w:rPr>
        <w:t>1</w:t>
      </w:r>
      <w:r>
        <w:rPr>
          <w:spacing w:val="16"/>
          <w:sz w:val="19"/>
          <w:szCs w:val="19"/>
        </w:rPr>
        <w:t xml:space="preserve">  </w:t>
      </w:r>
      <w:r>
        <w:rPr>
          <w:b/>
          <w:bCs/>
          <w:spacing w:val="-10"/>
          <w:sz w:val="19"/>
          <w:szCs w:val="19"/>
        </w:rPr>
        <w:t>范围</w:t>
      </w:r>
    </w:p>
    <w:p>
      <w:pPr>
        <w:spacing w:line="258" w:lineRule="auto"/>
        <w:rPr>
          <w:rFonts w:ascii="Arial"/>
          <w:sz w:val="21"/>
        </w:rPr>
      </w:pPr>
    </w:p>
    <w:p>
      <w:pPr>
        <w:spacing w:before="61" w:line="219" w:lineRule="auto"/>
        <w:ind w:left="430"/>
        <w:rPr>
          <w:rFonts w:ascii="SimSun" w:eastAsia="SimSun" w:hAnsi="SimSun" w:cs="SimSun"/>
          <w:sz w:val="19"/>
          <w:szCs w:val="19"/>
        </w:rPr>
      </w:pPr>
      <w:r>
        <w:rPr>
          <w:rFonts w:ascii="SimSun" w:eastAsia="SimSun" w:hAnsi="SimSun" w:cs="SimSun"/>
          <w:spacing w:val="9"/>
          <w:sz w:val="19"/>
          <w:szCs w:val="19"/>
        </w:rPr>
        <w:t>本文件规定了公路钢梁桥养护技术的基本规定、检查、评定与处治。</w:t>
      </w:r>
    </w:p>
    <w:p>
      <w:pPr>
        <w:spacing w:before="124" w:line="219" w:lineRule="auto"/>
        <w:ind w:left="430"/>
        <w:rPr>
          <w:rFonts w:ascii="SimSun" w:eastAsia="SimSun" w:hAnsi="SimSun" w:cs="SimSun"/>
          <w:sz w:val="19"/>
          <w:szCs w:val="19"/>
        </w:rPr>
      </w:pPr>
      <w:r>
        <w:rPr>
          <w:rFonts w:ascii="SimSun" w:eastAsia="SimSun" w:hAnsi="SimSun" w:cs="SimSun"/>
          <w:spacing w:val="12"/>
          <w:sz w:val="19"/>
          <w:szCs w:val="19"/>
        </w:rPr>
        <w:t>本文件适用于钢板梁桥、钢桁梁桥、钢箱梁桥及其他类似桥梁钢主梁的养护工作。</w:t>
      </w:r>
    </w:p>
    <w:p>
      <w:pPr>
        <w:spacing w:line="318" w:lineRule="auto"/>
        <w:rPr>
          <w:rFonts w:ascii="Arial"/>
          <w:sz w:val="21"/>
        </w:rPr>
      </w:pPr>
    </w:p>
    <w:p>
      <w:pPr>
        <w:pStyle w:val="BodyText"/>
        <w:spacing w:before="62" w:line="222" w:lineRule="auto"/>
        <w:ind w:left="2"/>
        <w:rPr>
          <w:sz w:val="19"/>
          <w:szCs w:val="19"/>
        </w:rPr>
      </w:pPr>
      <w:r>
        <w:rPr>
          <w:b/>
          <w:bCs/>
          <w:spacing w:val="10"/>
          <w:sz w:val="19"/>
          <w:szCs w:val="19"/>
        </w:rPr>
        <w:t>2</w:t>
      </w:r>
      <w:r>
        <w:rPr>
          <w:spacing w:val="10"/>
          <w:sz w:val="19"/>
          <w:szCs w:val="19"/>
        </w:rPr>
        <w:t xml:space="preserve">  </w:t>
      </w:r>
      <w:r>
        <w:rPr>
          <w:b/>
          <w:bCs/>
          <w:spacing w:val="10"/>
          <w:sz w:val="19"/>
          <w:szCs w:val="19"/>
        </w:rPr>
        <w:t>规范性引用文件</w:t>
      </w:r>
    </w:p>
    <w:p>
      <w:pPr>
        <w:spacing w:line="281" w:lineRule="auto"/>
        <w:rPr>
          <w:rFonts w:ascii="Arial"/>
          <w:sz w:val="21"/>
        </w:rPr>
      </w:pPr>
    </w:p>
    <w:p>
      <w:pPr>
        <w:spacing w:before="62" w:line="287" w:lineRule="auto"/>
        <w:ind w:right="45" w:firstLine="430"/>
        <w:rPr>
          <w:rFonts w:ascii="SimSun" w:eastAsia="SimSun" w:hAnsi="SimSun" w:cs="SimSun"/>
          <w:sz w:val="19"/>
          <w:szCs w:val="19"/>
        </w:rPr>
      </w:pPr>
      <w:r>
        <w:rPr>
          <w:rFonts w:ascii="SimSun" w:eastAsia="SimSun" w:hAnsi="SimSun" w:cs="SimSun"/>
          <w:spacing w:val="19"/>
          <w:sz w:val="19"/>
          <w:szCs w:val="19"/>
        </w:rPr>
        <w:t>下列文件中的内容通过文中的规范性引用而构成本文件必不可少的条款。其中，注日期的引用文</w:t>
      </w:r>
      <w:r>
        <w:rPr>
          <w:rFonts w:ascii="SimSun" w:eastAsia="SimSun" w:hAnsi="SimSun" w:cs="SimSun"/>
          <w:spacing w:val="11"/>
          <w:sz w:val="19"/>
          <w:szCs w:val="19"/>
        </w:rPr>
        <w:t xml:space="preserve"> </w:t>
      </w:r>
      <w:r>
        <w:rPr>
          <w:rFonts w:ascii="SimSun" w:eastAsia="SimSun" w:hAnsi="SimSun" w:cs="SimSun"/>
          <w:spacing w:val="11"/>
          <w:sz w:val="19"/>
          <w:szCs w:val="19"/>
        </w:rPr>
        <w:t>件，仅该日期对应的版本适用于本文件；不注日期的引用文件，其最新版本(包括所有的修改单)适用于本</w:t>
      </w:r>
      <w:r>
        <w:rPr>
          <w:rFonts w:ascii="SimSun" w:eastAsia="SimSun" w:hAnsi="SimSun" w:cs="SimSun"/>
          <w:sz w:val="19"/>
          <w:szCs w:val="19"/>
        </w:rPr>
        <w:t xml:space="preserve"> </w:t>
      </w:r>
      <w:r>
        <w:rPr>
          <w:rFonts w:ascii="SimSun" w:eastAsia="SimSun" w:hAnsi="SimSun" w:cs="SimSun"/>
          <w:spacing w:val="-2"/>
          <w:sz w:val="19"/>
          <w:szCs w:val="19"/>
        </w:rPr>
        <w:t>文件。</w:t>
      </w:r>
    </w:p>
    <w:p>
      <w:pPr>
        <w:spacing w:before="64" w:line="219" w:lineRule="auto"/>
        <w:ind w:left="430"/>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13"/>
          <w:sz w:val="19"/>
          <w:szCs w:val="19"/>
        </w:rPr>
        <w:t>/T</w:t>
      </w:r>
      <w:r>
        <w:rPr>
          <w:rFonts w:ascii="SimSun" w:eastAsia="SimSun" w:hAnsi="SimSun" w:cs="SimSun"/>
          <w:spacing w:val="44"/>
          <w:sz w:val="19"/>
          <w:szCs w:val="19"/>
        </w:rPr>
        <w:t xml:space="preserve">  </w:t>
      </w:r>
      <w:r>
        <w:rPr>
          <w:rFonts w:ascii="SimSun" w:eastAsia="SimSun" w:hAnsi="SimSun" w:cs="SimSun"/>
          <w:spacing w:val="13"/>
          <w:sz w:val="19"/>
          <w:szCs w:val="19"/>
        </w:rPr>
        <w:t>8923(所有部分)</w:t>
      </w:r>
      <w:r>
        <w:rPr>
          <w:rFonts w:ascii="SimSun" w:eastAsia="SimSun" w:hAnsi="SimSun" w:cs="SimSun"/>
          <w:spacing w:val="4"/>
          <w:sz w:val="19"/>
          <w:szCs w:val="19"/>
        </w:rPr>
        <w:t xml:space="preserve">  </w:t>
      </w:r>
      <w:r>
        <w:rPr>
          <w:rFonts w:ascii="SimSun" w:eastAsia="SimSun" w:hAnsi="SimSun" w:cs="SimSun"/>
          <w:spacing w:val="13"/>
          <w:sz w:val="19"/>
          <w:szCs w:val="19"/>
        </w:rPr>
        <w:t>涂装前钢材表面锈蚀等级和除锈等级</w:t>
      </w:r>
    </w:p>
    <w:p>
      <w:pPr>
        <w:spacing w:before="96" w:line="220" w:lineRule="auto"/>
        <w:ind w:left="430"/>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10"/>
          <w:sz w:val="19"/>
          <w:szCs w:val="19"/>
        </w:rPr>
        <w:t xml:space="preserve">  </w:t>
      </w:r>
      <w:r>
        <w:rPr>
          <w:rFonts w:ascii="SimSun" w:eastAsia="SimSun" w:hAnsi="SimSun" w:cs="SimSun"/>
          <w:spacing w:val="11"/>
          <w:sz w:val="19"/>
          <w:szCs w:val="19"/>
        </w:rPr>
        <w:t>51367</w:t>
      </w:r>
      <w:r>
        <w:rPr>
          <w:rFonts w:ascii="SimSun" w:eastAsia="SimSun" w:hAnsi="SimSun" w:cs="SimSun"/>
          <w:spacing w:val="4"/>
          <w:sz w:val="19"/>
          <w:szCs w:val="19"/>
        </w:rPr>
        <w:t xml:space="preserve">  </w:t>
      </w:r>
      <w:r>
        <w:rPr>
          <w:rFonts w:ascii="SimSun" w:eastAsia="SimSun" w:hAnsi="SimSun" w:cs="SimSun"/>
          <w:spacing w:val="11"/>
          <w:sz w:val="19"/>
          <w:szCs w:val="19"/>
        </w:rPr>
        <w:t>钢结构加固设计标准</w:t>
      </w:r>
    </w:p>
    <w:p>
      <w:pPr>
        <w:spacing w:before="94" w:line="220" w:lineRule="auto"/>
        <w:ind w:left="430"/>
        <w:rPr>
          <w:rFonts w:ascii="SimSun" w:eastAsia="SimSun" w:hAnsi="SimSun" w:cs="SimSun"/>
          <w:sz w:val="19"/>
          <w:szCs w:val="19"/>
        </w:rPr>
      </w:pPr>
      <w:r>
        <w:rPr>
          <w:rFonts w:ascii="Times New Roman" w:eastAsia="Times New Roman" w:hAnsi="Times New Roman" w:cs="Times New Roman"/>
          <w:sz w:val="19"/>
          <w:szCs w:val="19"/>
        </w:rPr>
        <w:t>CB</w:t>
      </w:r>
      <w:r>
        <w:rPr>
          <w:rFonts w:ascii="Times New Roman" w:eastAsia="Times New Roman" w:hAnsi="Times New Roman" w:cs="Times New Roman"/>
          <w:spacing w:val="7"/>
          <w:sz w:val="19"/>
          <w:szCs w:val="19"/>
        </w:rPr>
        <w:t xml:space="preserve">/Z67       </w:t>
      </w:r>
      <w:r>
        <w:rPr>
          <w:rFonts w:ascii="SimSun" w:eastAsia="SimSun" w:hAnsi="SimSun" w:cs="SimSun"/>
          <w:spacing w:val="7"/>
          <w:sz w:val="19"/>
          <w:szCs w:val="19"/>
        </w:rPr>
        <w:t>碳弧气刨工艺要求</w:t>
      </w:r>
    </w:p>
    <w:p>
      <w:pPr>
        <w:spacing w:before="73" w:line="219" w:lineRule="auto"/>
        <w:ind w:left="430"/>
        <w:rPr>
          <w:rFonts w:ascii="SimSun" w:eastAsia="SimSun" w:hAnsi="SimSun" w:cs="SimSun"/>
          <w:sz w:val="19"/>
          <w:szCs w:val="19"/>
        </w:rPr>
      </w:pPr>
      <w:r>
        <w:rPr>
          <w:rFonts w:ascii="Times New Roman" w:eastAsia="Times New Roman" w:hAnsi="Times New Roman" w:cs="Times New Roman"/>
          <w:sz w:val="19"/>
          <w:szCs w:val="19"/>
        </w:rPr>
        <w:t>JTG</w:t>
      </w:r>
      <w:r>
        <w:rPr>
          <w:rFonts w:ascii="Times New Roman" w:eastAsia="Times New Roman" w:hAnsi="Times New Roman" w:cs="Times New Roman"/>
          <w:spacing w:val="13"/>
          <w:sz w:val="19"/>
          <w:szCs w:val="19"/>
        </w:rPr>
        <w:t>/</w:t>
      </w:r>
      <w:r>
        <w:rPr>
          <w:rFonts w:ascii="Times New Roman" w:eastAsia="Times New Roman" w:hAnsi="Times New Roman" w:cs="Times New Roman"/>
          <w:sz w:val="19"/>
          <w:szCs w:val="19"/>
        </w:rPr>
        <w:t>T</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z w:val="19"/>
          <w:szCs w:val="19"/>
        </w:rPr>
        <w:t>H</w:t>
      </w:r>
      <w:r>
        <w:rPr>
          <w:rFonts w:ascii="Times New Roman" w:eastAsia="Times New Roman" w:hAnsi="Times New Roman" w:cs="Times New Roman"/>
          <w:spacing w:val="13"/>
          <w:sz w:val="19"/>
          <w:szCs w:val="19"/>
        </w:rPr>
        <w:t xml:space="preserve">21    </w:t>
      </w:r>
      <w:r>
        <w:rPr>
          <w:rFonts w:ascii="SimSun" w:eastAsia="SimSun" w:hAnsi="SimSun" w:cs="SimSun"/>
          <w:spacing w:val="13"/>
          <w:sz w:val="19"/>
          <w:szCs w:val="19"/>
        </w:rPr>
        <w:t>公路桥梁技术状况评定标准</w:t>
      </w:r>
    </w:p>
    <w:p>
      <w:pPr>
        <w:spacing w:before="84" w:line="219" w:lineRule="auto"/>
        <w:ind w:left="430"/>
        <w:rPr>
          <w:rFonts w:ascii="SimSun" w:eastAsia="SimSun" w:hAnsi="SimSun" w:cs="SimSun"/>
          <w:sz w:val="19"/>
          <w:szCs w:val="19"/>
        </w:rPr>
      </w:pPr>
      <w:r>
        <w:rPr>
          <w:rFonts w:ascii="Times New Roman" w:eastAsia="Times New Roman" w:hAnsi="Times New Roman" w:cs="Times New Roman"/>
          <w:sz w:val="19"/>
          <w:szCs w:val="19"/>
        </w:rPr>
        <w:t>JTG</w:t>
      </w:r>
      <w:r>
        <w:rPr>
          <w:rFonts w:ascii="Times New Roman" w:eastAsia="Times New Roman" w:hAnsi="Times New Roman" w:cs="Times New Roman"/>
          <w:spacing w:val="14"/>
          <w:sz w:val="19"/>
          <w:szCs w:val="19"/>
        </w:rPr>
        <w:t>/</w:t>
      </w:r>
      <w:r>
        <w:rPr>
          <w:rFonts w:ascii="Times New Roman" w:eastAsia="Times New Roman" w:hAnsi="Times New Roman" w:cs="Times New Roman"/>
          <w:sz w:val="19"/>
          <w:szCs w:val="19"/>
        </w:rPr>
        <w:t>T</w:t>
      </w:r>
      <w:r>
        <w:rPr>
          <w:rFonts w:ascii="Times New Roman" w:eastAsia="Times New Roman" w:hAnsi="Times New Roman" w:cs="Times New Roman"/>
          <w:spacing w:val="5"/>
          <w:sz w:val="19"/>
          <w:szCs w:val="19"/>
        </w:rPr>
        <w:t xml:space="preserve">     </w:t>
      </w:r>
      <w:r>
        <w:rPr>
          <w:rFonts w:ascii="Times New Roman" w:eastAsia="Times New Roman" w:hAnsi="Times New Roman" w:cs="Times New Roman"/>
          <w:sz w:val="19"/>
          <w:szCs w:val="19"/>
        </w:rPr>
        <w:t>J</w:t>
      </w:r>
      <w:r>
        <w:rPr>
          <w:rFonts w:ascii="Times New Roman" w:eastAsia="Times New Roman" w:hAnsi="Times New Roman" w:cs="Times New Roman"/>
          <w:spacing w:val="14"/>
          <w:sz w:val="19"/>
          <w:szCs w:val="19"/>
        </w:rPr>
        <w:t xml:space="preserve">21   </w:t>
      </w:r>
      <w:r>
        <w:rPr>
          <w:rFonts w:ascii="SimSun" w:eastAsia="SimSun" w:hAnsi="SimSun" w:cs="SimSun"/>
          <w:spacing w:val="14"/>
          <w:sz w:val="19"/>
          <w:szCs w:val="19"/>
        </w:rPr>
        <w:t>公路桥梁承载能力检测评定规程</w:t>
      </w:r>
    </w:p>
    <w:p>
      <w:pPr>
        <w:spacing w:before="85" w:line="219" w:lineRule="auto"/>
        <w:ind w:left="430"/>
        <w:rPr>
          <w:rFonts w:ascii="SimSun" w:eastAsia="SimSun" w:hAnsi="SimSun" w:cs="SimSun"/>
          <w:sz w:val="19"/>
          <w:szCs w:val="19"/>
        </w:rPr>
      </w:pPr>
      <w:r>
        <w:rPr>
          <w:rFonts w:ascii="Times New Roman" w:eastAsia="Times New Roman" w:hAnsi="Times New Roman" w:cs="Times New Roman"/>
          <w:sz w:val="19"/>
          <w:szCs w:val="19"/>
        </w:rPr>
        <w:t>JTG</w:t>
      </w:r>
      <w:r>
        <w:rPr>
          <w:rFonts w:ascii="Times New Roman" w:eastAsia="Times New Roman" w:hAnsi="Times New Roman" w:cs="Times New Roman"/>
          <w:spacing w:val="14"/>
          <w:sz w:val="19"/>
          <w:szCs w:val="19"/>
        </w:rPr>
        <w:t>/</w:t>
      </w:r>
      <w:r>
        <w:rPr>
          <w:rFonts w:ascii="Times New Roman" w:eastAsia="Times New Roman" w:hAnsi="Times New Roman" w:cs="Times New Roman"/>
          <w:sz w:val="19"/>
          <w:szCs w:val="19"/>
        </w:rPr>
        <w:t>T</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sz w:val="19"/>
          <w:szCs w:val="19"/>
        </w:rPr>
        <w:t>J</w:t>
      </w:r>
      <w:r>
        <w:rPr>
          <w:rFonts w:ascii="Times New Roman" w:eastAsia="Times New Roman" w:hAnsi="Times New Roman" w:cs="Times New Roman"/>
          <w:spacing w:val="14"/>
          <w:sz w:val="19"/>
          <w:szCs w:val="19"/>
        </w:rPr>
        <w:t>22</w:t>
      </w:r>
      <w:r>
        <w:rPr>
          <w:rFonts w:ascii="Times New Roman" w:eastAsia="Times New Roman" w:hAnsi="Times New Roman" w:cs="Times New Roman"/>
          <w:spacing w:val="3"/>
          <w:sz w:val="19"/>
          <w:szCs w:val="19"/>
        </w:rPr>
        <w:t xml:space="preserve">    </w:t>
      </w:r>
      <w:r>
        <w:rPr>
          <w:rFonts w:ascii="SimSun" w:eastAsia="SimSun" w:hAnsi="SimSun" w:cs="SimSun"/>
          <w:spacing w:val="14"/>
          <w:sz w:val="19"/>
          <w:szCs w:val="19"/>
        </w:rPr>
        <w:t>公路桥梁加固设计规范</w:t>
      </w:r>
    </w:p>
    <w:p>
      <w:pPr>
        <w:spacing w:before="85" w:line="219" w:lineRule="auto"/>
        <w:ind w:left="430"/>
        <w:rPr>
          <w:rFonts w:ascii="SimSun" w:eastAsia="SimSun" w:hAnsi="SimSun" w:cs="SimSun"/>
          <w:sz w:val="19"/>
          <w:szCs w:val="19"/>
        </w:rPr>
      </w:pPr>
      <w:r>
        <w:rPr>
          <w:rFonts w:ascii="Times New Roman" w:eastAsia="Times New Roman" w:hAnsi="Times New Roman" w:cs="Times New Roman"/>
          <w:sz w:val="19"/>
          <w:szCs w:val="19"/>
        </w:rPr>
        <w:t>JTG</w:t>
      </w:r>
      <w:r>
        <w:rPr>
          <w:rFonts w:ascii="Times New Roman" w:eastAsia="Times New Roman" w:hAnsi="Times New Roman" w:cs="Times New Roman"/>
          <w:spacing w:val="13"/>
          <w:sz w:val="19"/>
          <w:szCs w:val="19"/>
        </w:rPr>
        <w:t>/</w:t>
      </w:r>
      <w:r>
        <w:rPr>
          <w:rFonts w:ascii="Times New Roman" w:eastAsia="Times New Roman" w:hAnsi="Times New Roman" w:cs="Times New Roman"/>
          <w:sz w:val="19"/>
          <w:szCs w:val="19"/>
        </w:rPr>
        <w:t>T</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z w:val="19"/>
          <w:szCs w:val="19"/>
        </w:rPr>
        <w:t>J</w:t>
      </w:r>
      <w:r>
        <w:rPr>
          <w:rFonts w:ascii="Times New Roman" w:eastAsia="Times New Roman" w:hAnsi="Times New Roman" w:cs="Times New Roman"/>
          <w:spacing w:val="13"/>
          <w:sz w:val="19"/>
          <w:szCs w:val="19"/>
        </w:rPr>
        <w:t>23</w:t>
      </w:r>
      <w:r>
        <w:rPr>
          <w:rFonts w:ascii="Times New Roman" w:eastAsia="Times New Roman" w:hAnsi="Times New Roman" w:cs="Times New Roman"/>
          <w:spacing w:val="1"/>
          <w:sz w:val="19"/>
          <w:szCs w:val="19"/>
        </w:rPr>
        <w:t xml:space="preserve">    </w:t>
      </w:r>
      <w:r>
        <w:rPr>
          <w:rFonts w:ascii="SimSun" w:eastAsia="SimSun" w:hAnsi="SimSun" w:cs="SimSun"/>
          <w:spacing w:val="13"/>
          <w:sz w:val="19"/>
          <w:szCs w:val="19"/>
        </w:rPr>
        <w:t>公路桥梁加固施工技术规范</w:t>
      </w:r>
    </w:p>
    <w:p>
      <w:pPr>
        <w:spacing w:before="84" w:line="219" w:lineRule="auto"/>
        <w:ind w:left="430"/>
        <w:rPr>
          <w:rFonts w:ascii="SimSun" w:eastAsia="SimSun" w:hAnsi="SimSun" w:cs="SimSun"/>
          <w:sz w:val="19"/>
          <w:szCs w:val="19"/>
        </w:rPr>
      </w:pPr>
      <w:r>
        <w:rPr>
          <w:rFonts w:ascii="Times New Roman" w:eastAsia="Times New Roman" w:hAnsi="Times New Roman" w:cs="Times New Roman"/>
          <w:sz w:val="19"/>
          <w:szCs w:val="19"/>
        </w:rPr>
        <w:t>JT</w:t>
      </w:r>
      <w:r>
        <w:rPr>
          <w:rFonts w:ascii="Times New Roman" w:eastAsia="Times New Roman" w:hAnsi="Times New Roman" w:cs="Times New Roman"/>
          <w:spacing w:val="11"/>
          <w:sz w:val="19"/>
          <w:szCs w:val="19"/>
        </w:rPr>
        <w:t xml:space="preserve">/T    722    </w:t>
      </w:r>
      <w:r>
        <w:rPr>
          <w:rFonts w:ascii="SimSun" w:eastAsia="SimSun" w:hAnsi="SimSun" w:cs="SimSun"/>
          <w:spacing w:val="11"/>
          <w:sz w:val="19"/>
          <w:szCs w:val="19"/>
        </w:rPr>
        <w:t>公路桥梁钢结构防腐涂装技术条件</w:t>
      </w:r>
    </w:p>
    <w:p>
      <w:pPr>
        <w:spacing w:before="85" w:line="219" w:lineRule="auto"/>
        <w:ind w:left="430"/>
        <w:rPr>
          <w:rFonts w:ascii="SimSun" w:eastAsia="SimSun" w:hAnsi="SimSun" w:cs="SimSun"/>
          <w:sz w:val="19"/>
          <w:szCs w:val="19"/>
        </w:rPr>
      </w:pPr>
      <w:r>
        <w:rPr>
          <w:rFonts w:ascii="Times New Roman" w:eastAsia="Times New Roman" w:hAnsi="Times New Roman" w:cs="Times New Roman"/>
          <w:sz w:val="19"/>
          <w:szCs w:val="19"/>
        </w:rPr>
        <w:t>JTG</w:t>
      </w:r>
      <w:r>
        <w:rPr>
          <w:rFonts w:ascii="Times New Roman" w:eastAsia="Times New Roman" w:hAnsi="Times New Roman" w:cs="Times New Roman"/>
          <w:spacing w:val="12"/>
          <w:sz w:val="19"/>
          <w:szCs w:val="19"/>
        </w:rPr>
        <w:t xml:space="preserve">/T3651        </w:t>
      </w:r>
      <w:r>
        <w:rPr>
          <w:rFonts w:ascii="SimSun" w:eastAsia="SimSun" w:hAnsi="SimSun" w:cs="SimSun"/>
          <w:spacing w:val="12"/>
          <w:sz w:val="19"/>
          <w:szCs w:val="19"/>
        </w:rPr>
        <w:t>公路钢结构桥梁制造和安装施工规范</w:t>
      </w:r>
    </w:p>
    <w:p>
      <w:pPr>
        <w:spacing w:before="83" w:line="218" w:lineRule="auto"/>
        <w:ind w:left="430"/>
        <w:rPr>
          <w:rFonts w:ascii="SimSun" w:eastAsia="SimSun" w:hAnsi="SimSun" w:cs="SimSun"/>
          <w:sz w:val="19"/>
          <w:szCs w:val="19"/>
        </w:rPr>
      </w:pPr>
      <w:r>
        <w:rPr>
          <w:rFonts w:ascii="SimSun" w:eastAsia="SimSun" w:hAnsi="SimSun" w:cs="SimSun"/>
          <w:sz w:val="19"/>
          <w:szCs w:val="19"/>
        </w:rPr>
        <w:t>JTG</w:t>
      </w:r>
      <w:r>
        <w:rPr>
          <w:rFonts w:ascii="SimSun" w:eastAsia="SimSun" w:hAnsi="SimSun" w:cs="SimSun"/>
          <w:spacing w:val="10"/>
          <w:sz w:val="19"/>
          <w:szCs w:val="19"/>
        </w:rPr>
        <w:t xml:space="preserve">  </w:t>
      </w:r>
      <w:r>
        <w:rPr>
          <w:rFonts w:ascii="SimSun" w:eastAsia="SimSun" w:hAnsi="SimSun" w:cs="SimSun"/>
          <w:spacing w:val="12"/>
          <w:sz w:val="19"/>
          <w:szCs w:val="19"/>
        </w:rPr>
        <w:t>5120</w:t>
      </w:r>
      <w:r>
        <w:rPr>
          <w:rFonts w:ascii="SimSun" w:eastAsia="SimSun" w:hAnsi="SimSun" w:cs="SimSun"/>
          <w:spacing w:val="5"/>
          <w:sz w:val="19"/>
          <w:szCs w:val="19"/>
        </w:rPr>
        <w:t xml:space="preserve">  </w:t>
      </w:r>
      <w:r>
        <w:rPr>
          <w:rFonts w:ascii="SimSun" w:eastAsia="SimSun" w:hAnsi="SimSun" w:cs="SimSun"/>
          <w:spacing w:val="12"/>
          <w:sz w:val="19"/>
          <w:szCs w:val="19"/>
        </w:rPr>
        <w:t>公路桥涵养护规范</w:t>
      </w:r>
    </w:p>
    <w:p>
      <w:pPr>
        <w:spacing w:before="117" w:line="219" w:lineRule="auto"/>
        <w:ind w:left="430"/>
        <w:rPr>
          <w:rFonts w:ascii="SimSun" w:eastAsia="SimSun" w:hAnsi="SimSun" w:cs="SimSun"/>
          <w:sz w:val="19"/>
          <w:szCs w:val="19"/>
        </w:rPr>
      </w:pPr>
      <w:r>
        <w:rPr>
          <w:rFonts w:ascii="SimSun" w:eastAsia="SimSun" w:hAnsi="SimSun" w:cs="SimSun"/>
          <w:sz w:val="19"/>
          <w:szCs w:val="19"/>
        </w:rPr>
        <w:t>DB</w:t>
      </w:r>
      <w:r>
        <w:rPr>
          <w:rFonts w:ascii="SimSun" w:eastAsia="SimSun" w:hAnsi="SimSun" w:cs="SimSun"/>
          <w:spacing w:val="10"/>
          <w:sz w:val="19"/>
          <w:szCs w:val="19"/>
        </w:rPr>
        <w:t>32/T3644</w:t>
      </w:r>
      <w:r>
        <w:rPr>
          <w:rFonts w:ascii="SimSun" w:eastAsia="SimSun" w:hAnsi="SimSun" w:cs="SimSun"/>
          <w:spacing w:val="23"/>
          <w:sz w:val="19"/>
          <w:szCs w:val="19"/>
        </w:rPr>
        <w:t xml:space="preserve">    </w:t>
      </w:r>
      <w:r>
        <w:rPr>
          <w:rFonts w:ascii="SimSun" w:eastAsia="SimSun" w:hAnsi="SimSun" w:cs="SimSun"/>
          <w:spacing w:val="10"/>
          <w:sz w:val="19"/>
          <w:szCs w:val="19"/>
        </w:rPr>
        <w:t>公路桥梁钢箱梁疲劳裂纹检测、评定与</w:t>
      </w:r>
      <w:r>
        <w:rPr>
          <w:rFonts w:ascii="SimSun" w:eastAsia="SimSun" w:hAnsi="SimSun" w:cs="SimSun"/>
          <w:spacing w:val="9"/>
          <w:sz w:val="19"/>
          <w:szCs w:val="19"/>
        </w:rPr>
        <w:t>维护规范</w:t>
      </w:r>
    </w:p>
    <w:p>
      <w:pPr>
        <w:spacing w:before="105" w:line="219" w:lineRule="auto"/>
        <w:ind w:left="430"/>
        <w:rPr>
          <w:rFonts w:ascii="SimSun" w:eastAsia="SimSun" w:hAnsi="SimSun" w:cs="SimSun"/>
          <w:sz w:val="19"/>
          <w:szCs w:val="19"/>
        </w:rPr>
      </w:pPr>
      <w:r>
        <w:rPr>
          <w:rFonts w:ascii="SimSun" w:eastAsia="SimSun" w:hAnsi="SimSun" w:cs="SimSun"/>
          <w:sz w:val="19"/>
          <w:szCs w:val="19"/>
        </w:rPr>
        <w:t>DB</w:t>
      </w:r>
      <w:r>
        <w:rPr>
          <w:rFonts w:ascii="SimSun" w:eastAsia="SimSun" w:hAnsi="SimSun" w:cs="SimSun"/>
          <w:spacing w:val="13"/>
          <w:sz w:val="19"/>
          <w:szCs w:val="19"/>
        </w:rPr>
        <w:t>32/T3820    公路桥梁钢箱梁预防养护规范</w:t>
      </w:r>
    </w:p>
    <w:p>
      <w:pPr>
        <w:spacing w:line="328" w:lineRule="auto"/>
        <w:rPr>
          <w:rFonts w:ascii="Arial"/>
          <w:sz w:val="21"/>
        </w:rPr>
      </w:pPr>
    </w:p>
    <w:p>
      <w:pPr>
        <w:pStyle w:val="BodyText"/>
        <w:spacing w:before="61" w:line="222" w:lineRule="auto"/>
        <w:ind w:left="2"/>
        <w:rPr>
          <w:sz w:val="19"/>
          <w:szCs w:val="19"/>
        </w:rPr>
      </w:pPr>
      <w:r>
        <w:rPr>
          <w:b/>
          <w:bCs/>
          <w:spacing w:val="11"/>
          <w:sz w:val="19"/>
          <w:szCs w:val="19"/>
        </w:rPr>
        <w:t>3</w:t>
      </w:r>
      <w:r>
        <w:rPr>
          <w:spacing w:val="6"/>
          <w:sz w:val="19"/>
          <w:szCs w:val="19"/>
        </w:rPr>
        <w:t xml:space="preserve">  </w:t>
      </w:r>
      <w:r>
        <w:rPr>
          <w:b/>
          <w:bCs/>
          <w:spacing w:val="11"/>
          <w:sz w:val="19"/>
          <w:szCs w:val="19"/>
        </w:rPr>
        <w:t>术语和定义</w:t>
      </w:r>
    </w:p>
    <w:p>
      <w:pPr>
        <w:spacing w:line="299" w:lineRule="auto"/>
        <w:rPr>
          <w:rFonts w:ascii="Arial"/>
          <w:sz w:val="21"/>
        </w:rPr>
      </w:pPr>
    </w:p>
    <w:p>
      <w:pPr>
        <w:spacing w:before="63" w:line="219" w:lineRule="auto"/>
        <w:ind w:left="430"/>
        <w:rPr>
          <w:rFonts w:ascii="SimSun" w:eastAsia="SimSun" w:hAnsi="SimSun" w:cs="SimSun"/>
          <w:sz w:val="19"/>
          <w:szCs w:val="19"/>
        </w:rPr>
      </w:pPr>
      <w:r>
        <w:rPr>
          <w:rFonts w:ascii="SimSun" w:eastAsia="SimSun" w:hAnsi="SimSun" w:cs="SimSun"/>
          <w:spacing w:val="13"/>
          <w:sz w:val="19"/>
          <w:szCs w:val="19"/>
        </w:rPr>
        <w:t>下列术语和定义适用于本文件。</w:t>
      </w:r>
    </w:p>
    <w:p>
      <w:pPr>
        <w:spacing w:before="126" w:line="184" w:lineRule="auto"/>
        <w:ind w:left="2"/>
        <w:rPr>
          <w:rFonts w:ascii="SimSun" w:eastAsia="SimSun" w:hAnsi="SimSun" w:cs="SimSun"/>
          <w:sz w:val="17"/>
          <w:szCs w:val="17"/>
        </w:rPr>
      </w:pPr>
      <w:r>
        <w:rPr>
          <w:rFonts w:ascii="SimSun" w:eastAsia="SimSun" w:hAnsi="SimSun" w:cs="SimSun"/>
          <w:b/>
          <w:bCs/>
          <w:spacing w:val="-5"/>
          <w:sz w:val="17"/>
          <w:szCs w:val="17"/>
        </w:rPr>
        <w:t>3.1</w:t>
      </w:r>
    </w:p>
    <w:p>
      <w:pPr>
        <w:pStyle w:val="BodyText"/>
        <w:spacing w:before="56" w:line="212" w:lineRule="auto"/>
        <w:ind w:left="432"/>
        <w:rPr>
          <w:rFonts w:ascii="Times New Roman" w:eastAsia="Times New Roman" w:hAnsi="Times New Roman" w:cs="Times New Roman"/>
          <w:sz w:val="22"/>
          <w:szCs w:val="22"/>
        </w:rPr>
      </w:pPr>
      <w:r>
        <w:rPr>
          <w:b/>
          <w:bCs/>
          <w:spacing w:val="-9"/>
          <w:sz w:val="22"/>
          <w:szCs w:val="22"/>
        </w:rPr>
        <w:t>冲击法</w:t>
      </w:r>
      <w:r>
        <w:rPr>
          <w:spacing w:val="-9"/>
          <w:sz w:val="22"/>
          <w:szCs w:val="22"/>
        </w:rPr>
        <w:t xml:space="preserve">  </w:t>
      </w:r>
      <w:r>
        <w:rPr>
          <w:rFonts w:ascii="Times New Roman" w:eastAsia="Times New Roman" w:hAnsi="Times New Roman" w:cs="Times New Roman"/>
          <w:b/>
          <w:bCs/>
          <w:spacing w:val="-9"/>
          <w:sz w:val="22"/>
          <w:szCs w:val="22"/>
        </w:rPr>
        <w:t>impact method</w:t>
      </w:r>
    </w:p>
    <w:p>
      <w:pPr>
        <w:spacing w:before="111" w:line="270" w:lineRule="auto"/>
        <w:ind w:right="43" w:firstLine="430"/>
        <w:rPr>
          <w:rFonts w:ascii="SimSun" w:eastAsia="SimSun" w:hAnsi="SimSun" w:cs="SimSun"/>
          <w:sz w:val="19"/>
          <w:szCs w:val="19"/>
        </w:rPr>
      </w:pPr>
      <w:r>
        <w:rPr>
          <w:rFonts w:ascii="SimSun" w:eastAsia="SimSun" w:hAnsi="SimSun" w:cs="SimSun"/>
          <w:spacing w:val="11"/>
          <w:sz w:val="19"/>
          <w:szCs w:val="19"/>
        </w:rPr>
        <w:t>通过高速冲击，引入残余压应力，使构件表面产生塑性变形或使裂</w:t>
      </w:r>
      <w:r>
        <w:rPr>
          <w:rFonts w:ascii="SimSun" w:eastAsia="SimSun" w:hAnsi="SimSun" w:cs="SimSun"/>
          <w:spacing w:val="10"/>
          <w:sz w:val="19"/>
          <w:szCs w:val="19"/>
        </w:rPr>
        <w:t>纹表面产生接触闭合，以提高疲劳</w:t>
      </w:r>
      <w:r>
        <w:rPr>
          <w:rFonts w:ascii="SimSun" w:eastAsia="SimSun" w:hAnsi="SimSun" w:cs="SimSun"/>
          <w:sz w:val="19"/>
          <w:szCs w:val="19"/>
        </w:rPr>
        <w:t xml:space="preserve"> </w:t>
      </w:r>
      <w:r>
        <w:rPr>
          <w:rFonts w:ascii="SimSun" w:eastAsia="SimSun" w:hAnsi="SimSun" w:cs="SimSun"/>
          <w:spacing w:val="12"/>
          <w:sz w:val="19"/>
          <w:szCs w:val="19"/>
        </w:rPr>
        <w:t>寿命或延缓裂纹扩展的方法。</w:t>
      </w:r>
    </w:p>
    <w:p>
      <w:pPr>
        <w:spacing w:before="92" w:line="183" w:lineRule="auto"/>
        <w:ind w:left="2"/>
        <w:rPr>
          <w:rFonts w:ascii="SimSun" w:eastAsia="SimSun" w:hAnsi="SimSun" w:cs="SimSun"/>
          <w:sz w:val="19"/>
          <w:szCs w:val="19"/>
        </w:rPr>
      </w:pPr>
      <w:r>
        <w:rPr>
          <w:rFonts w:ascii="SimSun" w:eastAsia="SimSun" w:hAnsi="SimSun" w:cs="SimSun"/>
          <w:b/>
          <w:bCs/>
          <w:spacing w:val="-13"/>
          <w:sz w:val="19"/>
          <w:szCs w:val="19"/>
        </w:rPr>
        <w:t>3.2</w:t>
      </w:r>
    </w:p>
    <w:p>
      <w:pPr>
        <w:pStyle w:val="BodyText"/>
        <w:spacing w:before="42" w:line="212" w:lineRule="auto"/>
        <w:ind w:left="430"/>
        <w:rPr>
          <w:rFonts w:ascii="Times New Roman" w:eastAsia="Times New Roman" w:hAnsi="Times New Roman" w:cs="Times New Roman"/>
          <w:sz w:val="19"/>
          <w:szCs w:val="19"/>
        </w:rPr>
        <w:sectPr>
          <w:footerReference w:type="default" r:id="rId9"/>
          <w:pgSz w:w="12190" w:h="17230"/>
          <w:pgMar w:top="1464" w:right="1326" w:bottom="400" w:left="1559" w:header="0" w:footer="0" w:gutter="0"/>
          <w:pgNumType w:start="8"/>
          <w:cols w:space="708"/>
        </w:sectPr>
      </w:pPr>
      <w:r>
        <w:rPr>
          <w:spacing w:val="-1"/>
          <w:sz w:val="19"/>
          <w:szCs w:val="19"/>
        </w:rPr>
        <w:t>打磨法</w:t>
      </w:r>
      <w:r>
        <w:rPr>
          <w:spacing w:val="19"/>
          <w:sz w:val="19"/>
          <w:szCs w:val="19"/>
        </w:rPr>
        <w:t xml:space="preserve">  </w:t>
      </w:r>
      <w:r>
        <w:rPr>
          <w:rFonts w:ascii="Times New Roman" w:eastAsia="Times New Roman" w:hAnsi="Times New Roman" w:cs="Times New Roman"/>
          <w:spacing w:val="-1"/>
          <w:sz w:val="19"/>
          <w:szCs w:val="19"/>
        </w:rPr>
        <w:t>grinding</w:t>
      </w:r>
      <w:r>
        <w:rPr>
          <w:rFonts w:ascii="Times New Roman" w:eastAsia="Times New Roman" w:hAnsi="Times New Roman" w:cs="Times New Roman"/>
          <w:spacing w:val="5"/>
          <w:sz w:val="19"/>
          <w:szCs w:val="19"/>
        </w:rPr>
        <w:t xml:space="preserve">     </w:t>
      </w:r>
      <w:r>
        <w:rPr>
          <w:rFonts w:ascii="Times New Roman" w:eastAsia="Times New Roman" w:hAnsi="Times New Roman" w:cs="Times New Roman"/>
          <w:spacing w:val="-1"/>
          <w:sz w:val="19"/>
          <w:szCs w:val="19"/>
        </w:rPr>
        <w:t>method</w:t>
      </w:r>
    </w:p>
    <w:p>
      <w:pPr>
        <w:spacing w:before="153" w:line="360" w:lineRule="exact"/>
        <w:ind w:left="430"/>
        <w:rPr>
          <w:rFonts w:ascii="SimSun" w:eastAsia="SimSun" w:hAnsi="SimSun" w:cs="SimSun"/>
          <w:sz w:val="19"/>
          <w:szCs w:val="19"/>
        </w:rPr>
      </w:pPr>
      <w:r>
        <w:rPr>
          <w:rFonts w:ascii="SimSun" w:eastAsia="SimSun" w:hAnsi="SimSun" w:cs="SimSun"/>
          <w:spacing w:val="10"/>
          <w:position w:val="12"/>
          <w:sz w:val="19"/>
          <w:szCs w:val="19"/>
        </w:rPr>
        <w:t>通过打磨焊缝表面，改善焊缝几何形状，或去除表面微裂纹的方法。</w:t>
      </w:r>
    </w:p>
    <w:p>
      <w:pPr>
        <w:spacing w:line="183" w:lineRule="auto"/>
        <w:rPr>
          <w:rFonts w:ascii="SimSun" w:eastAsia="SimSun" w:hAnsi="SimSun" w:cs="SimSun"/>
          <w:sz w:val="19"/>
          <w:szCs w:val="19"/>
        </w:rPr>
      </w:pPr>
      <w:r>
        <w:rPr>
          <w:rFonts w:ascii="SimSun" w:eastAsia="SimSun" w:hAnsi="SimSun" w:cs="SimSun"/>
          <w:spacing w:val="-3"/>
          <w:sz w:val="19"/>
          <w:szCs w:val="19"/>
        </w:rPr>
        <w:t>3.3</w:t>
      </w:r>
    </w:p>
    <w:p>
      <w:pPr>
        <w:pStyle w:val="BodyText"/>
        <w:spacing w:before="41" w:line="212" w:lineRule="auto"/>
        <w:ind w:left="430"/>
        <w:rPr>
          <w:rFonts w:ascii="Times New Roman" w:eastAsia="Times New Roman" w:hAnsi="Times New Roman" w:cs="Times New Roman"/>
          <w:sz w:val="19"/>
          <w:szCs w:val="19"/>
        </w:rPr>
      </w:pPr>
      <w:r>
        <w:rPr>
          <w:spacing w:val="4"/>
          <w:sz w:val="19"/>
          <w:szCs w:val="19"/>
        </w:rPr>
        <w:t>局部切削法</w:t>
      </w:r>
      <w:r>
        <w:rPr>
          <w:spacing w:val="17"/>
          <w:sz w:val="19"/>
          <w:szCs w:val="19"/>
        </w:rPr>
        <w:t xml:space="preserve">  </w:t>
      </w:r>
      <w:r>
        <w:rPr>
          <w:rFonts w:ascii="Times New Roman" w:eastAsia="Times New Roman" w:hAnsi="Times New Roman" w:cs="Times New Roman"/>
          <w:sz w:val="19"/>
          <w:szCs w:val="19"/>
        </w:rPr>
        <w:t>local</w:t>
      </w:r>
      <w:r>
        <w:rPr>
          <w:rFonts w:ascii="Times New Roman" w:eastAsia="Times New Roman" w:hAnsi="Times New Roman" w:cs="Times New Roman"/>
          <w:spacing w:val="14"/>
          <w:w w:val="101"/>
          <w:sz w:val="19"/>
          <w:szCs w:val="19"/>
        </w:rPr>
        <w:t xml:space="preserve">   </w:t>
      </w:r>
      <w:r>
        <w:rPr>
          <w:rFonts w:ascii="Times New Roman" w:eastAsia="Times New Roman" w:hAnsi="Times New Roman" w:cs="Times New Roman"/>
          <w:sz w:val="19"/>
          <w:szCs w:val="19"/>
        </w:rPr>
        <w:t>cutting</w:t>
      </w:r>
      <w:r>
        <w:rPr>
          <w:rFonts w:ascii="Times New Roman" w:eastAsia="Times New Roman" w:hAnsi="Times New Roman" w:cs="Times New Roman"/>
          <w:spacing w:val="13"/>
          <w:sz w:val="19"/>
          <w:szCs w:val="19"/>
        </w:rPr>
        <w:t xml:space="preserve">   </w:t>
      </w:r>
      <w:r>
        <w:rPr>
          <w:rFonts w:ascii="Times New Roman" w:eastAsia="Times New Roman" w:hAnsi="Times New Roman" w:cs="Times New Roman"/>
          <w:sz w:val="19"/>
          <w:szCs w:val="19"/>
        </w:rPr>
        <w:t>method</w:t>
      </w:r>
    </w:p>
    <w:p>
      <w:pPr>
        <w:spacing w:before="132" w:line="219" w:lineRule="auto"/>
        <w:ind w:left="430"/>
        <w:rPr>
          <w:rFonts w:ascii="SimSun" w:eastAsia="SimSun" w:hAnsi="SimSun" w:cs="SimSun"/>
          <w:sz w:val="19"/>
          <w:szCs w:val="19"/>
        </w:rPr>
      </w:pPr>
      <w:r>
        <w:rPr>
          <w:rFonts w:ascii="SimSun" w:eastAsia="SimSun" w:hAnsi="SimSun" w:cs="SimSun"/>
          <w:spacing w:val="9"/>
          <w:sz w:val="19"/>
          <w:szCs w:val="19"/>
        </w:rPr>
        <w:t>通过切削，改变构件刚度分布和应力特征，延缓疲劳开裂的方法。</w:t>
      </w:r>
    </w:p>
    <w:p>
      <w:pPr>
        <w:spacing w:line="219" w:lineRule="auto"/>
        <w:rPr>
          <w:rFonts w:ascii="SimSun" w:eastAsia="SimSun" w:hAnsi="SimSun" w:cs="SimSun"/>
          <w:sz w:val="19"/>
          <w:szCs w:val="19"/>
        </w:rPr>
        <w:sectPr>
          <w:footerReference w:type="default" r:id="rId10"/>
          <w:type w:val="nextPage"/>
          <w:pgSz w:w="12190" w:h="17230"/>
          <w:pgMar w:top="1464" w:right="1326" w:bottom="400" w:left="1559" w:header="0" w:footer="0" w:gutter="0"/>
          <w:pgNumType w:start="9"/>
          <w:cols w:space="708"/>
          <w:titlePg w:val="0"/>
        </w:sectPr>
      </w:pPr>
    </w:p>
    <w:p>
      <w:pPr>
        <w:spacing w:before="166" w:line="224" w:lineRule="auto"/>
        <w:ind w:left="7"/>
        <w:rPr>
          <w:rFonts w:ascii="SimSun" w:eastAsia="SimSun" w:hAnsi="SimSun" w:cs="SimSun"/>
          <w:sz w:val="19"/>
          <w:szCs w:val="19"/>
        </w:rPr>
      </w:pPr>
      <w:bookmarkStart w:id="3" w:name="bookmark7"/>
      <w:bookmarkEnd w:id="3"/>
      <w:r>
        <w:rPr>
          <w:rFonts w:ascii="SimSun" w:eastAsia="SimSun" w:hAnsi="SimSun" w:cs="SimSun"/>
          <w:b/>
          <w:bCs/>
          <w:spacing w:val="-3"/>
          <w:sz w:val="19"/>
          <w:szCs w:val="19"/>
        </w:rPr>
        <w:t>DB32/T</w:t>
      </w:r>
      <w:r>
        <w:rPr>
          <w:rFonts w:ascii="SimSun" w:eastAsia="SimSun" w:hAnsi="SimSun" w:cs="SimSun"/>
          <w:spacing w:val="42"/>
          <w:sz w:val="19"/>
          <w:szCs w:val="19"/>
        </w:rPr>
        <w:t xml:space="preserve">  </w:t>
      </w:r>
      <w:r>
        <w:rPr>
          <w:rFonts w:ascii="SimSun" w:eastAsia="SimSun" w:hAnsi="SimSun" w:cs="SimSun"/>
          <w:b/>
          <w:bCs/>
          <w:spacing w:val="-3"/>
          <w:sz w:val="19"/>
          <w:szCs w:val="19"/>
        </w:rPr>
        <w:t>4648—2024</w:t>
      </w:r>
    </w:p>
    <w:p>
      <w:pPr>
        <w:spacing w:before="275" w:line="183" w:lineRule="auto"/>
        <w:ind w:left="4"/>
        <w:rPr>
          <w:rFonts w:ascii="SimSun" w:eastAsia="SimSun" w:hAnsi="SimSun" w:cs="SimSun"/>
          <w:sz w:val="19"/>
          <w:szCs w:val="19"/>
        </w:rPr>
      </w:pPr>
      <w:r>
        <w:rPr>
          <w:rFonts w:ascii="SimSun" w:eastAsia="SimSun" w:hAnsi="SimSun" w:cs="SimSun"/>
          <w:spacing w:val="-3"/>
          <w:sz w:val="19"/>
          <w:szCs w:val="19"/>
        </w:rPr>
        <w:t>3.4</w:t>
      </w:r>
    </w:p>
    <w:p>
      <w:pPr>
        <w:pStyle w:val="BodyText"/>
        <w:spacing w:before="86" w:line="326" w:lineRule="exact"/>
        <w:ind w:left="425"/>
        <w:rPr>
          <w:rFonts w:ascii="SimSun" w:eastAsia="SimSun" w:hAnsi="SimSun" w:cs="SimSun"/>
          <w:sz w:val="19"/>
          <w:szCs w:val="19"/>
        </w:rPr>
      </w:pPr>
      <w:r>
        <w:rPr>
          <w:position w:val="10"/>
          <w:sz w:val="19"/>
          <w:szCs w:val="19"/>
        </w:rPr>
        <w:t>局部连接刚度削弱法</w:t>
      </w:r>
      <w:r>
        <w:rPr>
          <w:position w:val="10"/>
          <w:sz w:val="19"/>
          <w:szCs w:val="19"/>
        </w:rPr>
        <w:t xml:space="preserve">  </w:t>
      </w:r>
      <w:r>
        <w:rPr>
          <w:rFonts w:ascii="SimSun" w:eastAsia="SimSun" w:hAnsi="SimSun" w:cs="SimSun"/>
          <w:position w:val="10"/>
          <w:sz w:val="19"/>
          <w:szCs w:val="19"/>
        </w:rPr>
        <w:t>local joint-stiffness weakening meth</w:t>
      </w:r>
      <w:r>
        <w:rPr>
          <w:rFonts w:ascii="SimSun" w:eastAsia="SimSun" w:hAnsi="SimSun" w:cs="SimSun"/>
          <w:spacing w:val="-1"/>
          <w:position w:val="10"/>
          <w:sz w:val="19"/>
          <w:szCs w:val="19"/>
        </w:rPr>
        <w:t>od</w:t>
      </w:r>
    </w:p>
    <w:p>
      <w:pPr>
        <w:spacing w:line="219" w:lineRule="auto"/>
        <w:ind w:left="425"/>
        <w:rPr>
          <w:rFonts w:ascii="SimSun" w:eastAsia="SimSun" w:hAnsi="SimSun" w:cs="SimSun"/>
          <w:sz w:val="19"/>
          <w:szCs w:val="19"/>
        </w:rPr>
      </w:pPr>
      <w:r>
        <w:rPr>
          <w:rFonts w:ascii="SimSun" w:eastAsia="SimSun" w:hAnsi="SimSun" w:cs="SimSun"/>
          <w:spacing w:val="9"/>
          <w:sz w:val="19"/>
          <w:szCs w:val="19"/>
        </w:rPr>
        <w:t>通过改变局部构件，降低连接刚度，延缓疲劳开裂的方法。</w:t>
      </w:r>
    </w:p>
    <w:p>
      <w:pPr>
        <w:spacing w:line="318" w:lineRule="auto"/>
        <w:rPr>
          <w:rFonts w:ascii="Arial"/>
          <w:sz w:val="21"/>
        </w:rPr>
      </w:pPr>
    </w:p>
    <w:p>
      <w:pPr>
        <w:pStyle w:val="BodyText"/>
        <w:spacing w:before="62" w:line="223" w:lineRule="auto"/>
        <w:ind w:left="7"/>
        <w:rPr>
          <w:sz w:val="19"/>
          <w:szCs w:val="19"/>
        </w:rPr>
      </w:pPr>
      <w:r>
        <w:rPr>
          <w:b/>
          <w:bCs/>
          <w:spacing w:val="7"/>
          <w:sz w:val="19"/>
          <w:szCs w:val="19"/>
        </w:rPr>
        <w:t>4</w:t>
      </w:r>
      <w:r>
        <w:rPr>
          <w:spacing w:val="12"/>
          <w:sz w:val="19"/>
          <w:szCs w:val="19"/>
        </w:rPr>
        <w:t xml:space="preserve">  </w:t>
      </w:r>
      <w:r>
        <w:rPr>
          <w:b/>
          <w:bCs/>
          <w:spacing w:val="7"/>
          <w:sz w:val="19"/>
          <w:szCs w:val="19"/>
        </w:rPr>
        <w:t>基本规定</w:t>
      </w:r>
    </w:p>
    <w:p>
      <w:pPr>
        <w:spacing w:line="307" w:lineRule="auto"/>
        <w:rPr>
          <w:rFonts w:ascii="Arial"/>
          <w:sz w:val="21"/>
        </w:rPr>
      </w:pPr>
    </w:p>
    <w:p>
      <w:pPr>
        <w:spacing w:before="62" w:line="218" w:lineRule="auto"/>
        <w:ind w:left="4"/>
        <w:rPr>
          <w:rFonts w:ascii="SimSun" w:eastAsia="SimSun" w:hAnsi="SimSun" w:cs="SimSun"/>
          <w:sz w:val="19"/>
          <w:szCs w:val="19"/>
        </w:rPr>
      </w:pPr>
      <w:r>
        <w:rPr>
          <w:rFonts w:ascii="SimSun" w:eastAsia="SimSun" w:hAnsi="SimSun" w:cs="SimSun"/>
          <w:spacing w:val="9"/>
          <w:sz w:val="19"/>
          <w:szCs w:val="19"/>
        </w:rPr>
        <w:t>4.1  公路钢梁桥养护应符合</w:t>
      </w:r>
      <w:r>
        <w:rPr>
          <w:rFonts w:ascii="SimSun" w:eastAsia="SimSun" w:hAnsi="SimSun" w:cs="SimSun"/>
          <w:sz w:val="19"/>
          <w:szCs w:val="19"/>
        </w:rPr>
        <w:t>JTG</w:t>
      </w:r>
      <w:r>
        <w:rPr>
          <w:rFonts w:ascii="SimSun" w:eastAsia="SimSun" w:hAnsi="SimSun" w:cs="SimSun"/>
          <w:spacing w:val="26"/>
          <w:sz w:val="19"/>
          <w:szCs w:val="19"/>
        </w:rPr>
        <w:t xml:space="preserve">  </w:t>
      </w:r>
      <w:r>
        <w:rPr>
          <w:rFonts w:ascii="SimSun" w:eastAsia="SimSun" w:hAnsi="SimSun" w:cs="SimSun"/>
          <w:spacing w:val="9"/>
          <w:sz w:val="19"/>
          <w:szCs w:val="19"/>
        </w:rPr>
        <w:t>5120</w:t>
      </w:r>
      <w:r>
        <w:rPr>
          <w:rFonts w:ascii="SimSun" w:eastAsia="SimSun" w:hAnsi="SimSun" w:cs="SimSun"/>
          <w:spacing w:val="-25"/>
          <w:sz w:val="19"/>
          <w:szCs w:val="19"/>
        </w:rPr>
        <w:t xml:space="preserve"> </w:t>
      </w:r>
      <w:r>
        <w:rPr>
          <w:rFonts w:ascii="SimSun" w:eastAsia="SimSun" w:hAnsi="SimSun" w:cs="SimSun"/>
          <w:spacing w:val="9"/>
          <w:sz w:val="19"/>
          <w:szCs w:val="19"/>
        </w:rPr>
        <w:t>的相</w:t>
      </w:r>
      <w:r>
        <w:rPr>
          <w:rFonts w:ascii="SimSun" w:eastAsia="SimSun" w:hAnsi="SimSun" w:cs="SimSun"/>
          <w:spacing w:val="8"/>
          <w:sz w:val="19"/>
          <w:szCs w:val="19"/>
        </w:rPr>
        <w:t>关规定。</w:t>
      </w:r>
    </w:p>
    <w:p>
      <w:pPr>
        <w:spacing w:before="66" w:line="271" w:lineRule="auto"/>
        <w:ind w:left="4" w:right="279"/>
        <w:rPr>
          <w:rFonts w:ascii="SimSun" w:eastAsia="SimSun" w:hAnsi="SimSun" w:cs="SimSun"/>
          <w:sz w:val="19"/>
          <w:szCs w:val="19"/>
        </w:rPr>
      </w:pPr>
      <w:r>
        <w:rPr>
          <w:rFonts w:ascii="SimSun" w:eastAsia="SimSun" w:hAnsi="SimSun" w:cs="SimSun"/>
          <w:spacing w:val="14"/>
          <w:sz w:val="19"/>
          <w:szCs w:val="19"/>
        </w:rPr>
        <w:t>4.2</w:t>
      </w:r>
      <w:r>
        <w:rPr>
          <w:rFonts w:ascii="SimSun" w:eastAsia="SimSun" w:hAnsi="SimSun" w:cs="SimSun"/>
          <w:spacing w:val="5"/>
          <w:sz w:val="19"/>
          <w:szCs w:val="19"/>
        </w:rPr>
        <w:t xml:space="preserve">  </w:t>
      </w:r>
      <w:r>
        <w:rPr>
          <w:rFonts w:ascii="SimSun" w:eastAsia="SimSun" w:hAnsi="SimSun" w:cs="SimSun"/>
          <w:spacing w:val="14"/>
          <w:sz w:val="19"/>
          <w:szCs w:val="19"/>
        </w:rPr>
        <w:t>公路钢梁桥中采用正交异性钢桥面板作为桥面板结构</w:t>
      </w:r>
      <w:r>
        <w:rPr>
          <w:rFonts w:ascii="SimSun" w:eastAsia="SimSun" w:hAnsi="SimSun" w:cs="SimSun"/>
          <w:spacing w:val="13"/>
          <w:sz w:val="19"/>
          <w:szCs w:val="19"/>
        </w:rPr>
        <w:t>时，桥面板的养护工作应符合</w:t>
      </w:r>
      <w:r>
        <w:rPr>
          <w:rFonts w:ascii="SimSun" w:eastAsia="SimSun" w:hAnsi="SimSun" w:cs="SimSun"/>
          <w:spacing w:val="-12"/>
          <w:sz w:val="19"/>
          <w:szCs w:val="19"/>
        </w:rPr>
        <w:t xml:space="preserve"> </w:t>
      </w:r>
      <w:r>
        <w:rPr>
          <w:rFonts w:ascii="SimSun" w:eastAsia="SimSun" w:hAnsi="SimSun" w:cs="SimSun"/>
          <w:sz w:val="19"/>
          <w:szCs w:val="19"/>
        </w:rPr>
        <w:t>DB</w:t>
      </w:r>
      <w:r>
        <w:rPr>
          <w:rFonts w:ascii="SimSun" w:eastAsia="SimSun" w:hAnsi="SimSun" w:cs="SimSun"/>
          <w:spacing w:val="13"/>
          <w:sz w:val="19"/>
          <w:szCs w:val="19"/>
        </w:rPr>
        <w:t>32/T3644</w:t>
      </w:r>
      <w:r>
        <w:rPr>
          <w:rFonts w:ascii="SimSun" w:eastAsia="SimSun" w:hAnsi="SimSun" w:cs="SimSun"/>
          <w:sz w:val="19"/>
          <w:szCs w:val="19"/>
        </w:rPr>
        <w:t xml:space="preserve"> </w:t>
      </w:r>
      <w:r>
        <w:rPr>
          <w:rFonts w:ascii="SimSun" w:eastAsia="SimSun" w:hAnsi="SimSun" w:cs="SimSun"/>
          <w:spacing w:val="7"/>
          <w:sz w:val="19"/>
          <w:szCs w:val="19"/>
        </w:rPr>
        <w:t>的相关规定。</w:t>
      </w:r>
    </w:p>
    <w:p>
      <w:pPr>
        <w:spacing w:before="93" w:line="219" w:lineRule="auto"/>
        <w:ind w:left="4"/>
        <w:rPr>
          <w:rFonts w:ascii="SimSun" w:eastAsia="SimSun" w:hAnsi="SimSun" w:cs="SimSun"/>
          <w:sz w:val="19"/>
          <w:szCs w:val="19"/>
        </w:rPr>
      </w:pPr>
      <w:r>
        <w:rPr>
          <w:rFonts w:ascii="SimSun" w:eastAsia="SimSun" w:hAnsi="SimSun" w:cs="SimSun"/>
          <w:spacing w:val="2"/>
          <w:sz w:val="19"/>
          <w:szCs w:val="19"/>
        </w:rPr>
        <w:t>4.3</w:t>
      </w:r>
      <w:r>
        <w:rPr>
          <w:rFonts w:ascii="SimSun" w:eastAsia="SimSun" w:hAnsi="SimSun" w:cs="SimSun"/>
          <w:spacing w:val="6"/>
          <w:sz w:val="19"/>
          <w:szCs w:val="19"/>
        </w:rPr>
        <w:t xml:space="preserve">  </w:t>
      </w:r>
      <w:r>
        <w:rPr>
          <w:rFonts w:ascii="SimSun" w:eastAsia="SimSun" w:hAnsi="SimSun" w:cs="SimSun"/>
          <w:spacing w:val="2"/>
          <w:sz w:val="19"/>
          <w:szCs w:val="19"/>
        </w:rPr>
        <w:t>公路钢梁桥的养护工作应实现可达、可检、可修、可换。</w:t>
      </w:r>
    </w:p>
    <w:p>
      <w:pPr>
        <w:spacing w:before="94" w:line="261" w:lineRule="auto"/>
        <w:ind w:left="424" w:right="4500" w:hanging="420"/>
        <w:rPr>
          <w:rFonts w:ascii="SimSun" w:eastAsia="SimSun" w:hAnsi="SimSun" w:cs="SimSun"/>
          <w:sz w:val="19"/>
          <w:szCs w:val="19"/>
        </w:rPr>
      </w:pPr>
      <w:r>
        <w:rPr>
          <w:rFonts w:ascii="SimSun" w:eastAsia="SimSun" w:hAnsi="SimSun" w:cs="SimSun"/>
          <w:spacing w:val="12"/>
          <w:sz w:val="19"/>
          <w:szCs w:val="19"/>
        </w:rPr>
        <w:t>4.4  当出现下列病害时还应满足本文件的相</w:t>
      </w:r>
      <w:r>
        <w:rPr>
          <w:rFonts w:ascii="SimSun" w:eastAsia="SimSun" w:hAnsi="SimSun" w:cs="SimSun"/>
          <w:spacing w:val="11"/>
          <w:sz w:val="19"/>
          <w:szCs w:val="19"/>
        </w:rPr>
        <w:t>关要求：</w:t>
      </w:r>
      <w:r>
        <w:rPr>
          <w:rFonts w:ascii="SimSun" w:eastAsia="SimSun" w:hAnsi="SimSun" w:cs="SimSun"/>
          <w:sz w:val="19"/>
          <w:szCs w:val="19"/>
        </w:rPr>
        <w:t xml:space="preserve"> </w:t>
      </w:r>
      <w:r>
        <w:rPr>
          <w:rFonts w:ascii="SimSun" w:eastAsia="SimSun" w:hAnsi="SimSun" w:cs="SimSun"/>
          <w:spacing w:val="9"/>
          <w:sz w:val="19"/>
          <w:szCs w:val="19"/>
        </w:rPr>
        <w:t>a)  锈蚀病害；</w:t>
      </w:r>
    </w:p>
    <w:p>
      <w:pPr>
        <w:spacing w:before="52" w:line="320" w:lineRule="exact"/>
        <w:ind w:left="425"/>
        <w:rPr>
          <w:rFonts w:ascii="SimSun" w:eastAsia="SimSun" w:hAnsi="SimSun" w:cs="SimSun"/>
          <w:sz w:val="19"/>
          <w:szCs w:val="19"/>
        </w:rPr>
      </w:pPr>
      <w:r>
        <w:rPr>
          <w:rFonts w:ascii="Times New Roman" w:eastAsia="Times New Roman" w:hAnsi="Times New Roman" w:cs="Times New Roman"/>
          <w:spacing w:val="12"/>
          <w:position w:val="10"/>
          <w:sz w:val="19"/>
          <w:szCs w:val="19"/>
        </w:rPr>
        <w:t>b)</w:t>
      </w:r>
      <w:r>
        <w:rPr>
          <w:rFonts w:ascii="Times New Roman" w:eastAsia="Times New Roman" w:hAnsi="Times New Roman" w:cs="Times New Roman"/>
          <w:spacing w:val="2"/>
          <w:position w:val="10"/>
          <w:sz w:val="19"/>
          <w:szCs w:val="19"/>
        </w:rPr>
        <w:t xml:space="preserve">     </w:t>
      </w:r>
      <w:r>
        <w:rPr>
          <w:rFonts w:ascii="SimSun" w:eastAsia="SimSun" w:hAnsi="SimSun" w:cs="SimSun"/>
          <w:spacing w:val="12"/>
          <w:position w:val="10"/>
          <w:sz w:val="19"/>
          <w:szCs w:val="19"/>
        </w:rPr>
        <w:t>焊缝或母材的疲劳开裂；</w:t>
      </w:r>
    </w:p>
    <w:p>
      <w:pPr>
        <w:spacing w:line="212" w:lineRule="auto"/>
        <w:ind w:left="425"/>
        <w:rPr>
          <w:rFonts w:ascii="SimSun" w:eastAsia="SimSun" w:hAnsi="SimSun" w:cs="SimSun"/>
          <w:sz w:val="19"/>
          <w:szCs w:val="19"/>
        </w:rPr>
      </w:pPr>
      <w:r>
        <w:rPr>
          <w:rFonts w:ascii="Times New Roman" w:eastAsia="Times New Roman" w:hAnsi="Times New Roman" w:cs="Times New Roman"/>
          <w:spacing w:val="4"/>
          <w:sz w:val="19"/>
          <w:szCs w:val="19"/>
        </w:rPr>
        <w:t xml:space="preserve">c)     </w:t>
      </w:r>
      <w:r>
        <w:rPr>
          <w:rFonts w:ascii="SimSun" w:eastAsia="SimSun" w:hAnsi="SimSun" w:cs="SimSun"/>
          <w:spacing w:val="4"/>
          <w:sz w:val="19"/>
          <w:szCs w:val="19"/>
        </w:rPr>
        <w:t>螺栓断裂、松动或脱落。</w:t>
      </w:r>
    </w:p>
    <w:p>
      <w:pPr>
        <w:spacing w:before="103" w:line="267" w:lineRule="auto"/>
        <w:ind w:left="4"/>
        <w:rPr>
          <w:rFonts w:ascii="SimSun" w:eastAsia="SimSun" w:hAnsi="SimSun" w:cs="SimSun"/>
          <w:sz w:val="19"/>
          <w:szCs w:val="19"/>
        </w:rPr>
      </w:pPr>
      <w:r>
        <w:rPr>
          <w:rFonts w:ascii="SimSun" w:eastAsia="SimSun" w:hAnsi="SimSun" w:cs="SimSun"/>
          <w:spacing w:val="14"/>
          <w:sz w:val="19"/>
          <w:szCs w:val="19"/>
        </w:rPr>
        <w:t>4.5</w:t>
      </w:r>
      <w:r>
        <w:rPr>
          <w:rFonts w:ascii="SimSun" w:eastAsia="SimSun" w:hAnsi="SimSun" w:cs="SimSun"/>
          <w:spacing w:val="5"/>
          <w:sz w:val="19"/>
          <w:szCs w:val="19"/>
        </w:rPr>
        <w:t xml:space="preserve">  </w:t>
      </w:r>
      <w:r>
        <w:rPr>
          <w:rFonts w:ascii="SimSun" w:eastAsia="SimSun" w:hAnsi="SimSun" w:cs="SimSun"/>
          <w:spacing w:val="14"/>
          <w:sz w:val="19"/>
          <w:szCs w:val="19"/>
        </w:rPr>
        <w:t>应根据桥梁结构与运营环境特征确定公路</w:t>
      </w:r>
      <w:r>
        <w:rPr>
          <w:rFonts w:ascii="SimSun" w:eastAsia="SimSun" w:hAnsi="SimSun" w:cs="SimSun"/>
          <w:spacing w:val="13"/>
          <w:sz w:val="19"/>
          <w:szCs w:val="19"/>
        </w:rPr>
        <w:t>钢梁桥的病害重点部位，在养护工作中加强关注，锈蚀与</w:t>
      </w:r>
      <w:r>
        <w:rPr>
          <w:rFonts w:ascii="SimSun" w:eastAsia="SimSun" w:hAnsi="SimSun" w:cs="SimSun"/>
          <w:sz w:val="19"/>
          <w:szCs w:val="19"/>
        </w:rPr>
        <w:t xml:space="preserve"> </w:t>
      </w:r>
      <w:r>
        <w:rPr>
          <w:rFonts w:ascii="SimSun" w:eastAsia="SimSun" w:hAnsi="SimSun" w:cs="SimSun"/>
          <w:spacing w:val="17"/>
          <w:sz w:val="19"/>
          <w:szCs w:val="19"/>
        </w:rPr>
        <w:t>疲劳病害重点部位见表1,病害重点部位分布图例见附录</w:t>
      </w:r>
      <w:r>
        <w:rPr>
          <w:rFonts w:ascii="SimSun" w:eastAsia="SimSun" w:hAnsi="SimSun" w:cs="SimSun"/>
          <w:spacing w:val="-27"/>
          <w:sz w:val="19"/>
          <w:szCs w:val="19"/>
        </w:rPr>
        <w:t xml:space="preserve"> </w:t>
      </w:r>
      <w:r>
        <w:rPr>
          <w:rFonts w:ascii="Times New Roman" w:eastAsia="Times New Roman" w:hAnsi="Times New Roman" w:cs="Times New Roman"/>
          <w:spacing w:val="17"/>
          <w:sz w:val="19"/>
          <w:szCs w:val="19"/>
        </w:rPr>
        <w:t>A</w:t>
      </w:r>
      <w:r>
        <w:rPr>
          <w:rFonts w:ascii="SimSun" w:eastAsia="SimSun" w:hAnsi="SimSun" w:cs="SimSun"/>
          <w:spacing w:val="17"/>
          <w:sz w:val="19"/>
          <w:szCs w:val="19"/>
        </w:rPr>
        <w:t>。</w:t>
      </w:r>
    </w:p>
    <w:p>
      <w:pPr>
        <w:pStyle w:val="BodyText"/>
        <w:spacing w:before="236" w:line="221" w:lineRule="auto"/>
        <w:ind w:left="2817"/>
        <w:rPr>
          <w:sz w:val="19"/>
          <w:szCs w:val="19"/>
        </w:rPr>
      </w:pPr>
      <w:r>
        <w:rPr>
          <w:b/>
          <w:bCs/>
          <w:spacing w:val="12"/>
          <w:sz w:val="19"/>
          <w:szCs w:val="19"/>
        </w:rPr>
        <w:t>表</w:t>
      </w:r>
      <w:r>
        <w:rPr>
          <w:spacing w:val="12"/>
          <w:sz w:val="19"/>
          <w:szCs w:val="19"/>
        </w:rPr>
        <w:t xml:space="preserve"> </w:t>
      </w:r>
      <w:r>
        <w:rPr>
          <w:b/>
          <w:bCs/>
          <w:spacing w:val="12"/>
          <w:sz w:val="19"/>
          <w:szCs w:val="19"/>
        </w:rPr>
        <w:t>1</w:t>
      </w:r>
      <w:r>
        <w:rPr>
          <w:spacing w:val="97"/>
          <w:sz w:val="19"/>
          <w:szCs w:val="19"/>
        </w:rPr>
        <w:t xml:space="preserve"> </w:t>
      </w:r>
      <w:r>
        <w:rPr>
          <w:b/>
          <w:bCs/>
          <w:spacing w:val="12"/>
          <w:sz w:val="19"/>
          <w:szCs w:val="19"/>
        </w:rPr>
        <w:t>各类桥型锈蚀与疲劳病害重点部位</w:t>
      </w:r>
    </w:p>
    <w:tbl>
      <w:tblPr>
        <w:tblStyle w:val="TableNormal0"/>
        <w:tblW w:w="92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4"/>
        <w:gridCol w:w="1049"/>
        <w:gridCol w:w="2527"/>
        <w:gridCol w:w="4660"/>
      </w:tblGrid>
      <w:tr>
        <w:tblPrEx>
          <w:tblW w:w="92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5"/>
        </w:trPr>
        <w:tc>
          <w:tcPr>
            <w:tcW w:w="1034" w:type="dxa"/>
            <w:vAlign w:val="top"/>
          </w:tcPr>
          <w:p>
            <w:pPr>
              <w:pStyle w:val="TableText"/>
              <w:spacing w:before="92" w:line="219" w:lineRule="auto"/>
              <w:ind w:left="165"/>
            </w:pPr>
            <w:r>
              <w:rPr>
                <w:spacing w:val="-2"/>
              </w:rPr>
              <w:t>主梁类型</w:t>
            </w:r>
          </w:p>
        </w:tc>
        <w:tc>
          <w:tcPr>
            <w:tcW w:w="1049" w:type="dxa"/>
            <w:vAlign w:val="top"/>
          </w:tcPr>
          <w:p>
            <w:pPr>
              <w:pStyle w:val="TableText"/>
              <w:spacing w:before="92" w:line="219" w:lineRule="auto"/>
              <w:ind w:left="171"/>
            </w:pPr>
            <w:r>
              <w:rPr>
                <w:spacing w:val="-2"/>
              </w:rPr>
              <w:t>病害类型</w:t>
            </w:r>
          </w:p>
        </w:tc>
        <w:tc>
          <w:tcPr>
            <w:tcW w:w="2527" w:type="dxa"/>
            <w:vAlign w:val="top"/>
          </w:tcPr>
          <w:p>
            <w:pPr>
              <w:pStyle w:val="TableText"/>
              <w:spacing w:before="92" w:line="219" w:lineRule="auto"/>
              <w:ind w:left="1082"/>
            </w:pPr>
            <w:r>
              <w:rPr>
                <w:spacing w:val="-3"/>
              </w:rPr>
              <w:t>部位</w:t>
            </w:r>
          </w:p>
        </w:tc>
        <w:tc>
          <w:tcPr>
            <w:tcW w:w="4660" w:type="dxa"/>
            <w:vAlign w:val="top"/>
          </w:tcPr>
          <w:p>
            <w:pPr>
              <w:pStyle w:val="TableText"/>
              <w:spacing w:before="92" w:line="219" w:lineRule="auto"/>
              <w:ind w:left="1895"/>
            </w:pPr>
            <w:r>
              <w:rPr>
                <w:spacing w:val="-2"/>
              </w:rPr>
              <w:t>构件或细节</w:t>
            </w:r>
          </w:p>
        </w:tc>
      </w:tr>
      <w:tr>
        <w:tblPrEx>
          <w:tblW w:w="9270" w:type="dxa"/>
          <w:tblInd w:w="5" w:type="dxa"/>
          <w:tblLayout w:type="fixed"/>
        </w:tblPrEx>
        <w:trPr>
          <w:trHeight w:val="369"/>
        </w:trPr>
        <w:tc>
          <w:tcPr>
            <w:tcW w:w="1034" w:type="dxa"/>
            <w:vMerge w:val="restart"/>
            <w:tcBorders>
              <w:bottom w:val="nil"/>
            </w:tcBorders>
            <w:vAlign w:val="top"/>
          </w:tcPr>
          <w:p>
            <w:pPr>
              <w:spacing w:line="314" w:lineRule="auto"/>
              <w:rPr>
                <w:rFonts w:ascii="Arial"/>
                <w:sz w:val="21"/>
              </w:rPr>
            </w:pPr>
          </w:p>
          <w:p>
            <w:pPr>
              <w:spacing w:line="315" w:lineRule="auto"/>
              <w:rPr>
                <w:rFonts w:ascii="Arial"/>
                <w:sz w:val="21"/>
              </w:rPr>
            </w:pPr>
          </w:p>
          <w:p>
            <w:pPr>
              <w:spacing w:line="315" w:lineRule="auto"/>
              <w:rPr>
                <w:rFonts w:ascii="Arial"/>
                <w:sz w:val="21"/>
              </w:rPr>
            </w:pPr>
          </w:p>
          <w:p>
            <w:pPr>
              <w:pStyle w:val="TableText"/>
              <w:spacing w:before="56" w:line="219" w:lineRule="auto"/>
              <w:ind w:left="255"/>
            </w:pPr>
            <w:r>
              <w:rPr>
                <w:spacing w:val="-2"/>
              </w:rPr>
              <w:t>钢板梁</w:t>
            </w:r>
          </w:p>
        </w:tc>
        <w:tc>
          <w:tcPr>
            <w:tcW w:w="1049" w:type="dxa"/>
            <w:vMerge w:val="restart"/>
            <w:tcBorders>
              <w:bottom w:val="nil"/>
            </w:tcBorders>
            <w:vAlign w:val="top"/>
          </w:tcPr>
          <w:p>
            <w:pPr>
              <w:spacing w:line="411" w:lineRule="auto"/>
              <w:rPr>
                <w:rFonts w:ascii="Arial"/>
                <w:sz w:val="21"/>
              </w:rPr>
            </w:pPr>
          </w:p>
          <w:p>
            <w:pPr>
              <w:pStyle w:val="TableText"/>
              <w:spacing w:before="56" w:line="222" w:lineRule="auto"/>
              <w:ind w:left="341"/>
            </w:pPr>
            <w:r>
              <w:rPr>
                <w:spacing w:val="-2"/>
              </w:rPr>
              <w:t>锈蚀</w:t>
            </w:r>
          </w:p>
        </w:tc>
        <w:tc>
          <w:tcPr>
            <w:tcW w:w="2527" w:type="dxa"/>
            <w:vAlign w:val="top"/>
          </w:tcPr>
          <w:p>
            <w:pPr>
              <w:pStyle w:val="TableText"/>
              <w:spacing w:before="97" w:line="219" w:lineRule="auto"/>
              <w:ind w:left="832"/>
            </w:pPr>
            <w:r>
              <w:rPr>
                <w:spacing w:val="-2"/>
              </w:rPr>
              <w:t>支承端主梁</w:t>
            </w:r>
          </w:p>
        </w:tc>
        <w:tc>
          <w:tcPr>
            <w:tcW w:w="4660" w:type="dxa"/>
            <w:vAlign w:val="top"/>
          </w:tcPr>
          <w:p>
            <w:pPr>
              <w:pStyle w:val="TableText"/>
              <w:spacing w:before="96" w:line="219" w:lineRule="auto"/>
              <w:ind w:left="1215"/>
            </w:pPr>
            <w:r>
              <w:rPr>
                <w:spacing w:val="-1"/>
              </w:rPr>
              <w:t>加劲肋、腹板与翼缘连接部位</w:t>
            </w:r>
          </w:p>
        </w:tc>
      </w:tr>
      <w:tr>
        <w:tblPrEx>
          <w:tblW w:w="9270" w:type="dxa"/>
          <w:tblInd w:w="5" w:type="dxa"/>
          <w:tblLayout w:type="fixed"/>
        </w:tblPrEx>
        <w:trPr>
          <w:trHeight w:val="340"/>
        </w:trPr>
        <w:tc>
          <w:tcPr>
            <w:tcW w:w="1034" w:type="dxa"/>
            <w:vMerge/>
            <w:tcBorders>
              <w:top w:val="nil"/>
              <w:bottom w:val="nil"/>
            </w:tcBorders>
            <w:vAlign w:val="top"/>
          </w:tcPr>
          <w:p>
            <w:pPr>
              <w:rPr>
                <w:rFonts w:ascii="Arial"/>
                <w:sz w:val="21"/>
              </w:rPr>
            </w:pPr>
          </w:p>
        </w:tc>
        <w:tc>
          <w:tcPr>
            <w:tcW w:w="1049" w:type="dxa"/>
            <w:vMerge/>
            <w:tcBorders>
              <w:top w:val="nil"/>
              <w:bottom w:val="nil"/>
            </w:tcBorders>
            <w:vAlign w:val="top"/>
          </w:tcPr>
          <w:p>
            <w:pPr>
              <w:rPr>
                <w:rFonts w:ascii="Arial"/>
                <w:sz w:val="21"/>
              </w:rPr>
            </w:pPr>
          </w:p>
        </w:tc>
        <w:tc>
          <w:tcPr>
            <w:tcW w:w="2527" w:type="dxa"/>
            <w:vAlign w:val="top"/>
          </w:tcPr>
          <w:p>
            <w:pPr>
              <w:pStyle w:val="TableText"/>
              <w:spacing w:before="88" w:line="219" w:lineRule="auto"/>
              <w:ind w:left="742"/>
            </w:pPr>
            <w:r>
              <w:rPr>
                <w:spacing w:val="-2"/>
              </w:rPr>
              <w:t>非支承端主梁</w:t>
            </w:r>
          </w:p>
        </w:tc>
        <w:tc>
          <w:tcPr>
            <w:tcW w:w="4660" w:type="dxa"/>
            <w:vAlign w:val="top"/>
          </w:tcPr>
          <w:p>
            <w:pPr>
              <w:pStyle w:val="TableText"/>
              <w:spacing w:before="88" w:line="220" w:lineRule="auto"/>
              <w:ind w:left="1385"/>
            </w:pPr>
            <w:r>
              <w:rPr>
                <w:spacing w:val="1"/>
              </w:rPr>
              <w:t>下冀缘上下表面、联结系</w:t>
            </w:r>
          </w:p>
        </w:tc>
      </w:tr>
      <w:tr>
        <w:tblPrEx>
          <w:tblW w:w="9270" w:type="dxa"/>
          <w:tblInd w:w="5" w:type="dxa"/>
          <w:tblLayout w:type="fixed"/>
        </w:tblPrEx>
        <w:trPr>
          <w:trHeight w:val="369"/>
        </w:trPr>
        <w:tc>
          <w:tcPr>
            <w:tcW w:w="1034" w:type="dxa"/>
            <w:vMerge/>
            <w:tcBorders>
              <w:top w:val="nil"/>
              <w:bottom w:val="nil"/>
            </w:tcBorders>
            <w:vAlign w:val="top"/>
          </w:tcPr>
          <w:p>
            <w:pPr>
              <w:rPr>
                <w:rFonts w:ascii="Arial"/>
                <w:sz w:val="21"/>
              </w:rPr>
            </w:pPr>
          </w:p>
        </w:tc>
        <w:tc>
          <w:tcPr>
            <w:tcW w:w="1049" w:type="dxa"/>
            <w:vMerge/>
            <w:tcBorders>
              <w:top w:val="nil"/>
            </w:tcBorders>
            <w:vAlign w:val="top"/>
          </w:tcPr>
          <w:p>
            <w:pPr>
              <w:rPr>
                <w:rFonts w:ascii="Arial"/>
                <w:sz w:val="21"/>
              </w:rPr>
            </w:pPr>
          </w:p>
        </w:tc>
        <w:tc>
          <w:tcPr>
            <w:tcW w:w="2527" w:type="dxa"/>
            <w:vAlign w:val="top"/>
          </w:tcPr>
          <w:p>
            <w:pPr>
              <w:pStyle w:val="TableText"/>
              <w:spacing w:before="98" w:line="219" w:lineRule="auto"/>
              <w:ind w:left="742"/>
            </w:pPr>
            <w:r>
              <w:rPr>
                <w:spacing w:val="-2"/>
              </w:rPr>
              <w:t>构件密集区域</w:t>
            </w:r>
          </w:p>
        </w:tc>
        <w:tc>
          <w:tcPr>
            <w:tcW w:w="4660" w:type="dxa"/>
            <w:vAlign w:val="top"/>
          </w:tcPr>
          <w:p>
            <w:pPr>
              <w:pStyle w:val="TableText"/>
              <w:spacing w:before="98" w:line="219" w:lineRule="auto"/>
              <w:ind w:left="1385"/>
            </w:pPr>
            <w:r>
              <w:rPr>
                <w:spacing w:val="-1"/>
              </w:rPr>
              <w:t>狭小空间内的钢构件表面</w:t>
            </w:r>
          </w:p>
        </w:tc>
      </w:tr>
      <w:tr>
        <w:tblPrEx>
          <w:tblW w:w="9270" w:type="dxa"/>
          <w:tblInd w:w="5" w:type="dxa"/>
          <w:tblLayout w:type="fixed"/>
        </w:tblPrEx>
        <w:trPr>
          <w:trHeight w:val="349"/>
        </w:trPr>
        <w:tc>
          <w:tcPr>
            <w:tcW w:w="1034" w:type="dxa"/>
            <w:vMerge/>
            <w:tcBorders>
              <w:top w:val="nil"/>
              <w:bottom w:val="nil"/>
            </w:tcBorders>
            <w:vAlign w:val="top"/>
          </w:tcPr>
          <w:p>
            <w:pPr>
              <w:rPr>
                <w:rFonts w:ascii="Arial"/>
                <w:sz w:val="21"/>
              </w:rPr>
            </w:pPr>
          </w:p>
        </w:tc>
        <w:tc>
          <w:tcPr>
            <w:tcW w:w="1049" w:type="dxa"/>
            <w:vMerge w:val="restart"/>
            <w:tcBorders>
              <w:bottom w:val="nil"/>
            </w:tcBorders>
            <w:vAlign w:val="top"/>
          </w:tcPr>
          <w:p>
            <w:pPr>
              <w:spacing w:line="401" w:lineRule="auto"/>
              <w:rPr>
                <w:rFonts w:ascii="Arial"/>
                <w:sz w:val="21"/>
              </w:rPr>
            </w:pPr>
          </w:p>
          <w:p>
            <w:pPr>
              <w:pStyle w:val="TableText"/>
              <w:spacing w:before="55" w:line="219" w:lineRule="auto"/>
              <w:ind w:left="341"/>
            </w:pPr>
            <w:r>
              <w:rPr>
                <w:spacing w:val="-2"/>
              </w:rPr>
              <w:t>疲劳</w:t>
            </w:r>
          </w:p>
        </w:tc>
        <w:tc>
          <w:tcPr>
            <w:tcW w:w="2527" w:type="dxa"/>
            <w:vAlign w:val="top"/>
          </w:tcPr>
          <w:p>
            <w:pPr>
              <w:pStyle w:val="TableText"/>
              <w:spacing w:before="89" w:line="219" w:lineRule="auto"/>
              <w:ind w:left="832"/>
            </w:pPr>
            <w:r>
              <w:rPr>
                <w:spacing w:val="-2"/>
              </w:rPr>
              <w:t>支承端主梁</w:t>
            </w:r>
          </w:p>
        </w:tc>
        <w:tc>
          <w:tcPr>
            <w:tcW w:w="4660" w:type="dxa"/>
            <w:vAlign w:val="top"/>
          </w:tcPr>
          <w:p>
            <w:pPr>
              <w:pStyle w:val="TableText"/>
              <w:spacing w:before="89" w:line="219" w:lineRule="auto"/>
              <w:ind w:left="1475"/>
            </w:pPr>
            <w:r>
              <w:rPr>
                <w:spacing w:val="-1"/>
              </w:rPr>
              <w:t>各构件连接焊缝、螺栓</w:t>
            </w:r>
          </w:p>
        </w:tc>
      </w:tr>
      <w:tr>
        <w:tblPrEx>
          <w:tblW w:w="9270" w:type="dxa"/>
          <w:tblInd w:w="5" w:type="dxa"/>
          <w:tblLayout w:type="fixed"/>
        </w:tblPrEx>
        <w:trPr>
          <w:trHeight w:val="360"/>
        </w:trPr>
        <w:tc>
          <w:tcPr>
            <w:tcW w:w="1034" w:type="dxa"/>
            <w:vMerge/>
            <w:tcBorders>
              <w:top w:val="nil"/>
              <w:bottom w:val="nil"/>
            </w:tcBorders>
            <w:vAlign w:val="top"/>
          </w:tcPr>
          <w:p>
            <w:pPr>
              <w:rPr>
                <w:rFonts w:ascii="Arial"/>
                <w:sz w:val="21"/>
              </w:rPr>
            </w:pPr>
          </w:p>
        </w:tc>
        <w:tc>
          <w:tcPr>
            <w:tcW w:w="1049" w:type="dxa"/>
            <w:vMerge/>
            <w:tcBorders>
              <w:top w:val="nil"/>
              <w:bottom w:val="nil"/>
            </w:tcBorders>
            <w:vAlign w:val="top"/>
          </w:tcPr>
          <w:p>
            <w:pPr>
              <w:rPr>
                <w:rFonts w:ascii="Arial"/>
                <w:sz w:val="21"/>
              </w:rPr>
            </w:pPr>
          </w:p>
        </w:tc>
        <w:tc>
          <w:tcPr>
            <w:tcW w:w="2527" w:type="dxa"/>
            <w:vAlign w:val="top"/>
          </w:tcPr>
          <w:p>
            <w:pPr>
              <w:pStyle w:val="TableText"/>
              <w:spacing w:before="100" w:line="219" w:lineRule="auto"/>
              <w:ind w:left="402"/>
            </w:pPr>
            <w:r>
              <w:rPr>
                <w:spacing w:val="-1"/>
              </w:rPr>
              <w:t>非支承端带联结系主梁</w:t>
            </w:r>
          </w:p>
        </w:tc>
        <w:tc>
          <w:tcPr>
            <w:tcW w:w="4660" w:type="dxa"/>
            <w:vAlign w:val="top"/>
          </w:tcPr>
          <w:p>
            <w:pPr>
              <w:pStyle w:val="TableText"/>
              <w:spacing w:before="99" w:line="219" w:lineRule="auto"/>
              <w:ind w:left="795"/>
            </w:pPr>
            <w:r>
              <w:rPr>
                <w:spacing w:val="-1"/>
              </w:rPr>
              <w:t>腹板与竖向加劲肋焊缝、腹板与翼缘焊缝</w:t>
            </w:r>
          </w:p>
        </w:tc>
      </w:tr>
      <w:tr>
        <w:tblPrEx>
          <w:tblW w:w="9270" w:type="dxa"/>
          <w:tblInd w:w="5" w:type="dxa"/>
          <w:tblLayout w:type="fixed"/>
        </w:tblPrEx>
        <w:trPr>
          <w:trHeight w:val="349"/>
        </w:trPr>
        <w:tc>
          <w:tcPr>
            <w:tcW w:w="1034" w:type="dxa"/>
            <w:vMerge/>
            <w:tcBorders>
              <w:top w:val="nil"/>
            </w:tcBorders>
            <w:vAlign w:val="top"/>
          </w:tcPr>
          <w:p>
            <w:pPr>
              <w:rPr>
                <w:rFonts w:ascii="Arial"/>
                <w:sz w:val="21"/>
              </w:rPr>
            </w:pPr>
          </w:p>
        </w:tc>
        <w:tc>
          <w:tcPr>
            <w:tcW w:w="1049" w:type="dxa"/>
            <w:vMerge/>
            <w:tcBorders>
              <w:top w:val="nil"/>
            </w:tcBorders>
            <w:vAlign w:val="top"/>
          </w:tcPr>
          <w:p>
            <w:pPr>
              <w:rPr>
                <w:rFonts w:ascii="Arial"/>
                <w:sz w:val="21"/>
              </w:rPr>
            </w:pPr>
          </w:p>
        </w:tc>
        <w:tc>
          <w:tcPr>
            <w:tcW w:w="2527" w:type="dxa"/>
            <w:vAlign w:val="top"/>
          </w:tcPr>
          <w:p>
            <w:pPr>
              <w:pStyle w:val="TableText"/>
              <w:spacing w:before="90" w:line="219" w:lineRule="auto"/>
              <w:ind w:left="402"/>
            </w:pPr>
            <w:r>
              <w:rPr>
                <w:spacing w:val="-1"/>
              </w:rPr>
              <w:t>非支承端无联结系主梁</w:t>
            </w:r>
          </w:p>
        </w:tc>
        <w:tc>
          <w:tcPr>
            <w:tcW w:w="4660" w:type="dxa"/>
            <w:vAlign w:val="top"/>
          </w:tcPr>
          <w:p>
            <w:pPr>
              <w:pStyle w:val="TableText"/>
              <w:spacing w:before="89" w:line="219" w:lineRule="auto"/>
              <w:ind w:left="795"/>
            </w:pPr>
            <w:r>
              <w:rPr>
                <w:spacing w:val="-1"/>
              </w:rPr>
              <w:t>腹板与纵向加劲肋焊缝、腹板与翼缘焊缝</w:t>
            </w:r>
          </w:p>
        </w:tc>
      </w:tr>
      <w:tr>
        <w:tblPrEx>
          <w:tblW w:w="9270" w:type="dxa"/>
          <w:tblInd w:w="5" w:type="dxa"/>
          <w:tblLayout w:type="fixed"/>
        </w:tblPrEx>
        <w:trPr>
          <w:trHeight w:val="360"/>
        </w:trPr>
        <w:tc>
          <w:tcPr>
            <w:tcW w:w="1034" w:type="dxa"/>
            <w:vMerge w:val="restart"/>
            <w:tcBorders>
              <w:bottom w:val="nil"/>
            </w:tcBorders>
            <w:vAlign w:val="top"/>
          </w:tcPr>
          <w:p>
            <w:pPr>
              <w:spacing w:line="316" w:lineRule="auto"/>
              <w:rPr>
                <w:rFonts w:ascii="Arial"/>
                <w:sz w:val="21"/>
              </w:rPr>
            </w:pPr>
          </w:p>
          <w:p>
            <w:pPr>
              <w:spacing w:line="316" w:lineRule="auto"/>
              <w:rPr>
                <w:rFonts w:ascii="Arial"/>
                <w:sz w:val="21"/>
              </w:rPr>
            </w:pPr>
          </w:p>
          <w:p>
            <w:pPr>
              <w:spacing w:line="316" w:lineRule="auto"/>
              <w:rPr>
                <w:rFonts w:ascii="Arial"/>
                <w:sz w:val="21"/>
              </w:rPr>
            </w:pPr>
          </w:p>
          <w:p>
            <w:pPr>
              <w:pStyle w:val="TableText"/>
              <w:spacing w:before="56" w:line="219" w:lineRule="auto"/>
              <w:ind w:left="255"/>
            </w:pPr>
            <w:r>
              <w:rPr>
                <w:spacing w:val="-2"/>
              </w:rPr>
              <w:t>钢桁梁</w:t>
            </w:r>
          </w:p>
        </w:tc>
        <w:tc>
          <w:tcPr>
            <w:tcW w:w="1049" w:type="dxa"/>
            <w:vMerge w:val="restart"/>
            <w:tcBorders>
              <w:bottom w:val="nil"/>
            </w:tcBorders>
            <w:vAlign w:val="top"/>
          </w:tcPr>
          <w:p>
            <w:pPr>
              <w:spacing w:line="416" w:lineRule="auto"/>
              <w:rPr>
                <w:rFonts w:ascii="Arial"/>
                <w:sz w:val="21"/>
              </w:rPr>
            </w:pPr>
          </w:p>
          <w:p>
            <w:pPr>
              <w:pStyle w:val="TableText"/>
              <w:spacing w:before="55" w:line="222" w:lineRule="auto"/>
              <w:ind w:left="341"/>
            </w:pPr>
            <w:r>
              <w:rPr>
                <w:spacing w:val="-2"/>
              </w:rPr>
              <w:t>锈蚀</w:t>
            </w:r>
          </w:p>
        </w:tc>
        <w:tc>
          <w:tcPr>
            <w:tcW w:w="2527" w:type="dxa"/>
            <w:vAlign w:val="top"/>
          </w:tcPr>
          <w:p>
            <w:pPr>
              <w:pStyle w:val="TableText"/>
              <w:spacing w:before="101" w:line="219" w:lineRule="auto"/>
              <w:ind w:left="492"/>
            </w:pPr>
            <w:r>
              <w:rPr>
                <w:spacing w:val="-1"/>
              </w:rPr>
              <w:t>腹杆与弦杆连接部位</w:t>
            </w:r>
          </w:p>
        </w:tc>
        <w:tc>
          <w:tcPr>
            <w:tcW w:w="4660" w:type="dxa"/>
            <w:vAlign w:val="top"/>
          </w:tcPr>
          <w:p>
            <w:pPr>
              <w:pStyle w:val="TableText"/>
              <w:spacing w:before="99" w:line="219" w:lineRule="auto"/>
              <w:ind w:left="705"/>
            </w:pPr>
            <w:r>
              <w:rPr>
                <w:spacing w:val="-1"/>
              </w:rPr>
              <w:t>节点板、节点板与腹杆接触面、弦杆、螺栓</w:t>
            </w:r>
          </w:p>
        </w:tc>
      </w:tr>
      <w:tr>
        <w:tblPrEx>
          <w:tblW w:w="9270" w:type="dxa"/>
          <w:tblInd w:w="5" w:type="dxa"/>
          <w:tblLayout w:type="fixed"/>
        </w:tblPrEx>
        <w:trPr>
          <w:trHeight w:val="349"/>
        </w:trPr>
        <w:tc>
          <w:tcPr>
            <w:tcW w:w="1034" w:type="dxa"/>
            <w:vMerge/>
            <w:tcBorders>
              <w:top w:val="nil"/>
              <w:bottom w:val="nil"/>
            </w:tcBorders>
            <w:vAlign w:val="top"/>
          </w:tcPr>
          <w:p>
            <w:pPr>
              <w:rPr>
                <w:rFonts w:ascii="Arial"/>
                <w:sz w:val="21"/>
              </w:rPr>
            </w:pPr>
          </w:p>
        </w:tc>
        <w:tc>
          <w:tcPr>
            <w:tcW w:w="1049" w:type="dxa"/>
            <w:vMerge/>
            <w:tcBorders>
              <w:top w:val="nil"/>
              <w:bottom w:val="nil"/>
            </w:tcBorders>
            <w:vAlign w:val="top"/>
          </w:tcPr>
          <w:p>
            <w:pPr>
              <w:rPr>
                <w:rFonts w:ascii="Arial"/>
                <w:sz w:val="21"/>
              </w:rPr>
            </w:pPr>
          </w:p>
        </w:tc>
        <w:tc>
          <w:tcPr>
            <w:tcW w:w="2527" w:type="dxa"/>
            <w:vAlign w:val="top"/>
          </w:tcPr>
          <w:p>
            <w:pPr>
              <w:pStyle w:val="TableText"/>
              <w:spacing w:before="91" w:line="219" w:lineRule="auto"/>
              <w:ind w:left="492"/>
            </w:pPr>
            <w:r>
              <w:rPr>
                <w:spacing w:val="-1"/>
              </w:rPr>
              <w:t>纵梁与横梁连接部位</w:t>
            </w:r>
          </w:p>
        </w:tc>
        <w:tc>
          <w:tcPr>
            <w:tcW w:w="4660" w:type="dxa"/>
            <w:vAlign w:val="top"/>
          </w:tcPr>
          <w:p>
            <w:pPr>
              <w:pStyle w:val="TableText"/>
              <w:spacing w:before="91" w:line="219" w:lineRule="auto"/>
              <w:ind w:left="1895"/>
            </w:pPr>
            <w:r>
              <w:rPr>
                <w:spacing w:val="-2"/>
              </w:rPr>
              <w:t>纵横梁表面</w:t>
            </w:r>
          </w:p>
        </w:tc>
      </w:tr>
      <w:tr>
        <w:tblPrEx>
          <w:tblW w:w="9270" w:type="dxa"/>
          <w:tblInd w:w="5" w:type="dxa"/>
          <w:tblLayout w:type="fixed"/>
        </w:tblPrEx>
        <w:trPr>
          <w:trHeight w:val="370"/>
        </w:trPr>
        <w:tc>
          <w:tcPr>
            <w:tcW w:w="1034" w:type="dxa"/>
            <w:vMerge/>
            <w:tcBorders>
              <w:top w:val="nil"/>
              <w:bottom w:val="nil"/>
            </w:tcBorders>
            <w:vAlign w:val="top"/>
          </w:tcPr>
          <w:p>
            <w:pPr>
              <w:rPr>
                <w:rFonts w:ascii="Arial"/>
                <w:sz w:val="21"/>
              </w:rPr>
            </w:pPr>
          </w:p>
        </w:tc>
        <w:tc>
          <w:tcPr>
            <w:tcW w:w="1049" w:type="dxa"/>
            <w:vMerge/>
            <w:tcBorders>
              <w:top w:val="nil"/>
            </w:tcBorders>
            <w:vAlign w:val="top"/>
          </w:tcPr>
          <w:p>
            <w:pPr>
              <w:rPr>
                <w:rFonts w:ascii="Arial"/>
                <w:sz w:val="21"/>
              </w:rPr>
            </w:pPr>
          </w:p>
        </w:tc>
        <w:tc>
          <w:tcPr>
            <w:tcW w:w="2527" w:type="dxa"/>
            <w:vAlign w:val="top"/>
          </w:tcPr>
          <w:p>
            <w:pPr>
              <w:pStyle w:val="TableText"/>
              <w:spacing w:before="101" w:line="219" w:lineRule="auto"/>
              <w:ind w:left="662"/>
            </w:pPr>
            <w:r>
              <w:rPr>
                <w:spacing w:val="-1"/>
              </w:rPr>
              <w:t>伸缩缝下部主梁</w:t>
            </w:r>
          </w:p>
        </w:tc>
        <w:tc>
          <w:tcPr>
            <w:tcW w:w="4660" w:type="dxa"/>
            <w:vAlign w:val="top"/>
          </w:tcPr>
          <w:p>
            <w:pPr>
              <w:pStyle w:val="TableText"/>
              <w:spacing w:before="102" w:line="219" w:lineRule="auto"/>
              <w:ind w:left="1555"/>
            </w:pPr>
            <w:r>
              <w:rPr>
                <w:spacing w:val="-1"/>
              </w:rPr>
              <w:t>端横梁、下弦杆端部</w:t>
            </w:r>
          </w:p>
        </w:tc>
      </w:tr>
      <w:tr>
        <w:tblPrEx>
          <w:tblW w:w="9270" w:type="dxa"/>
          <w:tblInd w:w="5" w:type="dxa"/>
          <w:tblLayout w:type="fixed"/>
        </w:tblPrEx>
        <w:trPr>
          <w:trHeight w:val="339"/>
        </w:trPr>
        <w:tc>
          <w:tcPr>
            <w:tcW w:w="1034" w:type="dxa"/>
            <w:vMerge/>
            <w:tcBorders>
              <w:top w:val="nil"/>
              <w:bottom w:val="nil"/>
            </w:tcBorders>
            <w:vAlign w:val="top"/>
          </w:tcPr>
          <w:p>
            <w:pPr>
              <w:rPr>
                <w:rFonts w:ascii="Arial"/>
                <w:sz w:val="21"/>
              </w:rPr>
            </w:pPr>
          </w:p>
        </w:tc>
        <w:tc>
          <w:tcPr>
            <w:tcW w:w="1049" w:type="dxa"/>
            <w:vMerge w:val="restart"/>
            <w:tcBorders>
              <w:bottom w:val="nil"/>
            </w:tcBorders>
            <w:vAlign w:val="top"/>
          </w:tcPr>
          <w:p>
            <w:pPr>
              <w:spacing w:line="404" w:lineRule="auto"/>
              <w:rPr>
                <w:rFonts w:ascii="Arial"/>
                <w:sz w:val="21"/>
              </w:rPr>
            </w:pPr>
          </w:p>
          <w:p>
            <w:pPr>
              <w:pStyle w:val="TableText"/>
              <w:spacing w:before="55" w:line="219" w:lineRule="auto"/>
              <w:ind w:left="341"/>
            </w:pPr>
            <w:r>
              <w:rPr>
                <w:spacing w:val="-2"/>
              </w:rPr>
              <w:t>疲劳</w:t>
            </w:r>
          </w:p>
        </w:tc>
        <w:tc>
          <w:tcPr>
            <w:tcW w:w="2527" w:type="dxa"/>
            <w:vAlign w:val="top"/>
          </w:tcPr>
          <w:p>
            <w:pPr>
              <w:pStyle w:val="TableText"/>
              <w:spacing w:before="92" w:line="219" w:lineRule="auto"/>
              <w:ind w:left="492"/>
            </w:pPr>
            <w:r>
              <w:rPr>
                <w:spacing w:val="-1"/>
              </w:rPr>
              <w:t>横梁与弦杆连接部位</w:t>
            </w:r>
          </w:p>
        </w:tc>
        <w:tc>
          <w:tcPr>
            <w:tcW w:w="4660" w:type="dxa"/>
            <w:vAlign w:val="top"/>
          </w:tcPr>
          <w:p>
            <w:pPr>
              <w:pStyle w:val="TableText"/>
              <w:spacing w:before="91" w:line="219" w:lineRule="auto"/>
              <w:ind w:left="705"/>
            </w:pPr>
            <w:r>
              <w:rPr>
                <w:spacing w:val="-1"/>
              </w:rPr>
              <w:t>横梁翼缘与腹板连接焊缝及切口，连接角钢</w:t>
            </w:r>
          </w:p>
        </w:tc>
      </w:tr>
      <w:tr>
        <w:tblPrEx>
          <w:tblW w:w="9270" w:type="dxa"/>
          <w:tblInd w:w="5" w:type="dxa"/>
          <w:tblLayout w:type="fixed"/>
        </w:tblPrEx>
        <w:trPr>
          <w:trHeight w:val="369"/>
        </w:trPr>
        <w:tc>
          <w:tcPr>
            <w:tcW w:w="1034" w:type="dxa"/>
            <w:vMerge/>
            <w:tcBorders>
              <w:top w:val="nil"/>
              <w:bottom w:val="nil"/>
            </w:tcBorders>
            <w:vAlign w:val="top"/>
          </w:tcPr>
          <w:p>
            <w:pPr>
              <w:rPr>
                <w:rFonts w:ascii="Arial"/>
                <w:sz w:val="21"/>
              </w:rPr>
            </w:pPr>
          </w:p>
        </w:tc>
        <w:tc>
          <w:tcPr>
            <w:tcW w:w="1049" w:type="dxa"/>
            <w:vMerge/>
            <w:tcBorders>
              <w:top w:val="nil"/>
              <w:bottom w:val="nil"/>
            </w:tcBorders>
            <w:vAlign w:val="top"/>
          </w:tcPr>
          <w:p>
            <w:pPr>
              <w:rPr>
                <w:rFonts w:ascii="Arial"/>
                <w:sz w:val="21"/>
              </w:rPr>
            </w:pPr>
          </w:p>
        </w:tc>
        <w:tc>
          <w:tcPr>
            <w:tcW w:w="2527" w:type="dxa"/>
            <w:vAlign w:val="top"/>
          </w:tcPr>
          <w:p>
            <w:pPr>
              <w:pStyle w:val="TableText"/>
              <w:spacing w:before="103" w:line="219" w:lineRule="auto"/>
              <w:ind w:left="492"/>
            </w:pPr>
            <w:r>
              <w:rPr>
                <w:spacing w:val="-1"/>
              </w:rPr>
              <w:t>纵梁与横梁连接部位</w:t>
            </w:r>
          </w:p>
        </w:tc>
        <w:tc>
          <w:tcPr>
            <w:tcW w:w="4660" w:type="dxa"/>
            <w:vAlign w:val="top"/>
          </w:tcPr>
          <w:p>
            <w:pPr>
              <w:pStyle w:val="TableText"/>
              <w:spacing w:before="102" w:line="219" w:lineRule="auto"/>
              <w:ind w:left="1385"/>
            </w:pPr>
            <w:r>
              <w:rPr>
                <w:spacing w:val="1"/>
              </w:rPr>
              <w:t>纵梁端部切口，连接角钢</w:t>
            </w:r>
          </w:p>
        </w:tc>
      </w:tr>
      <w:tr>
        <w:tblPrEx>
          <w:tblW w:w="9270" w:type="dxa"/>
          <w:tblInd w:w="5" w:type="dxa"/>
          <w:tblLayout w:type="fixed"/>
        </w:tblPrEx>
        <w:trPr>
          <w:trHeight w:val="350"/>
        </w:trPr>
        <w:tc>
          <w:tcPr>
            <w:tcW w:w="1034" w:type="dxa"/>
            <w:vMerge/>
            <w:tcBorders>
              <w:top w:val="nil"/>
            </w:tcBorders>
            <w:vAlign w:val="top"/>
          </w:tcPr>
          <w:p>
            <w:pPr>
              <w:rPr>
                <w:rFonts w:ascii="Arial"/>
                <w:sz w:val="21"/>
              </w:rPr>
            </w:pPr>
          </w:p>
        </w:tc>
        <w:tc>
          <w:tcPr>
            <w:tcW w:w="1049" w:type="dxa"/>
            <w:vMerge/>
            <w:tcBorders>
              <w:top w:val="nil"/>
            </w:tcBorders>
            <w:vAlign w:val="top"/>
          </w:tcPr>
          <w:p>
            <w:pPr>
              <w:rPr>
                <w:rFonts w:ascii="Arial"/>
                <w:sz w:val="21"/>
              </w:rPr>
            </w:pPr>
          </w:p>
        </w:tc>
        <w:tc>
          <w:tcPr>
            <w:tcW w:w="2527" w:type="dxa"/>
            <w:vAlign w:val="top"/>
          </w:tcPr>
          <w:p>
            <w:pPr>
              <w:pStyle w:val="TableText"/>
              <w:spacing w:before="94" w:line="219" w:lineRule="auto"/>
              <w:ind w:left="492"/>
            </w:pPr>
            <w:r>
              <w:rPr>
                <w:spacing w:val="-1"/>
              </w:rPr>
              <w:t>腹杆与弦杆连接部位</w:t>
            </w:r>
          </w:p>
        </w:tc>
        <w:tc>
          <w:tcPr>
            <w:tcW w:w="4660" w:type="dxa"/>
            <w:vAlign w:val="top"/>
          </w:tcPr>
          <w:p>
            <w:pPr>
              <w:pStyle w:val="TableText"/>
              <w:spacing w:before="92" w:line="219" w:lineRule="auto"/>
              <w:ind w:left="1475"/>
            </w:pPr>
            <w:r>
              <w:rPr>
                <w:spacing w:val="-1"/>
              </w:rPr>
              <w:t>腹杆或节点板栓孔边缘</w:t>
            </w:r>
          </w:p>
        </w:tc>
      </w:tr>
      <w:tr>
        <w:tblPrEx>
          <w:tblW w:w="9270" w:type="dxa"/>
          <w:tblInd w:w="5" w:type="dxa"/>
          <w:tblLayout w:type="fixed"/>
        </w:tblPrEx>
        <w:trPr>
          <w:trHeight w:val="359"/>
        </w:trPr>
        <w:tc>
          <w:tcPr>
            <w:tcW w:w="1034" w:type="dxa"/>
            <w:tcBorders>
              <w:bottom w:val="nil"/>
            </w:tcBorders>
            <w:vAlign w:val="top"/>
          </w:tcPr>
          <w:p>
            <w:pPr>
              <w:spacing w:line="263" w:lineRule="auto"/>
              <w:rPr>
                <w:rFonts w:ascii="Arial"/>
                <w:sz w:val="21"/>
              </w:rPr>
            </w:pPr>
          </w:p>
        </w:tc>
        <w:tc>
          <w:tcPr>
            <w:tcW w:w="1049" w:type="dxa"/>
            <w:tcBorders>
              <w:bottom w:val="nil"/>
            </w:tcBorders>
            <w:vAlign w:val="top"/>
          </w:tcPr>
          <w:p>
            <w:pPr>
              <w:spacing w:line="418" w:lineRule="auto"/>
              <w:rPr>
                <w:rFonts w:ascii="Arial"/>
                <w:sz w:val="21"/>
              </w:rPr>
            </w:pPr>
          </w:p>
        </w:tc>
        <w:tc>
          <w:tcPr>
            <w:tcW w:w="2527" w:type="dxa"/>
            <w:vAlign w:val="top"/>
          </w:tcPr>
          <w:p>
            <w:pPr>
              <w:pStyle w:val="TableText"/>
              <w:spacing w:before="104" w:line="219" w:lineRule="auto"/>
              <w:ind w:left="912"/>
            </w:pPr>
            <w:r>
              <w:rPr>
                <w:spacing w:val="-2"/>
              </w:rPr>
              <w:t>外部人孔</w:t>
            </w:r>
          </w:p>
        </w:tc>
        <w:tc>
          <w:tcPr>
            <w:tcW w:w="4660" w:type="dxa"/>
            <w:vAlign w:val="top"/>
          </w:tcPr>
          <w:p>
            <w:pPr>
              <w:pStyle w:val="TableText"/>
              <w:spacing w:before="103" w:line="219" w:lineRule="auto"/>
              <w:ind w:left="1815"/>
            </w:pPr>
            <w:r>
              <w:rPr>
                <w:spacing w:val="-2"/>
              </w:rPr>
              <w:t>人孔相邻母材</w:t>
            </w:r>
          </w:p>
        </w:tc>
      </w:tr>
    </w:tbl>
    <w:p>
      <w:pPr>
        <w:sectPr>
          <w:footerReference w:type="default" r:id="rId11"/>
          <w:pgSz w:w="12190" w:h="17230"/>
          <w:pgMar w:top="1464" w:right="1614" w:bottom="1325" w:left="1294" w:header="0" w:footer="1176" w:gutter="0"/>
          <w:pgNumType w:start="10"/>
          <w:cols w:space="708"/>
        </w:sectPr>
      </w:pPr>
    </w:p>
    <w:tbl>
      <w:tblPr>
        <w:tblStyle w:val="TableNormal1"/>
        <w:tblW w:w="92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4"/>
        <w:gridCol w:w="1049"/>
        <w:gridCol w:w="2527"/>
        <w:gridCol w:w="4660"/>
      </w:tblGrid>
      <w:tr>
        <w:tblPrEx>
          <w:tblW w:w="92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9"/>
        </w:trPr>
        <w:tc>
          <w:tcPr>
            <w:tcW w:w="1034"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55" w:line="219" w:lineRule="auto"/>
              <w:ind w:left="255"/>
            </w:pPr>
            <w:r>
              <w:rPr>
                <w:spacing w:val="-2"/>
              </w:rPr>
              <w:t>钢箱梁</w:t>
            </w:r>
          </w:p>
        </w:tc>
        <w:tc>
          <w:tcPr>
            <w:tcW w:w="1049" w:type="dxa"/>
            <w:vMerge w:val="restart"/>
            <w:tcBorders>
              <w:bottom w:val="nil"/>
            </w:tcBorders>
            <w:vAlign w:val="top"/>
          </w:tcPr>
          <w:p>
            <w:pPr>
              <w:pStyle w:val="TableText"/>
              <w:spacing w:before="56" w:line="222" w:lineRule="auto"/>
              <w:ind w:left="341"/>
            </w:pPr>
            <w:r>
              <w:rPr>
                <w:spacing w:val="-2"/>
              </w:rPr>
              <w:t>锈蚀</w:t>
            </w:r>
          </w:p>
        </w:tc>
        <w:tc>
          <w:tcPr>
            <w:tcW w:w="2527" w:type="dxa"/>
            <w:vAlign w:val="top"/>
          </w:tcPr>
          <w:p/>
        </w:tc>
        <w:tc>
          <w:tcPr>
            <w:tcW w:w="4660" w:type="dxa"/>
            <w:vAlign w:val="top"/>
          </w:tcPr>
          <w:p/>
        </w:tc>
      </w:tr>
      <w:tr>
        <w:tblPrEx>
          <w:tblW w:w="9270" w:type="dxa"/>
          <w:tblInd w:w="5" w:type="dxa"/>
          <w:tblLayout w:type="fixed"/>
        </w:tblPrEx>
        <w:trPr>
          <w:trHeight w:val="349"/>
        </w:trPr>
        <w:tc>
          <w:tcPr>
            <w:tcW w:w="1034" w:type="dxa"/>
            <w:vMerge/>
            <w:tcBorders>
              <w:top w:val="nil"/>
              <w:bottom w:val="nil"/>
            </w:tcBorders>
            <w:vAlign w:val="top"/>
          </w:tcPr>
          <w:p>
            <w:pPr>
              <w:rPr>
                <w:rFonts w:ascii="Arial"/>
                <w:sz w:val="21"/>
              </w:rPr>
            </w:pPr>
          </w:p>
        </w:tc>
        <w:tc>
          <w:tcPr>
            <w:tcW w:w="1049" w:type="dxa"/>
            <w:vMerge/>
            <w:tcBorders>
              <w:top w:val="nil"/>
              <w:bottom w:val="nil"/>
            </w:tcBorders>
            <w:vAlign w:val="top"/>
          </w:tcPr>
          <w:p>
            <w:pPr>
              <w:rPr>
                <w:rFonts w:ascii="Arial"/>
                <w:sz w:val="21"/>
              </w:rPr>
            </w:pPr>
          </w:p>
        </w:tc>
        <w:tc>
          <w:tcPr>
            <w:tcW w:w="2527" w:type="dxa"/>
            <w:vAlign w:val="top"/>
          </w:tcPr>
          <w:p>
            <w:pPr>
              <w:pStyle w:val="TableText"/>
              <w:spacing w:before="94" w:line="219" w:lineRule="auto"/>
              <w:ind w:left="662"/>
            </w:pPr>
            <w:r>
              <w:rPr>
                <w:spacing w:val="-1"/>
              </w:rPr>
              <w:t>伸缩缝下部主梁</w:t>
            </w:r>
          </w:p>
        </w:tc>
        <w:tc>
          <w:tcPr>
            <w:tcW w:w="4660" w:type="dxa"/>
            <w:vAlign w:val="top"/>
          </w:tcPr>
          <w:p>
            <w:pPr>
              <w:pStyle w:val="TableText"/>
              <w:spacing w:before="95" w:line="219" w:lineRule="auto"/>
              <w:ind w:left="1815"/>
            </w:pPr>
            <w:r>
              <w:rPr>
                <w:spacing w:val="-1"/>
              </w:rPr>
              <w:t>钢主梁外表面</w:t>
            </w:r>
          </w:p>
        </w:tc>
      </w:tr>
      <w:tr>
        <w:tblPrEx>
          <w:tblW w:w="9270" w:type="dxa"/>
          <w:tblInd w:w="5" w:type="dxa"/>
          <w:tblLayout w:type="fixed"/>
        </w:tblPrEx>
        <w:trPr>
          <w:trHeight w:val="370"/>
        </w:trPr>
        <w:tc>
          <w:tcPr>
            <w:tcW w:w="1034" w:type="dxa"/>
            <w:vMerge/>
            <w:tcBorders>
              <w:top w:val="nil"/>
              <w:bottom w:val="nil"/>
            </w:tcBorders>
            <w:vAlign w:val="top"/>
          </w:tcPr>
          <w:p>
            <w:pPr>
              <w:rPr>
                <w:rFonts w:ascii="Arial"/>
                <w:sz w:val="21"/>
              </w:rPr>
            </w:pPr>
          </w:p>
        </w:tc>
        <w:tc>
          <w:tcPr>
            <w:tcW w:w="1049" w:type="dxa"/>
            <w:vMerge/>
            <w:tcBorders>
              <w:top w:val="nil"/>
            </w:tcBorders>
            <w:vAlign w:val="top"/>
          </w:tcPr>
          <w:p>
            <w:pPr>
              <w:rPr>
                <w:rFonts w:ascii="Arial"/>
                <w:sz w:val="21"/>
              </w:rPr>
            </w:pPr>
          </w:p>
        </w:tc>
        <w:tc>
          <w:tcPr>
            <w:tcW w:w="2527" w:type="dxa"/>
            <w:vAlign w:val="top"/>
          </w:tcPr>
          <w:p>
            <w:pPr>
              <w:pStyle w:val="TableText"/>
              <w:spacing w:before="106" w:line="219" w:lineRule="auto"/>
              <w:ind w:left="912"/>
            </w:pPr>
            <w:r>
              <w:rPr>
                <w:spacing w:val="-2"/>
              </w:rPr>
              <w:t>箱梁内部</w:t>
            </w:r>
          </w:p>
        </w:tc>
        <w:tc>
          <w:tcPr>
            <w:tcW w:w="4660" w:type="dxa"/>
            <w:vAlign w:val="top"/>
          </w:tcPr>
          <w:p>
            <w:pPr>
              <w:pStyle w:val="TableText"/>
              <w:spacing w:before="105" w:line="219" w:lineRule="auto"/>
              <w:ind w:left="1305"/>
            </w:pPr>
            <w:r>
              <w:rPr>
                <w:spacing w:val="-1"/>
              </w:rPr>
              <w:t>底板、纵肋内部、连接部位</w:t>
            </w:r>
          </w:p>
        </w:tc>
      </w:tr>
      <w:tr>
        <w:tblPrEx>
          <w:tblW w:w="9270" w:type="dxa"/>
          <w:tblInd w:w="5" w:type="dxa"/>
          <w:tblLayout w:type="fixed"/>
        </w:tblPrEx>
        <w:trPr>
          <w:trHeight w:val="909"/>
        </w:trPr>
        <w:tc>
          <w:tcPr>
            <w:tcW w:w="1034" w:type="dxa"/>
            <w:vMerge/>
            <w:tcBorders>
              <w:top w:val="nil"/>
              <w:bottom w:val="nil"/>
            </w:tcBorders>
            <w:vAlign w:val="top"/>
          </w:tcPr>
          <w:p>
            <w:pPr>
              <w:rPr>
                <w:rFonts w:ascii="Arial"/>
                <w:sz w:val="21"/>
              </w:rPr>
            </w:pPr>
          </w:p>
        </w:tc>
        <w:tc>
          <w:tcPr>
            <w:tcW w:w="1049" w:type="dxa"/>
            <w:vMerge w:val="restart"/>
            <w:tcBorders>
              <w:bottom w:val="nil"/>
            </w:tcBorders>
            <w:vAlign w:val="top"/>
          </w:tcPr>
          <w:p>
            <w:pPr>
              <w:spacing w:line="253" w:lineRule="auto"/>
              <w:rPr>
                <w:rFonts w:ascii="Arial"/>
                <w:sz w:val="21"/>
              </w:rPr>
            </w:pPr>
          </w:p>
          <w:p>
            <w:pPr>
              <w:spacing w:line="254" w:lineRule="auto"/>
              <w:rPr>
                <w:rFonts w:ascii="Arial"/>
                <w:sz w:val="21"/>
              </w:rPr>
            </w:pPr>
          </w:p>
          <w:p>
            <w:pPr>
              <w:pStyle w:val="TableText"/>
              <w:spacing w:before="56" w:line="219" w:lineRule="auto"/>
              <w:ind w:left="341"/>
            </w:pPr>
            <w:r>
              <w:rPr>
                <w:spacing w:val="-2"/>
              </w:rPr>
              <w:t>疲劳</w:t>
            </w:r>
          </w:p>
        </w:tc>
        <w:tc>
          <w:tcPr>
            <w:tcW w:w="2527" w:type="dxa"/>
            <w:vAlign w:val="top"/>
          </w:tcPr>
          <w:p>
            <w:pPr>
              <w:spacing w:line="317" w:lineRule="auto"/>
              <w:rPr>
                <w:rFonts w:ascii="Arial"/>
                <w:sz w:val="21"/>
              </w:rPr>
            </w:pPr>
          </w:p>
          <w:p>
            <w:pPr>
              <w:pStyle w:val="TableText"/>
              <w:spacing w:before="56" w:line="219" w:lineRule="auto"/>
              <w:ind w:left="912"/>
            </w:pPr>
            <w:r>
              <w:rPr>
                <w:spacing w:val="-1"/>
              </w:rPr>
              <w:t>钢桥面板</w:t>
            </w:r>
          </w:p>
        </w:tc>
        <w:tc>
          <w:tcPr>
            <w:tcW w:w="4660" w:type="dxa"/>
            <w:vAlign w:val="top"/>
          </w:tcPr>
          <w:p>
            <w:pPr>
              <w:pStyle w:val="TableText"/>
              <w:spacing w:before="105" w:line="219" w:lineRule="auto"/>
              <w:ind w:left="115"/>
            </w:pPr>
            <w:r>
              <w:rPr>
                <w:spacing w:val="-1"/>
              </w:rPr>
              <w:t>顶板与纵肋连接焊缝、纵肋对接焊缝、横隔板与纵肋连接焊</w:t>
            </w:r>
          </w:p>
          <w:p>
            <w:pPr>
              <w:pStyle w:val="TableText"/>
              <w:spacing w:before="88" w:line="219" w:lineRule="auto"/>
              <w:ind w:left="195"/>
            </w:pPr>
            <w:r>
              <w:rPr>
                <w:spacing w:val="-1"/>
              </w:rPr>
              <w:t>缝、横隔板弧形缺口母材、腹板竖向加劲肋与顶板连接焊</w:t>
            </w:r>
          </w:p>
          <w:p>
            <w:pPr>
              <w:pStyle w:val="TableText"/>
              <w:spacing w:before="78" w:line="219" w:lineRule="auto"/>
              <w:ind w:left="1305"/>
            </w:pPr>
            <w:r>
              <w:rPr>
                <w:spacing w:val="-1"/>
              </w:rPr>
              <w:t>缝、顶板与横隔板焊缝端部</w:t>
            </w:r>
          </w:p>
        </w:tc>
      </w:tr>
      <w:tr>
        <w:tblPrEx>
          <w:tblW w:w="9270" w:type="dxa"/>
          <w:tblInd w:w="5" w:type="dxa"/>
          <w:tblLayout w:type="fixed"/>
        </w:tblPrEx>
        <w:trPr>
          <w:trHeight w:val="365"/>
        </w:trPr>
        <w:tc>
          <w:tcPr>
            <w:tcW w:w="1034" w:type="dxa"/>
            <w:vMerge/>
            <w:tcBorders>
              <w:top w:val="nil"/>
            </w:tcBorders>
            <w:vAlign w:val="top"/>
          </w:tcPr>
          <w:p>
            <w:pPr>
              <w:rPr>
                <w:rFonts w:ascii="Arial"/>
                <w:sz w:val="21"/>
              </w:rPr>
            </w:pPr>
          </w:p>
        </w:tc>
        <w:tc>
          <w:tcPr>
            <w:tcW w:w="1049" w:type="dxa"/>
            <w:vMerge/>
            <w:tcBorders>
              <w:top w:val="nil"/>
            </w:tcBorders>
            <w:vAlign w:val="top"/>
          </w:tcPr>
          <w:p>
            <w:pPr>
              <w:rPr>
                <w:rFonts w:ascii="Arial"/>
                <w:sz w:val="21"/>
              </w:rPr>
            </w:pPr>
          </w:p>
        </w:tc>
        <w:tc>
          <w:tcPr>
            <w:tcW w:w="2527" w:type="dxa"/>
            <w:vAlign w:val="top"/>
          </w:tcPr>
          <w:p>
            <w:pPr>
              <w:pStyle w:val="TableText"/>
              <w:spacing w:before="106" w:line="219" w:lineRule="auto"/>
              <w:ind w:left="1082"/>
            </w:pPr>
            <w:r>
              <w:rPr>
                <w:spacing w:val="-2"/>
              </w:rPr>
              <w:t>腹板</w:t>
            </w:r>
          </w:p>
        </w:tc>
        <w:tc>
          <w:tcPr>
            <w:tcW w:w="4660" w:type="dxa"/>
            <w:vAlign w:val="top"/>
          </w:tcPr>
          <w:p>
            <w:pPr>
              <w:pStyle w:val="TableText"/>
              <w:spacing w:before="106" w:line="219" w:lineRule="auto"/>
              <w:ind w:left="1305"/>
            </w:pPr>
            <w:r>
              <w:rPr>
                <w:spacing w:val="-1"/>
              </w:rPr>
              <w:t>腹板与竖向加劲肋连接焊缝</w:t>
            </w:r>
          </w:p>
        </w:tc>
      </w:tr>
    </w:tbl>
    <w:p>
      <w:pPr>
        <w:spacing w:before="221" w:line="219" w:lineRule="auto"/>
        <w:ind w:left="4"/>
        <w:rPr>
          <w:rFonts w:ascii="SimSun" w:eastAsia="SimSun" w:hAnsi="SimSun" w:cs="SimSun"/>
          <w:sz w:val="19"/>
          <w:szCs w:val="19"/>
        </w:rPr>
      </w:pPr>
      <w:r>
        <w:rPr>
          <w:rFonts w:ascii="SimSun" w:eastAsia="SimSun" w:hAnsi="SimSun" w:cs="SimSun"/>
          <w:spacing w:val="11"/>
          <w:sz w:val="19"/>
          <w:szCs w:val="19"/>
        </w:rPr>
        <w:t>4.6</w:t>
      </w:r>
      <w:r>
        <w:rPr>
          <w:rFonts w:ascii="SimSun" w:eastAsia="SimSun" w:hAnsi="SimSun" w:cs="SimSun"/>
          <w:spacing w:val="1"/>
          <w:sz w:val="19"/>
          <w:szCs w:val="19"/>
        </w:rPr>
        <w:t xml:space="preserve">  </w:t>
      </w:r>
      <w:r>
        <w:rPr>
          <w:rFonts w:ascii="SimSun" w:eastAsia="SimSun" w:hAnsi="SimSun" w:cs="SimSun"/>
          <w:spacing w:val="11"/>
          <w:sz w:val="19"/>
          <w:szCs w:val="19"/>
        </w:rPr>
        <w:t>宜根据桥梁构件特征制定病害编码体系，病害编码规则见附录</w:t>
      </w:r>
      <w:r>
        <w:rPr>
          <w:rFonts w:ascii="SimSun" w:eastAsia="SimSun" w:hAnsi="SimSun" w:cs="SimSun"/>
          <w:spacing w:val="-54"/>
          <w:sz w:val="19"/>
          <w:szCs w:val="19"/>
        </w:rPr>
        <w:t xml:space="preserve"> </w:t>
      </w:r>
      <w:r>
        <w:rPr>
          <w:rFonts w:ascii="SimSun" w:eastAsia="SimSun" w:hAnsi="SimSun" w:cs="SimSun"/>
          <w:spacing w:val="10"/>
          <w:sz w:val="19"/>
          <w:szCs w:val="19"/>
        </w:rPr>
        <w:t>B。</w:t>
      </w:r>
    </w:p>
    <w:p>
      <w:pPr>
        <w:spacing w:line="219" w:lineRule="auto"/>
        <w:rPr>
          <w:rFonts w:ascii="SimSun" w:eastAsia="SimSun" w:hAnsi="SimSun" w:cs="SimSun"/>
          <w:sz w:val="19"/>
          <w:szCs w:val="19"/>
        </w:rPr>
        <w:sectPr>
          <w:footerReference w:type="default" r:id="rId12"/>
          <w:type w:val="nextPage"/>
          <w:pgSz w:w="12190" w:h="17230"/>
          <w:pgMar w:top="1464" w:right="1614" w:bottom="1325" w:left="1294" w:header="0" w:footer="1176" w:gutter="0"/>
          <w:pgNumType w:start="11"/>
          <w:cols w:space="708"/>
          <w:titlePg w:val="0"/>
        </w:sectPr>
      </w:pPr>
    </w:p>
    <w:p>
      <w:pPr>
        <w:spacing w:before="166" w:line="224" w:lineRule="auto"/>
        <w:ind w:right="6"/>
        <w:jc w:val="right"/>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4648—2024</w:t>
      </w:r>
    </w:p>
    <w:p>
      <w:pPr>
        <w:spacing w:before="246" w:line="219" w:lineRule="auto"/>
        <w:rPr>
          <w:rFonts w:ascii="SimSun" w:eastAsia="SimSun" w:hAnsi="SimSun" w:cs="SimSun"/>
          <w:sz w:val="19"/>
          <w:szCs w:val="19"/>
        </w:rPr>
      </w:pPr>
      <w:r>
        <w:rPr>
          <w:rFonts w:ascii="SimSun" w:eastAsia="SimSun" w:hAnsi="SimSun" w:cs="SimSun"/>
          <w:spacing w:val="10"/>
          <w:sz w:val="19"/>
          <w:szCs w:val="19"/>
        </w:rPr>
        <w:t>4.7</w:t>
      </w:r>
      <w:r>
        <w:rPr>
          <w:rFonts w:ascii="SimSun" w:eastAsia="SimSun" w:hAnsi="SimSun" w:cs="SimSun"/>
          <w:spacing w:val="9"/>
          <w:sz w:val="19"/>
          <w:szCs w:val="19"/>
        </w:rPr>
        <w:t xml:space="preserve">  </w:t>
      </w:r>
      <w:r>
        <w:rPr>
          <w:rFonts w:ascii="SimSun" w:eastAsia="SimSun" w:hAnsi="SimSun" w:cs="SimSun"/>
          <w:spacing w:val="10"/>
          <w:sz w:val="19"/>
          <w:szCs w:val="19"/>
        </w:rPr>
        <w:t>对封闭结构设置检修人孔，应便于操作人员与设备出入。</w:t>
      </w:r>
    </w:p>
    <w:p>
      <w:pPr>
        <w:spacing w:before="83" w:line="219" w:lineRule="auto"/>
        <w:rPr>
          <w:rFonts w:ascii="SimSun" w:eastAsia="SimSun" w:hAnsi="SimSun" w:cs="SimSun"/>
          <w:sz w:val="19"/>
          <w:szCs w:val="19"/>
        </w:rPr>
      </w:pPr>
      <w:r>
        <w:rPr>
          <w:rFonts w:ascii="SimSun" w:eastAsia="SimSun" w:hAnsi="SimSun" w:cs="SimSun"/>
          <w:spacing w:val="13"/>
          <w:sz w:val="19"/>
          <w:szCs w:val="19"/>
        </w:rPr>
        <w:t>4.8</w:t>
      </w:r>
      <w:r>
        <w:rPr>
          <w:rFonts w:ascii="SimSun" w:eastAsia="SimSun" w:hAnsi="SimSun" w:cs="SimSun"/>
          <w:sz w:val="19"/>
          <w:szCs w:val="19"/>
        </w:rPr>
        <w:t xml:space="preserve">  </w:t>
      </w:r>
      <w:r>
        <w:rPr>
          <w:rFonts w:ascii="SimSun" w:eastAsia="SimSun" w:hAnsi="SimSun" w:cs="SimSun"/>
          <w:spacing w:val="13"/>
          <w:sz w:val="19"/>
          <w:szCs w:val="19"/>
        </w:rPr>
        <w:t>养护工程施工组织应充分考虑对交通运营与安全的影响，编制交通组织</w:t>
      </w:r>
      <w:r>
        <w:rPr>
          <w:rFonts w:ascii="SimSun" w:eastAsia="SimSun" w:hAnsi="SimSun" w:cs="SimSun"/>
          <w:spacing w:val="12"/>
          <w:sz w:val="19"/>
          <w:szCs w:val="19"/>
        </w:rPr>
        <w:t>方案。</w:t>
      </w:r>
    </w:p>
    <w:p>
      <w:pPr>
        <w:spacing w:before="95" w:line="219" w:lineRule="auto"/>
        <w:rPr>
          <w:rFonts w:ascii="SimSun" w:eastAsia="SimSun" w:hAnsi="SimSun" w:cs="SimSun"/>
          <w:sz w:val="19"/>
          <w:szCs w:val="19"/>
        </w:rPr>
      </w:pPr>
      <w:r>
        <w:rPr>
          <w:rFonts w:ascii="SimSun" w:eastAsia="SimSun" w:hAnsi="SimSun" w:cs="SimSun"/>
          <w:spacing w:val="14"/>
          <w:sz w:val="19"/>
          <w:szCs w:val="19"/>
        </w:rPr>
        <w:t>4.9</w:t>
      </w:r>
      <w:r>
        <w:rPr>
          <w:rFonts w:ascii="SimSun" w:eastAsia="SimSun" w:hAnsi="SimSun" w:cs="SimSun"/>
          <w:spacing w:val="5"/>
          <w:sz w:val="19"/>
          <w:szCs w:val="19"/>
        </w:rPr>
        <w:t xml:space="preserve">  </w:t>
      </w:r>
      <w:r>
        <w:rPr>
          <w:rFonts w:ascii="SimSun" w:eastAsia="SimSun" w:hAnsi="SimSun" w:cs="SimSun"/>
          <w:spacing w:val="14"/>
          <w:sz w:val="19"/>
          <w:szCs w:val="19"/>
        </w:rPr>
        <w:t>养护过程中应避免出现影响结构安全和耐久性的损伤。</w:t>
      </w:r>
    </w:p>
    <w:p>
      <w:pPr>
        <w:spacing w:line="318" w:lineRule="auto"/>
        <w:rPr>
          <w:rFonts w:ascii="Arial"/>
          <w:sz w:val="21"/>
        </w:rPr>
      </w:pPr>
    </w:p>
    <w:p>
      <w:pPr>
        <w:pStyle w:val="BodyText"/>
        <w:spacing w:before="62" w:line="223" w:lineRule="auto"/>
        <w:ind w:left="2"/>
        <w:rPr>
          <w:sz w:val="19"/>
          <w:szCs w:val="19"/>
        </w:rPr>
      </w:pPr>
      <w:r>
        <w:rPr>
          <w:b/>
          <w:bCs/>
          <w:spacing w:val="-5"/>
          <w:sz w:val="19"/>
          <w:szCs w:val="19"/>
        </w:rPr>
        <w:t>5</w:t>
      </w:r>
      <w:r>
        <w:rPr>
          <w:spacing w:val="4"/>
          <w:sz w:val="19"/>
          <w:szCs w:val="19"/>
        </w:rPr>
        <w:t xml:space="preserve">  </w:t>
      </w:r>
      <w:r>
        <w:rPr>
          <w:b/>
          <w:bCs/>
          <w:spacing w:val="-5"/>
          <w:sz w:val="19"/>
          <w:szCs w:val="19"/>
        </w:rPr>
        <w:t>检</w:t>
      </w:r>
      <w:r>
        <w:rPr>
          <w:spacing w:val="-39"/>
          <w:sz w:val="19"/>
          <w:szCs w:val="19"/>
        </w:rPr>
        <w:t xml:space="preserve"> </w:t>
      </w:r>
      <w:r>
        <w:rPr>
          <w:b/>
          <w:bCs/>
          <w:spacing w:val="-5"/>
          <w:sz w:val="19"/>
          <w:szCs w:val="19"/>
        </w:rPr>
        <w:t>查</w:t>
      </w:r>
    </w:p>
    <w:p>
      <w:pPr>
        <w:spacing w:line="294" w:lineRule="auto"/>
        <w:rPr>
          <w:rFonts w:ascii="Arial"/>
          <w:sz w:val="21"/>
        </w:rPr>
      </w:pPr>
    </w:p>
    <w:p>
      <w:pPr>
        <w:pStyle w:val="BodyText"/>
        <w:spacing w:before="62" w:line="221" w:lineRule="auto"/>
        <w:ind w:left="2"/>
        <w:outlineLvl w:val="0"/>
        <w:rPr>
          <w:sz w:val="19"/>
          <w:szCs w:val="19"/>
        </w:rPr>
      </w:pPr>
      <w:r>
        <w:rPr>
          <w:b/>
          <w:bCs/>
          <w:spacing w:val="6"/>
          <w:sz w:val="19"/>
          <w:szCs w:val="19"/>
        </w:rPr>
        <w:t>5.1</w:t>
      </w:r>
      <w:r>
        <w:rPr>
          <w:spacing w:val="88"/>
          <w:sz w:val="19"/>
          <w:szCs w:val="19"/>
        </w:rPr>
        <w:t xml:space="preserve"> </w:t>
      </w:r>
      <w:r>
        <w:rPr>
          <w:b/>
          <w:bCs/>
          <w:spacing w:val="6"/>
          <w:sz w:val="19"/>
          <w:szCs w:val="19"/>
        </w:rPr>
        <w:t>一般规定</w:t>
      </w:r>
    </w:p>
    <w:p>
      <w:pPr>
        <w:spacing w:before="237" w:line="270" w:lineRule="auto"/>
        <w:ind w:right="29"/>
        <w:rPr>
          <w:rFonts w:ascii="SimSun" w:eastAsia="SimSun" w:hAnsi="SimSun" w:cs="SimSun"/>
          <w:sz w:val="19"/>
          <w:szCs w:val="19"/>
        </w:rPr>
      </w:pPr>
      <w:r>
        <w:rPr>
          <w:rFonts w:ascii="SimSun" w:eastAsia="SimSun" w:hAnsi="SimSun" w:cs="SimSun"/>
          <w:spacing w:val="9"/>
          <w:sz w:val="19"/>
          <w:szCs w:val="19"/>
        </w:rPr>
        <w:t>5.1.1  当出现桥梁撞击、重物跌落等事故，或主梁出现较大开裂、重点</w:t>
      </w:r>
      <w:r>
        <w:rPr>
          <w:rFonts w:ascii="SimSun" w:eastAsia="SimSun" w:hAnsi="SimSun" w:cs="SimSun"/>
          <w:spacing w:val="8"/>
          <w:sz w:val="19"/>
          <w:szCs w:val="19"/>
        </w:rPr>
        <w:t>部位集中出现疲劳裂纹后，应及时</w:t>
      </w:r>
      <w:r>
        <w:rPr>
          <w:rFonts w:ascii="SimSun" w:eastAsia="SimSun" w:hAnsi="SimSun" w:cs="SimSun"/>
          <w:sz w:val="19"/>
          <w:szCs w:val="19"/>
        </w:rPr>
        <w:t xml:space="preserve"> </w:t>
      </w:r>
      <w:r>
        <w:rPr>
          <w:rFonts w:ascii="SimSun" w:eastAsia="SimSun" w:hAnsi="SimSun" w:cs="SimSun"/>
          <w:spacing w:val="10"/>
          <w:sz w:val="19"/>
          <w:szCs w:val="19"/>
        </w:rPr>
        <w:t>开展疲劳病害排查，对构件进行应力、位移或变形测试</w:t>
      </w:r>
      <w:r>
        <w:rPr>
          <w:rFonts w:ascii="SimSun" w:eastAsia="SimSun" w:hAnsi="SimSun" w:cs="SimSun"/>
          <w:spacing w:val="9"/>
          <w:sz w:val="19"/>
          <w:szCs w:val="19"/>
        </w:rPr>
        <w:t>，判断是否出现局部屈曲或刚度损失。</w:t>
      </w:r>
    </w:p>
    <w:p>
      <w:pPr>
        <w:spacing w:before="85" w:line="220" w:lineRule="auto"/>
        <w:rPr>
          <w:rFonts w:ascii="SimSun" w:eastAsia="SimSun" w:hAnsi="SimSun" w:cs="SimSun"/>
          <w:sz w:val="19"/>
          <w:szCs w:val="19"/>
        </w:rPr>
      </w:pPr>
      <w:r>
        <w:rPr>
          <w:rFonts w:ascii="SimSun" w:eastAsia="SimSun" w:hAnsi="SimSun" w:cs="SimSun"/>
          <w:spacing w:val="9"/>
          <w:sz w:val="19"/>
          <w:szCs w:val="19"/>
        </w:rPr>
        <w:t>5.1.2  遭受自然灾害后应及时开展病害排查。</w:t>
      </w:r>
    </w:p>
    <w:p>
      <w:pPr>
        <w:pStyle w:val="BodyText"/>
        <w:spacing w:before="229" w:line="221" w:lineRule="auto"/>
        <w:ind w:left="2"/>
        <w:outlineLvl w:val="0"/>
        <w:rPr>
          <w:sz w:val="19"/>
          <w:szCs w:val="19"/>
        </w:rPr>
      </w:pPr>
      <w:r>
        <w:rPr>
          <w:b/>
          <w:bCs/>
          <w:spacing w:val="5"/>
          <w:sz w:val="19"/>
          <w:szCs w:val="19"/>
        </w:rPr>
        <w:t>5.2</w:t>
      </w:r>
      <w:r>
        <w:rPr>
          <w:spacing w:val="14"/>
          <w:sz w:val="19"/>
          <w:szCs w:val="19"/>
        </w:rPr>
        <w:t xml:space="preserve">  </w:t>
      </w:r>
      <w:r>
        <w:rPr>
          <w:b/>
          <w:bCs/>
          <w:spacing w:val="5"/>
          <w:sz w:val="19"/>
          <w:szCs w:val="19"/>
        </w:rPr>
        <w:t>检查要求与方法</w:t>
      </w:r>
    </w:p>
    <w:p>
      <w:pPr>
        <w:spacing w:before="255" w:line="218" w:lineRule="auto"/>
        <w:rPr>
          <w:rFonts w:ascii="SimSun" w:eastAsia="SimSun" w:hAnsi="SimSun" w:cs="SimSun"/>
          <w:sz w:val="19"/>
          <w:szCs w:val="19"/>
        </w:rPr>
      </w:pPr>
      <w:r>
        <w:rPr>
          <w:rFonts w:ascii="SimSun" w:eastAsia="SimSun" w:hAnsi="SimSun" w:cs="SimSun"/>
          <w:spacing w:val="8"/>
          <w:sz w:val="19"/>
          <w:szCs w:val="19"/>
        </w:rPr>
        <w:t>5.2.1  应结合历史检查报告与病害重点部位，制定检查方案。</w:t>
      </w:r>
    </w:p>
    <w:p>
      <w:pPr>
        <w:spacing w:before="117" w:line="245" w:lineRule="auto"/>
        <w:ind w:left="400" w:right="375" w:hanging="400"/>
        <w:rPr>
          <w:rFonts w:ascii="SimSun" w:eastAsia="SimSun" w:hAnsi="SimSun" w:cs="SimSun"/>
          <w:sz w:val="19"/>
          <w:szCs w:val="19"/>
        </w:rPr>
      </w:pPr>
      <w:r>
        <w:rPr>
          <w:rFonts w:ascii="SimSun" w:eastAsia="SimSun" w:hAnsi="SimSun" w:cs="SimSun"/>
          <w:spacing w:val="10"/>
          <w:sz w:val="19"/>
          <w:szCs w:val="19"/>
        </w:rPr>
        <w:t>5.2.2</w:t>
      </w:r>
      <w:r>
        <w:rPr>
          <w:rFonts w:ascii="SimSun" w:eastAsia="SimSun" w:hAnsi="SimSun" w:cs="SimSun"/>
          <w:spacing w:val="4"/>
          <w:sz w:val="19"/>
          <w:szCs w:val="19"/>
        </w:rPr>
        <w:t xml:space="preserve">  </w:t>
      </w:r>
      <w:r>
        <w:rPr>
          <w:rFonts w:ascii="SimSun" w:eastAsia="SimSun" w:hAnsi="SimSun" w:cs="SimSun"/>
          <w:spacing w:val="10"/>
          <w:sz w:val="19"/>
          <w:szCs w:val="19"/>
        </w:rPr>
        <w:t>应首先开展病害的全范围排查，对存疑部位辅以检测仪器与工具进行检查，并满足下列要求：</w:t>
      </w:r>
      <w:r>
        <w:rPr>
          <w:rFonts w:ascii="SimSun" w:eastAsia="SimSun" w:hAnsi="SimSun" w:cs="SimSun"/>
          <w:spacing w:val="1"/>
          <w:sz w:val="19"/>
          <w:szCs w:val="19"/>
        </w:rPr>
        <w:t xml:space="preserve"> </w:t>
      </w:r>
      <w:r>
        <w:rPr>
          <w:rFonts w:ascii="SimSun" w:eastAsia="SimSun" w:hAnsi="SimSun" w:cs="SimSun"/>
          <w:spacing w:val="12"/>
          <w:sz w:val="19"/>
          <w:szCs w:val="19"/>
        </w:rPr>
        <w:t>a)  锈蚀部位应清除表面锈蚀物，完全暴露锈蚀位置；</w:t>
      </w:r>
    </w:p>
    <w:p>
      <w:pPr>
        <w:spacing w:before="105" w:line="242" w:lineRule="auto"/>
        <w:ind w:left="400" w:right="1115"/>
        <w:rPr>
          <w:rFonts w:ascii="SimSun" w:eastAsia="SimSun" w:hAnsi="SimSun" w:cs="SimSun"/>
          <w:sz w:val="19"/>
          <w:szCs w:val="19"/>
        </w:rPr>
      </w:pPr>
      <w:r>
        <w:rPr>
          <w:rFonts w:ascii="SimSun" w:eastAsia="SimSun" w:hAnsi="SimSun" w:cs="SimSun"/>
          <w:spacing w:val="13"/>
          <w:sz w:val="19"/>
          <w:szCs w:val="19"/>
        </w:rPr>
        <w:t>b)</w:t>
      </w:r>
      <w:r>
        <w:rPr>
          <w:rFonts w:ascii="SimSun" w:eastAsia="SimSun" w:hAnsi="SimSun" w:cs="SimSun"/>
          <w:spacing w:val="37"/>
          <w:sz w:val="19"/>
          <w:szCs w:val="19"/>
        </w:rPr>
        <w:t xml:space="preserve">  </w:t>
      </w:r>
      <w:r>
        <w:rPr>
          <w:rFonts w:ascii="SimSun" w:eastAsia="SimSun" w:hAnsi="SimSun" w:cs="SimSun"/>
          <w:spacing w:val="13"/>
          <w:sz w:val="19"/>
          <w:szCs w:val="19"/>
        </w:rPr>
        <w:t>目视检查无法判断是否存在裂纹或定位裂纹尖端时，应采用磁粉检测或</w:t>
      </w:r>
      <w:r>
        <w:rPr>
          <w:rFonts w:ascii="SimSun" w:eastAsia="SimSun" w:hAnsi="SimSun" w:cs="SimSun"/>
          <w:spacing w:val="12"/>
          <w:sz w:val="19"/>
          <w:szCs w:val="19"/>
        </w:rPr>
        <w:t>渗透检测；</w:t>
      </w:r>
      <w:r>
        <w:rPr>
          <w:rFonts w:ascii="SimSun" w:eastAsia="SimSun" w:hAnsi="SimSun" w:cs="SimSun"/>
          <w:sz w:val="19"/>
          <w:szCs w:val="19"/>
        </w:rPr>
        <w:t xml:space="preserve"> </w:t>
      </w:r>
      <w:r>
        <w:rPr>
          <w:rFonts w:ascii="Times New Roman" w:eastAsia="Times New Roman" w:hAnsi="Times New Roman" w:cs="Times New Roman"/>
          <w:spacing w:val="12"/>
          <w:sz w:val="19"/>
          <w:szCs w:val="19"/>
        </w:rPr>
        <w:t xml:space="preserve">c)     </w:t>
      </w:r>
      <w:r>
        <w:rPr>
          <w:rFonts w:ascii="SimSun" w:eastAsia="SimSun" w:hAnsi="SimSun" w:cs="SimSun"/>
          <w:spacing w:val="12"/>
          <w:sz w:val="19"/>
          <w:szCs w:val="19"/>
        </w:rPr>
        <w:t>隐蔽部位宜采用超声波、涡流等检测技术判断是否存在疲劳裂纹；</w:t>
      </w:r>
    </w:p>
    <w:p>
      <w:pPr>
        <w:spacing w:before="122" w:line="219" w:lineRule="auto"/>
        <w:ind w:left="400"/>
        <w:rPr>
          <w:rFonts w:ascii="SimSun" w:eastAsia="SimSun" w:hAnsi="SimSun" w:cs="SimSun"/>
          <w:sz w:val="19"/>
          <w:szCs w:val="19"/>
        </w:rPr>
      </w:pPr>
      <w:r>
        <w:rPr>
          <w:rFonts w:ascii="SimSun" w:eastAsia="SimSun" w:hAnsi="SimSun" w:cs="SimSun"/>
          <w:spacing w:val="16"/>
          <w:sz w:val="19"/>
          <w:szCs w:val="19"/>
        </w:rPr>
        <w:t>d)  宜采用锤击的方法判断螺栓是否存在断裂或</w:t>
      </w:r>
      <w:r>
        <w:rPr>
          <w:rFonts w:ascii="SimSun" w:eastAsia="SimSun" w:hAnsi="SimSun" w:cs="SimSun"/>
          <w:spacing w:val="15"/>
          <w:sz w:val="19"/>
          <w:szCs w:val="19"/>
        </w:rPr>
        <w:t>松动。</w:t>
      </w:r>
    </w:p>
    <w:p>
      <w:pPr>
        <w:spacing w:before="96" w:line="219" w:lineRule="auto"/>
        <w:rPr>
          <w:rFonts w:ascii="SimSun" w:eastAsia="SimSun" w:hAnsi="SimSun" w:cs="SimSun"/>
          <w:sz w:val="19"/>
          <w:szCs w:val="19"/>
        </w:rPr>
      </w:pPr>
      <w:r>
        <w:rPr>
          <w:rFonts w:ascii="SimSun" w:eastAsia="SimSun" w:hAnsi="SimSun" w:cs="SimSun"/>
          <w:spacing w:val="6"/>
          <w:sz w:val="19"/>
          <w:szCs w:val="19"/>
        </w:rPr>
        <w:t>5.2.3  发现锈蚀病害后，应进行病害特征检查，并满足下列要求：</w:t>
      </w:r>
    </w:p>
    <w:p>
      <w:pPr>
        <w:spacing w:before="73" w:line="212" w:lineRule="auto"/>
        <w:ind w:left="400"/>
        <w:rPr>
          <w:rFonts w:ascii="SimSun" w:eastAsia="SimSun" w:hAnsi="SimSun" w:cs="SimSun"/>
          <w:sz w:val="19"/>
          <w:szCs w:val="19"/>
        </w:rPr>
      </w:pPr>
      <w:r>
        <w:rPr>
          <w:rFonts w:ascii="Times New Roman" w:eastAsia="Times New Roman" w:hAnsi="Times New Roman" w:cs="Times New Roman"/>
          <w:spacing w:val="14"/>
          <w:sz w:val="19"/>
          <w:szCs w:val="19"/>
        </w:rPr>
        <w:t xml:space="preserve">a)     </w:t>
      </w:r>
      <w:r>
        <w:rPr>
          <w:rFonts w:ascii="SimSun" w:eastAsia="SimSun" w:hAnsi="SimSun" w:cs="SimSun"/>
          <w:spacing w:val="14"/>
          <w:sz w:val="19"/>
          <w:szCs w:val="19"/>
        </w:rPr>
        <w:t>锈蚀病害检查应以构件为单位进行测量</w:t>
      </w:r>
      <w:r>
        <w:rPr>
          <w:rFonts w:ascii="SimSun" w:eastAsia="SimSun" w:hAnsi="SimSun" w:cs="SimSun"/>
          <w:spacing w:val="13"/>
          <w:sz w:val="19"/>
          <w:szCs w:val="19"/>
        </w:rPr>
        <w:t>与记录；</w:t>
      </w:r>
    </w:p>
    <w:p>
      <w:pPr>
        <w:spacing w:before="113" w:line="219" w:lineRule="auto"/>
        <w:ind w:left="400"/>
        <w:rPr>
          <w:rFonts w:ascii="SimSun" w:eastAsia="SimSun" w:hAnsi="SimSun" w:cs="SimSun"/>
          <w:sz w:val="19"/>
          <w:szCs w:val="19"/>
        </w:rPr>
      </w:pPr>
      <w:r>
        <w:rPr>
          <w:rFonts w:ascii="SimSun" w:eastAsia="SimSun" w:hAnsi="SimSun" w:cs="SimSun"/>
          <w:spacing w:val="15"/>
          <w:sz w:val="19"/>
          <w:szCs w:val="19"/>
        </w:rPr>
        <w:t>b)  应结合构件周围环境判断锈蚀类型与锈蚀源；</w:t>
      </w:r>
    </w:p>
    <w:p>
      <w:pPr>
        <w:spacing w:before="34" w:line="285" w:lineRule="auto"/>
        <w:ind w:left="829" w:hanging="429"/>
        <w:rPr>
          <w:rFonts w:ascii="SimSun" w:eastAsia="SimSun" w:hAnsi="SimSun" w:cs="SimSun"/>
          <w:sz w:val="19"/>
          <w:szCs w:val="19"/>
        </w:rPr>
      </w:pPr>
      <w:r>
        <w:rPr>
          <w:rFonts w:ascii="Times New Roman" w:eastAsia="Times New Roman" w:hAnsi="Times New Roman" w:cs="Times New Roman"/>
          <w:spacing w:val="11"/>
          <w:sz w:val="19"/>
          <w:szCs w:val="19"/>
        </w:rPr>
        <w:t xml:space="preserve">c)     </w:t>
      </w:r>
      <w:r>
        <w:rPr>
          <w:rFonts w:ascii="SimSun" w:eastAsia="SimSun" w:hAnsi="SimSun" w:cs="SimSun"/>
          <w:spacing w:val="11"/>
          <w:sz w:val="19"/>
          <w:szCs w:val="19"/>
        </w:rPr>
        <w:t>应标记锈蚀区域；对点蚀部位应测量孔洞直径，当单个构件出现多个锈蚀区域时，应</w:t>
      </w:r>
      <w:r>
        <w:rPr>
          <w:rFonts w:ascii="SimSun" w:eastAsia="SimSun" w:hAnsi="SimSun" w:cs="SimSun"/>
          <w:spacing w:val="10"/>
          <w:sz w:val="19"/>
          <w:szCs w:val="19"/>
        </w:rPr>
        <w:t>记录每个锈</w:t>
      </w:r>
      <w:r>
        <w:rPr>
          <w:rFonts w:ascii="SimSun" w:eastAsia="SimSun" w:hAnsi="SimSun" w:cs="SimSun"/>
          <w:sz w:val="19"/>
          <w:szCs w:val="19"/>
        </w:rPr>
        <w:t xml:space="preserve"> </w:t>
      </w:r>
      <w:r>
        <w:rPr>
          <w:rFonts w:ascii="SimSun" w:eastAsia="SimSun" w:hAnsi="SimSun" w:cs="SimSun"/>
          <w:spacing w:val="9"/>
          <w:sz w:val="19"/>
          <w:szCs w:val="19"/>
        </w:rPr>
        <w:t>蚀部位的面积，计算锈蚀累计面积；</w:t>
      </w:r>
    </w:p>
    <w:p>
      <w:pPr>
        <w:spacing w:before="73" w:line="212" w:lineRule="auto"/>
        <w:ind w:left="400"/>
        <w:rPr>
          <w:rFonts w:ascii="SimSun" w:eastAsia="SimSun" w:hAnsi="SimSun" w:cs="SimSun"/>
          <w:sz w:val="19"/>
          <w:szCs w:val="19"/>
        </w:rPr>
      </w:pPr>
      <w:r>
        <w:rPr>
          <w:rFonts w:ascii="Times New Roman" w:eastAsia="Times New Roman" w:hAnsi="Times New Roman" w:cs="Times New Roman"/>
          <w:spacing w:val="12"/>
          <w:sz w:val="19"/>
          <w:szCs w:val="19"/>
        </w:rPr>
        <w:t xml:space="preserve">d)     </w:t>
      </w:r>
      <w:r>
        <w:rPr>
          <w:rFonts w:ascii="SimSun" w:eastAsia="SimSun" w:hAnsi="SimSun" w:cs="SimSun"/>
          <w:spacing w:val="12"/>
          <w:sz w:val="19"/>
          <w:szCs w:val="19"/>
        </w:rPr>
        <w:t>锈蚀深度应进行多点测试，选取至少3个锈蚀显著的代表性点位，测试锈蚀</w:t>
      </w:r>
      <w:r>
        <w:rPr>
          <w:rFonts w:ascii="SimSun" w:eastAsia="SimSun" w:hAnsi="SimSun" w:cs="SimSun"/>
          <w:spacing w:val="11"/>
          <w:sz w:val="19"/>
          <w:szCs w:val="19"/>
        </w:rPr>
        <w:t>深度；</w:t>
      </w:r>
    </w:p>
    <w:p>
      <w:pPr>
        <w:spacing w:before="72" w:line="280" w:lineRule="auto"/>
        <w:ind w:left="400" w:right="1515"/>
        <w:rPr>
          <w:rFonts w:ascii="SimSun" w:eastAsia="SimSun" w:hAnsi="SimSun" w:cs="SimSun"/>
          <w:sz w:val="19"/>
          <w:szCs w:val="19"/>
        </w:rPr>
      </w:pPr>
      <w:r>
        <w:rPr>
          <w:rFonts w:ascii="Times New Roman" w:eastAsia="Times New Roman" w:hAnsi="Times New Roman" w:cs="Times New Roman"/>
          <w:spacing w:val="13"/>
          <w:sz w:val="19"/>
          <w:szCs w:val="19"/>
        </w:rPr>
        <w:t xml:space="preserve">e)     </w:t>
      </w:r>
      <w:r>
        <w:rPr>
          <w:rFonts w:ascii="SimSun" w:eastAsia="SimSun" w:hAnsi="SimSun" w:cs="SimSun"/>
          <w:spacing w:val="13"/>
          <w:sz w:val="19"/>
          <w:szCs w:val="19"/>
        </w:rPr>
        <w:t>锈蚀严重部位宜对锈蚀表面物取样，结合金相试验或化学分析判断锈蚀成因；</w:t>
      </w:r>
      <w:r>
        <w:rPr>
          <w:rFonts w:ascii="SimSun" w:eastAsia="SimSun" w:hAnsi="SimSun" w:cs="SimSun"/>
          <w:spacing w:val="6"/>
          <w:sz w:val="19"/>
          <w:szCs w:val="19"/>
        </w:rPr>
        <w:t xml:space="preserve"> </w:t>
      </w:r>
      <w:r>
        <w:rPr>
          <w:rFonts w:ascii="SimSun" w:eastAsia="SimSun" w:hAnsi="SimSun" w:cs="SimSun"/>
          <w:spacing w:val="11"/>
          <w:sz w:val="19"/>
          <w:szCs w:val="19"/>
        </w:rPr>
        <w:t>()</w:t>
      </w:r>
      <w:r>
        <w:rPr>
          <w:rFonts w:ascii="SimSun" w:eastAsia="SimSun" w:hAnsi="SimSun" w:cs="SimSun"/>
          <w:spacing w:val="33"/>
          <w:sz w:val="19"/>
          <w:szCs w:val="19"/>
        </w:rPr>
        <w:t xml:space="preserve">  </w:t>
      </w:r>
      <w:r>
        <w:rPr>
          <w:rFonts w:ascii="SimSun" w:eastAsia="SimSun" w:hAnsi="SimSun" w:cs="SimSun"/>
          <w:spacing w:val="11"/>
          <w:sz w:val="19"/>
          <w:szCs w:val="19"/>
        </w:rPr>
        <w:t>因锈蚀导致构件局部缺损时，宜进行构件刚度影响分析。</w:t>
      </w:r>
    </w:p>
    <w:p>
      <w:pPr>
        <w:spacing w:before="95" w:line="219" w:lineRule="auto"/>
        <w:rPr>
          <w:rFonts w:ascii="SimSun" w:eastAsia="SimSun" w:hAnsi="SimSun" w:cs="SimSun"/>
          <w:sz w:val="19"/>
          <w:szCs w:val="19"/>
        </w:rPr>
      </w:pPr>
      <w:r>
        <w:rPr>
          <w:rFonts w:ascii="SimSun" w:eastAsia="SimSun" w:hAnsi="SimSun" w:cs="SimSun"/>
          <w:spacing w:val="6"/>
          <w:sz w:val="19"/>
          <w:szCs w:val="19"/>
        </w:rPr>
        <w:t>5.2.4  发现疲劳病害后，应进行病害特征检查，并满足下列要求：</w:t>
      </w:r>
    </w:p>
    <w:p>
      <w:pPr>
        <w:spacing w:before="63" w:line="212" w:lineRule="auto"/>
        <w:ind w:left="400"/>
        <w:rPr>
          <w:rFonts w:ascii="SimSun" w:eastAsia="SimSun" w:hAnsi="SimSun" w:cs="SimSun"/>
          <w:sz w:val="19"/>
          <w:szCs w:val="19"/>
        </w:rPr>
      </w:pPr>
      <w:r>
        <w:rPr>
          <w:rFonts w:ascii="Times New Roman" w:eastAsia="Times New Roman" w:hAnsi="Times New Roman" w:cs="Times New Roman"/>
          <w:spacing w:val="10"/>
          <w:sz w:val="19"/>
          <w:szCs w:val="19"/>
        </w:rPr>
        <w:t xml:space="preserve">a)     </w:t>
      </w:r>
      <w:r>
        <w:rPr>
          <w:rFonts w:ascii="SimSun" w:eastAsia="SimSun" w:hAnsi="SimSun" w:cs="SimSun"/>
          <w:spacing w:val="10"/>
          <w:sz w:val="19"/>
          <w:szCs w:val="19"/>
        </w:rPr>
        <w:t>应标记疲劳裂纹位置、裂纹尖端与检测时间，采用磁粉检测辅助确定；</w:t>
      </w:r>
    </w:p>
    <w:p>
      <w:pPr>
        <w:spacing w:before="103" w:line="288" w:lineRule="exact"/>
        <w:ind w:left="400"/>
        <w:rPr>
          <w:rFonts w:ascii="SimSun" w:eastAsia="SimSun" w:hAnsi="SimSun" w:cs="SimSun"/>
          <w:sz w:val="19"/>
          <w:szCs w:val="19"/>
        </w:rPr>
      </w:pPr>
      <w:r>
        <w:rPr>
          <w:rFonts w:ascii="SimSun" w:eastAsia="SimSun" w:hAnsi="SimSun" w:cs="SimSun"/>
          <w:spacing w:val="13"/>
          <w:position w:val="7"/>
          <w:sz w:val="19"/>
          <w:szCs w:val="19"/>
        </w:rPr>
        <w:t>b)  应测量裂纹长度，对持续扩展的疲劳裂纹应测</w:t>
      </w:r>
      <w:r>
        <w:rPr>
          <w:rFonts w:ascii="SimSun" w:eastAsia="SimSun" w:hAnsi="SimSun" w:cs="SimSun"/>
          <w:spacing w:val="12"/>
          <w:position w:val="7"/>
          <w:sz w:val="19"/>
          <w:szCs w:val="19"/>
        </w:rPr>
        <w:t>量扩展长度；</w:t>
      </w:r>
    </w:p>
    <w:p>
      <w:pPr>
        <w:spacing w:before="1" w:line="212" w:lineRule="auto"/>
        <w:ind w:left="400"/>
        <w:rPr>
          <w:rFonts w:ascii="SimSun" w:eastAsia="SimSun" w:hAnsi="SimSun" w:cs="SimSun"/>
          <w:sz w:val="19"/>
          <w:szCs w:val="19"/>
        </w:rPr>
      </w:pPr>
      <w:r>
        <w:rPr>
          <w:rFonts w:ascii="Times New Roman" w:eastAsia="Times New Roman" w:hAnsi="Times New Roman" w:cs="Times New Roman"/>
          <w:spacing w:val="9"/>
          <w:sz w:val="19"/>
          <w:szCs w:val="19"/>
        </w:rPr>
        <w:t xml:space="preserve">c)     </w:t>
      </w:r>
      <w:r>
        <w:rPr>
          <w:rFonts w:ascii="SimSun" w:eastAsia="SimSun" w:hAnsi="SimSun" w:cs="SimSun"/>
          <w:spacing w:val="9"/>
          <w:sz w:val="19"/>
          <w:szCs w:val="19"/>
        </w:rPr>
        <w:t>应测量裂纹最大宽度；</w:t>
      </w:r>
    </w:p>
    <w:p>
      <w:pPr>
        <w:spacing w:before="101" w:line="275" w:lineRule="auto"/>
        <w:ind w:left="400" w:right="5"/>
        <w:rPr>
          <w:rFonts w:ascii="SimSun" w:eastAsia="SimSun" w:hAnsi="SimSun" w:cs="SimSun"/>
          <w:sz w:val="19"/>
          <w:szCs w:val="19"/>
        </w:rPr>
      </w:pPr>
      <w:r>
        <w:rPr>
          <w:rFonts w:ascii="Times New Roman" w:eastAsia="Times New Roman" w:hAnsi="Times New Roman" w:cs="Times New Roman"/>
          <w:spacing w:val="11"/>
          <w:sz w:val="19"/>
          <w:szCs w:val="19"/>
        </w:rPr>
        <w:t xml:space="preserve">d)     </w:t>
      </w:r>
      <w:r>
        <w:rPr>
          <w:rFonts w:ascii="SimSun" w:eastAsia="SimSun" w:hAnsi="SimSun" w:cs="SimSun"/>
          <w:spacing w:val="11"/>
          <w:sz w:val="19"/>
          <w:szCs w:val="19"/>
        </w:rPr>
        <w:t>对疲劳病害重点部位宜开展应力测试或应力强度</w:t>
      </w:r>
      <w:r>
        <w:rPr>
          <w:rFonts w:ascii="SimSun" w:eastAsia="SimSun" w:hAnsi="SimSun" w:cs="SimSun"/>
          <w:spacing w:val="10"/>
          <w:sz w:val="19"/>
          <w:szCs w:val="19"/>
        </w:rPr>
        <w:t>因子测试，并结合车流数据进行疲劳特征分析；</w:t>
      </w:r>
      <w:r>
        <w:rPr>
          <w:rFonts w:ascii="SimSun" w:eastAsia="SimSun" w:hAnsi="SimSun" w:cs="SimSun"/>
          <w:sz w:val="19"/>
          <w:szCs w:val="19"/>
        </w:rPr>
        <w:t xml:space="preserve"> </w:t>
      </w:r>
      <w:r>
        <w:rPr>
          <w:rFonts w:ascii="SimSun" w:eastAsia="SimSun" w:hAnsi="SimSun" w:cs="SimSun"/>
          <w:spacing w:val="17"/>
          <w:sz w:val="19"/>
          <w:szCs w:val="19"/>
        </w:rPr>
        <w:t>e)  焊缝内部疲劳裂纹宜采用超声波检测技术判断真实裂</w:t>
      </w:r>
      <w:r>
        <w:rPr>
          <w:rFonts w:ascii="SimSun" w:eastAsia="SimSun" w:hAnsi="SimSun" w:cs="SimSun"/>
          <w:spacing w:val="16"/>
          <w:sz w:val="19"/>
          <w:szCs w:val="19"/>
        </w:rPr>
        <w:t>纹尖端。</w:t>
      </w:r>
    </w:p>
    <w:p>
      <w:pPr>
        <w:spacing w:before="76" w:line="260" w:lineRule="auto"/>
        <w:ind w:right="50"/>
        <w:rPr>
          <w:rFonts w:ascii="SimSun" w:eastAsia="SimSun" w:hAnsi="SimSun" w:cs="SimSun"/>
          <w:sz w:val="19"/>
          <w:szCs w:val="19"/>
        </w:rPr>
      </w:pPr>
      <w:r>
        <w:rPr>
          <w:rFonts w:ascii="SimSun" w:eastAsia="SimSun" w:hAnsi="SimSun" w:cs="SimSun"/>
          <w:spacing w:val="8"/>
          <w:sz w:val="19"/>
          <w:szCs w:val="19"/>
        </w:rPr>
        <w:t>5.2.5  构件出现局部可见变形、局部屈曲后，应及时对构件进行检查，判断构件是否正常工作、承载力是</w:t>
      </w:r>
      <w:r>
        <w:rPr>
          <w:rFonts w:ascii="SimSun" w:eastAsia="SimSun" w:hAnsi="SimSun" w:cs="SimSun"/>
          <w:spacing w:val="14"/>
          <w:sz w:val="19"/>
          <w:szCs w:val="19"/>
        </w:rPr>
        <w:t xml:space="preserve"> </w:t>
      </w:r>
      <w:r>
        <w:rPr>
          <w:rFonts w:ascii="SimSun" w:eastAsia="SimSun" w:hAnsi="SimSun" w:cs="SimSun"/>
          <w:spacing w:val="9"/>
          <w:sz w:val="19"/>
          <w:szCs w:val="19"/>
        </w:rPr>
        <w:t>否满足设计要求。</w:t>
      </w:r>
    </w:p>
    <w:p>
      <w:pPr>
        <w:spacing w:before="105" w:line="219" w:lineRule="auto"/>
        <w:rPr>
          <w:rFonts w:ascii="SimSun" w:eastAsia="SimSun" w:hAnsi="SimSun" w:cs="SimSun"/>
          <w:sz w:val="19"/>
          <w:szCs w:val="19"/>
        </w:rPr>
      </w:pPr>
      <w:r>
        <w:rPr>
          <w:rFonts w:ascii="Arial" w:eastAsia="Arial" w:hAnsi="Arial" w:cs="Arial"/>
          <w:spacing w:val="12"/>
          <w:sz w:val="19"/>
          <w:szCs w:val="19"/>
        </w:rPr>
        <w:t xml:space="preserve">5.2.6   </w:t>
      </w:r>
      <w:r>
        <w:rPr>
          <w:rFonts w:ascii="SimSun" w:eastAsia="SimSun" w:hAnsi="SimSun" w:cs="SimSun"/>
          <w:spacing w:val="12"/>
          <w:sz w:val="19"/>
          <w:szCs w:val="19"/>
        </w:rPr>
        <w:t>检查过程中发现异常情况应按现行相关管理</w:t>
      </w:r>
      <w:r>
        <w:rPr>
          <w:rFonts w:ascii="SimSun" w:eastAsia="SimSun" w:hAnsi="SimSun" w:cs="SimSun"/>
          <w:spacing w:val="11"/>
          <w:sz w:val="19"/>
          <w:szCs w:val="19"/>
        </w:rPr>
        <w:t>规定，及时上报。</w:t>
      </w:r>
    </w:p>
    <w:p>
      <w:pPr>
        <w:pStyle w:val="BodyText"/>
        <w:spacing w:before="260" w:line="222" w:lineRule="auto"/>
        <w:ind w:left="2"/>
        <w:outlineLvl w:val="0"/>
        <w:rPr>
          <w:sz w:val="19"/>
          <w:szCs w:val="19"/>
        </w:rPr>
        <w:sectPr>
          <w:footerReference w:type="default" r:id="rId13"/>
          <w:pgSz w:w="12190" w:h="17230"/>
          <w:pgMar w:top="1464" w:right="1319" w:bottom="1311" w:left="1569" w:header="0" w:footer="1182" w:gutter="0"/>
          <w:pgNumType w:start="12"/>
          <w:cols w:space="708"/>
        </w:sectPr>
      </w:pPr>
      <w:r>
        <w:rPr>
          <w:b/>
          <w:bCs/>
          <w:spacing w:val="3"/>
          <w:sz w:val="19"/>
          <w:szCs w:val="19"/>
        </w:rPr>
        <w:t>5.3</w:t>
      </w:r>
      <w:r>
        <w:rPr>
          <w:spacing w:val="16"/>
          <w:sz w:val="19"/>
          <w:szCs w:val="19"/>
        </w:rPr>
        <w:t xml:space="preserve">  </w:t>
      </w:r>
      <w:r>
        <w:rPr>
          <w:b/>
          <w:bCs/>
          <w:spacing w:val="3"/>
          <w:sz w:val="19"/>
          <w:szCs w:val="19"/>
        </w:rPr>
        <w:t>病害检查记录</w:t>
      </w:r>
    </w:p>
    <w:p>
      <w:pPr>
        <w:spacing w:before="205" w:line="269" w:lineRule="auto"/>
        <w:ind w:right="30"/>
        <w:rPr>
          <w:rFonts w:ascii="SimSun" w:eastAsia="SimSun" w:hAnsi="SimSun" w:cs="SimSun"/>
          <w:sz w:val="19"/>
          <w:szCs w:val="19"/>
        </w:rPr>
      </w:pPr>
      <w:r>
        <w:rPr>
          <w:rFonts w:ascii="SimSun" w:eastAsia="SimSun" w:hAnsi="SimSun" w:cs="SimSun"/>
          <w:spacing w:val="9"/>
          <w:sz w:val="19"/>
          <w:szCs w:val="19"/>
        </w:rPr>
        <w:t>5.3.1  检查过程中应现场填写检查记录，对病害进行影像留存，并</w:t>
      </w:r>
      <w:r>
        <w:rPr>
          <w:rFonts w:ascii="SimSun" w:eastAsia="SimSun" w:hAnsi="SimSun" w:cs="SimSun"/>
          <w:spacing w:val="8"/>
          <w:sz w:val="19"/>
          <w:szCs w:val="19"/>
        </w:rPr>
        <w:t>结合检查后的室内试验或测试分析，完</w:t>
      </w:r>
      <w:r>
        <w:rPr>
          <w:rFonts w:ascii="SimSun" w:eastAsia="SimSun" w:hAnsi="SimSun" w:cs="SimSun"/>
          <w:sz w:val="19"/>
          <w:szCs w:val="19"/>
        </w:rPr>
        <w:t xml:space="preserve"> </w:t>
      </w:r>
      <w:r>
        <w:rPr>
          <w:rFonts w:ascii="SimSun" w:eastAsia="SimSun" w:hAnsi="SimSun" w:cs="SimSun"/>
          <w:spacing w:val="10"/>
          <w:sz w:val="19"/>
          <w:szCs w:val="19"/>
        </w:rPr>
        <w:t>成检查报告，病害检查记录表按照附录</w:t>
      </w:r>
      <w:r>
        <w:rPr>
          <w:rFonts w:ascii="SimSun" w:eastAsia="SimSun" w:hAnsi="SimSun" w:cs="SimSun"/>
          <w:spacing w:val="-38"/>
          <w:sz w:val="19"/>
          <w:szCs w:val="19"/>
        </w:rPr>
        <w:t xml:space="preserve"> </w:t>
      </w:r>
      <w:r>
        <w:rPr>
          <w:rFonts w:ascii="Times New Roman" w:eastAsia="Times New Roman" w:hAnsi="Times New Roman" w:cs="Times New Roman"/>
          <w:spacing w:val="10"/>
          <w:sz w:val="19"/>
          <w:szCs w:val="19"/>
        </w:rPr>
        <w:t>C</w:t>
      </w:r>
      <w:r>
        <w:rPr>
          <w:rFonts w:ascii="Times New Roman" w:eastAsia="Times New Roman" w:hAnsi="Times New Roman" w:cs="Times New Roman"/>
          <w:spacing w:val="22"/>
          <w:w w:val="101"/>
          <w:sz w:val="19"/>
          <w:szCs w:val="19"/>
        </w:rPr>
        <w:t xml:space="preserve"> </w:t>
      </w:r>
      <w:r>
        <w:rPr>
          <w:rFonts w:ascii="SimSun" w:eastAsia="SimSun" w:hAnsi="SimSun" w:cs="SimSun"/>
          <w:spacing w:val="10"/>
          <w:sz w:val="19"/>
          <w:szCs w:val="19"/>
        </w:rPr>
        <w:t>执行。</w:t>
      </w:r>
    </w:p>
    <w:p>
      <w:pPr>
        <w:spacing w:before="87" w:line="219" w:lineRule="auto"/>
        <w:rPr>
          <w:rFonts w:ascii="SimSun" w:eastAsia="SimSun" w:hAnsi="SimSun" w:cs="SimSun"/>
          <w:sz w:val="19"/>
          <w:szCs w:val="19"/>
        </w:rPr>
      </w:pPr>
      <w:r>
        <w:rPr>
          <w:rFonts w:ascii="SimSun" w:eastAsia="SimSun" w:hAnsi="SimSun" w:cs="SimSun"/>
          <w:spacing w:val="7"/>
          <w:sz w:val="19"/>
          <w:szCs w:val="19"/>
        </w:rPr>
        <w:t>5.3.2  锈蚀病害记录应包括下列内容：</w:t>
      </w:r>
    </w:p>
    <w:p>
      <w:pPr>
        <w:spacing w:before="114" w:line="290" w:lineRule="exact"/>
        <w:ind w:left="400"/>
        <w:rPr>
          <w:rFonts w:ascii="SimSun" w:eastAsia="SimSun" w:hAnsi="SimSun" w:cs="SimSun"/>
          <w:sz w:val="19"/>
          <w:szCs w:val="19"/>
        </w:rPr>
      </w:pPr>
      <w:r>
        <w:rPr>
          <w:rFonts w:ascii="SimSun" w:eastAsia="SimSun" w:hAnsi="SimSun" w:cs="SimSun"/>
          <w:spacing w:val="9"/>
          <w:position w:val="7"/>
          <w:sz w:val="19"/>
          <w:szCs w:val="19"/>
        </w:rPr>
        <w:t>a)  锈蚀病害所在构件及纵桥向、横桥向位置；</w:t>
      </w:r>
    </w:p>
    <w:p>
      <w:pPr>
        <w:spacing w:before="1" w:line="219" w:lineRule="auto"/>
        <w:ind w:left="400"/>
        <w:rPr>
          <w:rFonts w:ascii="SimSun" w:eastAsia="SimSun" w:hAnsi="SimSun" w:cs="SimSun"/>
          <w:sz w:val="19"/>
          <w:szCs w:val="19"/>
        </w:rPr>
      </w:pPr>
      <w:r>
        <w:rPr>
          <w:rFonts w:ascii="SimSun" w:eastAsia="SimSun" w:hAnsi="SimSun" w:cs="SimSun"/>
          <w:spacing w:val="8"/>
          <w:sz w:val="19"/>
          <w:szCs w:val="19"/>
        </w:rPr>
        <w:t>b)  锈蚀类型；</w:t>
      </w:r>
    </w:p>
    <w:p>
      <w:pPr>
        <w:spacing w:line="219" w:lineRule="auto"/>
        <w:rPr>
          <w:rFonts w:ascii="SimSun" w:eastAsia="SimSun" w:hAnsi="SimSun" w:cs="SimSun"/>
          <w:sz w:val="19"/>
          <w:szCs w:val="19"/>
        </w:rPr>
        <w:sectPr>
          <w:footerReference w:type="default" r:id="rId14"/>
          <w:type w:val="nextPage"/>
          <w:pgSz w:w="12190" w:h="17230"/>
          <w:pgMar w:top="1464" w:right="1319" w:bottom="1311" w:left="1569" w:header="0" w:footer="1182" w:gutter="0"/>
          <w:pgNumType w:start="13"/>
          <w:cols w:space="708"/>
          <w:titlePg w:val="0"/>
        </w:sectPr>
      </w:pPr>
    </w:p>
    <w:p>
      <w:pPr>
        <w:spacing w:before="156" w:line="224" w:lineRule="auto"/>
        <w:ind w:left="2"/>
        <w:rPr>
          <w:rFonts w:ascii="SimSun" w:eastAsia="SimSun" w:hAnsi="SimSun" w:cs="SimSun"/>
          <w:sz w:val="20"/>
          <w:szCs w:val="20"/>
        </w:rPr>
      </w:pPr>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4648—2024</w:t>
      </w:r>
    </w:p>
    <w:p>
      <w:pPr>
        <w:spacing w:before="211" w:line="212" w:lineRule="auto"/>
        <w:ind w:left="420"/>
        <w:rPr>
          <w:rFonts w:ascii="SimSun" w:eastAsia="SimSun" w:hAnsi="SimSun" w:cs="SimSun"/>
          <w:sz w:val="20"/>
          <w:szCs w:val="20"/>
        </w:rPr>
      </w:pPr>
      <w:r>
        <w:rPr>
          <w:rFonts w:ascii="Times New Roman" w:eastAsia="Times New Roman" w:hAnsi="Times New Roman" w:cs="Times New Roman"/>
          <w:spacing w:val="2"/>
          <w:sz w:val="20"/>
          <w:szCs w:val="20"/>
        </w:rPr>
        <w:t>c)</w:t>
      </w:r>
      <w:r>
        <w:rPr>
          <w:rFonts w:ascii="Times New Roman" w:eastAsia="Times New Roman" w:hAnsi="Times New Roman" w:cs="Times New Roman"/>
          <w:spacing w:val="11"/>
          <w:sz w:val="20"/>
          <w:szCs w:val="20"/>
        </w:rPr>
        <w:t xml:space="preserve">    </w:t>
      </w:r>
      <w:r>
        <w:rPr>
          <w:rFonts w:ascii="SimSun" w:eastAsia="SimSun" w:hAnsi="SimSun" w:cs="SimSun"/>
          <w:spacing w:val="2"/>
          <w:sz w:val="20"/>
          <w:szCs w:val="20"/>
        </w:rPr>
        <w:t>点蚀孔洞直径；</w:t>
      </w:r>
    </w:p>
    <w:p>
      <w:pPr>
        <w:spacing w:before="102" w:line="288" w:lineRule="exact"/>
        <w:ind w:left="420"/>
        <w:rPr>
          <w:rFonts w:ascii="SimSun" w:eastAsia="SimSun" w:hAnsi="SimSun" w:cs="SimSun"/>
          <w:sz w:val="20"/>
          <w:szCs w:val="20"/>
        </w:rPr>
      </w:pPr>
      <w:r>
        <w:rPr>
          <w:rFonts w:ascii="SimSun" w:eastAsia="SimSun" w:hAnsi="SimSun" w:cs="SimSun"/>
          <w:spacing w:val="5"/>
          <w:position w:val="6"/>
          <w:sz w:val="20"/>
          <w:szCs w:val="20"/>
        </w:rPr>
        <w:t>d)  单个构件的锈蚀累计面积；</w:t>
      </w:r>
    </w:p>
    <w:p>
      <w:pPr>
        <w:spacing w:line="212" w:lineRule="auto"/>
        <w:ind w:left="420"/>
        <w:rPr>
          <w:rFonts w:ascii="SimSun" w:eastAsia="SimSun" w:hAnsi="SimSun" w:cs="SimSun"/>
          <w:sz w:val="20"/>
          <w:szCs w:val="20"/>
        </w:rPr>
      </w:pPr>
      <w:r>
        <w:rPr>
          <w:rFonts w:ascii="Times New Roman" w:eastAsia="Times New Roman" w:hAnsi="Times New Roman" w:cs="Times New Roman"/>
          <w:spacing w:val="6"/>
          <w:sz w:val="20"/>
          <w:szCs w:val="20"/>
        </w:rPr>
        <w:t>e)</w:t>
      </w:r>
      <w:r>
        <w:rPr>
          <w:rFonts w:ascii="Times New Roman" w:eastAsia="Times New Roman" w:hAnsi="Times New Roman" w:cs="Times New Roman"/>
          <w:spacing w:val="10"/>
          <w:sz w:val="20"/>
          <w:szCs w:val="20"/>
        </w:rPr>
        <w:t xml:space="preserve">    </w:t>
      </w:r>
      <w:r>
        <w:rPr>
          <w:rFonts w:ascii="SimSun" w:eastAsia="SimSun" w:hAnsi="SimSun" w:cs="SimSun"/>
          <w:spacing w:val="6"/>
          <w:sz w:val="20"/>
          <w:szCs w:val="20"/>
        </w:rPr>
        <w:t>锈蚀深度。</w:t>
      </w:r>
    </w:p>
    <w:p>
      <w:pPr>
        <w:spacing w:before="112" w:line="219" w:lineRule="auto"/>
        <w:rPr>
          <w:rFonts w:ascii="SimSun" w:eastAsia="SimSun" w:hAnsi="SimSun" w:cs="SimSun"/>
          <w:sz w:val="20"/>
          <w:szCs w:val="20"/>
        </w:rPr>
      </w:pPr>
      <w:r>
        <w:rPr>
          <w:rFonts w:ascii="SimSun" w:eastAsia="SimSun" w:hAnsi="SimSun" w:cs="SimSun"/>
          <w:spacing w:val="-2"/>
          <w:sz w:val="20"/>
          <w:szCs w:val="20"/>
        </w:rPr>
        <w:t>5.3.3</w:t>
      </w:r>
      <w:r>
        <w:rPr>
          <w:rFonts w:ascii="SimSun" w:eastAsia="SimSun" w:hAnsi="SimSun" w:cs="SimSun"/>
          <w:spacing w:val="107"/>
          <w:sz w:val="20"/>
          <w:szCs w:val="20"/>
        </w:rPr>
        <w:t xml:space="preserve"> </w:t>
      </w:r>
      <w:r>
        <w:rPr>
          <w:rFonts w:ascii="SimSun" w:eastAsia="SimSun" w:hAnsi="SimSun" w:cs="SimSun"/>
          <w:spacing w:val="-2"/>
          <w:sz w:val="20"/>
          <w:szCs w:val="20"/>
        </w:rPr>
        <w:t>疲劳病害记录应包括下列内容：</w:t>
      </w:r>
    </w:p>
    <w:p>
      <w:pPr>
        <w:spacing w:before="60" w:line="310" w:lineRule="exact"/>
        <w:ind w:left="420"/>
        <w:rPr>
          <w:rFonts w:ascii="SimSun" w:eastAsia="SimSun" w:hAnsi="SimSun" w:cs="SimSun"/>
          <w:sz w:val="20"/>
          <w:szCs w:val="20"/>
        </w:rPr>
      </w:pPr>
      <w:r>
        <w:rPr>
          <w:rFonts w:ascii="Times New Roman" w:eastAsia="Times New Roman" w:hAnsi="Times New Roman" w:cs="Times New Roman"/>
          <w:spacing w:val="2"/>
          <w:position w:val="8"/>
          <w:sz w:val="20"/>
          <w:szCs w:val="20"/>
        </w:rPr>
        <w:t xml:space="preserve">a)     </w:t>
      </w:r>
      <w:r>
        <w:rPr>
          <w:rFonts w:ascii="SimSun" w:eastAsia="SimSun" w:hAnsi="SimSun" w:cs="SimSun"/>
          <w:spacing w:val="2"/>
          <w:position w:val="8"/>
          <w:sz w:val="20"/>
          <w:szCs w:val="20"/>
        </w:rPr>
        <w:t>疲劳裂纹所在构件及纵桥向、横桥向位置；</w:t>
      </w:r>
    </w:p>
    <w:p>
      <w:pPr>
        <w:spacing w:line="212" w:lineRule="auto"/>
        <w:ind w:left="420"/>
        <w:rPr>
          <w:rFonts w:ascii="SimSun" w:eastAsia="SimSun" w:hAnsi="SimSun" w:cs="SimSun"/>
          <w:sz w:val="20"/>
          <w:szCs w:val="20"/>
        </w:rPr>
      </w:pPr>
      <w:r>
        <w:rPr>
          <w:rFonts w:ascii="Times New Roman" w:eastAsia="Times New Roman" w:hAnsi="Times New Roman" w:cs="Times New Roman"/>
          <w:spacing w:val="3"/>
          <w:sz w:val="20"/>
          <w:szCs w:val="20"/>
        </w:rPr>
        <w:t>b)</w:t>
      </w:r>
      <w:r>
        <w:rPr>
          <w:rFonts w:ascii="Times New Roman" w:eastAsia="Times New Roman" w:hAnsi="Times New Roman" w:cs="Times New Roman"/>
          <w:spacing w:val="1"/>
          <w:sz w:val="20"/>
          <w:szCs w:val="20"/>
        </w:rPr>
        <w:t xml:space="preserve">     </w:t>
      </w:r>
      <w:r>
        <w:rPr>
          <w:rFonts w:ascii="SimSun" w:eastAsia="SimSun" w:hAnsi="SimSun" w:cs="SimSun"/>
          <w:spacing w:val="3"/>
          <w:sz w:val="20"/>
          <w:szCs w:val="20"/>
        </w:rPr>
        <w:t>裂纹表面尖端位置；</w:t>
      </w:r>
    </w:p>
    <w:p>
      <w:pPr>
        <w:spacing w:before="81" w:line="310" w:lineRule="exact"/>
        <w:ind w:left="420"/>
        <w:rPr>
          <w:rFonts w:ascii="SimSun" w:eastAsia="SimSun" w:hAnsi="SimSun" w:cs="SimSun"/>
          <w:sz w:val="20"/>
          <w:szCs w:val="20"/>
        </w:rPr>
      </w:pPr>
      <w:r>
        <w:rPr>
          <w:rFonts w:ascii="Times New Roman" w:eastAsia="Times New Roman" w:hAnsi="Times New Roman" w:cs="Times New Roman"/>
          <w:spacing w:val="4"/>
          <w:position w:val="8"/>
          <w:sz w:val="20"/>
          <w:szCs w:val="20"/>
        </w:rPr>
        <w:t>c)</w:t>
      </w:r>
      <w:r>
        <w:rPr>
          <w:rFonts w:ascii="Times New Roman" w:eastAsia="Times New Roman" w:hAnsi="Times New Roman" w:cs="Times New Roman"/>
          <w:spacing w:val="1"/>
          <w:position w:val="8"/>
          <w:sz w:val="20"/>
          <w:szCs w:val="20"/>
        </w:rPr>
        <w:t xml:space="preserve">     </w:t>
      </w:r>
      <w:r>
        <w:rPr>
          <w:rFonts w:ascii="SimSun" w:eastAsia="SimSun" w:hAnsi="SimSun" w:cs="SimSun"/>
          <w:spacing w:val="4"/>
          <w:position w:val="8"/>
          <w:sz w:val="20"/>
          <w:szCs w:val="20"/>
        </w:rPr>
        <w:t>隐蔽裂纹的真实裂纹尖端位置；</w:t>
      </w:r>
    </w:p>
    <w:p>
      <w:pPr>
        <w:spacing w:line="212" w:lineRule="auto"/>
        <w:ind w:left="420"/>
        <w:rPr>
          <w:rFonts w:ascii="SimSun" w:eastAsia="SimSun" w:hAnsi="SimSun" w:cs="SimSun"/>
          <w:sz w:val="20"/>
          <w:szCs w:val="20"/>
        </w:rPr>
      </w:pPr>
      <w:r>
        <w:rPr>
          <w:rFonts w:ascii="Times New Roman" w:eastAsia="Times New Roman" w:hAnsi="Times New Roman" w:cs="Times New Roman"/>
          <w:spacing w:val="4"/>
          <w:sz w:val="20"/>
          <w:szCs w:val="20"/>
        </w:rPr>
        <w:t>d)</w:t>
      </w:r>
      <w:r>
        <w:rPr>
          <w:rFonts w:ascii="Times New Roman" w:eastAsia="Times New Roman" w:hAnsi="Times New Roman" w:cs="Times New Roman"/>
          <w:spacing w:val="15"/>
          <w:sz w:val="20"/>
          <w:szCs w:val="20"/>
        </w:rPr>
        <w:t xml:space="preserve">    </w:t>
      </w:r>
      <w:r>
        <w:rPr>
          <w:rFonts w:ascii="SimSun" w:eastAsia="SimSun" w:hAnsi="SimSun" w:cs="SimSun"/>
          <w:spacing w:val="4"/>
          <w:sz w:val="20"/>
          <w:szCs w:val="20"/>
        </w:rPr>
        <w:t>裂纹总长度或分段长度；</w:t>
      </w:r>
    </w:p>
    <w:p>
      <w:pPr>
        <w:spacing w:before="90" w:line="310" w:lineRule="exact"/>
        <w:ind w:left="420"/>
        <w:rPr>
          <w:rFonts w:ascii="SimSun" w:eastAsia="SimSun" w:hAnsi="SimSun" w:cs="SimSun"/>
          <w:sz w:val="20"/>
          <w:szCs w:val="20"/>
        </w:rPr>
      </w:pPr>
      <w:r>
        <w:rPr>
          <w:rFonts w:ascii="Times New Roman" w:eastAsia="Times New Roman" w:hAnsi="Times New Roman" w:cs="Times New Roman"/>
          <w:spacing w:val="5"/>
          <w:position w:val="8"/>
          <w:sz w:val="20"/>
          <w:szCs w:val="20"/>
        </w:rPr>
        <w:t>e)</w:t>
      </w:r>
      <w:r>
        <w:rPr>
          <w:rFonts w:ascii="Times New Roman" w:eastAsia="Times New Roman" w:hAnsi="Times New Roman" w:cs="Times New Roman"/>
          <w:spacing w:val="13"/>
          <w:position w:val="8"/>
          <w:sz w:val="20"/>
          <w:szCs w:val="20"/>
        </w:rPr>
        <w:t xml:space="preserve">    </w:t>
      </w:r>
      <w:r>
        <w:rPr>
          <w:rFonts w:ascii="SimSun" w:eastAsia="SimSun" w:hAnsi="SimSun" w:cs="SimSun"/>
          <w:spacing w:val="5"/>
          <w:position w:val="8"/>
          <w:sz w:val="20"/>
          <w:szCs w:val="20"/>
        </w:rPr>
        <w:t>发生扩展行为的疲劳裂纹扩展长度；</w:t>
      </w:r>
    </w:p>
    <w:p>
      <w:pPr>
        <w:spacing w:line="212" w:lineRule="auto"/>
        <w:ind w:left="420"/>
        <w:rPr>
          <w:rFonts w:ascii="SimSun" w:eastAsia="SimSun" w:hAnsi="SimSun" w:cs="SimSun"/>
          <w:sz w:val="20"/>
          <w:szCs w:val="20"/>
        </w:rPr>
      </w:pPr>
      <w:r>
        <w:rPr>
          <w:rFonts w:ascii="Times New Roman" w:eastAsia="Times New Roman" w:hAnsi="Times New Roman" w:cs="Times New Roman"/>
          <w:spacing w:val="5"/>
          <w:sz w:val="20"/>
          <w:szCs w:val="20"/>
        </w:rPr>
        <w:t xml:space="preserve">f)     </w:t>
      </w:r>
      <w:r>
        <w:rPr>
          <w:rFonts w:ascii="SimSun" w:eastAsia="SimSun" w:hAnsi="SimSun" w:cs="SimSun"/>
          <w:spacing w:val="5"/>
          <w:sz w:val="20"/>
          <w:szCs w:val="20"/>
        </w:rPr>
        <w:t>开裂部位是否出现局部变形。</w:t>
      </w:r>
    </w:p>
    <w:p>
      <w:pPr>
        <w:spacing w:line="341" w:lineRule="auto"/>
        <w:rPr>
          <w:rFonts w:ascii="Arial"/>
          <w:sz w:val="21"/>
        </w:rPr>
      </w:pPr>
    </w:p>
    <w:p>
      <w:pPr>
        <w:pStyle w:val="BodyText"/>
        <w:spacing w:before="66" w:line="222" w:lineRule="auto"/>
        <w:ind w:left="2"/>
        <w:rPr>
          <w:sz w:val="20"/>
          <w:szCs w:val="20"/>
        </w:rPr>
      </w:pPr>
      <w:r>
        <w:rPr>
          <w:b/>
          <w:bCs/>
          <w:sz w:val="20"/>
          <w:szCs w:val="20"/>
        </w:rPr>
        <w:t>6</w:t>
      </w:r>
      <w:r>
        <w:rPr>
          <w:spacing w:val="9"/>
          <w:sz w:val="20"/>
          <w:szCs w:val="20"/>
        </w:rPr>
        <w:t xml:space="preserve">  </w:t>
      </w:r>
      <w:r>
        <w:rPr>
          <w:b/>
          <w:bCs/>
          <w:sz w:val="20"/>
          <w:szCs w:val="20"/>
        </w:rPr>
        <w:t>评定</w:t>
      </w:r>
    </w:p>
    <w:p>
      <w:pPr>
        <w:spacing w:line="262" w:lineRule="auto"/>
        <w:rPr>
          <w:rFonts w:ascii="Arial"/>
          <w:sz w:val="21"/>
        </w:rPr>
      </w:pPr>
    </w:p>
    <w:p>
      <w:pPr>
        <w:pStyle w:val="BodyText"/>
        <w:spacing w:before="65" w:line="221" w:lineRule="auto"/>
        <w:ind w:left="2"/>
        <w:outlineLvl w:val="0"/>
        <w:rPr>
          <w:sz w:val="20"/>
          <w:szCs w:val="20"/>
        </w:rPr>
      </w:pPr>
      <w:r>
        <w:rPr>
          <w:b/>
          <w:bCs/>
          <w:spacing w:val="-9"/>
          <w:sz w:val="20"/>
          <w:szCs w:val="20"/>
        </w:rPr>
        <w:t>6.1</w:t>
      </w:r>
      <w:r>
        <w:rPr>
          <w:spacing w:val="6"/>
          <w:sz w:val="20"/>
          <w:szCs w:val="20"/>
        </w:rPr>
        <w:t xml:space="preserve">  </w:t>
      </w:r>
      <w:r>
        <w:rPr>
          <w:b/>
          <w:bCs/>
          <w:spacing w:val="-9"/>
          <w:sz w:val="20"/>
          <w:szCs w:val="20"/>
        </w:rPr>
        <w:t>一般规定</w:t>
      </w:r>
    </w:p>
    <w:p>
      <w:pPr>
        <w:spacing w:before="264" w:line="219" w:lineRule="auto"/>
        <w:rPr>
          <w:rFonts w:ascii="SimSun" w:eastAsia="SimSun" w:hAnsi="SimSun" w:cs="SimSun"/>
          <w:sz w:val="20"/>
          <w:szCs w:val="20"/>
        </w:rPr>
      </w:pPr>
      <w:r>
        <w:rPr>
          <w:rFonts w:ascii="SimSun" w:eastAsia="SimSun" w:hAnsi="SimSun" w:cs="SimSun"/>
          <w:spacing w:val="5"/>
          <w:sz w:val="20"/>
          <w:szCs w:val="20"/>
        </w:rPr>
        <w:t>6.1.1  桥梁技术状况评定应采用全</w:t>
      </w:r>
      <w:r>
        <w:rPr>
          <w:rFonts w:ascii="SimSun" w:eastAsia="SimSun" w:hAnsi="SimSun" w:cs="SimSun"/>
          <w:spacing w:val="4"/>
          <w:sz w:val="20"/>
          <w:szCs w:val="20"/>
        </w:rPr>
        <w:t>桥单项控制指标与分层综合评定相结合的方法。</w:t>
      </w:r>
    </w:p>
    <w:p>
      <w:pPr>
        <w:spacing w:before="64" w:line="219" w:lineRule="auto"/>
        <w:rPr>
          <w:rFonts w:ascii="SimSun" w:eastAsia="SimSun" w:hAnsi="SimSun" w:cs="SimSun"/>
          <w:sz w:val="20"/>
          <w:szCs w:val="20"/>
        </w:rPr>
      </w:pPr>
      <w:r>
        <w:rPr>
          <w:rFonts w:ascii="SimSun" w:eastAsia="SimSun" w:hAnsi="SimSun" w:cs="SimSun"/>
          <w:spacing w:val="-3"/>
          <w:sz w:val="20"/>
          <w:szCs w:val="20"/>
        </w:rPr>
        <w:t>6.1.2</w:t>
      </w:r>
      <w:r>
        <w:rPr>
          <w:rFonts w:ascii="SimSun" w:eastAsia="SimSun" w:hAnsi="SimSun" w:cs="SimSun"/>
          <w:spacing w:val="95"/>
          <w:sz w:val="20"/>
          <w:szCs w:val="20"/>
        </w:rPr>
        <w:t xml:space="preserve"> </w:t>
      </w:r>
      <w:r>
        <w:rPr>
          <w:rFonts w:ascii="SimSun" w:eastAsia="SimSun" w:hAnsi="SimSun" w:cs="SimSun"/>
          <w:spacing w:val="-3"/>
          <w:sz w:val="20"/>
          <w:szCs w:val="20"/>
        </w:rPr>
        <w:t xml:space="preserve">评定等级、标度、方法与流程应符合 </w:t>
      </w:r>
      <w:r>
        <w:rPr>
          <w:rFonts w:ascii="Times New Roman" w:eastAsia="Times New Roman" w:hAnsi="Times New Roman" w:cs="Times New Roman"/>
          <w:spacing w:val="-3"/>
          <w:sz w:val="20"/>
          <w:szCs w:val="20"/>
        </w:rPr>
        <w:t xml:space="preserve">JTG/TH21     </w:t>
      </w:r>
      <w:r>
        <w:rPr>
          <w:rFonts w:ascii="SimSun" w:eastAsia="SimSun" w:hAnsi="SimSun" w:cs="SimSun"/>
          <w:spacing w:val="-3"/>
          <w:sz w:val="20"/>
          <w:szCs w:val="20"/>
        </w:rPr>
        <w:t>的相关规定。</w:t>
      </w:r>
    </w:p>
    <w:p>
      <w:pPr>
        <w:pStyle w:val="BodyText"/>
        <w:spacing w:before="219" w:line="222" w:lineRule="auto"/>
        <w:ind w:left="2"/>
        <w:outlineLvl w:val="0"/>
        <w:rPr>
          <w:sz w:val="20"/>
          <w:szCs w:val="20"/>
        </w:rPr>
      </w:pPr>
      <w:r>
        <w:rPr>
          <w:b/>
          <w:bCs/>
          <w:spacing w:val="-2"/>
          <w:sz w:val="20"/>
          <w:szCs w:val="20"/>
        </w:rPr>
        <w:t>6.2</w:t>
      </w:r>
      <w:r>
        <w:rPr>
          <w:spacing w:val="-2"/>
          <w:sz w:val="20"/>
          <w:szCs w:val="20"/>
        </w:rPr>
        <w:t xml:space="preserve">  </w:t>
      </w:r>
      <w:r>
        <w:rPr>
          <w:b/>
          <w:bCs/>
          <w:spacing w:val="-2"/>
          <w:sz w:val="20"/>
          <w:szCs w:val="20"/>
        </w:rPr>
        <w:t>全桥单项控制指标</w:t>
      </w:r>
    </w:p>
    <w:p>
      <w:pPr>
        <w:spacing w:before="253" w:line="219" w:lineRule="auto"/>
        <w:rPr>
          <w:rFonts w:ascii="SimSun" w:eastAsia="SimSun" w:hAnsi="SimSun" w:cs="SimSun"/>
          <w:sz w:val="20"/>
          <w:szCs w:val="20"/>
        </w:rPr>
      </w:pPr>
      <w:r>
        <w:rPr>
          <w:rFonts w:ascii="SimSun" w:eastAsia="SimSun" w:hAnsi="SimSun" w:cs="SimSun"/>
          <w:spacing w:val="1"/>
          <w:sz w:val="20"/>
          <w:szCs w:val="20"/>
        </w:rPr>
        <w:t>6.2.1  当主要构件存在严重缺损，不能正常使用，危及桥梁安全，桥梁处于危险状态时为5类桥。</w:t>
      </w:r>
    </w:p>
    <w:p>
      <w:pPr>
        <w:spacing w:before="92" w:line="230" w:lineRule="auto"/>
        <w:ind w:left="420" w:right="1965" w:hanging="420"/>
        <w:rPr>
          <w:rFonts w:ascii="SimSun" w:eastAsia="SimSun" w:hAnsi="SimSun" w:cs="SimSun"/>
          <w:sz w:val="20"/>
          <w:szCs w:val="20"/>
        </w:rPr>
      </w:pPr>
      <w:r>
        <w:rPr>
          <w:rFonts w:ascii="SimSun" w:eastAsia="SimSun" w:hAnsi="SimSun" w:cs="SimSun"/>
          <w:spacing w:val="4"/>
          <w:sz w:val="20"/>
          <w:szCs w:val="20"/>
        </w:rPr>
        <w:t>6.2.2</w:t>
      </w:r>
      <w:r>
        <w:rPr>
          <w:rFonts w:ascii="SimSun" w:eastAsia="SimSun" w:hAnsi="SimSun" w:cs="SimSun"/>
          <w:spacing w:val="100"/>
          <w:sz w:val="20"/>
          <w:szCs w:val="20"/>
        </w:rPr>
        <w:t xml:space="preserve"> </w:t>
      </w:r>
      <w:r>
        <w:rPr>
          <w:rFonts w:ascii="SimSun" w:eastAsia="SimSun" w:hAnsi="SimSun" w:cs="SimSun"/>
          <w:spacing w:val="4"/>
          <w:sz w:val="20"/>
          <w:szCs w:val="20"/>
        </w:rPr>
        <w:t>当出现以下全桥单项控制指标时，应将桥梁总体技术状况等级评定</w:t>
      </w:r>
      <w:r>
        <w:rPr>
          <w:rFonts w:ascii="SimSun" w:eastAsia="SimSun" w:hAnsi="SimSun" w:cs="SimSun"/>
          <w:spacing w:val="3"/>
          <w:sz w:val="20"/>
          <w:szCs w:val="20"/>
        </w:rPr>
        <w:t>为5类：</w:t>
      </w:r>
      <w:r>
        <w:rPr>
          <w:rFonts w:ascii="SimSun" w:eastAsia="SimSun" w:hAnsi="SimSun" w:cs="SimSun"/>
          <w:sz w:val="20"/>
          <w:szCs w:val="20"/>
        </w:rPr>
        <w:t xml:space="preserve"> </w:t>
      </w:r>
      <w:r>
        <w:rPr>
          <w:rFonts w:ascii="Times New Roman" w:eastAsia="Times New Roman" w:hAnsi="Times New Roman" w:cs="Times New Roman"/>
          <w:spacing w:val="12"/>
          <w:sz w:val="20"/>
          <w:szCs w:val="20"/>
        </w:rPr>
        <w:t xml:space="preserve">a)     </w:t>
      </w:r>
      <w:r>
        <w:rPr>
          <w:rFonts w:ascii="SimSun" w:eastAsia="SimSun" w:hAnsi="SimSun" w:cs="SimSun"/>
          <w:spacing w:val="12"/>
          <w:sz w:val="20"/>
          <w:szCs w:val="20"/>
        </w:rPr>
        <w:t>钢板梁桥主梁腹板开裂高度超过主梁高度</w:t>
      </w:r>
      <w:r>
        <w:rPr>
          <w:rFonts w:ascii="SimSun" w:eastAsia="SimSun" w:hAnsi="SimSun" w:cs="SimSun"/>
          <w:spacing w:val="11"/>
          <w:sz w:val="20"/>
          <w:szCs w:val="20"/>
        </w:rPr>
        <w:t>的40%;</w:t>
      </w:r>
    </w:p>
    <w:p>
      <w:pPr>
        <w:spacing w:before="80" w:line="320" w:lineRule="exact"/>
        <w:ind w:left="420"/>
        <w:rPr>
          <w:rFonts w:ascii="SimSun" w:eastAsia="SimSun" w:hAnsi="SimSun" w:cs="SimSun"/>
          <w:sz w:val="20"/>
          <w:szCs w:val="20"/>
        </w:rPr>
      </w:pPr>
      <w:r>
        <w:rPr>
          <w:rFonts w:ascii="Times New Roman" w:eastAsia="Times New Roman" w:hAnsi="Times New Roman" w:cs="Times New Roman"/>
          <w:spacing w:val="7"/>
          <w:position w:val="9"/>
          <w:sz w:val="20"/>
          <w:szCs w:val="20"/>
        </w:rPr>
        <w:t xml:space="preserve">b)    </w:t>
      </w:r>
      <w:r>
        <w:rPr>
          <w:rFonts w:ascii="SimSun" w:eastAsia="SimSun" w:hAnsi="SimSun" w:cs="SimSun"/>
          <w:spacing w:val="7"/>
          <w:position w:val="9"/>
          <w:sz w:val="20"/>
          <w:szCs w:val="20"/>
        </w:rPr>
        <w:t>钢桁梁桥横梁端部腹板水平裂纹长度超过角钢肢长度；</w:t>
      </w:r>
    </w:p>
    <w:p>
      <w:pPr>
        <w:spacing w:line="212" w:lineRule="auto"/>
        <w:ind w:left="420"/>
        <w:rPr>
          <w:rFonts w:ascii="SimSun" w:eastAsia="SimSun" w:hAnsi="SimSun" w:cs="SimSun"/>
          <w:sz w:val="20"/>
          <w:szCs w:val="20"/>
        </w:rPr>
      </w:pPr>
      <w:r>
        <w:rPr>
          <w:rFonts w:ascii="Times New Roman" w:eastAsia="Times New Roman" w:hAnsi="Times New Roman" w:cs="Times New Roman"/>
          <w:spacing w:val="11"/>
          <w:sz w:val="20"/>
          <w:szCs w:val="20"/>
        </w:rPr>
        <w:t xml:space="preserve">c)     </w:t>
      </w:r>
      <w:r>
        <w:rPr>
          <w:rFonts w:ascii="SimSun" w:eastAsia="SimSun" w:hAnsi="SimSun" w:cs="SimSun"/>
          <w:spacing w:val="11"/>
          <w:sz w:val="20"/>
          <w:szCs w:val="20"/>
        </w:rPr>
        <w:t>主梁支承端部构件锈蚀缺损厚度达25%以上。</w:t>
      </w:r>
    </w:p>
    <w:p>
      <w:pPr>
        <w:pStyle w:val="BodyText"/>
        <w:spacing w:before="258" w:line="221" w:lineRule="auto"/>
        <w:ind w:left="2"/>
        <w:outlineLvl w:val="0"/>
        <w:rPr>
          <w:sz w:val="20"/>
          <w:szCs w:val="20"/>
        </w:rPr>
      </w:pPr>
      <w:r>
        <w:rPr>
          <w:b/>
          <w:bCs/>
          <w:spacing w:val="-4"/>
          <w:sz w:val="20"/>
          <w:szCs w:val="20"/>
        </w:rPr>
        <w:t>6.3</w:t>
      </w:r>
      <w:r>
        <w:rPr>
          <w:spacing w:val="-4"/>
          <w:sz w:val="20"/>
          <w:szCs w:val="20"/>
        </w:rPr>
        <w:t xml:space="preserve">  </w:t>
      </w:r>
      <w:r>
        <w:rPr>
          <w:b/>
          <w:bCs/>
          <w:spacing w:val="-4"/>
          <w:sz w:val="20"/>
          <w:szCs w:val="20"/>
        </w:rPr>
        <w:t>分层综合评定</w:t>
      </w:r>
    </w:p>
    <w:p>
      <w:pPr>
        <w:spacing w:before="204" w:line="219" w:lineRule="auto"/>
        <w:rPr>
          <w:rFonts w:ascii="SimSun" w:eastAsia="SimSun" w:hAnsi="SimSun" w:cs="SimSun"/>
          <w:sz w:val="20"/>
          <w:szCs w:val="20"/>
        </w:rPr>
      </w:pPr>
      <w:r>
        <w:rPr>
          <w:rFonts w:ascii="SimSun" w:eastAsia="SimSun" w:hAnsi="SimSun" w:cs="SimSun"/>
          <w:spacing w:val="-1"/>
          <w:sz w:val="20"/>
          <w:szCs w:val="20"/>
        </w:rPr>
        <w:t>6.3.1  采用分层综合评定法时，应先以构件为单位，考虑构件数量、各类病害分级评分标准等因素进行构</w:t>
      </w:r>
    </w:p>
    <w:p>
      <w:pPr>
        <w:spacing w:before="114" w:line="219" w:lineRule="auto"/>
        <w:rPr>
          <w:rFonts w:ascii="SimSun" w:eastAsia="SimSun" w:hAnsi="SimSun" w:cs="SimSun"/>
          <w:sz w:val="20"/>
          <w:szCs w:val="20"/>
        </w:rPr>
      </w:pPr>
      <w:r>
        <w:rPr>
          <w:rFonts w:ascii="SimSun" w:eastAsia="SimSun" w:hAnsi="SimSun" w:cs="SimSun"/>
          <w:spacing w:val="5"/>
          <w:sz w:val="20"/>
          <w:szCs w:val="20"/>
        </w:rPr>
        <w:t>件技术状况评分，锈蚀病害与疲劳病害的分级评</w:t>
      </w:r>
      <w:r>
        <w:rPr>
          <w:rFonts w:ascii="SimSun" w:eastAsia="SimSun" w:hAnsi="SimSun" w:cs="SimSun"/>
          <w:spacing w:val="4"/>
          <w:sz w:val="20"/>
          <w:szCs w:val="20"/>
        </w:rPr>
        <w:t>分标准应按6.3.2～6.3.4执行。</w:t>
      </w:r>
    </w:p>
    <w:p>
      <w:pPr>
        <w:spacing w:before="64" w:line="257" w:lineRule="auto"/>
        <w:ind w:right="26"/>
        <w:rPr>
          <w:rFonts w:ascii="SimSun" w:eastAsia="SimSun" w:hAnsi="SimSun" w:cs="SimSun"/>
          <w:sz w:val="20"/>
          <w:szCs w:val="20"/>
        </w:rPr>
      </w:pPr>
      <w:r>
        <w:rPr>
          <w:rFonts w:ascii="SimSun" w:eastAsia="SimSun" w:hAnsi="SimSun" w:cs="SimSun"/>
          <w:sz w:val="20"/>
          <w:szCs w:val="20"/>
        </w:rPr>
        <w:t>6.3.2  钢构件锈蚀病害评定指标包括锈蚀孔洞直径、锈蚀孔洞数量、锈蚀累</w:t>
      </w:r>
      <w:r>
        <w:rPr>
          <w:rFonts w:ascii="SimSun" w:eastAsia="SimSun" w:hAnsi="SimSun" w:cs="SimSun"/>
          <w:spacing w:val="-1"/>
          <w:sz w:val="20"/>
          <w:szCs w:val="20"/>
        </w:rPr>
        <w:t>计面积与锈蚀深度，以类别较</w:t>
      </w:r>
      <w:r>
        <w:rPr>
          <w:rFonts w:ascii="SimSun" w:eastAsia="SimSun" w:hAnsi="SimSun" w:cs="SimSun"/>
          <w:sz w:val="20"/>
          <w:szCs w:val="20"/>
        </w:rPr>
        <w:t xml:space="preserve"> </w:t>
      </w:r>
      <w:r>
        <w:rPr>
          <w:rFonts w:ascii="SimSun" w:eastAsia="SimSun" w:hAnsi="SimSun" w:cs="SimSun"/>
          <w:spacing w:val="6"/>
          <w:sz w:val="20"/>
          <w:szCs w:val="20"/>
        </w:rPr>
        <w:t>高的评定标度为最终评定结果，按照表2执行。</w:t>
      </w:r>
    </w:p>
    <w:p>
      <w:pPr>
        <w:pStyle w:val="BodyText"/>
        <w:spacing w:before="218" w:line="221" w:lineRule="auto"/>
        <w:ind w:left="3752"/>
        <w:rPr>
          <w:sz w:val="20"/>
          <w:szCs w:val="20"/>
        </w:rPr>
      </w:pPr>
      <w:r>
        <w:rPr>
          <w:b/>
          <w:bCs/>
          <w:spacing w:val="1"/>
          <w:sz w:val="20"/>
          <w:szCs w:val="20"/>
        </w:rPr>
        <w:t>表</w:t>
      </w:r>
      <w:r>
        <w:rPr>
          <w:spacing w:val="-23"/>
          <w:sz w:val="20"/>
          <w:szCs w:val="20"/>
        </w:rPr>
        <w:t xml:space="preserve"> </w:t>
      </w:r>
      <w:r>
        <w:rPr>
          <w:b/>
          <w:bCs/>
          <w:spacing w:val="1"/>
          <w:sz w:val="20"/>
          <w:szCs w:val="20"/>
        </w:rPr>
        <w:t>2</w:t>
      </w:r>
      <w:r>
        <w:rPr>
          <w:spacing w:val="1"/>
          <w:sz w:val="20"/>
          <w:szCs w:val="20"/>
        </w:rPr>
        <w:t xml:space="preserve">  </w:t>
      </w:r>
      <w:r>
        <w:rPr>
          <w:b/>
          <w:bCs/>
          <w:spacing w:val="1"/>
          <w:sz w:val="20"/>
          <w:szCs w:val="20"/>
        </w:rPr>
        <w:t>锈蚀评定标准</w:t>
      </w:r>
    </w:p>
    <w:p/>
    <w:tbl>
      <w:tblPr>
        <w:tblStyle w:val="TableNormal2"/>
        <w:tblW w:w="928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93"/>
        <w:gridCol w:w="3466"/>
        <w:gridCol w:w="4630"/>
      </w:tblGrid>
      <w:tr>
        <w:tblPrEx>
          <w:tblW w:w="928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4"/>
        </w:trPr>
        <w:tc>
          <w:tcPr>
            <w:tcW w:w="1193" w:type="dxa"/>
            <w:vMerge w:val="restart"/>
            <w:tcBorders>
              <w:bottom w:val="nil"/>
            </w:tcBorders>
            <w:vAlign w:val="top"/>
          </w:tcPr>
          <w:p>
            <w:pPr>
              <w:pStyle w:val="TableText"/>
              <w:spacing w:before="272" w:line="220" w:lineRule="auto"/>
              <w:ind w:left="405"/>
              <w:rPr>
                <w:sz w:val="18"/>
                <w:szCs w:val="18"/>
              </w:rPr>
            </w:pPr>
            <w:r>
              <w:rPr>
                <w:spacing w:val="-2"/>
                <w:sz w:val="18"/>
                <w:szCs w:val="18"/>
              </w:rPr>
              <w:t>标度</w:t>
            </w:r>
          </w:p>
        </w:tc>
        <w:tc>
          <w:tcPr>
            <w:tcW w:w="8096" w:type="dxa"/>
            <w:gridSpan w:val="2"/>
            <w:vAlign w:val="top"/>
          </w:tcPr>
          <w:p>
            <w:pPr>
              <w:pStyle w:val="TableText"/>
              <w:spacing w:before="82" w:line="220" w:lineRule="auto"/>
              <w:ind w:left="3692"/>
              <w:rPr>
                <w:sz w:val="18"/>
                <w:szCs w:val="18"/>
              </w:rPr>
            </w:pPr>
            <w:r>
              <w:rPr>
                <w:spacing w:val="-2"/>
                <w:sz w:val="18"/>
                <w:szCs w:val="18"/>
              </w:rPr>
              <w:t>评定标准</w:t>
            </w:r>
          </w:p>
        </w:tc>
      </w:tr>
      <w:tr>
        <w:tblPrEx>
          <w:tblW w:w="9289" w:type="dxa"/>
          <w:tblInd w:w="19" w:type="dxa"/>
          <w:tblLayout w:type="fixed"/>
        </w:tblPrEx>
        <w:trPr>
          <w:trHeight w:val="368"/>
        </w:trPr>
        <w:tc>
          <w:tcPr>
            <w:tcW w:w="1193" w:type="dxa"/>
            <w:vMerge/>
            <w:tcBorders>
              <w:top w:val="nil"/>
            </w:tcBorders>
            <w:vAlign w:val="top"/>
          </w:tcPr>
          <w:p>
            <w:pPr>
              <w:rPr>
                <w:rFonts w:ascii="Arial"/>
                <w:sz w:val="21"/>
              </w:rPr>
            </w:pPr>
          </w:p>
        </w:tc>
        <w:tc>
          <w:tcPr>
            <w:tcW w:w="3466" w:type="dxa"/>
            <w:vAlign w:val="top"/>
          </w:tcPr>
          <w:p>
            <w:pPr>
              <w:pStyle w:val="TableText"/>
              <w:spacing w:before="98" w:line="220" w:lineRule="auto"/>
              <w:ind w:left="1362"/>
              <w:rPr>
                <w:sz w:val="18"/>
                <w:szCs w:val="18"/>
              </w:rPr>
            </w:pPr>
            <w:r>
              <w:rPr>
                <w:spacing w:val="-3"/>
                <w:sz w:val="18"/>
                <w:szCs w:val="18"/>
              </w:rPr>
              <w:t>定性描述</w:t>
            </w:r>
          </w:p>
        </w:tc>
        <w:tc>
          <w:tcPr>
            <w:tcW w:w="4630" w:type="dxa"/>
            <w:vAlign w:val="top"/>
          </w:tcPr>
          <w:p>
            <w:pPr>
              <w:pStyle w:val="TableText"/>
              <w:spacing w:before="98" w:line="220" w:lineRule="auto"/>
              <w:ind w:left="1946"/>
              <w:rPr>
                <w:sz w:val="18"/>
                <w:szCs w:val="18"/>
              </w:rPr>
            </w:pPr>
            <w:r>
              <w:rPr>
                <w:spacing w:val="-3"/>
                <w:sz w:val="18"/>
                <w:szCs w:val="18"/>
              </w:rPr>
              <w:t>定量描述</w:t>
            </w:r>
          </w:p>
        </w:tc>
      </w:tr>
      <w:tr>
        <w:tblPrEx>
          <w:tblW w:w="9289" w:type="dxa"/>
          <w:tblInd w:w="19" w:type="dxa"/>
          <w:tblLayout w:type="fixed"/>
        </w:tblPrEx>
        <w:trPr>
          <w:trHeight w:val="339"/>
        </w:trPr>
        <w:tc>
          <w:tcPr>
            <w:tcW w:w="1193" w:type="dxa"/>
            <w:vAlign w:val="top"/>
          </w:tcPr>
          <w:p>
            <w:pPr>
              <w:pStyle w:val="TableText"/>
              <w:spacing w:before="80" w:line="219" w:lineRule="auto"/>
              <w:ind w:left="455"/>
              <w:rPr>
                <w:sz w:val="18"/>
                <w:szCs w:val="18"/>
              </w:rPr>
            </w:pPr>
            <w:r>
              <w:rPr>
                <w:spacing w:val="3"/>
                <w:sz w:val="18"/>
                <w:szCs w:val="18"/>
              </w:rPr>
              <w:t>1类</w:t>
            </w:r>
          </w:p>
        </w:tc>
        <w:tc>
          <w:tcPr>
            <w:tcW w:w="3466" w:type="dxa"/>
            <w:vAlign w:val="top"/>
          </w:tcPr>
          <w:p>
            <w:pPr>
              <w:pStyle w:val="TableText"/>
              <w:spacing w:before="80" w:line="219" w:lineRule="auto"/>
              <w:ind w:left="1542"/>
              <w:rPr>
                <w:sz w:val="18"/>
                <w:szCs w:val="18"/>
              </w:rPr>
            </w:pPr>
            <w:r>
              <w:rPr>
                <w:spacing w:val="-3"/>
                <w:sz w:val="18"/>
                <w:szCs w:val="18"/>
              </w:rPr>
              <w:t>完好</w:t>
            </w:r>
          </w:p>
        </w:tc>
        <w:tc>
          <w:tcPr>
            <w:tcW w:w="4630" w:type="dxa"/>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https://d.book118.com/277110016201006031</w:t>
        </w:r>
      </w:hyperlink>
    </w:p>
    <w:p/>
    <w:sectPr>
      <w:footerReference w:type="default" r:id="rId16"/>
      <w:pgSz w:w="12190" w:h="17230"/>
      <w:pgMar w:top="1464" w:right="1595" w:bottom="1304" w:left="1279" w:header="0" w:footer="1185"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2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90"/>
      <w:rPr>
        <w:rFonts w:ascii="SimSun" w:eastAsia="SimSun" w:hAnsi="SimSun" w:cs="SimSun"/>
        <w:sz w:val="13"/>
        <w:szCs w:val="13"/>
      </w:rPr>
    </w:pPr>
    <w:r>
      <w:rPr>
        <w:rFonts w:ascii="SimSun" w:eastAsia="SimSun" w:hAnsi="SimSun" w:cs="SimSun"/>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5"/>
      <w:rPr>
        <w:rFonts w:ascii="SimSun" w:eastAsia="SimSun" w:hAnsi="SimSun" w:cs="SimSun"/>
        <w:sz w:val="15"/>
        <w:szCs w:val="15"/>
      </w:rPr>
    </w:pPr>
    <w:r>
      <w:rPr>
        <w:rFonts w:ascii="SimSun" w:eastAsia="SimSun" w:hAnsi="SimSun" w:cs="SimSun"/>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5"/>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0"/>
      <w:rPr>
        <w:rFonts w:ascii="SimSun" w:eastAsia="SimSun" w:hAnsi="SimSun" w:cs="SimSun"/>
        <w:sz w:val="13"/>
        <w:szCs w:val="13"/>
      </w:rPr>
    </w:pPr>
    <w:r>
      <w:rPr>
        <w:rFonts w:ascii="SimSun" w:eastAsia="SimSun" w:hAnsi="SimSun" w:cs="SimSun"/>
        <w:sz w:val="13"/>
        <w:szCs w:val="13"/>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0"/>
      <w:rPr>
        <w:rFonts w:ascii="SimSun" w:eastAsia="SimSun" w:hAnsi="SimSun" w:cs="SimSun"/>
        <w:sz w:val="13"/>
        <w:szCs w:val="13"/>
      </w:rPr>
    </w:pPr>
    <w:r>
      <w:rPr>
        <w:rFonts w:ascii="SimSun" w:eastAsia="SimSun" w:hAnsi="SimSun" w:cs="SimSun"/>
        <w:sz w:val="13"/>
        <w:szCs w:val="13"/>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20"/>
      <w:rPr>
        <w:rFonts w:ascii="SimSun" w:eastAsia="SimSun" w:hAnsi="SimSun" w:cs="SimSun"/>
        <w:sz w:val="12"/>
        <w:szCs w:val="12"/>
      </w:rPr>
    </w:pPr>
    <w:r>
      <w:rPr>
        <w:rFonts w:ascii="SimSun" w:eastAsia="SimSun" w:hAnsi="SimSun" w:cs="SimSun"/>
        <w:sz w:val="12"/>
        <w:szCs w:val="12"/>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SimSun" w:eastAsia="SimSun" w:hAnsi="SimSun" w:cs="SimSun"/>
      <w:sz w:val="17"/>
      <w:szCs w:val="17"/>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yperlink" Target="https://d.book118.com/277110016201006031" TargetMode="External" /><Relationship Id="rId16" Type="http://schemas.openxmlformats.org/officeDocument/2006/relationships/footer" Target="footer9.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2024-01-17T17:04:15Z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2024-01-17T17:04:17Z</vt:filetime>
  </property>
  <property fmtid="{D5CDD505-2E9C-101B-9397-08002B2CF9AE}" pid="3" name="CRO">
    <vt:lpwstr>wqlLaW5nc29mdCBQREYgdG8gV1BTIDkw</vt:lpwstr>
  </property>
  <property fmtid="{D5CDD505-2E9C-101B-9397-08002B2CF9AE}" pid="4" name="UsrData">
    <vt:lpwstr>65a7980883b9c4001f758b79wl</vt:lpwstr>
  </property>
</Properties>
</file>