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hint="eastAsia"/>
        </w:rPr>
      </w:pPr>
    </w:p>
    <w:p>
      <w:pPr>
        <w:spacing w:line="360" w:lineRule="auto"/>
        <w:jc w:val="center"/>
      </w:pPr>
      <w:r>
        <w:rPr>
          <w:rFonts w:ascii="黑体" w:eastAsia="黑体" w:hAnsi="黑体" w:cs="黑体" w:hint="eastAsia"/>
          <w:b/>
          <w:bCs/>
          <w:color w:val="000000"/>
          <w:sz w:val="28"/>
        </w:rPr>
        <w:t>浙江省温州市2021年中考社会法治真题试卷</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一、选择题(本题有20小题，每小题2分，共40分。请选出各题中一个符合题意的正确选项，不选、多选、错选，均不给分。)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textAlignment w:val="center"/>
      </w:pPr>
      <w:r>
        <w:t>1．</w:t>
      </w:r>
      <w:r>
        <w:rPr>
          <w:rFonts w:ascii="Times New Roman" w:hAnsi="Times New Roman"/>
          <w:b w:val="0"/>
          <w:i w:val="0"/>
          <w:color w:val="000000"/>
          <w:sz w:val="22"/>
        </w:rPr>
        <w:t>2020年12月，十三届全国人大常委会第二十四次会议表决通过《</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保护法》。该法对中华民族永续发展具有重大意义。（　　）  </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A．珠江</w:t>
      </w:r>
      <w:r>
        <w:tab/>
      </w:r>
      <w:r>
        <w:rPr>
          <w:rFonts w:ascii="Times New Roman" w:hAnsi="Times New Roman"/>
          <w:b w:val="0"/>
          <w:i w:val="0"/>
          <w:color w:val="000000"/>
          <w:sz w:val="22"/>
        </w:rPr>
        <w:t>B．长江</w:t>
      </w:r>
      <w:r>
        <w:tab/>
      </w:r>
      <w:r>
        <w:rPr>
          <w:rFonts w:ascii="Times New Roman" w:hAnsi="Times New Roman"/>
          <w:b w:val="0"/>
          <w:i w:val="0"/>
          <w:color w:val="000000"/>
          <w:sz w:val="22"/>
        </w:rPr>
        <w:t>C．淮河</w:t>
      </w:r>
      <w:r>
        <w:tab/>
      </w:r>
      <w:r>
        <w:rPr>
          <w:rFonts w:ascii="Times New Roman" w:hAnsi="Times New Roman"/>
          <w:b w:val="0"/>
          <w:i w:val="0"/>
          <w:color w:val="000000"/>
          <w:sz w:val="22"/>
        </w:rPr>
        <w:t>D．黄河</w:t>
      </w:r>
    </w:p>
    <w:p>
      <w:pPr>
        <w:spacing w:line="360" w:lineRule="auto"/>
        <w:ind w:left="0"/>
        <w:jc w:val="left"/>
        <w:textAlignment w:val="center"/>
      </w:pPr>
      <w:r>
        <w:t>2．</w:t>
      </w:r>
      <w:r>
        <w:rPr>
          <w:rFonts w:ascii="Times New Roman" w:hAnsi="Times New Roman"/>
          <w:b w:val="0"/>
          <w:i w:val="0"/>
          <w:color w:val="000000"/>
          <w:sz w:val="22"/>
        </w:rPr>
        <w:t>2021年2月20日，</w:t>
      </w:r>
      <w:r>
        <w:rPr>
          <w:rFonts w:ascii="Times New Roman" w:hAnsi="Times New Roman"/>
          <w:b w:val="0"/>
          <w:i w:val="0"/>
          <w:color w:val="000000"/>
          <w:sz w:val="22"/>
          <w:u w:val="single"/>
        </w:rPr>
        <w:t xml:space="preserve">    </w:t>
      </w:r>
      <w:r>
        <w:rPr>
          <w:rFonts w:ascii="Times New Roman" w:hAnsi="Times New Roman"/>
          <w:b w:val="0"/>
          <w:i w:val="0"/>
          <w:color w:val="000000"/>
          <w:sz w:val="22"/>
        </w:rPr>
        <w:t xml:space="preserve">学习教育动员大会召开。习近平总书记强调，全党同志要做到学史明理、学史增信、学史崇德，学史力行，以优异的成绩迎接建党100周年。（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A．党史</w:t>
      </w:r>
      <w:r>
        <w:tab/>
      </w:r>
      <w:r>
        <w:rPr>
          <w:rFonts w:ascii="Times New Roman" w:hAnsi="Times New Roman"/>
          <w:b w:val="0"/>
          <w:i w:val="0"/>
          <w:color w:val="000000"/>
          <w:sz w:val="22"/>
        </w:rPr>
        <w:t>B．新中国史</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C．社会主义发展史</w:t>
      </w:r>
      <w:r>
        <w:tab/>
      </w:r>
      <w:r>
        <w:rPr>
          <w:rFonts w:ascii="Times New Roman" w:hAnsi="Times New Roman"/>
          <w:b w:val="0"/>
          <w:i w:val="0"/>
          <w:color w:val="000000"/>
          <w:sz w:val="22"/>
        </w:rPr>
        <w:t>D．改革开放史</w:t>
      </w:r>
    </w:p>
    <w:p>
      <w:pPr>
        <w:spacing w:line="360" w:lineRule="auto"/>
        <w:ind w:left="0"/>
        <w:jc w:val="left"/>
      </w:pPr>
      <w:r>
        <w:rPr>
          <w:rFonts w:ascii="Times New Roman" w:hAnsi="Times New Roman"/>
          <w:b w:val="0"/>
          <w:i w:val="0"/>
          <w:color w:val="000000"/>
          <w:sz w:val="22"/>
        </w:rPr>
        <w:t>截至2021年5月，“最美温州人”——感动温州十大人物评选已成功举办16届。一个个感人故事铸就温州“最美风景”。回答问题。</w:t>
      </w:r>
    </w:p>
    <w:p>
      <w:pPr>
        <w:spacing w:line="360" w:lineRule="auto"/>
        <w:ind w:left="0"/>
        <w:jc w:val="left"/>
      </w:pPr>
      <w:r>
        <w:rPr>
          <w:rFonts w:ascii="Times New Roman" w:hAnsi="Times New Roman"/>
          <w:b w:val="0"/>
          <w:i w:val="0"/>
          <w:color w:val="000000"/>
          <w:sz w:val="22"/>
        </w:rPr>
        <w:t xml:space="preserve">3．2020“最美温州人”——“川藏青光明行”公益团队，十年来足迹遍布青藏高原150多个贫困乡村，先后完成各类体检30039人次、眼科手术3311台，帮助8980人重见光明。可见，该团队（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用奉献弘扬传统美德</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用善举诠释生命意义</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用医术履行基本义务</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用行动捍卫国家尊严</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rPr>
          <w:rFonts w:ascii="Times New Roman" w:hAnsi="Times New Roman"/>
          <w:b w:val="0"/>
          <w:i w:val="0"/>
          <w:color w:val="000000"/>
          <w:sz w:val="22"/>
        </w:rPr>
        <w:t xml:space="preserve">4．评选活动开展至今，200余位“最美温州人”获得表彰。其中，有替亡子偿债的吴乃宜,身患绝症仍坚守讲台的陈莹丽等。褒扬这些模范，旨在（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延续文化血脉</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发扬温州人精神</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共享发展机遇</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培育社会主义核心价值观</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5．</w:t>
      </w:r>
      <w:r>
        <w:rPr>
          <w:rFonts w:ascii="Times New Roman" w:hAnsi="Times New Roman"/>
          <w:b w:val="0"/>
          <w:i w:val="0"/>
          <w:color w:val="000000"/>
          <w:sz w:val="22"/>
        </w:rPr>
        <w:t xml:space="preserve">中学生小陈积极参与社区组织的禁毒宣讲活动，向社区居民宣传禁毒知识。同学们纷纷称赞小陈，这是因为他（　　） </w:t>
      </w:r>
      <w:bookmarkStart w:id="0" w:name="_GoBack"/>
      <w:bookmarkEnd w:id="0"/>
    </w:p>
    <w:p>
      <w:pPr>
        <w:tabs>
          <w:tab w:val="left" w:pos="5137"/>
        </w:tabs>
        <w:spacing w:line="360" w:lineRule="auto"/>
        <w:ind w:firstLine="286" w:firstLineChars="130"/>
        <w:jc w:val="left"/>
        <w:textAlignment w:val="center"/>
      </w:pPr>
      <w:r>
        <w:rPr>
          <w:rFonts w:ascii="Times New Roman" w:hAnsi="Times New Roman"/>
          <w:b w:val="0"/>
          <w:i w:val="0"/>
          <w:color w:val="000000"/>
          <w:sz w:val="22"/>
        </w:rPr>
        <w:t>A．履行了社会责任</w:t>
      </w:r>
      <w:r>
        <w:tab/>
      </w:r>
      <w:r>
        <w:rPr>
          <w:rFonts w:ascii="Times New Roman" w:hAnsi="Times New Roman"/>
          <w:b w:val="0"/>
          <w:i w:val="0"/>
          <w:color w:val="000000"/>
          <w:sz w:val="22"/>
        </w:rPr>
        <w:t>B．行使了文化权利</w:t>
      </w:r>
    </w:p>
    <w:p>
      <w:pPr>
        <w:tabs>
          <w:tab w:val="left" w:pos="5137"/>
        </w:tabs>
        <w:spacing w:line="360" w:lineRule="auto"/>
        <w:ind w:firstLine="286" w:firstLineChars="130"/>
        <w:jc w:val="left"/>
        <w:textAlignment w:val="center"/>
        <w:sectPr>
          <w:headerReference w:type="default" r:id="rId4"/>
          <w:footerReference w:type="default" r:id="rId5"/>
          <w:pgSz w:w="11906" w:h="16838"/>
          <w:pgMar w:top="1134" w:right="707" w:bottom="937" w:left="1134" w:header="426" w:footer="515" w:gutter="0"/>
          <w:cols w:num="1" w:space="425"/>
          <w:docGrid w:type="lines" w:linePitch="312" w:charSpace="0"/>
        </w:sectPr>
      </w:pPr>
      <w:r>
        <w:rPr>
          <w:rFonts w:ascii="Times New Roman" w:hAnsi="Times New Roman"/>
          <w:b w:val="0"/>
          <w:i w:val="0"/>
          <w:color w:val="000000"/>
          <w:sz w:val="22"/>
        </w:rPr>
        <w:t>C．遵守了公共秩序</w:t>
      </w:r>
      <w:r>
        <w:tab/>
      </w:r>
      <w:r>
        <w:rPr>
          <w:rFonts w:ascii="Times New Roman" w:hAnsi="Times New Roman"/>
          <w:b w:val="0"/>
          <w:i w:val="0"/>
          <w:color w:val="000000"/>
          <w:sz w:val="22"/>
        </w:rPr>
        <w:t>D．维护了合法权益</w:t>
      </w:r>
    </w:p>
    <w:p>
      <w:pPr>
        <w:spacing w:line="360" w:lineRule="auto"/>
        <w:ind w:left="0"/>
        <w:jc w:val="left"/>
      </w:pPr>
      <w:r>
        <w:t>6．</w:t>
      </w:r>
      <w:r>
        <w:rPr>
          <w:rFonts w:ascii="Times New Roman" w:hAnsi="Times New Roman"/>
          <w:b w:val="0"/>
          <w:i w:val="0"/>
          <w:color w:val="000000"/>
          <w:sz w:val="22"/>
        </w:rPr>
        <w:t xml:space="preserve">图中司法机关的做法（　　） </w:t>
      </w:r>
    </w:p>
    <w:p>
      <w:pPr>
        <w:spacing w:line="360" w:lineRule="auto"/>
        <w:ind w:firstLine="273" w:firstLineChars="130"/>
        <w:jc w:val="left"/>
        <w:textAlignment w:val="center"/>
      </w:pPr>
      <w:r>
        <w:drawing>
          <wp:inline distT="0" distB="0" distL="0" distR="0">
            <wp:extent cx="1286510" cy="103251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6"/>
                    <a:stretch>
                      <a:fillRect/>
                    </a:stretch>
                  </pic:blipFill>
                  <pic:spPr>
                    <a:xfrm>
                      <a:off x="0" y="0"/>
                      <a:ext cx="1286933" cy="10329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惩治了违纪行为</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奉行了依法行政的准则</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促进了社会和谐</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保护了烈士名誉、荣誉</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t>7．</w:t>
      </w:r>
      <w:r>
        <w:rPr>
          <w:rFonts w:ascii="Times New Roman" w:hAnsi="Times New Roman"/>
          <w:b w:val="0"/>
          <w:i w:val="0"/>
          <w:color w:val="000000"/>
          <w:sz w:val="22"/>
        </w:rPr>
        <w:t xml:space="preserve">2021年温州市“两会”期间，人大代表提交了一份份经走访调研形成的高“言值”议案建议，为温州“十四五”发展贡献智慧力量。这表明人大代表（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A．积极履行监察职责</w:t>
      </w:r>
      <w:r>
        <w:tab/>
      </w:r>
      <w:r>
        <w:rPr>
          <w:rFonts w:ascii="Times New Roman" w:hAnsi="Times New Roman"/>
          <w:b w:val="0"/>
          <w:i w:val="0"/>
          <w:color w:val="000000"/>
          <w:sz w:val="22"/>
        </w:rPr>
        <w:t>B．有权表决各项决定</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C．自觉接受政府监督</w:t>
      </w:r>
      <w:r>
        <w:tab/>
      </w:r>
      <w:r>
        <w:rPr>
          <w:rFonts w:ascii="Times New Roman" w:hAnsi="Times New Roman"/>
          <w:b w:val="0"/>
          <w:i w:val="0"/>
          <w:color w:val="000000"/>
          <w:sz w:val="22"/>
        </w:rPr>
        <w:t>D．听取反映群众意见</w:t>
      </w:r>
    </w:p>
    <w:p>
      <w:pPr>
        <w:spacing w:line="360" w:lineRule="auto"/>
        <w:ind w:left="0"/>
        <w:jc w:val="left"/>
      </w:pPr>
      <w:r>
        <w:t>8．</w:t>
      </w:r>
      <w:r>
        <w:rPr>
          <w:rFonts w:ascii="Times New Roman" w:hAnsi="Times New Roman"/>
          <w:b w:val="0"/>
          <w:i w:val="0"/>
          <w:color w:val="000000"/>
          <w:sz w:val="22"/>
        </w:rPr>
        <w:t xml:space="preserve">宪法规定：“乡、民族乡、镇的人民政府执行本级人民代表大会的决议和上级国家行政机关的决定和命令，管理本行政区域内的行政工作。”这一规定体现宪法（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A．尊重保障人权</w:t>
      </w:r>
      <w:r>
        <w:tab/>
      </w:r>
      <w:r>
        <w:rPr>
          <w:rFonts w:ascii="Times New Roman" w:hAnsi="Times New Roman"/>
          <w:b w:val="0"/>
          <w:i w:val="0"/>
          <w:color w:val="000000"/>
          <w:sz w:val="22"/>
        </w:rPr>
        <w:t>B．制定程序严格</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C．规范权力运行</w:t>
      </w:r>
      <w:r>
        <w:tab/>
      </w:r>
      <w:r>
        <w:rPr>
          <w:rFonts w:ascii="Times New Roman" w:hAnsi="Times New Roman"/>
          <w:b w:val="0"/>
          <w:i w:val="0"/>
          <w:color w:val="000000"/>
          <w:sz w:val="22"/>
        </w:rPr>
        <w:t>D．规定国家性质</w:t>
      </w:r>
    </w:p>
    <w:p>
      <w:pPr>
        <w:spacing w:line="360" w:lineRule="auto"/>
        <w:ind w:left="0"/>
        <w:jc w:val="left"/>
      </w:pPr>
      <w:r>
        <w:t>9．</w:t>
      </w:r>
      <w:r>
        <w:rPr>
          <w:rFonts w:ascii="Times New Roman" w:hAnsi="Times New Roman"/>
          <w:b w:val="0"/>
          <w:i w:val="0"/>
          <w:color w:val="000000"/>
          <w:sz w:val="22"/>
        </w:rPr>
        <w:t xml:space="preserve">2020年12月，义新欧(义乌-新疆-欧洲)中欧班列“温州号”从瓯海正式发车。今后，温州货物可在家门口的铁路口岸直接发往中亚、欧洲。中欧班列的发展（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扩大了对外开放的格局</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提升了经济增长的活力</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实现了城乡发展一体化</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坚持了合作共赢的理念</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t>10．</w:t>
      </w:r>
      <w:r>
        <w:rPr>
          <w:rFonts w:ascii="Times New Roman" w:hAnsi="Times New Roman"/>
          <w:b w:val="0"/>
          <w:i w:val="0"/>
          <w:color w:val="000000"/>
          <w:sz w:val="22"/>
        </w:rPr>
        <w:t xml:space="preserve">2021年4月，中共中央对粤港澳大湾区建设作出重要战略部署，推进珠海横琴新区与澳门一体化建设，把横琴粤澳深度合作区打造为澳门居民生活就业“新空间”、经济适度多元发展“新平台”。此举将（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促进澳门更好融入国家发展</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丰富“一国两制”实践的新示范</w:t>
      </w:r>
    </w:p>
    <w:p>
      <w:pPr>
        <w:spacing w:line="360" w:lineRule="auto"/>
        <w:ind w:firstLine="286" w:firstLineChars="130"/>
        <w:jc w:val="left"/>
        <w:textAlignment w:val="center"/>
        <w:sectPr>
          <w:headerReference w:type="default" r:id="rId7"/>
          <w:footerReference w:type="default" r:id="rId8"/>
          <w:type w:val="nextPage"/>
          <w:pgSz w:w="11906" w:h="16838"/>
          <w:pgMar w:top="1134" w:right="707" w:bottom="937" w:left="1134" w:header="426" w:footer="515" w:gutter="0"/>
          <w:pgNumType w:start="2"/>
          <w:cols w:num="1" w:space="425"/>
          <w:titlePg w:val="0"/>
          <w:docGrid w:type="lines" w:linePitch="312" w:charSpace="0"/>
        </w:sectPr>
      </w:pPr>
      <w:r>
        <w:rPr>
          <w:rFonts w:ascii="Calibri" w:hAnsi="Calibri"/>
          <w:b w:val="0"/>
          <w:i w:val="0"/>
          <w:color w:val="000000"/>
          <w:sz w:val="22"/>
        </w:rPr>
        <w:t>③</w:t>
      </w:r>
      <w:r>
        <w:rPr>
          <w:rFonts w:ascii="Times New Roman" w:hAnsi="Times New Roman"/>
          <w:b w:val="0"/>
          <w:i w:val="0"/>
          <w:color w:val="000000"/>
          <w:sz w:val="22"/>
        </w:rPr>
        <w:t>激活澳门经济发展的新引擎</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实现民族地区经济跨越式发展</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①②③</w:t>
      </w:r>
      <w:r>
        <w:tab/>
      </w:r>
      <w:r>
        <w:rPr>
          <w:rFonts w:ascii="Times New Roman" w:hAnsi="Times New Roman"/>
          <w:b w:val="0"/>
          <w:i w:val="0"/>
          <w:color w:val="000000"/>
          <w:sz w:val="22"/>
        </w:rPr>
        <w:t>B．</w:t>
      </w:r>
      <w:r>
        <w:rPr>
          <w:rFonts w:ascii="Calibri" w:hAnsi="Calibri"/>
          <w:b w:val="0"/>
          <w:i w:val="0"/>
          <w:color w:val="000000"/>
          <w:sz w:val="22"/>
        </w:rPr>
        <w:t>①②④</w:t>
      </w:r>
      <w:r>
        <w:tab/>
      </w:r>
      <w:r>
        <w:rPr>
          <w:rFonts w:ascii="Times New Roman" w:hAnsi="Times New Roman"/>
          <w:b w:val="0"/>
          <w:i w:val="0"/>
          <w:color w:val="000000"/>
          <w:sz w:val="22"/>
        </w:rPr>
        <w:t>C．</w:t>
      </w:r>
      <w:r>
        <w:rPr>
          <w:rFonts w:ascii="Calibri" w:hAnsi="Calibri"/>
          <w:b w:val="0"/>
          <w:i w:val="0"/>
          <w:color w:val="000000"/>
          <w:sz w:val="22"/>
        </w:rPr>
        <w:t>①③④</w:t>
      </w:r>
      <w:r>
        <w:tab/>
      </w:r>
      <w:r>
        <w:rPr>
          <w:rFonts w:ascii="Times New Roman" w:hAnsi="Times New Roman"/>
          <w:b w:val="0"/>
          <w:i w:val="0"/>
          <w:color w:val="000000"/>
          <w:sz w:val="22"/>
        </w:rPr>
        <w:t>D．</w:t>
      </w:r>
      <w:r>
        <w:rPr>
          <w:rFonts w:ascii="Calibri" w:hAnsi="Calibri"/>
          <w:b w:val="0"/>
          <w:i w:val="0"/>
          <w:color w:val="000000"/>
          <w:sz w:val="22"/>
        </w:rPr>
        <w:t>②③④</w:t>
      </w:r>
    </w:p>
    <w:p>
      <w:pPr>
        <w:spacing w:line="360" w:lineRule="auto"/>
        <w:ind w:left="0"/>
        <w:jc w:val="left"/>
      </w:pPr>
      <w:r>
        <w:rPr>
          <w:rFonts w:ascii="Times New Roman" w:hAnsi="Times New Roman"/>
          <w:b w:val="0"/>
          <w:i w:val="0"/>
          <w:color w:val="000000"/>
          <w:sz w:val="22"/>
        </w:rPr>
        <w:t>根据图幼发拉底河示意图、图“蜂巢屋"建筑特色，完成问题。</w:t>
      </w:r>
    </w:p>
    <w:p>
      <w:pPr>
        <w:spacing w:line="360" w:lineRule="auto"/>
        <w:ind w:firstLine="273" w:firstLineChars="130"/>
        <w:jc w:val="left"/>
        <w:textAlignment w:val="center"/>
      </w:pPr>
      <w:r>
        <w:drawing>
          <wp:inline distT="0" distB="0" distL="0" distR="0">
            <wp:extent cx="4029710" cy="165925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4030133" cy="1659467"/>
                    </a:xfrm>
                    <a:prstGeom prst="rect">
                      <a:avLst/>
                    </a:prstGeom>
                  </pic:spPr>
                </pic:pic>
              </a:graphicData>
            </a:graphic>
          </wp:inline>
        </w:drawing>
      </w:r>
    </w:p>
    <w:p>
      <w:pPr>
        <w:spacing w:line="360" w:lineRule="auto"/>
        <w:ind w:left="0"/>
        <w:jc w:val="left"/>
      </w:pPr>
      <w:r>
        <w:rPr>
          <w:rFonts w:ascii="Times New Roman" w:hAnsi="Times New Roman"/>
          <w:b w:val="0"/>
          <w:i w:val="0"/>
          <w:color w:val="000000"/>
          <w:sz w:val="22"/>
        </w:rPr>
        <w:t xml:space="preserve">11．幼发拉底河（　　） </w:t>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发源于叙利亚境内</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流经中纬度地区</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建有多座水利工程</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向北注人波斯湾</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①④</w:t>
      </w:r>
      <w:r>
        <w:tab/>
      </w:r>
      <w:r>
        <w:rPr>
          <w:rFonts w:ascii="Times New Roman" w:hAnsi="Times New Roman"/>
          <w:b w:val="0"/>
          <w:i w:val="0"/>
          <w:color w:val="000000"/>
          <w:sz w:val="22"/>
        </w:rPr>
        <w:t>C．</w:t>
      </w:r>
      <w:r>
        <w:rPr>
          <w:rFonts w:ascii="Calibri" w:hAnsi="Calibri"/>
          <w:b w:val="0"/>
          <w:i w:val="0"/>
          <w:color w:val="000000"/>
          <w:sz w:val="22"/>
        </w:rPr>
        <w:t>②③</w:t>
      </w:r>
      <w:r>
        <w:tab/>
      </w:r>
      <w:r>
        <w:rPr>
          <w:rFonts w:ascii="Times New Roman" w:hAnsi="Times New Roman"/>
          <w:b w:val="0"/>
          <w:i w:val="0"/>
          <w:color w:val="000000"/>
          <w:sz w:val="22"/>
        </w:rPr>
        <w:t>D．</w:t>
      </w:r>
      <w:r>
        <w:rPr>
          <w:rFonts w:ascii="Calibri" w:hAnsi="Calibri"/>
          <w:b w:val="0"/>
          <w:i w:val="0"/>
          <w:color w:val="000000"/>
          <w:sz w:val="22"/>
        </w:rPr>
        <w:t>③④</w:t>
      </w:r>
    </w:p>
    <w:p>
      <w:pPr>
        <w:spacing w:line="360" w:lineRule="auto"/>
        <w:ind w:left="0"/>
        <w:jc w:val="left"/>
      </w:pPr>
      <w:r>
        <w:rPr>
          <w:rFonts w:ascii="Times New Roman" w:hAnsi="Times New Roman"/>
          <w:b w:val="0"/>
          <w:i w:val="0"/>
          <w:color w:val="000000"/>
          <w:sz w:val="22"/>
        </w:rPr>
        <w:t xml:space="preserve">12．甲地居民为适应当地气候条件，修建了传统建筑“蜂巢屋”。据其建筑特色推断，下图能反映甲地气候特点的是（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w:t>
      </w:r>
      <w:r>
        <w:drawing>
          <wp:inline distT="0" distB="0" distL="0" distR="0">
            <wp:extent cx="1151255" cy="11684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1151467" cy="1168400"/>
                    </a:xfrm>
                    <a:prstGeom prst="rect">
                      <a:avLst/>
                    </a:prstGeom>
                  </pic:spPr>
                </pic:pic>
              </a:graphicData>
            </a:graphic>
          </wp:inline>
        </w:drawing>
      </w:r>
      <w:r>
        <w:tab/>
      </w:r>
      <w:r>
        <w:rPr>
          <w:rFonts w:ascii="Times New Roman" w:hAnsi="Times New Roman"/>
          <w:b w:val="0"/>
          <w:i w:val="0"/>
          <w:color w:val="000000"/>
          <w:sz w:val="22"/>
        </w:rPr>
        <w:t>B．</w:t>
      </w:r>
      <w:r>
        <w:drawing>
          <wp:inline distT="0" distB="0" distL="0" distR="0">
            <wp:extent cx="1100455" cy="120205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11"/>
                    <a:stretch>
                      <a:fillRect/>
                    </a:stretch>
                  </pic:blipFill>
                  <pic:spPr>
                    <a:xfrm>
                      <a:off x="0" y="0"/>
                      <a:ext cx="1100667" cy="1202267"/>
                    </a:xfrm>
                    <a:prstGeom prst="rect">
                      <a:avLst/>
                    </a:prstGeom>
                  </pic:spPr>
                </pic:pic>
              </a:graphicData>
            </a:graphic>
          </wp:inline>
        </w:drawing>
      </w:r>
    </w:p>
    <w:p>
      <w:pPr>
        <w:tabs>
          <w:tab w:val="left" w:pos="5137"/>
        </w:tabs>
        <w:spacing w:line="360" w:lineRule="auto"/>
        <w:ind w:firstLine="286" w:firstLineChars="130"/>
        <w:jc w:val="left"/>
        <w:textAlignment w:val="center"/>
      </w:pPr>
      <w:r>
        <w:rPr>
          <w:rFonts w:ascii="Times New Roman" w:hAnsi="Times New Roman"/>
          <w:b w:val="0"/>
          <w:i w:val="0"/>
          <w:color w:val="000000"/>
          <w:sz w:val="22"/>
        </w:rPr>
        <w:t>C．</w:t>
      </w:r>
      <w:r>
        <w:drawing>
          <wp:inline distT="0" distB="0" distL="0" distR="0">
            <wp:extent cx="1100455" cy="11684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1100667" cy="1168400"/>
                    </a:xfrm>
                    <a:prstGeom prst="rect">
                      <a:avLst/>
                    </a:prstGeom>
                  </pic:spPr>
                </pic:pic>
              </a:graphicData>
            </a:graphic>
          </wp:inline>
        </w:drawing>
      </w:r>
      <w:r>
        <w:tab/>
      </w:r>
      <w:r>
        <w:rPr>
          <w:rFonts w:ascii="Times New Roman" w:hAnsi="Times New Roman"/>
          <w:b w:val="0"/>
          <w:i w:val="0"/>
          <w:color w:val="000000"/>
          <w:sz w:val="22"/>
        </w:rPr>
        <w:t>D．</w:t>
      </w:r>
      <w:r>
        <w:drawing>
          <wp:inline distT="0" distB="0" distL="0" distR="0">
            <wp:extent cx="1100455" cy="118491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3"/>
                    <a:stretch>
                      <a:fillRect/>
                    </a:stretch>
                  </pic:blipFill>
                  <pic:spPr>
                    <a:xfrm>
                      <a:off x="0" y="0"/>
                      <a:ext cx="1100667" cy="1185333"/>
                    </a:xfrm>
                    <a:prstGeom prst="rect">
                      <a:avLst/>
                    </a:prstGeom>
                  </pic:spPr>
                </pic:pic>
              </a:graphicData>
            </a:graphic>
          </wp:inline>
        </w:drawing>
      </w:r>
    </w:p>
    <w:p>
      <w:pPr>
        <w:spacing w:line="360" w:lineRule="auto"/>
        <w:ind w:left="0"/>
        <w:jc w:val="left"/>
      </w:pPr>
      <w:r>
        <w:t>13．</w:t>
      </w:r>
      <w:r>
        <w:rPr>
          <w:rFonts w:ascii="Times New Roman" w:hAnsi="Times New Roman"/>
          <w:b w:val="0"/>
          <w:i w:val="0"/>
          <w:color w:val="000000"/>
          <w:sz w:val="22"/>
        </w:rPr>
        <w:t xml:space="preserve">在雅典城邦担任官职是一种荣誉和义务，任职者并无薪资，凡任职者需有充足的生活保障。公元前5世纪，雅典开始向担任公职和出席公民大会者提供一定津贴。这一做法（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A．推动雅典民主制度的发展</w:t>
      </w:r>
      <w:r>
        <w:tab/>
      </w:r>
      <w:r>
        <w:rPr>
          <w:rFonts w:ascii="Times New Roman" w:hAnsi="Times New Roman"/>
          <w:b w:val="0"/>
          <w:i w:val="0"/>
          <w:color w:val="000000"/>
          <w:sz w:val="22"/>
        </w:rPr>
        <w:t>B．体现雅典健全的法律体系</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C．说明外邦人没有政治权利</w:t>
      </w:r>
      <w:r>
        <w:tab/>
      </w:r>
      <w:r>
        <w:rPr>
          <w:rFonts w:ascii="Times New Roman" w:hAnsi="Times New Roman"/>
          <w:b w:val="0"/>
          <w:i w:val="0"/>
          <w:color w:val="000000"/>
          <w:sz w:val="22"/>
        </w:rPr>
        <w:t>D．标志雅典确立了民主制度</w:t>
      </w:r>
    </w:p>
    <w:p>
      <w:pPr>
        <w:spacing w:line="360" w:lineRule="auto"/>
        <w:ind w:left="0"/>
        <w:jc w:val="left"/>
        <w:sectPr>
          <w:headerReference w:type="default" r:id="rId14"/>
          <w:footerReference w:type="default" r:id="rId15"/>
          <w:type w:val="nextPage"/>
          <w:pgSz w:w="11906" w:h="16838"/>
          <w:pgMar w:top="1134" w:right="707" w:bottom="937" w:left="1134" w:header="426" w:footer="515" w:gutter="0"/>
          <w:pgNumType w:start="3"/>
          <w:cols w:num="1" w:space="425"/>
          <w:titlePg w:val="0"/>
          <w:docGrid w:type="lines" w:linePitch="312" w:charSpace="0"/>
        </w:sectPr>
      </w:pPr>
      <w:r>
        <w:t>14．</w:t>
      </w:r>
      <w:r>
        <w:rPr>
          <w:rFonts w:ascii="Times New Roman" w:hAnsi="Times New Roman"/>
          <w:b w:val="0"/>
          <w:i w:val="0"/>
          <w:color w:val="000000"/>
          <w:sz w:val="22"/>
        </w:rPr>
        <w:t xml:space="preserve">14世纪，法国社会依然普遍主张禁绝一切游戏。15世纪开始，人们逐渐关注游戏对儿童天性发展的积极作用，鼓励通过游戏促进孩子的学习兴趣。出现上述变化的主要原因是（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A．天主教会的精神统治</w:t>
      </w:r>
      <w:r>
        <w:tab/>
      </w:r>
      <w:r>
        <w:rPr>
          <w:rFonts w:ascii="Times New Roman" w:hAnsi="Times New Roman"/>
          <w:b w:val="0"/>
          <w:i w:val="0"/>
          <w:color w:val="000000"/>
          <w:sz w:val="22"/>
        </w:rPr>
        <w:t>B．人民主权思想的輿论宣传</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C．人文主义的广泛传播</w:t>
      </w:r>
      <w:r>
        <w:tab/>
      </w:r>
      <w:r>
        <w:rPr>
          <w:rFonts w:ascii="Times New Roman" w:hAnsi="Times New Roman"/>
          <w:b w:val="0"/>
          <w:i w:val="0"/>
          <w:color w:val="000000"/>
          <w:sz w:val="22"/>
        </w:rPr>
        <w:t>D．法国大革命的世界性影响</w:t>
      </w:r>
    </w:p>
    <w:p>
      <w:pPr>
        <w:spacing w:line="360" w:lineRule="auto"/>
        <w:ind w:left="0"/>
        <w:jc w:val="left"/>
      </w:pPr>
      <w:r>
        <w:t>15．</w:t>
      </w:r>
      <w:r>
        <w:rPr>
          <w:rFonts w:ascii="Times New Roman" w:hAnsi="Times New Roman"/>
          <w:b w:val="0"/>
          <w:i w:val="0"/>
          <w:color w:val="000000"/>
          <w:sz w:val="22"/>
        </w:rPr>
        <w:t>八里尔银币的流通可以说明（　　）</w:t>
      </w:r>
    </w:p>
    <w:p>
      <w:pPr>
        <w:spacing w:line="360" w:lineRule="auto"/>
        <w:ind w:firstLine="273" w:firstLineChars="130"/>
        <w:jc w:val="left"/>
        <w:textAlignment w:val="center"/>
      </w:pPr>
      <w:r>
        <w:drawing>
          <wp:inline distT="0" distB="0" distL="0" distR="0">
            <wp:extent cx="2540000" cy="1016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6"/>
                    <a:stretch>
                      <a:fillRect/>
                    </a:stretch>
                  </pic:blipFill>
                  <pic:spPr>
                    <a:xfrm>
                      <a:off x="0" y="0"/>
                      <a:ext cx="2540000" cy="1016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A．整个美洲变成了西班牙的殖民地</w:t>
      </w:r>
    </w:p>
    <w:p>
      <w:pPr>
        <w:spacing w:line="360" w:lineRule="auto"/>
        <w:ind w:firstLine="286" w:firstLineChars="130"/>
        <w:jc w:val="left"/>
      </w:pPr>
      <w:r>
        <w:rPr>
          <w:rFonts w:ascii="Times New Roman" w:hAnsi="Times New Roman"/>
          <w:b w:val="0"/>
          <w:i w:val="0"/>
          <w:color w:val="000000"/>
          <w:sz w:val="22"/>
        </w:rPr>
        <w:t>B．资本主义制度在世界范围内扩展</w:t>
      </w:r>
    </w:p>
    <w:p>
      <w:pPr>
        <w:spacing w:line="360" w:lineRule="auto"/>
        <w:ind w:firstLine="286" w:firstLineChars="130"/>
        <w:jc w:val="left"/>
      </w:pPr>
      <w:r>
        <w:rPr>
          <w:rFonts w:ascii="Times New Roman" w:hAnsi="Times New Roman"/>
          <w:b w:val="0"/>
          <w:i w:val="0"/>
          <w:color w:val="000000"/>
          <w:sz w:val="22"/>
        </w:rPr>
        <w:t>C．经济全球化已成为世界基本特征</w:t>
      </w:r>
    </w:p>
    <w:p>
      <w:pPr>
        <w:spacing w:line="360" w:lineRule="auto"/>
        <w:ind w:firstLine="286" w:firstLineChars="130"/>
        <w:jc w:val="left"/>
      </w:pPr>
      <w:r>
        <w:rPr>
          <w:rFonts w:ascii="Times New Roman" w:hAnsi="Times New Roman"/>
          <w:b w:val="0"/>
          <w:i w:val="0"/>
          <w:color w:val="000000"/>
          <w:sz w:val="22"/>
        </w:rPr>
        <w:t>D．主要大洲间建立了直接商业联系</w:t>
      </w:r>
    </w:p>
    <w:p>
      <w:pPr>
        <w:spacing w:line="360" w:lineRule="auto"/>
        <w:ind w:left="0"/>
        <w:jc w:val="left"/>
      </w:pPr>
      <w:r>
        <w:t>16．</w:t>
      </w:r>
      <w:r>
        <w:rPr>
          <w:rFonts w:ascii="Times New Roman" w:hAnsi="Times New Roman"/>
          <w:b w:val="0"/>
          <w:i w:val="0"/>
          <w:color w:val="000000"/>
          <w:sz w:val="22"/>
        </w:rPr>
        <w:t xml:space="preserve">1842年，魏源撰写《圣武记》，历述清王朝过去武功上的胜利，用意在与当时军事上的颓势相对照。这“米教”“颓势”出现于（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A．虎门销烟</w:t>
      </w:r>
      <w:r>
        <w:tab/>
      </w:r>
      <w:r>
        <w:rPr>
          <w:rFonts w:ascii="Times New Roman" w:hAnsi="Times New Roman"/>
          <w:b w:val="0"/>
          <w:i w:val="0"/>
          <w:color w:val="000000"/>
          <w:sz w:val="22"/>
        </w:rPr>
        <w:t>B．鸦片战争</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C．黄海海战</w:t>
      </w:r>
      <w:r>
        <w:tab/>
      </w:r>
      <w:r>
        <w:rPr>
          <w:rFonts w:ascii="Times New Roman" w:hAnsi="Times New Roman"/>
          <w:b w:val="0"/>
          <w:i w:val="0"/>
          <w:color w:val="000000"/>
          <w:sz w:val="22"/>
        </w:rPr>
        <w:t>D．八国联军侵华战争</w:t>
      </w:r>
    </w:p>
    <w:p>
      <w:pPr>
        <w:spacing w:line="360" w:lineRule="auto"/>
        <w:ind w:left="0"/>
        <w:jc w:val="left"/>
      </w:pPr>
      <w:r>
        <w:t>17．</w:t>
      </w:r>
      <w:r>
        <w:rPr>
          <w:rFonts w:ascii="Times New Roman" w:hAnsi="Times New Roman"/>
          <w:b w:val="0"/>
          <w:i w:val="0"/>
          <w:color w:val="000000"/>
          <w:sz w:val="22"/>
        </w:rPr>
        <w:t xml:space="preserve">据统计，江南制造总局翻译馆开办期间，销售西书83454本。另据1878年汇编的《译书事略》，西书主要涉及技术工程领域。读西书、求西学的时尚新风反映了（　　）  </w:t>
      </w:r>
    </w:p>
    <w:p>
      <w:pPr>
        <w:spacing w:line="360" w:lineRule="auto"/>
        <w:ind w:firstLine="286" w:firstLineChars="130"/>
        <w:jc w:val="left"/>
      </w:pPr>
      <w:r>
        <w:rPr>
          <w:rFonts w:ascii="Times New Roman" w:hAnsi="Times New Roman"/>
          <w:b w:val="0"/>
          <w:i w:val="0"/>
          <w:color w:val="000000"/>
          <w:sz w:val="22"/>
        </w:rPr>
        <w:t>A．甲午战争后出现了兴办工业的浪潮</w:t>
      </w:r>
    </w:p>
    <w:p>
      <w:pPr>
        <w:spacing w:line="360" w:lineRule="auto"/>
        <w:ind w:firstLine="286" w:firstLineChars="130"/>
        <w:jc w:val="left"/>
      </w:pPr>
      <w:r>
        <w:rPr>
          <w:rFonts w:ascii="Times New Roman" w:hAnsi="Times New Roman"/>
          <w:b w:val="0"/>
          <w:i w:val="0"/>
          <w:color w:val="000000"/>
          <w:sz w:val="22"/>
        </w:rPr>
        <w:t>B．洋务运动将学习西学付诸“自强"实践</w:t>
      </w:r>
    </w:p>
    <w:p>
      <w:pPr>
        <w:spacing w:line="360" w:lineRule="auto"/>
        <w:ind w:firstLine="286" w:firstLineChars="130"/>
        <w:jc w:val="left"/>
      </w:pPr>
      <w:r>
        <w:rPr>
          <w:rFonts w:ascii="Times New Roman" w:hAnsi="Times New Roman"/>
          <w:b w:val="0"/>
          <w:i w:val="0"/>
          <w:color w:val="000000"/>
          <w:sz w:val="22"/>
        </w:rPr>
        <w:t>C．戊戌变法在思想方面产生广泛影响</w:t>
      </w:r>
    </w:p>
    <w:p>
      <w:pPr>
        <w:spacing w:line="360" w:lineRule="auto"/>
        <w:ind w:firstLine="286" w:firstLineChars="130"/>
        <w:jc w:val="left"/>
      </w:pPr>
      <w:r>
        <w:rPr>
          <w:rFonts w:ascii="Times New Roman" w:hAnsi="Times New Roman"/>
          <w:b w:val="0"/>
          <w:i w:val="0"/>
          <w:color w:val="000000"/>
          <w:sz w:val="22"/>
        </w:rPr>
        <w:t>D．新文化运动利用“科学”思想启迪民智</w:t>
      </w:r>
    </w:p>
    <w:p>
      <w:pPr>
        <w:spacing w:line="360" w:lineRule="auto"/>
        <w:ind w:left="0"/>
        <w:jc w:val="left"/>
      </w:pPr>
      <w:r>
        <w:t>18．</w:t>
      </w:r>
      <w:r>
        <w:rPr>
          <w:rFonts w:ascii="Times New Roman" w:hAnsi="Times New Roman"/>
          <w:b w:val="0"/>
          <w:i w:val="0"/>
          <w:color w:val="000000"/>
          <w:sz w:val="22"/>
        </w:rPr>
        <w:t xml:space="preserve">1918-1919年，李大钊先后发表《庶民的胜利》和《新纪元》，以“世界革命的先声”和“世界革命的新纪元”来评论某一历史事件。他评论的是（　　）  </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A．马克思主义的诞生</w:t>
      </w:r>
      <w:r>
        <w:tab/>
      </w:r>
      <w:r>
        <w:rPr>
          <w:rFonts w:ascii="Times New Roman" w:hAnsi="Times New Roman"/>
          <w:b w:val="0"/>
          <w:i w:val="0"/>
          <w:color w:val="000000"/>
          <w:sz w:val="22"/>
        </w:rPr>
        <w:t>B．辛亥革命</w:t>
      </w:r>
    </w:p>
    <w:p>
      <w:pPr>
        <w:tabs>
          <w:tab w:val="left" w:pos="5137"/>
        </w:tabs>
        <w:spacing w:line="360" w:lineRule="auto"/>
        <w:ind w:firstLine="286" w:firstLineChars="130"/>
        <w:jc w:val="left"/>
        <w:textAlignment w:val="center"/>
      </w:pPr>
      <w:r>
        <w:rPr>
          <w:rFonts w:ascii="Times New Roman" w:hAnsi="Times New Roman"/>
          <w:b w:val="0"/>
          <w:i w:val="0"/>
          <w:color w:val="000000"/>
          <w:sz w:val="22"/>
        </w:rPr>
        <w:t>C．十月革命</w:t>
      </w:r>
      <w:r>
        <w:tab/>
      </w:r>
      <w:r>
        <w:rPr>
          <w:rFonts w:ascii="Times New Roman" w:hAnsi="Times New Roman"/>
          <w:b w:val="0"/>
          <w:i w:val="0"/>
          <w:color w:val="000000"/>
          <w:sz w:val="22"/>
        </w:rPr>
        <w:t>D．五四运动</w:t>
      </w:r>
    </w:p>
    <w:p>
      <w:pPr>
        <w:spacing w:line="360" w:lineRule="auto"/>
        <w:ind w:left="0"/>
        <w:jc w:val="left"/>
      </w:pPr>
      <w:r>
        <w:t>19．</w:t>
      </w:r>
      <w:r>
        <w:rPr>
          <w:rFonts w:ascii="Times New Roman" w:hAnsi="Times New Roman"/>
          <w:b w:val="0"/>
          <w:i w:val="0"/>
          <w:color w:val="000000"/>
          <w:sz w:val="22"/>
        </w:rPr>
        <w:t>19世纪末20世纪初，德国在全境“拼尽全力铺设铁路，为的只是能够在更短时间内动员更大规模的士兵福奔赴战场”。战争爆发后，技术的进步却让“几千名士兵在几分钟内就可能被机枪扫射殆尽！”对此理解正确的是（　　）</w:t>
      </w:r>
    </w:p>
    <w:p>
      <w:pPr>
        <w:spacing w:line="360" w:lineRule="auto"/>
        <w:ind w:firstLine="286" w:firstLineChars="130"/>
        <w:jc w:val="left"/>
      </w:pPr>
      <w:r>
        <w:rPr>
          <w:rFonts w:ascii="Times New Roman" w:hAnsi="Times New Roman"/>
          <w:b w:val="0"/>
          <w:i w:val="0"/>
          <w:color w:val="000000"/>
          <w:sz w:val="22"/>
        </w:rPr>
        <w:t>A．科学革命迎来技术发明的高潮</w:t>
      </w:r>
    </w:p>
    <w:p>
      <w:pPr>
        <w:spacing w:line="360" w:lineRule="auto"/>
        <w:ind w:firstLine="286" w:firstLineChars="130"/>
        <w:jc w:val="left"/>
      </w:pPr>
      <w:r>
        <w:rPr>
          <w:rFonts w:ascii="Times New Roman" w:hAnsi="Times New Roman"/>
          <w:b w:val="0"/>
          <w:i w:val="0"/>
          <w:color w:val="000000"/>
          <w:sz w:val="22"/>
        </w:rPr>
        <w:t>B．一战波及到亚、非、欧和太平洋地区</w:t>
      </w:r>
    </w:p>
    <w:p>
      <w:pPr>
        <w:spacing w:line="360" w:lineRule="auto"/>
        <w:ind w:firstLine="286" w:firstLineChars="130"/>
        <w:jc w:val="left"/>
        <w:sectPr>
          <w:headerReference w:type="default" r:id="rId17"/>
          <w:footerReference w:type="default" r:id="rId18"/>
          <w:type w:val="nextPage"/>
          <w:pgSz w:w="11906" w:h="16838"/>
          <w:pgMar w:top="1134" w:right="707" w:bottom="937" w:left="1134" w:header="426" w:footer="515" w:gutter="0"/>
          <w:pgNumType w:start="4"/>
          <w:cols w:num="1" w:space="425"/>
          <w:titlePg w:val="0"/>
          <w:docGrid w:type="lines" w:linePitch="312" w:charSpace="0"/>
        </w:sectPr>
      </w:pPr>
      <w:r>
        <w:rPr>
          <w:rFonts w:ascii="Times New Roman" w:hAnsi="Times New Roman"/>
          <w:b w:val="0"/>
          <w:i w:val="0"/>
          <w:color w:val="000000"/>
          <w:sz w:val="22"/>
        </w:rPr>
        <w:t>C．工业革命加剧了战争残酷程度</w:t>
      </w:r>
    </w:p>
    <w:p>
      <w:pPr>
        <w:spacing w:line="360" w:lineRule="auto"/>
        <w:ind w:firstLine="286" w:firstLineChars="130"/>
        <w:jc w:val="left"/>
      </w:pPr>
      <w:r>
        <w:rPr>
          <w:rFonts w:ascii="Times New Roman" w:hAnsi="Times New Roman"/>
          <w:b w:val="0"/>
          <w:i w:val="0"/>
          <w:color w:val="000000"/>
          <w:sz w:val="22"/>
        </w:rPr>
        <w:t>D．战争粉碎了法西斯德国的侵略野心</w:t>
      </w:r>
    </w:p>
    <w:p>
      <w:pPr>
        <w:spacing w:line="360" w:lineRule="auto"/>
        <w:ind w:left="0"/>
        <w:jc w:val="left"/>
      </w:pPr>
      <w:r>
        <w:t>20．</w:t>
      </w:r>
      <w:r>
        <w:rPr>
          <w:rFonts w:ascii="Times New Roman" w:hAnsi="Times New Roman"/>
          <w:b w:val="0"/>
          <w:i w:val="0"/>
          <w:color w:val="000000"/>
          <w:sz w:val="22"/>
        </w:rPr>
        <w:t>针对图反映的问题，我们应该（　　）</w:t>
      </w:r>
    </w:p>
    <w:p>
      <w:pPr>
        <w:spacing w:line="360" w:lineRule="auto"/>
        <w:ind w:firstLine="273" w:firstLineChars="130"/>
        <w:jc w:val="left"/>
        <w:textAlignment w:val="center"/>
      </w:pPr>
      <w:r>
        <w:drawing>
          <wp:inline distT="0" distB="0" distL="0" distR="0">
            <wp:extent cx="3589655" cy="123571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9"/>
                    <a:stretch>
                      <a:fillRect/>
                    </a:stretch>
                  </pic:blipFill>
                  <pic:spPr>
                    <a:xfrm>
                      <a:off x="0" y="0"/>
                      <a:ext cx="3589867" cy="1236133"/>
                    </a:xfrm>
                    <a:prstGeom prst="rect">
                      <a:avLst/>
                    </a:prstGeom>
                  </pic:spPr>
                </pic:pic>
              </a:graphicData>
            </a:graphic>
          </wp:inline>
        </w:drawing>
      </w:r>
    </w:p>
    <w:p>
      <w:pPr>
        <w:spacing w:line="360" w:lineRule="auto"/>
        <w:ind w:firstLine="286" w:firstLineChars="130"/>
        <w:jc w:val="left"/>
        <w:textAlignment w:val="center"/>
      </w:pPr>
      <w:r>
        <w:rPr>
          <w:rFonts w:ascii="Calibri" w:hAnsi="Calibri"/>
          <w:b w:val="0"/>
          <w:i w:val="0"/>
          <w:color w:val="000000"/>
          <w:sz w:val="22"/>
        </w:rPr>
        <w:t>①</w:t>
      </w:r>
      <w:r>
        <w:rPr>
          <w:rFonts w:ascii="Times New Roman" w:hAnsi="Times New Roman"/>
          <w:b w:val="0"/>
          <w:i w:val="0"/>
          <w:color w:val="000000"/>
          <w:sz w:val="22"/>
        </w:rPr>
        <w:t>降低生产对资源的消耗</w:t>
      </w:r>
    </w:p>
    <w:p>
      <w:pPr>
        <w:spacing w:line="360" w:lineRule="auto"/>
        <w:ind w:firstLine="286" w:firstLineChars="130"/>
        <w:jc w:val="left"/>
        <w:textAlignment w:val="center"/>
      </w:pPr>
      <w:r>
        <w:rPr>
          <w:rFonts w:ascii="Calibri" w:hAnsi="Calibri"/>
          <w:b w:val="0"/>
          <w:i w:val="0"/>
          <w:color w:val="000000"/>
          <w:sz w:val="22"/>
        </w:rPr>
        <w:t>②</w:t>
      </w:r>
      <w:r>
        <w:rPr>
          <w:rFonts w:ascii="Times New Roman" w:hAnsi="Times New Roman"/>
          <w:b w:val="0"/>
          <w:i w:val="0"/>
          <w:color w:val="000000"/>
          <w:sz w:val="22"/>
        </w:rPr>
        <w:t>实施资源的跨区域调配</w:t>
      </w:r>
    </w:p>
    <w:p>
      <w:pPr>
        <w:spacing w:line="360" w:lineRule="auto"/>
        <w:ind w:firstLine="286" w:firstLineChars="130"/>
        <w:jc w:val="left"/>
        <w:textAlignment w:val="center"/>
      </w:pPr>
      <w:r>
        <w:rPr>
          <w:rFonts w:ascii="Calibri" w:hAnsi="Calibri"/>
          <w:b w:val="0"/>
          <w:i w:val="0"/>
          <w:color w:val="000000"/>
          <w:sz w:val="22"/>
        </w:rPr>
        <w:t>③</w:t>
      </w:r>
      <w:r>
        <w:rPr>
          <w:rFonts w:ascii="Times New Roman" w:hAnsi="Times New Roman"/>
          <w:b w:val="0"/>
          <w:i w:val="0"/>
          <w:color w:val="000000"/>
          <w:sz w:val="22"/>
        </w:rPr>
        <w:t>扩展自然资源开发范围</w:t>
      </w:r>
    </w:p>
    <w:p>
      <w:pPr>
        <w:spacing w:line="360" w:lineRule="auto"/>
        <w:ind w:firstLine="286" w:firstLineChars="130"/>
        <w:jc w:val="left"/>
        <w:textAlignment w:val="center"/>
      </w:pPr>
      <w:r>
        <w:rPr>
          <w:rFonts w:ascii="Calibri" w:hAnsi="Calibri"/>
          <w:b w:val="0"/>
          <w:i w:val="0"/>
          <w:color w:val="000000"/>
          <w:sz w:val="22"/>
        </w:rPr>
        <w:t>④</w:t>
      </w:r>
      <w:r>
        <w:rPr>
          <w:rFonts w:ascii="Times New Roman" w:hAnsi="Times New Roman"/>
          <w:b w:val="0"/>
          <w:i w:val="0"/>
          <w:color w:val="000000"/>
          <w:sz w:val="22"/>
        </w:rPr>
        <w:t>加强对自然环境的保护</w:t>
      </w:r>
    </w:p>
    <w:p>
      <w:pPr>
        <w:tabs>
          <w:tab w:val="left" w:pos="2698"/>
          <w:tab w:val="left" w:pos="5137"/>
          <w:tab w:val="left" w:pos="7576"/>
        </w:tabs>
        <w:spacing w:line="360" w:lineRule="auto"/>
        <w:ind w:firstLine="286" w:firstLineChars="130"/>
        <w:jc w:val="left"/>
        <w:textAlignment w:val="center"/>
      </w:pPr>
      <w:r>
        <w:rPr>
          <w:rFonts w:ascii="Times New Roman" w:hAnsi="Times New Roman"/>
          <w:b w:val="0"/>
          <w:i w:val="0"/>
          <w:color w:val="000000"/>
          <w:sz w:val="22"/>
        </w:rPr>
        <w:t>A．</w:t>
      </w:r>
      <w:r>
        <w:rPr>
          <w:rFonts w:ascii="Calibri" w:hAnsi="Calibri"/>
          <w:b w:val="0"/>
          <w:i w:val="0"/>
          <w:color w:val="000000"/>
          <w:sz w:val="22"/>
        </w:rPr>
        <w:t>①②</w:t>
      </w:r>
      <w:r>
        <w:tab/>
      </w:r>
      <w:r>
        <w:rPr>
          <w:rFonts w:ascii="Times New Roman" w:hAnsi="Times New Roman"/>
          <w:b w:val="0"/>
          <w:i w:val="0"/>
          <w:color w:val="000000"/>
          <w:sz w:val="22"/>
        </w:rPr>
        <w:t>B．</w:t>
      </w:r>
      <w:r>
        <w:rPr>
          <w:rFonts w:ascii="Calibri" w:hAnsi="Calibri"/>
          <w:b w:val="0"/>
          <w:i w:val="0"/>
          <w:color w:val="000000"/>
          <w:sz w:val="22"/>
        </w:rPr>
        <w:t>①③</w:t>
      </w:r>
      <w:r>
        <w:tab/>
      </w:r>
      <w:r>
        <w:rPr>
          <w:rFonts w:ascii="Times New Roman" w:hAnsi="Times New Roman"/>
          <w:b w:val="0"/>
          <w:i w:val="0"/>
          <w:color w:val="000000"/>
          <w:sz w:val="22"/>
        </w:rPr>
        <w:t>C．</w:t>
      </w:r>
      <w:r>
        <w:rPr>
          <w:rFonts w:ascii="Calibri" w:hAnsi="Calibri"/>
          <w:b w:val="0"/>
          <w:i w:val="0"/>
          <w:color w:val="000000"/>
          <w:sz w:val="22"/>
        </w:rPr>
        <w:t>②④</w:t>
      </w:r>
      <w:r>
        <w:tab/>
      </w:r>
      <w:r>
        <w:rPr>
          <w:rFonts w:ascii="Times New Roman" w:hAnsi="Times New Roman"/>
          <w:b w:val="0"/>
          <w:i w:val="0"/>
          <w:color w:val="000000"/>
          <w:sz w:val="22"/>
        </w:rPr>
        <w:t>D．</w:t>
      </w:r>
      <w:r>
        <w:rPr>
          <w:rFonts w:ascii="Calibri" w:hAnsi="Calibri"/>
          <w:b w:val="0"/>
          <w:i w:val="0"/>
          <w:color w:val="000000"/>
          <w:sz w:val="22"/>
        </w:rPr>
        <w:t>③④</w:t>
      </w:r>
    </w:p>
    <w:tbl>
      <w:tblPr>
        <w:tblStyle w:val="TableNormal"/>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
      <w:tblGrid>
        <w:gridCol w:w="1050"/>
        <w:gridCol w:w="1125"/>
        <w:gridCol w:w="7890"/>
      </w:tblGrid>
      <w:tr>
        <w:tblPrEx>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阅卷人</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宋体" w:hint="eastAsia"/>
              </w:rPr>
            </w:pPr>
          </w:p>
        </w:tc>
        <w:tc>
          <w:tcPr>
            <w:tcW w:w="7890" w:type="dxa"/>
            <w:vMerge w:val="restart"/>
            <w:tcBorders>
              <w:tl2br w:val="nil"/>
              <w:tr2bl w:val="nil"/>
            </w:tcBorders>
            <w:tcMar>
              <w:top w:w="15" w:type="dxa"/>
              <w:bottom w:w="15" w:type="dxa"/>
            </w:tcMar>
            <w:vAlign w:val="center"/>
          </w:tcPr>
          <w:p>
            <w:pPr>
              <w:spacing w:before="94" w:beforeLines="30" w:after="94" w:afterLines="30"/>
              <w:jc w:val="left"/>
              <w:rPr>
                <w:rFonts w:eastAsia="Times New Roman" w:hint="default"/>
              </w:rPr>
            </w:pPr>
            <w:r>
              <w:rPr>
                <w:rFonts w:ascii="黑体" w:eastAsia="黑体" w:hAnsi="黑体" w:cs="黑体" w:hint="eastAsia"/>
                <w:b/>
                <w:color w:val="000000"/>
                <w:position w:val="-2"/>
                <w:sz w:val="24"/>
                <w:szCs w:val="24"/>
                <w:lang w:eastAsia="zh-CN"/>
              </w:rPr>
              <w:t>二、非选择题(本题有5小题，共60分。</w:t>
            </w:r>
          </w:p>
        </w:tc>
      </w:tr>
      <w:tr>
        <w:tblPrEx>
          <w:tblW w:w="10065" w:type="dxa"/>
          <w:tblInd w:w="0" w:type="dxa"/>
          <w:tblLayout w:type="fixed"/>
          <w:tblCellMar>
            <w:top w:w="0" w:type="dxa"/>
            <w:left w:w="0" w:type="dxa"/>
            <w:bottom w:w="0" w:type="dxa"/>
            <w:right w:w="0" w:type="dxa"/>
          </w:tblCellMar>
        </w:tblPrEx>
        <w:trPr>
          <w:trHeight w:val="90"/>
        </w:trPr>
        <w:tc>
          <w:tcPr>
            <w:tcW w:w="1050"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center"/>
              <w:rPr>
                <w:rFonts w:eastAsia="Times New Roman" w:hint="default"/>
              </w:rPr>
            </w:pPr>
            <w:r>
              <w:rPr>
                <w:rFonts w:ascii="黑体" w:eastAsia="黑体" w:hAnsi="黑体" w:cs="黑体" w:hint="eastAsia"/>
                <w:b/>
                <w:color w:val="000000"/>
                <w:position w:val="-3"/>
                <w:sz w:val="24"/>
              </w:rPr>
              <w:t>得分</w:t>
            </w:r>
          </w:p>
        </w:tc>
        <w:tc>
          <w:tcPr>
            <w:tcW w:w="1125" w:type="dxa"/>
            <w:tcBorders>
              <w:top w:val="single" w:sz="4" w:space="0" w:color="333333"/>
              <w:left w:val="single" w:sz="4" w:space="0" w:color="333333"/>
              <w:bottom w:val="single" w:sz="4" w:space="0" w:color="333333"/>
              <w:right w:val="single" w:sz="4" w:space="0" w:color="333333"/>
              <w:tl2br w:val="nil"/>
              <w:tr2bl w:val="nil"/>
            </w:tcBorders>
            <w:tcMar>
              <w:top w:w="15" w:type="dxa"/>
              <w:bottom w:w="15" w:type="dxa"/>
            </w:tcMar>
            <w:vAlign w:val="center"/>
          </w:tcPr>
          <w:p>
            <w:pPr>
              <w:spacing w:before="94" w:beforeLines="30" w:after="94" w:afterLines="30"/>
              <w:jc w:val="both"/>
              <w:rPr>
                <w:rFonts w:eastAsia="Times New Roman" w:hint="default"/>
              </w:rPr>
            </w:pPr>
          </w:p>
        </w:tc>
        <w:tc>
          <w:tcPr>
            <w:tcW w:w="7890" w:type="dxa"/>
            <w:vMerge/>
            <w:tcBorders>
              <w:tl2br w:val="nil"/>
              <w:tr2bl w:val="nil"/>
            </w:tcBorders>
            <w:tcMar>
              <w:top w:w="15" w:type="dxa"/>
              <w:bottom w:w="15" w:type="dxa"/>
            </w:tcMar>
            <w:vAlign w:val="center"/>
          </w:tcPr>
          <w:p>
            <w:pPr>
              <w:spacing w:before="94" w:beforeLines="30" w:after="94" w:afterLines="30"/>
              <w:jc w:val="both"/>
              <w:rPr>
                <w:rFonts w:eastAsia="宋体" w:hint="eastAsia"/>
              </w:rPr>
            </w:pPr>
          </w:p>
        </w:tc>
      </w:tr>
    </w:tbl>
    <w:p>
      <w:pPr>
        <w:spacing w:line="360" w:lineRule="auto"/>
        <w:ind w:left="0"/>
        <w:jc w:val="left"/>
      </w:pPr>
      <w:r>
        <w:t>21．</w:t>
      </w:r>
      <w:r>
        <w:rPr>
          <w:rFonts w:ascii="Times New Roman" w:hAnsi="Times New Roman"/>
          <w:b w:val="0"/>
          <w:i w:val="0"/>
          <w:color w:val="000000"/>
          <w:sz w:val="22"/>
        </w:rPr>
        <w:t>2021年4月29日(中华人民共和国反食品浪费法)正式实施。某校开展“学新法●反浪费"为主题的社会调查，请你参与。</w:t>
      </w:r>
    </w:p>
    <w:p>
      <w:pPr>
        <w:spacing w:line="360" w:lineRule="auto"/>
        <w:ind w:firstLine="286" w:firstLineChars="130"/>
        <w:jc w:val="left"/>
      </w:pPr>
      <w:r>
        <w:rPr>
          <w:rFonts w:ascii="Times New Roman" w:hAnsi="Times New Roman"/>
          <w:b w:val="0"/>
          <w:i w:val="0"/>
          <w:color w:val="000000"/>
          <w:sz w:val="22"/>
        </w:rPr>
        <w:t>[关注探究]</w:t>
      </w:r>
    </w:p>
    <w:p>
      <w:pPr>
        <w:spacing w:line="360" w:lineRule="auto"/>
        <w:ind w:firstLine="286" w:firstLineChars="130"/>
        <w:jc w:val="left"/>
      </w:pPr>
      <w:r>
        <w:rPr>
          <w:rFonts w:ascii="Times New Roman" w:hAnsi="Times New Roman"/>
          <w:b w:val="0"/>
          <w:i w:val="0"/>
          <w:color w:val="000000"/>
          <w:sz w:val="22"/>
        </w:rPr>
        <w:t>“吃播”是一种网络美食直播。据调查，近半数收看美食直播的观众钟情于“大胃王”吃播。某播主一次吃10桶泡面、6人份意面和8斤米饭，收获大量粉丝点赞。在利益的驱使下，衍生出一批通过假吃、催吐吸引粉丝的“大胃王”。《反食品浪费法》实施后，“大胃王”吃播节目在直播平台已难觅踪影。</w:t>
      </w:r>
    </w:p>
    <w:p>
      <w:pPr>
        <w:spacing w:line="360" w:lineRule="auto"/>
        <w:ind w:firstLine="286" w:firstLineChars="130"/>
        <w:jc w:val="left"/>
        <w:textAlignment w:val="center"/>
      </w:pPr>
      <w:r>
        <w:rPr>
          <w:rFonts w:ascii="Times New Roman" w:hAnsi="Times New Roman"/>
          <w:b w:val="0"/>
          <w:i w:val="0"/>
          <w:color w:val="000000"/>
          <w:sz w:val="22"/>
        </w:rPr>
        <w:t>法律链接：</w:t>
      </w:r>
      <w:r>
        <w:rPr>
          <w:rFonts w:ascii="Times New Roman" w:hAnsi="Times New Roman"/>
          <w:b w:val="0"/>
          <w:i w:val="0"/>
          <w:color w:val="000000"/>
          <w:sz w:val="22"/>
          <w:u w:val="wave"/>
        </w:rPr>
        <w:t>《反食品浪费法》第二十二条第二款禁止制作、发布、传播宣扬量大多吃、暴饮暴食等浪费食品的节目或者音视频信息。</w:t>
      </w:r>
    </w:p>
    <w:p>
      <w:pPr>
        <w:spacing w:line="360" w:lineRule="auto"/>
        <w:ind w:firstLine="286" w:firstLineChars="130"/>
        <w:jc w:val="left"/>
      </w:pPr>
      <w:r>
        <w:rPr>
          <w:rFonts w:ascii="Times New Roman" w:hAnsi="Times New Roman"/>
          <w:b w:val="0"/>
          <w:i w:val="0"/>
          <w:color w:val="000000"/>
          <w:sz w:val="22"/>
        </w:rPr>
        <w:t>[认识实践]</w:t>
      </w:r>
    </w:p>
    <w:p>
      <w:pPr>
        <w:spacing w:line="360" w:lineRule="auto"/>
        <w:ind w:firstLine="286" w:firstLineChars="130"/>
        <w:jc w:val="left"/>
      </w:pPr>
      <w:r>
        <w:rPr>
          <w:rFonts w:ascii="Times New Roman" w:hAnsi="Times New Roman"/>
          <w:b w:val="0"/>
          <w:i w:val="0"/>
          <w:color w:val="000000"/>
          <w:sz w:val="22"/>
        </w:rPr>
        <w:t>据统计，中国城市每年餐饮食物浪费总量约为340--360亿斤(不含居民家庭食物浪费)。中国社会科学院研究报告称，到2025年中国可能出现2600亿斤左右粮食缺口。</w:t>
      </w:r>
    </w:p>
    <w:p>
      <w:pPr>
        <w:spacing w:line="360" w:lineRule="auto"/>
        <w:ind w:firstLine="273" w:firstLineChars="130"/>
        <w:jc w:val="left"/>
        <w:textAlignment w:val="center"/>
      </w:pPr>
      <w:r>
        <w:drawing>
          <wp:inline distT="0" distB="0" distL="0" distR="0">
            <wp:extent cx="3267710" cy="79565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20"/>
                    <a:stretch>
                      <a:fillRect/>
                    </a:stretch>
                  </pic:blipFill>
                  <pic:spPr>
                    <a:xfrm>
                      <a:off x="0" y="0"/>
                      <a:ext cx="3268133" cy="7958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（1）从道德的角度，评析“大胃王”播主的行为。</w:t>
      </w:r>
    </w:p>
    <w:p>
      <w:pPr>
        <w:spacing w:line="360" w:lineRule="auto"/>
        <w:ind w:firstLine="286" w:firstLineChars="130"/>
        <w:jc w:val="left"/>
      </w:pPr>
      <w:r>
        <w:rPr>
          <w:rFonts w:ascii="Times New Roman" w:hAnsi="Times New Roman"/>
          <w:b w:val="0"/>
          <w:i w:val="0"/>
          <w:color w:val="000000"/>
          <w:sz w:val="22"/>
        </w:rPr>
        <w:t>（2）从自由与法治的角度，分析禁止“大胃王”吃播节目的必要性。</w:t>
      </w:r>
    </w:p>
    <w:p>
      <w:pPr>
        <w:spacing w:line="360" w:lineRule="auto"/>
        <w:ind w:firstLine="286" w:firstLineChars="130"/>
        <w:jc w:val="left"/>
        <w:textAlignment w:val="center"/>
        <w:sectPr>
          <w:headerReference w:type="default" r:id="rId21"/>
          <w:footerReference w:type="default" r:id="rId22"/>
          <w:type w:val="nextPage"/>
          <w:pgSz w:w="11906" w:h="16838"/>
          <w:pgMar w:top="1134" w:right="707" w:bottom="937" w:left="1134" w:header="426" w:footer="515" w:gutter="0"/>
          <w:pgNumType w:start="5"/>
          <w:cols w:num="1" w:space="425"/>
          <w:titlePg w:val="0"/>
          <w:docGrid w:type="lines" w:linePitch="312" w:charSpace="0"/>
        </w:sectPr>
      </w:pPr>
      <w:r>
        <w:rPr>
          <w:rFonts w:ascii="Times New Roman" w:hAnsi="Times New Roman"/>
          <w:b w:val="0"/>
          <w:i w:val="0"/>
          <w:color w:val="000000"/>
          <w:sz w:val="22"/>
        </w:rPr>
        <w:t>（3）根据统计数据，完成调查报告提纲的主要内容。(要求：</w:t>
      </w:r>
      <w:r>
        <w:rPr>
          <w:rFonts w:ascii="Calibri" w:hAnsi="Calibri"/>
          <w:b w:val="0"/>
          <w:i w:val="0"/>
          <w:color w:val="000000"/>
          <w:sz w:val="22"/>
        </w:rPr>
        <w:t>①</w:t>
      </w:r>
      <w:r>
        <w:rPr>
          <w:rFonts w:ascii="Times New Roman" w:hAnsi="Times New Roman"/>
          <w:b w:val="0"/>
          <w:i w:val="0"/>
          <w:color w:val="000000"/>
          <w:sz w:val="22"/>
        </w:rPr>
        <w:t>针对现象，概括问题；</w:t>
      </w:r>
      <w:r>
        <w:rPr>
          <w:rFonts w:ascii="Calibri" w:hAnsi="Calibri"/>
          <w:b w:val="0"/>
          <w:i w:val="0"/>
          <w:color w:val="000000"/>
          <w:sz w:val="22"/>
        </w:rPr>
        <w:t>②</w:t>
      </w:r>
    </w:p>
    <w:p>
      <w:pPr>
        <w:spacing w:line="360" w:lineRule="auto"/>
        <w:ind w:firstLine="286" w:firstLineChars="130"/>
        <w:jc w:val="left"/>
        <w:textAlignment w:val="center"/>
      </w:pPr>
      <w:r>
        <w:rPr>
          <w:rFonts w:ascii="Times New Roman" w:hAnsi="Times New Roman"/>
          <w:b w:val="0"/>
          <w:i w:val="0"/>
          <w:color w:val="000000"/>
          <w:sz w:val="22"/>
        </w:rPr>
        <w:t>从规则、法治、道德等任选一个角度，提出建议；</w:t>
      </w:r>
      <w:r>
        <w:rPr>
          <w:rFonts w:ascii="Calibri" w:hAnsi="Calibri"/>
          <w:b w:val="0"/>
          <w:i w:val="0"/>
          <w:color w:val="000000"/>
          <w:sz w:val="22"/>
        </w:rPr>
        <w:t>③</w:t>
      </w:r>
      <w:r>
        <w:rPr>
          <w:rFonts w:ascii="Times New Roman" w:hAnsi="Times New Roman"/>
          <w:b w:val="0"/>
          <w:i w:val="0"/>
          <w:color w:val="000000"/>
          <w:sz w:val="22"/>
        </w:rPr>
        <w:t>运用所学知识，说明理由)</w:t>
      </w:r>
    </w:p>
    <w:p>
      <w:pPr>
        <w:spacing w:line="360" w:lineRule="auto"/>
        <w:ind w:left="0"/>
        <w:jc w:val="left"/>
      </w:pPr>
      <w:r>
        <w:t>22．</w:t>
      </w:r>
      <w:r>
        <w:rPr>
          <w:rFonts w:ascii="Times New Roman" w:hAnsi="Times New Roman"/>
          <w:b w:val="0"/>
          <w:i w:val="0"/>
          <w:color w:val="000000"/>
          <w:sz w:val="22"/>
        </w:rPr>
        <w:t>2020年，温州蝉联“中国最具幸福感城市”。“幸福瓯越地，别是-乾坤”，让我们一起解读温州的“幸福密码"。</w:t>
      </w:r>
    </w:p>
    <w:p>
      <w:pPr>
        <w:spacing w:line="360" w:lineRule="auto"/>
        <w:ind w:firstLine="286" w:firstLineChars="130"/>
        <w:jc w:val="left"/>
      </w:pPr>
      <w:r>
        <w:rPr>
          <w:rFonts w:ascii="Times New Roman" w:hAnsi="Times New Roman"/>
          <w:b w:val="0"/>
          <w:i w:val="0"/>
          <w:color w:val="000000"/>
          <w:sz w:val="22"/>
        </w:rPr>
        <w:t>[幸福密码我解读]</w:t>
      </w:r>
    </w:p>
    <w:p>
      <w:pPr>
        <w:spacing w:line="360" w:lineRule="auto"/>
        <w:ind w:firstLine="286" w:firstLineChars="130"/>
        <w:jc w:val="left"/>
      </w:pPr>
      <w:r>
        <w:rPr>
          <w:rFonts w:ascii="Times New Roman" w:hAnsi="Times New Roman"/>
          <w:b w:val="0"/>
          <w:i w:val="0"/>
          <w:color w:val="000000"/>
          <w:sz w:val="22"/>
        </w:rPr>
        <w:t>材料一：“十三五”期间，温州地区生产总值从4670亿元提高到6871亿元，年均增长7.2%，经济总口量排名从全国第35位跨入30强；城乡居民人均可支配收入分别从44026元、21235元提高到63481元、32428元，年均分别增长7.6%、8.8%。</w:t>
      </w:r>
    </w:p>
    <w:p>
      <w:pPr>
        <w:spacing w:line="360" w:lineRule="auto"/>
        <w:ind w:firstLine="286" w:firstLineChars="130"/>
        <w:jc w:val="left"/>
      </w:pPr>
      <w:r>
        <w:rPr>
          <w:rFonts w:ascii="Times New Roman" w:hAnsi="Times New Roman"/>
          <w:b w:val="0"/>
          <w:i w:val="0"/>
          <w:color w:val="000000"/>
          <w:sz w:val="22"/>
        </w:rPr>
        <w:t>材料二：洞头区以村规民约修订为抓手，紧扣群众关注的问题，通过征集村民意见、梳理制定初稿、讨论形成草案、再次征求意见、村民代表表决等“五步工作法"，将村规民约的“处置权”交给村民，实现村民自治全覆盖。</w:t>
      </w:r>
    </w:p>
    <w:p>
      <w:pPr>
        <w:spacing w:line="360" w:lineRule="auto"/>
        <w:ind w:firstLine="286" w:firstLineChars="130"/>
        <w:jc w:val="left"/>
      </w:pPr>
      <w:r>
        <w:rPr>
          <w:rFonts w:ascii="Times New Roman" w:hAnsi="Times New Roman"/>
          <w:b w:val="0"/>
          <w:i w:val="0"/>
          <w:color w:val="000000"/>
          <w:sz w:val="22"/>
        </w:rPr>
        <w:t>材料三：为高质量发展乡 村教育，温州通过改善办学条件、加强队伍建设、提升管理水平等举措，奋力打造乡村小规模学校“小而优”温州样板。2020年，创成乡村“小而优”学校124所，小规模学校新生入学率稳中有升。</w:t>
      </w:r>
    </w:p>
    <w:p>
      <w:pPr>
        <w:spacing w:line="360" w:lineRule="auto"/>
        <w:ind w:firstLine="286" w:firstLineChars="130"/>
        <w:jc w:val="left"/>
      </w:pPr>
      <w:r>
        <w:rPr>
          <w:rFonts w:ascii="Times New Roman" w:hAnsi="Times New Roman"/>
          <w:b w:val="0"/>
          <w:i w:val="0"/>
          <w:color w:val="000000"/>
          <w:sz w:val="22"/>
        </w:rPr>
        <w:t>[幸福密码我发现]</w:t>
      </w:r>
    </w:p>
    <w:p>
      <w:pPr>
        <w:spacing w:line="360" w:lineRule="auto"/>
        <w:ind w:firstLine="286" w:firstLineChars="130"/>
        <w:jc w:val="left"/>
      </w:pPr>
      <w:r>
        <w:rPr>
          <w:rFonts w:ascii="Times New Roman" w:hAnsi="Times New Roman"/>
          <w:b w:val="0"/>
          <w:i w:val="0"/>
          <w:color w:val="000000"/>
          <w:sz w:val="22"/>
        </w:rPr>
        <w:t>近年来，温州用“幸福密码”开启城市之窗，幸福之花在这里竞相绽放......</w:t>
      </w:r>
    </w:p>
    <w:p>
      <w:pPr>
        <w:spacing w:line="360" w:lineRule="auto"/>
        <w:ind w:firstLine="286" w:firstLineChars="130"/>
        <w:jc w:val="left"/>
      </w:pPr>
      <w:r>
        <w:rPr>
          <w:rFonts w:ascii="Times New Roman" w:hAnsi="Times New Roman"/>
          <w:b w:val="0"/>
          <w:i w:val="0"/>
          <w:color w:val="000000"/>
          <w:sz w:val="22"/>
        </w:rPr>
        <w:t>（1）根据材料，概括我市“十三五”期间经济发展状况。</w:t>
      </w:r>
    </w:p>
    <w:p>
      <w:pPr>
        <w:spacing w:line="360" w:lineRule="auto"/>
        <w:ind w:firstLine="286" w:firstLineChars="130"/>
        <w:jc w:val="left"/>
      </w:pPr>
      <w:r>
        <w:rPr>
          <w:rFonts w:ascii="Times New Roman" w:hAnsi="Times New Roman"/>
          <w:b w:val="0"/>
          <w:i w:val="0"/>
          <w:color w:val="000000"/>
          <w:sz w:val="22"/>
        </w:rPr>
        <w:t>（2）从参与民主生活的角度，分析“五步工作法”实施的合理性。</w:t>
      </w:r>
    </w:p>
    <w:p>
      <w:pPr>
        <w:spacing w:line="360" w:lineRule="auto"/>
        <w:ind w:firstLine="286" w:firstLineChars="130"/>
        <w:jc w:val="left"/>
      </w:pPr>
      <w:r>
        <w:rPr>
          <w:rFonts w:ascii="Times New Roman" w:hAnsi="Times New Roman"/>
          <w:b w:val="0"/>
          <w:i w:val="0"/>
          <w:color w:val="000000"/>
          <w:sz w:val="22"/>
        </w:rPr>
        <w:t>（3）从公平的角度，阐述温州打造乡村“小而优”学校的意义。</w:t>
      </w:r>
    </w:p>
    <w:p>
      <w:pPr>
        <w:spacing w:line="360" w:lineRule="auto"/>
        <w:ind w:firstLine="286" w:firstLineChars="130"/>
        <w:jc w:val="left"/>
      </w:pPr>
      <w:r>
        <w:rPr>
          <w:rFonts w:ascii="Times New Roman" w:hAnsi="Times New Roman"/>
          <w:b w:val="0"/>
          <w:i w:val="0"/>
          <w:color w:val="000000"/>
          <w:sz w:val="22"/>
        </w:rPr>
        <w:t>（4）温州的“幸福密码"还有很多，请运用所学知识另选一个角度举例说明。</w:t>
      </w:r>
    </w:p>
    <w:p>
      <w:pPr>
        <w:spacing w:line="360" w:lineRule="auto"/>
        <w:ind w:left="0"/>
        <w:jc w:val="left"/>
      </w:pPr>
      <w:r>
        <w:t>23．</w:t>
      </w:r>
      <w:r>
        <w:rPr>
          <w:rFonts w:ascii="Times New Roman" w:hAnsi="Times New Roman"/>
          <w:b w:val="0"/>
          <w:i w:val="0"/>
          <w:color w:val="000000"/>
          <w:sz w:val="22"/>
        </w:rPr>
        <w:t>铺展戈壁通衢，奏响发展凯歌。</w:t>
      </w:r>
    </w:p>
    <w:p>
      <w:pPr>
        <w:spacing w:line="360" w:lineRule="auto"/>
        <w:ind w:firstLine="286" w:firstLineChars="130"/>
        <w:jc w:val="left"/>
      </w:pPr>
      <w:r>
        <w:rPr>
          <w:rFonts w:ascii="Times New Roman" w:hAnsi="Times New Roman"/>
          <w:b w:val="0"/>
          <w:i w:val="0"/>
          <w:color w:val="000000"/>
          <w:sz w:val="22"/>
        </w:rPr>
        <w:t>材料一：2021年5月20日，随着京新高速公路梧桐大泉至木垒段最后一车沥青铺设到位，这条总里程约2768公里的进出新疆的大通道全线贯通。</w:t>
      </w:r>
    </w:p>
    <w:p>
      <w:pPr>
        <w:spacing w:line="360" w:lineRule="auto"/>
        <w:ind w:firstLine="273" w:firstLineChars="130"/>
        <w:jc w:val="left"/>
        <w:textAlignment w:val="center"/>
      </w:pPr>
      <w:r>
        <w:drawing>
          <wp:inline distT="0" distB="0" distL="0" distR="0">
            <wp:extent cx="2844800" cy="16256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2844800" cy="16256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材料二：在梧桐大泉到木垒段施工中，为不影响沿线地区野生动物迁徙，施工方修筑了30余座动物通道：工程完工后，施工方在沿线地区繁育植被，实现“复绿”。</w:t>
      </w:r>
    </w:p>
    <w:p>
      <w:pPr>
        <w:spacing w:line="360" w:lineRule="auto"/>
        <w:ind w:firstLine="273" w:firstLineChars="130"/>
        <w:jc w:val="left"/>
        <w:sectPr>
          <w:headerReference w:type="default" r:id="rId24"/>
          <w:footerReference w:type="default" r:id="rId25"/>
          <w:type w:val="nextPage"/>
          <w:pgSz w:w="11906" w:h="16838"/>
          <w:pgMar w:top="1134" w:right="707" w:bottom="937" w:left="1134" w:header="426" w:footer="515" w:gutter="0"/>
          <w:pgNumType w:start="6"/>
          <w:cols w:num="1" w:space="425"/>
          <w:titlePg w:val="0"/>
          <w:docGrid w:type="lines" w:linePitch="312" w:charSpace="0"/>
        </w:sectPr>
      </w:pPr>
    </w:p>
    <w:p>
      <w:pPr>
        <w:spacing w:line="360" w:lineRule="auto"/>
        <w:ind w:firstLine="286" w:firstLineChars="130"/>
        <w:jc w:val="left"/>
      </w:pPr>
      <w:r>
        <w:rPr>
          <w:rFonts w:ascii="Times New Roman" w:hAnsi="Times New Roman"/>
          <w:b w:val="0"/>
          <w:i w:val="0"/>
          <w:color w:val="000000"/>
          <w:sz w:val="22"/>
        </w:rPr>
        <w:t>材料三白疙瘩到明水段的通车，改变了甘肃马鬃山镇交通不便的局面。该镇围绕公路吸引投资，利用独特的环境发展加工业和旅游业，彻底撕掉了遍地荒凉的贫困标签。</w:t>
      </w:r>
    </w:p>
    <w:p>
      <w:pPr>
        <w:spacing w:line="360" w:lineRule="auto"/>
        <w:ind w:firstLine="286" w:firstLineChars="130"/>
        <w:jc w:val="left"/>
        <w:textAlignment w:val="center"/>
      </w:pPr>
      <w:r>
        <w:rPr>
          <w:rFonts w:ascii="Times New Roman" w:hAnsi="Times New Roman"/>
          <w:b w:val="0"/>
          <w:i w:val="0"/>
          <w:color w:val="000000"/>
          <w:sz w:val="22"/>
        </w:rPr>
        <w:t>（1）京新高速公路横跨了我国四大地理区域中的</w:t>
      </w:r>
      <w:r>
        <w:rPr>
          <w:rFonts w:ascii="Times New Roman" w:hAnsi="Times New Roman"/>
          <w:b w:val="0"/>
          <w:i w:val="0"/>
          <w:color w:val="000000"/>
          <w:sz w:val="22"/>
          <w:u w:val="single"/>
        </w:rPr>
        <w:t>　     　</w:t>
      </w:r>
      <w:r>
        <w:rPr>
          <w:rFonts w:ascii="Times New Roman" w:hAnsi="Times New Roman"/>
          <w:b w:val="0"/>
          <w:i w:val="0"/>
          <w:color w:val="000000"/>
          <w:sz w:val="22"/>
        </w:rPr>
        <w:t>地区和</w:t>
      </w:r>
      <w:r>
        <w:rPr>
          <w:rFonts w:ascii="Times New Roman" w:hAnsi="Times New Roman"/>
          <w:b w:val="0"/>
          <w:i w:val="0"/>
          <w:color w:val="000000"/>
          <w:sz w:val="22"/>
          <w:u w:val="single"/>
        </w:rPr>
        <w:t>　     　</w:t>
      </w:r>
      <w:r>
        <w:rPr>
          <w:rFonts w:ascii="Times New Roman" w:hAnsi="Times New Roman"/>
          <w:b w:val="0"/>
          <w:i w:val="0"/>
          <w:color w:val="000000"/>
          <w:sz w:val="22"/>
        </w:rPr>
        <w:t>地区。</w:t>
      </w:r>
    </w:p>
    <w:p>
      <w:pPr>
        <w:spacing w:line="360" w:lineRule="auto"/>
        <w:ind w:firstLine="286" w:firstLineChars="130"/>
        <w:jc w:val="left"/>
      </w:pPr>
      <w:r>
        <w:rPr>
          <w:rFonts w:ascii="Times New Roman" w:hAnsi="Times New Roman"/>
          <w:b w:val="0"/>
          <w:i w:val="0"/>
          <w:color w:val="000000"/>
          <w:sz w:val="22"/>
        </w:rPr>
        <w:t>（2）京新高速公路因沿途自然景观多样，被称为“绝色景观大道”。据图、从自然环境角度分析其成因。</w:t>
      </w:r>
    </w:p>
    <w:p>
      <w:pPr>
        <w:spacing w:line="360" w:lineRule="auto"/>
        <w:ind w:firstLine="286" w:firstLineChars="130"/>
        <w:jc w:val="left"/>
      </w:pPr>
      <w:r>
        <w:rPr>
          <w:rFonts w:ascii="Times New Roman" w:hAnsi="Times New Roman"/>
          <w:b w:val="0"/>
          <w:i w:val="0"/>
          <w:color w:val="000000"/>
          <w:sz w:val="22"/>
        </w:rPr>
        <w:t>（3）京新高速公路的修建与通车是我国新发展理念的重要实践。请结合材料予以阐释。</w:t>
      </w:r>
    </w:p>
    <w:p>
      <w:pPr>
        <w:spacing w:line="360" w:lineRule="auto"/>
        <w:ind w:left="0"/>
        <w:jc w:val="left"/>
      </w:pPr>
      <w:r>
        <w:t>24．</w:t>
      </w:r>
      <w:r>
        <w:rPr>
          <w:rFonts w:ascii="Times New Roman" w:hAnsi="Times New Roman"/>
          <w:b w:val="0"/>
          <w:i w:val="0"/>
          <w:color w:val="000000"/>
          <w:sz w:val="22"/>
        </w:rPr>
        <w:t>元代青花瓷，于中西互动间演绎世界的中国符号。</w:t>
      </w:r>
    </w:p>
    <w:p>
      <w:pPr>
        <w:spacing w:line="360" w:lineRule="auto"/>
        <w:ind w:firstLine="273" w:firstLineChars="130"/>
        <w:jc w:val="left"/>
        <w:textAlignment w:val="center"/>
      </w:pPr>
      <w:r>
        <w:drawing>
          <wp:inline distT="0" distB="0" distL="0" distR="0">
            <wp:extent cx="2336800" cy="15240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6"/>
                    <a:stretch>
                      <a:fillRect/>
                    </a:stretch>
                  </pic:blipFill>
                  <pic:spPr>
                    <a:xfrm>
                      <a:off x="0" y="0"/>
                      <a:ext cx="2336800" cy="1524000"/>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材料一：青花瓷，因白地青花纹饰而得名。其青(蓝)色源于一种西亚的矿物染料。无代崇白尚蓝，与伊斯兰尚色之凤相合。瓷面装饰布局繁密，融合阿拉伯纹饰对称连续的风格。</w:t>
      </w:r>
    </w:p>
    <w:p>
      <w:pPr>
        <w:spacing w:line="360" w:lineRule="auto"/>
        <w:ind w:firstLine="286" w:firstLineChars="130"/>
        <w:jc w:val="left"/>
      </w:pPr>
      <w:r>
        <w:rPr>
          <w:rFonts w:ascii="Times New Roman" w:hAnsi="Times New Roman"/>
          <w:b w:val="0"/>
          <w:i w:val="0"/>
          <w:color w:val="000000"/>
          <w:sz w:val="22"/>
        </w:rPr>
        <w:t>——摘编自刘中玉 《14世纪蒙古体系变动下的青花瓷》</w:t>
      </w:r>
    </w:p>
    <w:p>
      <w:pPr>
        <w:spacing w:line="360" w:lineRule="auto"/>
        <w:ind w:firstLine="286" w:firstLineChars="130"/>
        <w:jc w:val="left"/>
      </w:pPr>
      <w:r>
        <w:rPr>
          <w:rFonts w:ascii="Times New Roman" w:hAnsi="Times New Roman"/>
          <w:b w:val="0"/>
          <w:i w:val="0"/>
          <w:color w:val="000000"/>
          <w:sz w:val="22"/>
        </w:rPr>
        <w:t>材料二：家元早期频繁的战争没有对景德镇造成重大破坏，南北陶瓷工匠汇聚于此，“换其技能以食力”。景德镇连渐成为元代青花瓷主要产地。</w:t>
      </w:r>
    </w:p>
    <w:p>
      <w:pPr>
        <w:spacing w:line="360" w:lineRule="auto"/>
        <w:ind w:firstLine="286" w:firstLineChars="130"/>
        <w:jc w:val="left"/>
      </w:pPr>
      <w:r>
        <w:rPr>
          <w:rFonts w:ascii="Times New Roman" w:hAnsi="Times New Roman"/>
          <w:b w:val="0"/>
          <w:i w:val="0"/>
          <w:color w:val="000000"/>
          <w:sz w:val="22"/>
        </w:rPr>
        <w:t>——摘编自康青《互动互文的青花》</w:t>
      </w:r>
    </w:p>
    <w:p>
      <w:pPr>
        <w:spacing w:line="360" w:lineRule="auto"/>
        <w:ind w:firstLine="286" w:firstLineChars="130"/>
        <w:jc w:val="left"/>
      </w:pPr>
      <w:r>
        <w:rPr>
          <w:rFonts w:ascii="Times New Roman" w:hAnsi="Times New Roman"/>
          <w:b w:val="0"/>
          <w:i w:val="0"/>
          <w:color w:val="000000"/>
          <w:sz w:val="22"/>
        </w:rPr>
        <w:t>材料三：元代在重要商港设立市舶司，并由官方直接出面招邀海外诸国商人，往来互市。当时所造海船“大船有十帆至少是三帆，……每一大船役使千人”。14世纪元代官方文献规定，海上航行必须根据针路定向航行。</w:t>
      </w:r>
    </w:p>
    <w:p>
      <w:pPr>
        <w:spacing w:line="360" w:lineRule="auto"/>
        <w:ind w:firstLine="286" w:firstLineChars="130"/>
        <w:jc w:val="left"/>
      </w:pPr>
      <w:r>
        <w:rPr>
          <w:rFonts w:ascii="Times New Roman" w:hAnsi="Times New Roman"/>
          <w:b w:val="0"/>
          <w:i w:val="0"/>
          <w:color w:val="000000"/>
          <w:sz w:val="22"/>
        </w:rPr>
        <w:t>——摘编自张国刚《中西文化关系通史》</w:t>
      </w:r>
    </w:p>
    <w:p>
      <w:pPr>
        <w:spacing w:line="360" w:lineRule="auto"/>
        <w:ind w:firstLine="286" w:firstLineChars="130"/>
        <w:jc w:val="left"/>
      </w:pPr>
      <w:r>
        <w:rPr>
          <w:rFonts w:ascii="Times New Roman" w:hAnsi="Times New Roman"/>
          <w:b w:val="0"/>
          <w:i w:val="0"/>
          <w:color w:val="000000"/>
          <w:sz w:val="22"/>
        </w:rPr>
        <w:t>材料四：宋元时期，伴随着瓷器的出口，中国的陶瓷技术也大规模外传。在此基础上，明清两代，中国陶瓷技术传遍亚、非、欧，成为全人类共同的财富。</w:t>
      </w:r>
    </w:p>
    <w:p>
      <w:pPr>
        <w:spacing w:line="360" w:lineRule="auto"/>
        <w:ind w:firstLine="286" w:firstLineChars="130"/>
        <w:jc w:val="left"/>
      </w:pPr>
      <w:r>
        <w:rPr>
          <w:rFonts w:ascii="Times New Roman" w:hAnsi="Times New Roman"/>
          <w:b w:val="0"/>
          <w:i w:val="0"/>
          <w:color w:val="000000"/>
          <w:sz w:val="22"/>
        </w:rPr>
        <w:t>——摘自任荣兴《宋元时期中国瓷器外销述略》</w:t>
      </w:r>
    </w:p>
    <w:p>
      <w:pPr>
        <w:spacing w:line="360" w:lineRule="auto"/>
        <w:ind w:firstLine="286" w:firstLineChars="130"/>
        <w:jc w:val="left"/>
      </w:pPr>
      <w:r>
        <w:rPr>
          <w:rFonts w:ascii="Times New Roman" w:hAnsi="Times New Roman"/>
          <w:b w:val="0"/>
          <w:i w:val="0"/>
          <w:color w:val="000000"/>
          <w:sz w:val="22"/>
        </w:rPr>
        <w:t>（1）据图，指出元代青花瓷外销的特点。</w:t>
      </w:r>
    </w:p>
    <w:p>
      <w:pPr>
        <w:spacing w:line="360" w:lineRule="auto"/>
        <w:ind w:firstLine="273" w:firstLineChars="130"/>
        <w:jc w:val="left"/>
        <w:textAlignment w:val="center"/>
      </w:pPr>
      <w:r>
        <w:drawing>
          <wp:inline distT="0" distB="0" distL="0" distR="0">
            <wp:extent cx="1405255" cy="1354455"/>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7"/>
                    <a:stretch>
                      <a:fillRect/>
                    </a:stretch>
                  </pic:blipFill>
                  <pic:spPr>
                    <a:xfrm>
                      <a:off x="0" y="0"/>
                      <a:ext cx="1405467" cy="1354667"/>
                    </a:xfrm>
                    <a:prstGeom prst="rect">
                      <a:avLst/>
                    </a:prstGeom>
                  </pic:spPr>
                </pic:pic>
              </a:graphicData>
            </a:graphic>
          </wp:inline>
        </w:drawing>
      </w:r>
    </w:p>
    <w:p>
      <w:pPr>
        <w:spacing w:line="360" w:lineRule="auto"/>
        <w:ind w:firstLine="286" w:firstLineChars="130"/>
        <w:jc w:val="left"/>
        <w:sectPr>
          <w:headerReference w:type="default" r:id="rId28"/>
          <w:footerReference w:type="default" r:id="rId29"/>
          <w:type w:val="nextPage"/>
          <w:pgSz w:w="11906" w:h="16838"/>
          <w:pgMar w:top="1134" w:right="707" w:bottom="937" w:left="1134" w:header="426" w:footer="515" w:gutter="0"/>
          <w:pgNumType w:start="7"/>
          <w:cols w:num="1" w:space="425"/>
          <w:titlePg w:val="0"/>
          <w:docGrid w:type="lines" w:linePitch="312" w:charSpace="0"/>
        </w:sectPr>
      </w:pPr>
      <w:r>
        <w:rPr>
          <w:rFonts w:ascii="Times New Roman" w:hAnsi="Times New Roman"/>
          <w:b w:val="0"/>
          <w:i w:val="0"/>
          <w:color w:val="000000"/>
          <w:sz w:val="22"/>
        </w:rPr>
        <w:t>（2）根据上述材料，归纳元代青花瓷畅销海外的原因。</w:t>
      </w:r>
    </w:p>
    <w:p>
      <w:pPr>
        <w:spacing w:line="360" w:lineRule="auto"/>
        <w:ind w:firstLine="286" w:firstLineChars="130"/>
        <w:jc w:val="left"/>
      </w:pPr>
      <w:r>
        <w:rPr>
          <w:rFonts w:ascii="Times New Roman" w:hAnsi="Times New Roman"/>
          <w:b w:val="0"/>
          <w:i w:val="0"/>
          <w:color w:val="000000"/>
          <w:sz w:val="22"/>
        </w:rPr>
        <w:t>（3）文化的活力在于创新与交融。请以元代青花瓷为例，论证此观点。(要求：表述简洁，逻辑严谨)</w:t>
      </w:r>
    </w:p>
    <w:p>
      <w:pPr>
        <w:spacing w:line="360" w:lineRule="auto"/>
        <w:ind w:left="0"/>
        <w:jc w:val="left"/>
      </w:pPr>
      <w:r>
        <w:t>25．</w:t>
      </w:r>
      <w:r>
        <w:rPr>
          <w:rFonts w:ascii="Times New Roman" w:hAnsi="Times New Roman"/>
          <w:b w:val="0"/>
          <w:i w:val="0"/>
          <w:color w:val="000000"/>
          <w:sz w:val="22"/>
        </w:rPr>
        <w:t>“三农”问题是贯穿中国现代化进程的基本问题。中国共产党自诞生之日起，始终引领农村力量在社会变革中发挥重大作用。</w:t>
      </w:r>
    </w:p>
    <w:p>
      <w:pPr>
        <w:spacing w:line="360" w:lineRule="auto"/>
        <w:ind w:firstLine="286" w:firstLineChars="130"/>
        <w:jc w:val="left"/>
      </w:pPr>
      <w:r>
        <w:rPr>
          <w:rFonts w:ascii="Times New Roman" w:hAnsi="Times New Roman"/>
          <w:b w:val="0"/>
          <w:i w:val="0"/>
          <w:color w:val="000000"/>
          <w:sz w:val="22"/>
        </w:rPr>
        <w:t>[农民·革命主力]</w:t>
      </w:r>
    </w:p>
    <w:p>
      <w:pPr>
        <w:spacing w:line="360" w:lineRule="auto"/>
        <w:ind w:firstLine="286" w:firstLineChars="130"/>
        <w:jc w:val="left"/>
      </w:pPr>
      <w:r>
        <w:rPr>
          <w:rFonts w:ascii="Times New Roman" w:hAnsi="Times New Roman"/>
          <w:b w:val="0"/>
          <w:i w:val="0"/>
          <w:color w:val="000000"/>
          <w:sz w:val="22"/>
        </w:rPr>
        <w:t>材料一：(革命)根据地虽小却有很大的政治 上的威力，屹然和庞大的国民党政权相对立，军事上给国民党的进攻以很大的困难，因为我们有农民的援助。</w:t>
      </w:r>
    </w:p>
    <w:p>
      <w:pPr>
        <w:spacing w:line="360" w:lineRule="auto"/>
        <w:ind w:firstLine="286" w:firstLineChars="130"/>
        <w:jc w:val="left"/>
      </w:pPr>
      <w:r>
        <w:rPr>
          <w:rFonts w:ascii="Times New Roman" w:hAnsi="Times New Roman"/>
          <w:b w:val="0"/>
          <w:i w:val="0"/>
          <w:color w:val="000000"/>
          <w:sz w:val="22"/>
        </w:rPr>
        <w:t>——摘自毛泽东《中国革命战争的战略问题》</w:t>
      </w:r>
    </w:p>
    <w:p>
      <w:pPr>
        <w:spacing w:line="360" w:lineRule="auto"/>
        <w:ind w:firstLine="286" w:firstLineChars="130"/>
        <w:jc w:val="left"/>
      </w:pPr>
      <w:r>
        <w:rPr>
          <w:rFonts w:ascii="Times New Roman" w:hAnsi="Times New Roman"/>
          <w:b w:val="0"/>
          <w:i w:val="0"/>
          <w:color w:val="000000"/>
          <w:sz w:val="22"/>
        </w:rPr>
        <w:t>[农村坚实阵地]材料二：1938年开始，中国共产党领导八路军、新四军等抗日武装力量，在农村建立了多个巩固的抗日根据地，开展游击战。</w:t>
      </w:r>
    </w:p>
    <w:p>
      <w:pPr>
        <w:spacing w:line="360" w:lineRule="auto"/>
        <w:ind w:firstLine="286" w:firstLineChars="130"/>
        <w:jc w:val="left"/>
      </w:pPr>
      <w:r>
        <w:rPr>
          <w:rFonts w:ascii="Times New Roman" w:hAnsi="Times New Roman"/>
          <w:b w:val="0"/>
          <w:i w:val="0"/>
          <w:color w:val="000000"/>
          <w:sz w:val="22"/>
        </w:rPr>
        <w:t>1944年部分抗日根据地攻势作战统计</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582"/>
        <w:gridCol w:w="1482"/>
        <w:gridCol w:w="1751"/>
        <w:gridCol w:w="314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5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抗日根据地名称</w:t>
            </w:r>
          </w:p>
        </w:tc>
        <w:tc>
          <w:tcPr>
            <w:tcW w:w="14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作战次数</w:t>
            </w:r>
          </w:p>
        </w:tc>
        <w:tc>
          <w:tcPr>
            <w:tcW w:w="17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歼灭日伪军</w:t>
            </w:r>
          </w:p>
        </w:tc>
        <w:tc>
          <w:tcPr>
            <w:tcW w:w="31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攻克、逼退日伪军据点</w:t>
            </w:r>
          </w:p>
        </w:tc>
      </w:tr>
      <w:tr>
        <w:tblPrEx>
          <w:tblW w:w="0" w:type="auto"/>
          <w:tblInd w:w="380" w:type="dxa"/>
          <w:tblCellMar>
            <w:top w:w="0" w:type="dxa"/>
            <w:left w:w="108" w:type="dxa"/>
            <w:bottom w:w="0" w:type="dxa"/>
            <w:right w:w="108" w:type="dxa"/>
          </w:tblCellMar>
        </w:tblPrEx>
        <w:tc>
          <w:tcPr>
            <w:tcW w:w="25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晋察冀抗日根据地</w:t>
            </w:r>
          </w:p>
        </w:tc>
        <w:tc>
          <w:tcPr>
            <w:tcW w:w="14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4400余次</w:t>
            </w:r>
          </w:p>
        </w:tc>
        <w:tc>
          <w:tcPr>
            <w:tcW w:w="17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4.1万余人</w:t>
            </w:r>
          </w:p>
        </w:tc>
        <w:tc>
          <w:tcPr>
            <w:tcW w:w="31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1785处</w:t>
            </w:r>
          </w:p>
        </w:tc>
      </w:tr>
      <w:tr>
        <w:tblPrEx>
          <w:tblW w:w="0" w:type="auto"/>
          <w:tblInd w:w="380" w:type="dxa"/>
          <w:tblCellMar>
            <w:top w:w="0" w:type="dxa"/>
            <w:left w:w="108" w:type="dxa"/>
            <w:bottom w:w="0" w:type="dxa"/>
            <w:right w:w="108" w:type="dxa"/>
          </w:tblCellMar>
        </w:tblPrEx>
        <w:tc>
          <w:tcPr>
            <w:tcW w:w="25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山东抗日根据地</w:t>
            </w:r>
          </w:p>
        </w:tc>
        <w:tc>
          <w:tcPr>
            <w:tcW w:w="148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3514次</w:t>
            </w:r>
          </w:p>
        </w:tc>
        <w:tc>
          <w:tcPr>
            <w:tcW w:w="17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5.9万余人</w:t>
            </w:r>
          </w:p>
        </w:tc>
        <w:tc>
          <w:tcPr>
            <w:tcW w:w="314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top"/>
          </w:tcPr>
          <w:p>
            <w:pPr>
              <w:spacing w:line="360" w:lineRule="auto"/>
              <w:ind w:left="120"/>
              <w:jc w:val="left"/>
            </w:pPr>
            <w:r>
              <w:rPr>
                <w:rFonts w:ascii="Times New Roman" w:hAnsi="Times New Roman"/>
                <w:b w:val="0"/>
                <w:i w:val="0"/>
                <w:color w:val="000000"/>
                <w:sz w:val="22"/>
              </w:rPr>
              <w:t>1265处</w:t>
            </w:r>
          </w:p>
        </w:tc>
      </w:tr>
    </w:tbl>
    <w:p>
      <w:pPr>
        <w:spacing w:line="360" w:lineRule="auto"/>
        <w:ind w:firstLine="286" w:firstLineChars="130"/>
        <w:jc w:val="left"/>
      </w:pPr>
      <w:r>
        <w:rPr>
          <w:rFonts w:ascii="Times New Roman" w:hAnsi="Times New Roman"/>
          <w:b w:val="0"/>
          <w:i w:val="0"/>
          <w:color w:val="000000"/>
          <w:sz w:val="22"/>
        </w:rPr>
        <w:t>——整理自卢毅等《抗日战争与中共崛起》</w:t>
      </w:r>
    </w:p>
    <w:p>
      <w:pPr>
        <w:spacing w:line="360" w:lineRule="auto"/>
        <w:ind w:firstLine="286" w:firstLineChars="130"/>
        <w:jc w:val="left"/>
      </w:pPr>
      <w:r>
        <w:rPr>
          <w:rFonts w:ascii="Times New Roman" w:hAnsi="Times New Roman"/>
          <w:b w:val="0"/>
          <w:i w:val="0"/>
          <w:color w:val="000000"/>
          <w:sz w:val="22"/>
        </w:rPr>
        <w:t>[农业·发展基础]</w:t>
      </w:r>
    </w:p>
    <w:p>
      <w:pPr>
        <w:spacing w:line="360" w:lineRule="auto"/>
        <w:ind w:firstLine="286" w:firstLineChars="130"/>
        <w:jc w:val="left"/>
      </w:pPr>
      <w:r>
        <w:rPr>
          <w:rFonts w:ascii="Times New Roman" w:hAnsi="Times New Roman"/>
          <w:b w:val="0"/>
          <w:i w:val="0"/>
          <w:color w:val="000000"/>
          <w:sz w:val="22"/>
        </w:rPr>
        <w:t>材料三：</w:t>
      </w:r>
    </w:p>
    <w:p>
      <w:pPr>
        <w:spacing w:line="360" w:lineRule="auto"/>
        <w:ind w:firstLine="273" w:firstLineChars="130"/>
        <w:jc w:val="left"/>
        <w:textAlignment w:val="center"/>
      </w:pPr>
      <w:r>
        <w:drawing>
          <wp:inline distT="0" distB="0" distL="0" distR="0">
            <wp:extent cx="5266055" cy="135445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30"/>
                    <a:stretch>
                      <a:fillRect/>
                    </a:stretch>
                  </pic:blipFill>
                  <pic:spPr>
                    <a:xfrm>
                      <a:off x="0" y="0"/>
                      <a:ext cx="5266266" cy="1354667"/>
                    </a:xfrm>
                    <a:prstGeom prst="rect">
                      <a:avLst/>
                    </a:prstGeom>
                  </pic:spPr>
                </pic:pic>
              </a:graphicData>
            </a:graphic>
          </wp:inline>
        </w:drawing>
      </w:r>
    </w:p>
    <w:p>
      <w:pPr>
        <w:spacing w:line="360" w:lineRule="auto"/>
        <w:ind w:firstLine="286" w:firstLineChars="130"/>
        <w:jc w:val="left"/>
      </w:pPr>
      <w:r>
        <w:rPr>
          <w:rFonts w:ascii="Times New Roman" w:hAnsi="Times New Roman"/>
          <w:b w:val="0"/>
          <w:i w:val="0"/>
          <w:color w:val="000000"/>
          <w:sz w:val="22"/>
        </w:rPr>
        <w:t>——整理自《新时期农业和农村工作重要文献选编》</w:t>
      </w:r>
    </w:p>
    <w:p>
      <w:pPr>
        <w:spacing w:line="360" w:lineRule="auto"/>
        <w:ind w:firstLine="286" w:firstLineChars="130"/>
        <w:jc w:val="left"/>
      </w:pPr>
      <w:r>
        <w:rPr>
          <w:rFonts w:ascii="Times New Roman" w:hAnsi="Times New Roman"/>
          <w:b w:val="0"/>
          <w:i w:val="0"/>
          <w:color w:val="000000"/>
          <w:sz w:val="22"/>
        </w:rPr>
        <w:t>（1）运用史实说明中国共产党在国共对峙时期赢得农民支持的原因。</w:t>
      </w:r>
    </w:p>
    <w:p>
      <w:pPr>
        <w:spacing w:line="360" w:lineRule="auto"/>
        <w:ind w:firstLine="286" w:firstLineChars="130"/>
        <w:jc w:val="left"/>
      </w:pPr>
      <w:r>
        <w:rPr>
          <w:rFonts w:ascii="Times New Roman" w:hAnsi="Times New Roman"/>
          <w:b w:val="0"/>
          <w:i w:val="0"/>
          <w:color w:val="000000"/>
          <w:sz w:val="22"/>
        </w:rPr>
        <w:t>（2）联系材料二，阐述抗日根据地的历史贡献。</w:t>
      </w:r>
    </w:p>
    <w:p>
      <w:pPr>
        <w:spacing w:line="360" w:lineRule="auto"/>
        <w:ind w:firstLine="286" w:firstLineChars="130"/>
        <w:jc w:val="left"/>
        <w:sectPr>
          <w:headerReference w:type="default" r:id="rId31"/>
          <w:footerReference w:type="default" r:id="rId32"/>
          <w:type w:val="nextPage"/>
          <w:pgSz w:w="11906" w:h="16838"/>
          <w:pgMar w:top="1134" w:right="707" w:bottom="937" w:left="1134" w:header="426" w:footer="515" w:gutter="0"/>
          <w:pgNumType w:start="8"/>
          <w:cols w:num="1" w:space="425"/>
          <w:titlePg w:val="0"/>
          <w:docGrid w:type="lines" w:linePitch="312" w:charSpace="0"/>
        </w:sectPr>
      </w:pPr>
      <w:r>
        <w:rPr>
          <w:rFonts w:ascii="Times New Roman" w:hAnsi="Times New Roman"/>
          <w:b w:val="0"/>
          <w:i w:val="0"/>
          <w:color w:val="000000"/>
          <w:sz w:val="22"/>
        </w:rPr>
        <w:t>（3）分析上述中共中央文件对当时农业发展的指导意义。</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B</w:t>
      </w:r>
    </w:p>
    <w:p>
      <w:pPr>
        <w:spacing w:before="0" w:after="0" w:line="360" w:lineRule="auto"/>
      </w:pPr>
      <w:r>
        <w:rPr>
          <w:color w:val="0000FF"/>
        </w:rPr>
        <w:t>【知识点】</w:t>
      </w:r>
      <w:r>
        <w:t>2020年时事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2020年12月，十三届全国人大常委会第二十四次会议表决通过《 长江保护法》。该法对中华民族永续发展具有重大意义。B符合题意，正确。</w:t>
      </w:r>
      <w:r>
        <w:br/>
      </w:r>
      <w:r>
        <w:rPr>
          <w:rFonts w:ascii="Times New Roman" w:hAnsi="Times New Roman"/>
          <w:b w:val="0"/>
          <w:i w:val="0"/>
          <w:color w:val="000000"/>
          <w:sz w:val="22"/>
        </w:rPr>
        <w:t>ACD不符合题意，排除。</w:t>
      </w:r>
      <w:r>
        <w:br/>
      </w:r>
      <w:r>
        <w:rPr>
          <w:rFonts w:ascii="Times New Roman" w:hAnsi="Times New Roman"/>
          <w:b w:val="0"/>
          <w:i w:val="0"/>
          <w:color w:val="000000"/>
          <w:sz w:val="22"/>
        </w:rPr>
        <w:t>故答案为：B。</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t>2．</w:t>
      </w:r>
      <w:r>
        <w:rPr>
          <w:color w:val="0000FF"/>
        </w:rPr>
        <w:t>【答案】</w:t>
      </w:r>
      <w:r>
        <w:rPr>
          <w:rFonts w:ascii="Times New Roman" w:hAnsi="Times New Roman"/>
          <w:b w:val="0"/>
          <w:i w:val="0"/>
          <w:color w:val="000000"/>
          <w:sz w:val="22"/>
        </w:rPr>
        <w:t>A</w:t>
      </w:r>
    </w:p>
    <w:p>
      <w:pPr>
        <w:spacing w:before="0" w:after="0" w:line="360" w:lineRule="auto"/>
      </w:pPr>
      <w:r>
        <w:rPr>
          <w:color w:val="0000FF"/>
        </w:rPr>
        <w:t>【知识点】</w:t>
      </w:r>
      <w:r>
        <w:t>2021年时事</w:t>
      </w:r>
    </w:p>
    <w:p>
      <w:pPr>
        <w:spacing w:line="360" w:lineRule="auto"/>
        <w:ind w:left="0"/>
        <w:jc w:val="left"/>
        <w:textAlignment w:val="center"/>
      </w:pPr>
      <w:r>
        <w:rPr>
          <w:color w:val="0000FF"/>
        </w:rPr>
        <w:t>【解析】</w:t>
      </w:r>
      <w:r>
        <w:rPr>
          <w:rFonts w:ascii="Times New Roman" w:hAnsi="Times New Roman"/>
          <w:b w:val="0"/>
          <w:i w:val="0"/>
          <w:color w:val="000000"/>
          <w:sz w:val="22"/>
        </w:rPr>
        <w:t>【分析】根据时事， 2021年2月20日， 党史学习教育动员大会召开。习近平总书记强调，全党同志要做到学史明理、学史增信、学史崇德，学史力行，以优异的成绩迎接建党100周年。A符合题意，正确。</w:t>
      </w:r>
      <w:r>
        <w:br/>
      </w:r>
      <w:r>
        <w:rPr>
          <w:rFonts w:ascii="Times New Roman" w:hAnsi="Times New Roman"/>
          <w:b w:val="0"/>
          <w:i w:val="0"/>
          <w:color w:val="000000"/>
          <w:sz w:val="22"/>
        </w:rPr>
        <w:t>BCD不符合题意，排除。</w:t>
      </w:r>
      <w:r>
        <w:br/>
      </w:r>
      <w:r>
        <w:rPr>
          <w:rFonts w:ascii="Times New Roman" w:hAnsi="Times New Roman"/>
          <w:b w:val="0"/>
          <w:i w:val="0"/>
          <w:color w:val="000000"/>
          <w:sz w:val="22"/>
        </w:rPr>
        <w:t>故答案为：A。</w:t>
      </w:r>
      <w:r>
        <w:br/>
      </w:r>
      <w:r>
        <w:rPr>
          <w:rFonts w:ascii="Times New Roman" w:hAnsi="Times New Roman"/>
          <w:b w:val="0"/>
          <w:i w:val="0"/>
          <w:color w:val="000000"/>
          <w:sz w:val="22"/>
        </w:rPr>
        <w:t>【点评】本题考查时事内容，解答该题需要多留心、多识记时政知识，做到“家事、国事、天下事，事事关心”。</w:t>
      </w:r>
    </w:p>
    <w:p>
      <w:pPr>
        <w:spacing w:line="360" w:lineRule="auto"/>
        <w:ind w:left="0"/>
        <w:jc w:val="left"/>
      </w:pPr>
      <w:r>
        <w:rPr>
          <w:color w:val="0000FF"/>
        </w:rPr>
        <w:t>【答案】</w:t>
      </w:r>
      <w:r>
        <w:rPr>
          <w:rFonts w:ascii="Times New Roman" w:hAnsi="Times New Roman"/>
          <w:b w:val="0"/>
          <w:i w:val="0"/>
          <w:color w:val="000000"/>
          <w:sz w:val="22"/>
        </w:rPr>
        <w:t>3．A</w:t>
      </w:r>
    </w:p>
    <w:p>
      <w:pPr>
        <w:spacing w:line="360" w:lineRule="auto"/>
        <w:ind w:left="0"/>
        <w:jc w:val="left"/>
      </w:pPr>
      <w:r>
        <w:rPr>
          <w:rFonts w:ascii="Times New Roman" w:hAnsi="Times New Roman"/>
          <w:b w:val="0"/>
          <w:i w:val="0"/>
          <w:color w:val="000000"/>
          <w:sz w:val="22"/>
        </w:rPr>
        <w:t>4．B</w:t>
      </w:r>
    </w:p>
    <w:p>
      <w:pPr>
        <w:spacing w:before="0" w:after="0" w:line="360" w:lineRule="auto"/>
      </w:pPr>
      <w:r>
        <w:rPr>
          <w:color w:val="0000FF"/>
        </w:rPr>
        <w:t>【知识点】</w:t>
      </w:r>
      <w:r>
        <w:t>社会主义精神文明建设；我们的理想与责任</w:t>
      </w:r>
    </w:p>
    <w:p>
      <w:pPr>
        <w:spacing w:line="360" w:lineRule="auto"/>
        <w:ind w:left="0"/>
        <w:jc w:val="left"/>
      </w:pPr>
      <w:r>
        <w:rPr>
          <w:color w:val="0000FF"/>
        </w:rPr>
        <w:t>【解析】</w:t>
      </w:r>
      <w:r>
        <w:rPr>
          <w:rFonts w:ascii="Times New Roman" w:hAnsi="Times New Roman"/>
          <w:b w:val="0"/>
          <w:i w:val="0"/>
          <w:color w:val="000000"/>
          <w:sz w:val="22"/>
        </w:rPr>
        <w:t>【点评】本题考查对服务社会行为，实现和创造生命的意义，社会主义核心价值观的认识，主要考查学生的理解能力，本题需要在正确理解题意的基础上，根据所学知识，分析题肢选项，排除错误和不符合题意的干扰项，可以选出正确的答案。</w:t>
      </w:r>
    </w:p>
    <w:p>
      <w:pPr>
        <w:spacing w:line="360" w:lineRule="auto"/>
        <w:ind w:left="0"/>
        <w:jc w:val="left"/>
        <w:textAlignment w:val="center"/>
      </w:pPr>
      <w:r>
        <w:rPr>
          <w:rFonts w:ascii="Times New Roman" w:hAnsi="Times New Roman"/>
          <w:b w:val="0"/>
          <w:i w:val="0"/>
          <w:color w:val="000000"/>
          <w:sz w:val="22"/>
        </w:rPr>
        <w:t>3．“川藏青光明行”公益团队，十年来足迹遍布青藏高原150多个贫困乡村，先后完成各类体检30039人次、眼科手术3311台，帮助8980人重见光明。 这体现他们服务和奉献， 用善举诠释生命意义，</w:t>
      </w:r>
      <w:r>
        <w:rPr>
          <w:rFonts w:ascii="Calibri" w:hAnsi="Calibri"/>
          <w:b w:val="0"/>
          <w:i w:val="0"/>
          <w:color w:val="000000"/>
          <w:sz w:val="22"/>
        </w:rPr>
        <w:t>①②</w:t>
      </w:r>
      <w:r>
        <w:rPr>
          <w:rFonts w:ascii="Times New Roman" w:hAnsi="Times New Roman"/>
          <w:b w:val="0"/>
          <w:i w:val="0"/>
          <w:color w:val="000000"/>
          <w:sz w:val="22"/>
        </w:rPr>
        <w:t>符合题意，正确。</w:t>
      </w:r>
      <w:r>
        <w:br/>
      </w:r>
      <w:r>
        <w:rPr>
          <w:rFonts w:ascii="Calibri" w:hAnsi="Calibri"/>
          <w:b w:val="0"/>
          <w:i w:val="0"/>
          <w:color w:val="000000"/>
          <w:sz w:val="22"/>
        </w:rPr>
        <w:t>③</w:t>
      </w:r>
      <w:r>
        <w:rPr>
          <w:rFonts w:ascii="Times New Roman" w:hAnsi="Times New Roman"/>
          <w:b w:val="0"/>
          <w:i w:val="0"/>
          <w:color w:val="000000"/>
          <w:sz w:val="22"/>
        </w:rPr>
        <w:t>错误，他们履行的是道德义务，不是基本义务。</w:t>
      </w:r>
      <w:r>
        <w:br/>
      </w:r>
      <w:r>
        <w:rPr>
          <w:rFonts w:ascii="Calibri" w:hAnsi="Calibri"/>
          <w:b w:val="0"/>
          <w:i w:val="0"/>
          <w:color w:val="000000"/>
          <w:sz w:val="22"/>
        </w:rPr>
        <w:t>④</w:t>
      </w:r>
      <w:r>
        <w:rPr>
          <w:rFonts w:ascii="Times New Roman" w:hAnsi="Times New Roman"/>
          <w:b w:val="0"/>
          <w:i w:val="0"/>
          <w:color w:val="000000"/>
          <w:sz w:val="22"/>
        </w:rPr>
        <w:t>不符合题意，题文中没有体现国家尊严的内容，应排除。</w:t>
      </w:r>
      <w:r>
        <w:br/>
      </w:r>
      <w:r>
        <w:rPr>
          <w:rFonts w:ascii="Times New Roman" w:hAnsi="Times New Roman"/>
          <w:b w:val="0"/>
          <w:i w:val="0"/>
          <w:color w:val="000000"/>
          <w:sz w:val="22"/>
        </w:rPr>
        <w:t>故答案为：A。</w:t>
      </w:r>
    </w:p>
    <w:p>
      <w:pPr>
        <w:spacing w:line="360" w:lineRule="auto"/>
        <w:ind w:left="0"/>
        <w:jc w:val="left"/>
        <w:textAlignment w:val="center"/>
      </w:pPr>
      <w:r>
        <w:rPr>
          <w:rFonts w:ascii="Times New Roman" w:hAnsi="Times New Roman"/>
          <w:b w:val="0"/>
          <w:i w:val="0"/>
          <w:color w:val="000000"/>
          <w:sz w:val="22"/>
        </w:rPr>
        <w:t>4．分析题意，褒扬这些模范人物，目的是</w:t>
      </w:r>
      <w:r>
        <w:rPr>
          <w:rFonts w:ascii="Times New Roman" w:hAnsi="Times New Roman"/>
          <w:b w:val="0"/>
          <w:i w:val="0"/>
          <w:color w:val="000000"/>
          <w:sz w:val="22"/>
        </w:rPr>
        <w:t xml:space="preserve"> 延续文化血脉，发扬温州人精神，</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https://d.book118.com/277126110062006030</w:t>
        </w:r>
      </w:hyperlink>
    </w:p>
    <w:p>
      <w:pPr>
        <w:spacing w:line="360" w:lineRule="auto"/>
        <w:ind w:left="0"/>
        <w:jc w:val="left"/>
        <w:textAlignment w:val="center"/>
      </w:pPr>
    </w:p>
    <w:sectPr>
      <w:headerReference w:type="default" r:id="rId34"/>
      <w:footerReference w:type="default" r:id="rId35"/>
      <w:type w:val="nextPage"/>
      <w:pgSz w:w="11906" w:h="16838"/>
      <w:pgMar w:top="1134" w:right="707" w:bottom="937" w:left="1134" w:header="426" w:footer="515"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1</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2</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3</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4</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5</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6</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8</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lear" w:pos="4153"/>
        <w:tab w:val="clear" w:pos="8306"/>
        <w:tab w:val="right" w:pos="9923"/>
      </w:tabs>
      <w:rPr>
        <w:rFonts w:ascii="微软雅黑" w:eastAsia="微软雅黑" w:hAnsi="微软雅黑"/>
      </w:rPr>
    </w:pPr>
    <w:r>
      <w:rPr>
        <w:rFonts w:ascii="微软雅黑" w:eastAsia="微软雅黑" w:hAnsi="微软雅黑"/>
      </w:rPr>
      <w:tab/>
    </w:r>
    <w:r>
      <w:rPr>
        <w:rFonts w:ascii="微软雅黑" w:eastAsia="微软雅黑" w:hAnsi="微软雅黑"/>
        <w:lang w:val="zh-CN"/>
      </w:rPr>
      <w:t xml:space="preserve"> </w:t>
    </w:r>
    <w:r>
      <w:rPr>
        <w:rFonts w:ascii="微软雅黑" w:eastAsia="微软雅黑" w:hAnsi="微软雅黑"/>
        <w:b/>
        <w:bCs/>
      </w:rPr>
      <w:fldChar w:fldCharType="begin"/>
    </w:r>
    <w:r>
      <w:rPr>
        <w:rFonts w:ascii="微软雅黑" w:eastAsia="微软雅黑" w:hAnsi="微软雅黑"/>
        <w:b/>
        <w:bCs/>
      </w:rPr>
      <w:instrText>PAGE  \* Arabic  \* MERGEFORMAT</w:instrText>
    </w:r>
    <w:r>
      <w:rPr>
        <w:rFonts w:ascii="微软雅黑" w:eastAsia="微软雅黑" w:hAnsi="微软雅黑"/>
        <w:b/>
        <w:bCs/>
      </w:rPr>
      <w:fldChar w:fldCharType="separate"/>
    </w:r>
    <w:r>
      <w:rPr>
        <w:rFonts w:ascii="微软雅黑" w:eastAsia="微软雅黑" w:hAnsi="微软雅黑"/>
        <w:b/>
        <w:bCs/>
        <w:lang w:val="zh-CN"/>
      </w:rPr>
      <w:t>9</w:t>
    </w:r>
    <w:r>
      <w:rPr>
        <w:rFonts w:ascii="微软雅黑" w:eastAsia="微软雅黑" w:hAnsi="微软雅黑"/>
        <w:b/>
        <w:bCs/>
      </w:rPr>
      <w:fldChar w:fldCharType="end"/>
    </w:r>
    <w:r>
      <w:rPr>
        <w:rFonts w:ascii="微软雅黑" w:eastAsia="微软雅黑" w:hAnsi="微软雅黑"/>
        <w:lang w:val="zh-CN"/>
      </w:rPr>
      <w:t xml:space="preserve"> / </w:t>
    </w:r>
    <w:r>
      <w:rPr>
        <w:rFonts w:ascii="微软雅黑" w:eastAsia="微软雅黑" w:hAnsi="微软雅黑"/>
        <w:b/>
        <w:bCs/>
      </w:rPr>
      <w:fldChar w:fldCharType="begin"/>
    </w:r>
    <w:r>
      <w:rPr>
        <w:rFonts w:ascii="微软雅黑" w:eastAsia="微软雅黑" w:hAnsi="微软雅黑"/>
        <w:b/>
        <w:bCs/>
      </w:rPr>
      <w:instrText>NUMPAGES  \* Arabic  \* MERGEFORMAT</w:instrText>
    </w:r>
    <w:r>
      <w:rPr>
        <w:rFonts w:ascii="微软雅黑" w:eastAsia="微软雅黑" w:hAnsi="微软雅黑"/>
        <w:b/>
        <w:bCs/>
      </w:rPr>
      <w:fldChar w:fldCharType="separate"/>
    </w:r>
    <w:r>
      <w:rPr>
        <w:rFonts w:ascii="微软雅黑" w:eastAsia="微软雅黑" w:hAnsi="微软雅黑"/>
        <w:b/>
        <w:bCs/>
        <w:lang w:val="zh-CN"/>
      </w:rPr>
      <w:t>10</w:t>
    </w:r>
    <w:r>
      <w:rPr>
        <w:rFonts w:ascii="微软雅黑" w:eastAsia="微软雅黑" w:hAnsi="微软雅黑"/>
        <w:b/>
        <w:bCs/>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rPr>
        <w:rFonts w:ascii="微软雅黑" w:eastAsia="微软雅黑" w:hAnsi="微软雅黑"/>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3083"/>
    <w:rsid w:val="001957A4"/>
    <w:rsid w:val="001C2E01"/>
    <w:rsid w:val="0023135B"/>
    <w:rsid w:val="002A3E4C"/>
    <w:rsid w:val="002F2B6F"/>
    <w:rsid w:val="004C353A"/>
    <w:rsid w:val="00530734"/>
    <w:rsid w:val="00534152"/>
    <w:rsid w:val="00534887"/>
    <w:rsid w:val="0071385B"/>
    <w:rsid w:val="00762740"/>
    <w:rsid w:val="007E26CD"/>
    <w:rsid w:val="008F3083"/>
    <w:rsid w:val="00B85EF2"/>
    <w:rsid w:val="00BE4FA2"/>
    <w:rsid w:val="00FA5B34"/>
    <w:rsid w:val="6A0C0B1C"/>
  </w:rsids>
  <w:docVars>
    <w:docVar w:name="commondata" w:val="eyJoZGlkIjoiZWQ3YzA4YzJlNmFmZjlkZTg5ZjhmMGIzMmFhYjY3OG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Footer">
    <w:name w:val="footer"/>
    <w:basedOn w:val="Normal"/>
    <w:link w:val="Char0"/>
    <w:uiPriority w:val="99"/>
    <w:unhideWhenUsed/>
    <w:pPr>
      <w:tabs>
        <w:tab w:val="center" w:pos="4153"/>
        <w:tab w:val="right" w:pos="8306"/>
      </w:tabs>
      <w:snapToGrid w:val="0"/>
      <w:jc w:val="left"/>
    </w:pPr>
    <w:rPr>
      <w:kern w:val="2"/>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DefaultParagraphFont"/>
    <w:link w:val="Header"/>
    <w:uiPriority w:val="99"/>
    <w:rPr>
      <w:sz w:val="18"/>
      <w:szCs w:val="18"/>
    </w:rPr>
  </w:style>
  <w:style w:type="character" w:customStyle="1" w:styleId="Char0">
    <w:name w:val="页脚 Char"/>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7.png" /><Relationship Id="rId17" Type="http://schemas.openxmlformats.org/officeDocument/2006/relationships/header" Target="header4.xml" /><Relationship Id="rId18" Type="http://schemas.openxmlformats.org/officeDocument/2006/relationships/footer" Target="footer4.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header" Target="header5.xml" /><Relationship Id="rId22" Type="http://schemas.openxmlformats.org/officeDocument/2006/relationships/footer" Target="footer5.xml" /><Relationship Id="rId23" Type="http://schemas.openxmlformats.org/officeDocument/2006/relationships/image" Target="media/image10.png"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1.png" /><Relationship Id="rId27" Type="http://schemas.openxmlformats.org/officeDocument/2006/relationships/image" Target="media/image12.png"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hyperlink" Target="https://d.book118.com/277126110062006030" TargetMode="External"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2.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20</TotalTime>
  <Pages>10</Pages>
  <Words>0</Words>
  <Characters>0</Characters>
  <Application>Microsoft Office Word</Application>
  <DocSecurity>0</DocSecurity>
  <Lines>0</Lines>
  <Paragraphs>0</Paragraphs>
  <ScaleCrop>false</ScaleCrop>
  <Company>出卷网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浙江省温州市2021年中考社会法治真题试卷</dc:title>
  <dc:subject>chujuan.cn</dc:subject>
  <dc:creator>www.chujuan.cn</dc:creator>
  <dc:description>中小学教师出卷，试卷下载</dc:description>
  <cp:lastModifiedBy>未命名</cp:lastModifiedBy>
  <cp:revision>5</cp:revision>
  <dcterms:created xsi:type="dcterms:W3CDTF">2021-12-20T01:40:00Z</dcterms:created>
  <dcterms:modified xsi:type="dcterms:W3CDTF">2023-12-02T11:13:23Z</dcterms:modified>
  <cp:category>出卷宝; 出卷网</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471C360CB47840A7AAFE1D522A0FB047_12</vt:lpwstr>
  </property>
  <property fmtid="{D5CDD505-2E9C-101B-9397-08002B2CF9AE}" pid="3" name="KSOProductBuildVer">
    <vt:lpwstr>2052-12.1.0.15712</vt:lpwstr>
  </property>
</Properties>
</file>