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345" w:lineRule="auto"/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1075309</wp:posOffset>
            </wp:positionH>
            <wp:positionV relativeFrom="page">
              <wp:posOffset>5821324</wp:posOffset>
            </wp:positionV>
            <wp:extent cx="776605" cy="78422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5933096</wp:posOffset>
            </wp:positionH>
            <wp:positionV relativeFrom="page">
              <wp:posOffset>5886729</wp:posOffset>
            </wp:positionV>
            <wp:extent cx="327025" cy="32702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02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8106702</wp:posOffset>
            </wp:positionH>
            <wp:positionV relativeFrom="page">
              <wp:posOffset>5710198</wp:posOffset>
            </wp:positionV>
            <wp:extent cx="1138839" cy="894079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8839" cy="894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8325663</wp:posOffset>
            </wp:positionH>
            <wp:positionV relativeFrom="page">
              <wp:posOffset>3165043</wp:posOffset>
            </wp:positionV>
            <wp:extent cx="161383" cy="166687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383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1573187</wp:posOffset>
            </wp:positionH>
            <wp:positionV relativeFrom="page">
              <wp:posOffset>3214013</wp:posOffset>
            </wp:positionV>
            <wp:extent cx="161290" cy="167004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290" cy="167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5" style="width:17.5pt;height:17.45pt;margin-top:199.62pt;margin-left:272.22pt;mso-position-horizontal-relative:page;mso-position-vertical-relative:page;position:absolute;z-index:-251656192" coordorigin="0,0" coordsize="350,349" o:allowincell="f" path="m341,l7,l,7l,342l7,348l341,348l349,342l349,316l32,316l32,33l349,33l349,7l341,xm349,33l315,33l315,316l349,316l349,33xe" filled="t" fillcolor="#f26b6c" stroked="f"/>
        </w:pict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3709327</wp:posOffset>
            </wp:positionH>
            <wp:positionV relativeFrom="page">
              <wp:posOffset>2766974</wp:posOffset>
            </wp:positionV>
            <wp:extent cx="117475" cy="11747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7475" cy="11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5931014</wp:posOffset>
            </wp:positionH>
            <wp:positionV relativeFrom="page">
              <wp:posOffset>1413726</wp:posOffset>
            </wp:positionV>
            <wp:extent cx="161383" cy="166687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383" cy="166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width:183.6pt;height:66.7pt;margin-top:191.77pt;margin-left:97.52pt;mso-position-horizontal-relative:page;mso-position-vertical-relative:page;position:absolute;z-index:-251658240" coordorigin="0,0" coordsize="3672,1333" o:allowincell="f" filled="f" stroked="f">
            <v:shape id="_x0000_s1027" style="width:3437;height:1133;position:absolute;top:201" coordorigin="0,0" coordsize="3437,1133" path="m1476,l1398,3l1318,30l1266,65l1222,113l1187,171l1157,236l1136,307l1118,381l1106,456l1096,531l1080,670l1072,729l1051,797l1011,855l956,898l887,917l830,913l722,865l635,786l555,700l511,659l453,617l396,594l325,591l258,613l195,656l140,716l93,788l60,851l35,918l15,985l3,1050l,1113l,1132l3436,1132l3423,1097l3413,1058l3398,1020l3376,990l3331,978l3286,1002l3241,1035l3193,1049l3132,1021l3091,962l3065,887l3050,809l3028,658l3015,573l2996,489l2968,408l2907,349l2880,344l2852,353l2801,423l2783,493l2772,564l2766,636l2760,708l2752,779l2728,894l2705,952l2622,1020l2560,1012l2503,970l2476,907l2462,834l2450,759l2425,696l2373,646l2312,626l2246,631l2181,656l2122,696l2078,747l2063,773l2045,800l2023,824l1998,841l1972,843l1962,839l1922,762l1907,694l1900,601l1896,557l1877,455l1840,333l1807,264l1767,197l1722,137l1670,84l1611,42l1546,13l1476,xe" filled="t" fillcolor="#f4f5f7" stroked="f"/>
            <v:shape id="_x0000_s1028" style="width:347;height:349;left:3323;position:absolute" coordorigin="0,0" coordsize="347,349" path="m173,l105,14l50,50l13,105l,174l13,242l50,297l105,334l173,348l240,334l297,297l333,242l347,174l333,105l297,50l240,14l173,xe" filled="t" fillcolor="#c1d72f" stroked="f"/>
          </v:group>
        </w:pict>
      </w:r>
    </w:p>
    <w:p>
      <w:pPr>
        <w:spacing w:before="234" w:line="219" w:lineRule="auto"/>
        <w:ind w:left="4182"/>
        <w:rPr>
          <w:rFonts w:ascii="SimSun" w:eastAsia="SimSun" w:hAnsi="SimSun" w:cs="SimSun"/>
          <w:sz w:val="72"/>
          <w:szCs w:val="72"/>
        </w:rPr>
      </w:pPr>
      <w:r>
        <w:rPr>
          <w:rFonts w:ascii="SimSun" w:eastAsia="SimSun" w:hAnsi="SimSun" w:cs="SimSun"/>
          <w:color w:val="F4F5F7"/>
          <w:spacing w:val="-35"/>
          <w:sz w:val="72"/>
          <w:szCs w:val="72"/>
        </w:rPr>
        <w:t>机构如何转向劳动力优化</w:t>
      </w:r>
    </w:p>
    <w:p>
      <w:pPr>
        <w:pStyle w:val="BodyText"/>
        <w:spacing w:line="306" w:lineRule="auto"/>
      </w:pPr>
    </w:p>
    <w:p>
      <w:pPr>
        <w:spacing w:line="587" w:lineRule="exact"/>
        <w:ind w:firstLine="11291"/>
      </w:pPr>
      <w:r>
        <w:rPr>
          <w:position w:val="-11"/>
        </w:rPr>
        <w:pict>
          <v:shape id="_x0000_i1029" style="width:28.8pt;height:29.4pt;mso-position-horizontal-relative:char;mso-position-vertical-relative:line" coordorigin="0,0" coordsize="575,587" path="m125,l115,5l,362l,370l10,377l15,380l323,269l207,570l208,577l216,585l220,587l225,587l228,587l571,460l575,450l570,432l560,429l253,542l370,242l367,235l358,225l352,225l42,335l146,15l141,5l125,xe" filled="t" fillcolor="#c1d72f" stroked="f">
            <w10:wrap type="none"/>
          </v:shape>
        </w:pic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line="142" w:lineRule="exact"/>
        <w:ind w:firstLine="13096"/>
      </w:pPr>
      <w:r>
        <w:rPr>
          <w:position w:val="-2"/>
        </w:rPr>
        <w:drawing>
          <wp:inline distT="0" distB="0" distL="0" distR="0">
            <wp:extent cx="90448" cy="9048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448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7" w:line="142" w:lineRule="exact"/>
        <w:ind w:firstLine="12829"/>
      </w:pPr>
      <w:r>
        <w:rPr>
          <w:position w:val="-2"/>
        </w:rPr>
        <w:drawing>
          <wp:inline distT="0" distB="0" distL="0" distR="0">
            <wp:extent cx="430250" cy="90487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0250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6" w:line="134" w:lineRule="exact"/>
        <w:ind w:firstLine="13095"/>
      </w:pPr>
      <w:r>
        <w:rPr>
          <w:position w:val="-2"/>
        </w:rPr>
        <w:drawing>
          <wp:inline distT="0" distB="0" distL="0" distR="0">
            <wp:extent cx="90169" cy="85152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169" cy="8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7" w:lineRule="auto"/>
      </w:pPr>
    </w:p>
    <w:p>
      <w:pPr>
        <w:pStyle w:val="BodyText"/>
        <w:spacing w:line="268" w:lineRule="auto"/>
        <w:sectPr>
          <w:headerReference w:type="default" r:id="rId13"/>
          <w:pgSz w:w="15840" w:h="1224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68" w:lineRule="auto"/>
      </w:pPr>
    </w:p>
    <w:p>
      <w:pPr>
        <w:pStyle w:val="BodyText"/>
        <w:spacing w:before="193" w:line="486" w:lineRule="exact"/>
        <w:ind w:left="9853"/>
        <w:rPr>
          <w:sz w:val="67"/>
          <w:szCs w:val="67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column">
              <wp:posOffset>1492542</wp:posOffset>
            </wp:positionH>
            <wp:positionV relativeFrom="paragraph">
              <wp:posOffset>-2977253</wp:posOffset>
            </wp:positionV>
            <wp:extent cx="6769100" cy="403796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9100" cy="403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26B6C"/>
          <w:spacing w:val="26"/>
          <w:position w:val="-9"/>
          <w:sz w:val="67"/>
          <w:szCs w:val="67"/>
        </w:rPr>
        <w:t>V</w:t>
      </w:r>
    </w:p>
    <w:p>
      <w:pPr>
        <w:pStyle w:val="BodyText"/>
        <w:spacing w:line="445" w:lineRule="auto"/>
      </w:pPr>
    </w:p>
    <w:p>
      <w:pPr>
        <w:spacing w:before="79" w:line="212" w:lineRule="auto"/>
        <w:ind w:left="7127"/>
        <w:rPr>
          <w:rFonts w:ascii="SimSun" w:eastAsia="SimSun" w:hAnsi="SimSun" w:cs="SimSun"/>
          <w:sz w:val="24"/>
          <w:szCs w:val="24"/>
        </w:rPr>
      </w:pPr>
      <w:r>
        <w:rPr>
          <w:rFonts w:ascii="Verdana" w:eastAsia="Verdana" w:hAnsi="Verdana" w:cs="Verdana"/>
          <w:color w:val="F4F5F7"/>
          <w:spacing w:val="-1"/>
          <w:sz w:val="24"/>
          <w:szCs w:val="24"/>
        </w:rPr>
        <w:t xml:space="preserve">GovLoop </w:t>
      </w:r>
      <w:r>
        <w:rPr>
          <w:rFonts w:ascii="SimSun" w:eastAsia="SimSun" w:hAnsi="SimSun" w:cs="SimSun"/>
          <w:color w:val="F4F5F7"/>
          <w:spacing w:val="-1"/>
          <w:sz w:val="24"/>
          <w:szCs w:val="24"/>
        </w:rPr>
        <w:t>剧本</w:t>
      </w:r>
    </w:p>
    <w:p>
      <w:pPr>
        <w:spacing w:before="169" w:line="34" w:lineRule="exact"/>
        <w:ind w:firstLine="1419"/>
      </w:pPr>
      <w:r>
        <w:pict>
          <v:shape id="_x0000_i1030" style="width:656.75pt;height:1.7pt;mso-position-horizontal-relative:char;mso-position-vertical-relative:line" coordorigin="0,0" coordsize="13135,34" path="m13125,l9140,l9133,7l9133,25l9140,33l13117,33l13125,33l13134,25l13134,7l13125,xem4705,7l4697,l7,l,7l,25l7,33l4688,33l4697,33l4705,25l4705,7xm8750,7l8743,l4930,l4922,7l4922,25l4930,33l8734,33l8743,33l8750,25l8750,7xe" filled="t" fillcolor="#262626" stroked="f">
            <w10:wrap type="none"/>
          </v:shape>
        </w:pict>
      </w:r>
    </w:p>
    <w:p>
      <w:pPr>
        <w:spacing w:line="34" w:lineRule="exact"/>
        <w:sectPr>
          <w:headerReference w:type="default" r:id="rId15"/>
          <w:type w:val="nextPage"/>
          <w:pgSz w:w="15840" w:h="1224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167" w:line="191" w:lineRule="auto"/>
        <w:ind w:left="66"/>
        <w:rPr>
          <w:rFonts w:ascii="Verdana" w:eastAsia="Verdana" w:hAnsi="Verdana" w:cs="Verdana"/>
          <w:sz w:val="55"/>
          <w:szCs w:val="55"/>
        </w:rPr>
      </w:pPr>
      <w:r>
        <w:rPr>
          <w:rFonts w:ascii="Verdana" w:eastAsia="Verdana" w:hAnsi="Verdana" w:cs="Verdana"/>
          <w:color w:val="00AB7F"/>
          <w:spacing w:val="-4"/>
          <w:sz w:val="55"/>
          <w:szCs w:val="55"/>
        </w:rPr>
        <w:t>Introduction</w:t>
      </w:r>
      <w:r>
        <w:rPr>
          <w:rFonts w:ascii="Verdana" w:eastAsia="Verdana" w:hAnsi="Verdana" w:cs="Verdana"/>
          <w:color w:val="00AB7F"/>
          <w:spacing w:val="59"/>
          <w:sz w:val="55"/>
          <w:szCs w:val="55"/>
        </w:rPr>
        <w:t xml:space="preserve">   </w:t>
      </w:r>
      <w:r>
        <w:rPr>
          <w:rFonts w:ascii="Verdana" w:eastAsia="Verdana" w:hAnsi="Verdana" w:cs="Verdana"/>
          <w:color w:val="00AB7F"/>
          <w:sz w:val="55"/>
          <w:szCs w:val="55"/>
          <w:u w:val="single" w:color="auto"/>
        </w:rPr>
        <w:t xml:space="preserve">                                                  </w:t>
      </w:r>
    </w:p>
    <w:p>
      <w:pPr>
        <w:spacing w:before="175"/>
      </w:pPr>
    </w:p>
    <w:p>
      <w:pPr>
        <w:sectPr>
          <w:headerReference w:type="default" r:id="rId16"/>
          <w:footerReference w:type="default" r:id="rId17"/>
          <w:pgSz w:w="15840" w:h="12240"/>
          <w:pgMar w:top="400" w:right="563" w:bottom="636" w:left="1050" w:header="0" w:footer="478" w:gutter="0"/>
          <w:pgNumType w:start="3"/>
          <w:cols w:num="1" w:space="708" w:equalWidth="0">
            <w:col w:w="14227" w:space="0"/>
          </w:cols>
        </w:sectPr>
      </w:pPr>
    </w:p>
    <w:p>
      <w:pPr>
        <w:spacing w:before="41" w:line="256" w:lineRule="auto"/>
        <w:ind w:left="39" w:right="390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COVID</w:t>
      </w:r>
      <w:r>
        <w:rPr>
          <w:rFonts w:ascii="Calibri" w:eastAsia="Calibri" w:hAnsi="Calibri" w:cs="Calibri"/>
          <w:spacing w:val="9"/>
          <w:sz w:val="21"/>
          <w:szCs w:val="21"/>
        </w:rPr>
        <w:t xml:space="preserve"> -</w:t>
      </w:r>
      <w:r>
        <w:rPr>
          <w:rFonts w:ascii="Calibri" w:eastAsia="Calibri" w:hAnsi="Calibri" w:cs="Calibri"/>
          <w:spacing w:val="29"/>
          <w:w w:val="10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9"/>
          <w:sz w:val="21"/>
          <w:szCs w:val="21"/>
        </w:rPr>
        <w:t xml:space="preserve">19 </w:t>
      </w:r>
      <w:r>
        <w:rPr>
          <w:rFonts w:ascii="SimSun" w:eastAsia="SimSun" w:hAnsi="SimSun" w:cs="SimSun"/>
          <w:spacing w:val="9"/>
          <w:sz w:val="21"/>
          <w:szCs w:val="21"/>
        </w:rPr>
        <w:t>大流行彻底改变了联邦政府的工作方式。尽管几十年来一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9"/>
          <w:sz w:val="21"/>
          <w:szCs w:val="21"/>
        </w:rPr>
        <w:t>直在以某种形式进行劳动力优化工作</w:t>
      </w:r>
      <w:r>
        <w:rPr>
          <w:rFonts w:ascii="SimSun" w:eastAsia="SimSun" w:hAnsi="SimSun" w:cs="SimSun"/>
          <w:spacing w:val="-2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9"/>
          <w:sz w:val="21"/>
          <w:szCs w:val="21"/>
        </w:rPr>
        <w:t>，</w:t>
      </w:r>
      <w:r>
        <w:rPr>
          <w:rFonts w:ascii="SimSun" w:eastAsia="SimSun" w:hAnsi="SimSun" w:cs="SimSun"/>
          <w:spacing w:val="-4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9"/>
          <w:sz w:val="21"/>
          <w:szCs w:val="21"/>
        </w:rPr>
        <w:t>但这</w:t>
      </w:r>
      <w:r>
        <w:rPr>
          <w:rFonts w:ascii="SimSun" w:eastAsia="SimSun" w:hAnsi="SimSun" w:cs="SimSun"/>
          <w:spacing w:val="8"/>
          <w:sz w:val="21"/>
          <w:szCs w:val="21"/>
        </w:rPr>
        <w:t>场危机强调了对多样化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工人的需求</w:t>
      </w:r>
      <w:r>
        <w:rPr>
          <w:rFonts w:ascii="SimSun" w:eastAsia="SimSun" w:hAnsi="SimSun" w:cs="SimSun"/>
          <w:spacing w:val="-33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4"/>
          <w:sz w:val="21"/>
          <w:szCs w:val="21"/>
        </w:rPr>
        <w:t>(</w:t>
      </w:r>
      <w:r>
        <w:rPr>
          <w:rFonts w:ascii="SimSun" w:eastAsia="SimSun" w:hAnsi="SimSun" w:cs="SimSun"/>
          <w:spacing w:val="4"/>
          <w:sz w:val="21"/>
          <w:szCs w:val="21"/>
        </w:rPr>
        <w:t>想想</w:t>
      </w:r>
      <w:r>
        <w:rPr>
          <w:rFonts w:ascii="SimSun" w:eastAsia="SimSun" w:hAnsi="SimSun" w:cs="SimSun"/>
          <w:spacing w:val="-2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：</w:t>
      </w:r>
      <w:r>
        <w:rPr>
          <w:rFonts w:ascii="SimSun" w:eastAsia="SimSun" w:hAnsi="SimSun" w:cs="SimSun"/>
          <w:spacing w:val="-27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4"/>
          <w:sz w:val="21"/>
          <w:szCs w:val="21"/>
        </w:rPr>
        <w:t>呼叫中心工人</w:t>
      </w:r>
    </w:p>
    <w:p>
      <w:pPr>
        <w:spacing w:before="75" w:line="258" w:lineRule="auto"/>
        <w:ind w:left="37" w:right="350" w:firstLine="2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9"/>
          <w:sz w:val="21"/>
          <w:szCs w:val="21"/>
        </w:rPr>
        <w:t>可以说多种语言</w:t>
      </w:r>
      <w:r>
        <w:rPr>
          <w:rFonts w:ascii="SimSun" w:eastAsia="SimSun" w:hAnsi="SimSun" w:cs="SimSun"/>
          <w:spacing w:val="-2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8"/>
          <w:sz w:val="21"/>
          <w:szCs w:val="21"/>
        </w:rPr>
        <w:t>）</w:t>
      </w:r>
      <w:r>
        <w:rPr>
          <w:rFonts w:ascii="SimSun" w:eastAsia="SimSun" w:hAnsi="SimSun" w:cs="SimSun"/>
          <w:spacing w:val="-2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8"/>
          <w:sz w:val="21"/>
          <w:szCs w:val="21"/>
        </w:rPr>
        <w:t>，</w:t>
      </w:r>
      <w:r>
        <w:rPr>
          <w:rFonts w:ascii="SimSun" w:eastAsia="SimSun" w:hAnsi="SimSun" w:cs="SimSun"/>
          <w:spacing w:val="-3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9"/>
          <w:sz w:val="21"/>
          <w:szCs w:val="21"/>
        </w:rPr>
        <w:t>并加快了一些长期但未得到充分利用的工作选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择的采用</w:t>
      </w:r>
      <w:r>
        <w:rPr>
          <w:rFonts w:ascii="SimSun" w:eastAsia="SimSun" w:hAnsi="SimSun" w:cs="SimSun"/>
          <w:spacing w:val="-4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（想想</w:t>
      </w:r>
      <w:r>
        <w:rPr>
          <w:rFonts w:ascii="SimSun" w:eastAsia="SimSun" w:hAnsi="SimSun" w:cs="SimSun"/>
          <w:spacing w:val="-2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：</w:t>
      </w:r>
      <w:r>
        <w:rPr>
          <w:rFonts w:ascii="SimSun" w:eastAsia="SimSun" w:hAnsi="SimSun" w:cs="SimSun"/>
          <w:spacing w:val="-3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远程工作</w:t>
      </w:r>
      <w:r>
        <w:rPr>
          <w:rFonts w:ascii="SimSun" w:eastAsia="SimSun" w:hAnsi="SimSun" w:cs="SimSun"/>
          <w:spacing w:val="-2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）</w:t>
      </w:r>
      <w:r>
        <w:rPr>
          <w:rFonts w:ascii="SimSun" w:eastAsia="SimSun" w:hAnsi="SimSun" w:cs="SimSun"/>
          <w:spacing w:val="-1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。现在</w:t>
      </w:r>
      <w:r>
        <w:rPr>
          <w:rFonts w:ascii="SimSun" w:eastAsia="SimSun" w:hAnsi="SimSun" w:cs="SimSun"/>
          <w:spacing w:val="-1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，</w:t>
      </w:r>
      <w:r>
        <w:rPr>
          <w:rFonts w:ascii="SimSun" w:eastAsia="SimSun" w:hAnsi="SimSun" w:cs="SimSun"/>
          <w:spacing w:val="-3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各机</w:t>
      </w:r>
      <w:r>
        <w:rPr>
          <w:rFonts w:ascii="SimSun" w:eastAsia="SimSun" w:hAnsi="SimSun" w:cs="SimSun"/>
          <w:spacing w:val="5"/>
          <w:sz w:val="21"/>
          <w:szCs w:val="21"/>
        </w:rPr>
        <w:t>构有机会从这种具有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7"/>
          <w:sz w:val="21"/>
          <w:szCs w:val="21"/>
        </w:rPr>
        <w:t>挑战性的情况中吸取教训</w:t>
      </w:r>
      <w:r>
        <w:rPr>
          <w:rFonts w:ascii="SimSun" w:eastAsia="SimSun" w:hAnsi="SimSun" w:cs="SimSun"/>
          <w:spacing w:val="-2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7"/>
          <w:sz w:val="21"/>
          <w:szCs w:val="21"/>
        </w:rPr>
        <w:t>，</w:t>
      </w:r>
      <w:r>
        <w:rPr>
          <w:rFonts w:ascii="SimSun" w:eastAsia="SimSun" w:hAnsi="SimSun" w:cs="SimSun"/>
          <w:spacing w:val="-36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7"/>
          <w:sz w:val="21"/>
          <w:szCs w:val="21"/>
        </w:rPr>
        <w:t>为现在和未来创造更好的工作场所。</w:t>
      </w:r>
    </w:p>
    <w:p>
      <w:pPr>
        <w:spacing w:before="246" w:line="266" w:lineRule="auto"/>
        <w:ind w:left="40" w:right="413" w:firstLine="1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几个主题贯穿了政府应对大流行的结构，拼凑了一幅需要什么的图景。</w:t>
      </w:r>
      <w:r>
        <w:rPr>
          <w:rFonts w:ascii="SimSun" w:eastAsia="SimSun" w:hAnsi="SimSun" w:cs="SimSun"/>
          <w:spacing w:val="18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它们包括保留办公室中没有员工的机构知识</w:t>
      </w:r>
      <w:r>
        <w:rPr>
          <w:rFonts w:ascii="SimSun" w:eastAsia="SimSun" w:hAnsi="SimSun" w:cs="SimSun"/>
          <w:spacing w:val="-1"/>
          <w:sz w:val="21"/>
          <w:szCs w:val="21"/>
        </w:rPr>
        <w:t>的方法，衡量员工敬业度以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防止人员流失，通过专业发展和招聘缩小技</w:t>
      </w:r>
      <w:r>
        <w:rPr>
          <w:rFonts w:ascii="SimSun" w:eastAsia="SimSun" w:hAnsi="SimSun" w:cs="SimSun"/>
          <w:spacing w:val="-1"/>
          <w:sz w:val="21"/>
          <w:szCs w:val="21"/>
        </w:rPr>
        <w:t>能差距，以及致力于多样性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,公平性和包容性</w:t>
      </w:r>
      <w:r>
        <w:rPr>
          <w:rFonts w:ascii="SimSun" w:eastAsia="SimSun" w:hAnsi="SimSun" w:cs="SimSun"/>
          <w:spacing w:val="-4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（</w:t>
      </w:r>
      <w:r>
        <w:rPr>
          <w:rFonts w:ascii="Calibri" w:eastAsia="Calibri" w:hAnsi="Calibri" w:cs="Calibri"/>
          <w:sz w:val="21"/>
          <w:szCs w:val="21"/>
        </w:rPr>
        <w:t>DE</w:t>
      </w:r>
      <w:r>
        <w:rPr>
          <w:rFonts w:ascii="Calibri" w:eastAsia="Calibri" w:hAnsi="Calibri" w:cs="Calibri"/>
          <w:spacing w:val="2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＆</w:t>
      </w:r>
      <w:r>
        <w:rPr>
          <w:rFonts w:ascii="SimSun" w:eastAsia="SimSun" w:hAnsi="SimSun" w:cs="SimSun"/>
          <w:spacing w:val="-40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2"/>
          <w:sz w:val="21"/>
          <w:szCs w:val="21"/>
        </w:rPr>
        <w:t>I</w:t>
      </w:r>
      <w:r>
        <w:rPr>
          <w:rFonts w:ascii="Calibri" w:eastAsia="Calibri" w:hAnsi="Calibri" w:cs="Calibri"/>
          <w:spacing w:val="30"/>
          <w:w w:val="10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）</w:t>
      </w:r>
      <w:r>
        <w:rPr>
          <w:rFonts w:ascii="SimSun" w:eastAsia="SimSun" w:hAnsi="SimSun" w:cs="SimSun"/>
          <w:spacing w:val="-5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努力。将所有这</w:t>
      </w:r>
      <w:r>
        <w:rPr>
          <w:rFonts w:ascii="SimSun" w:eastAsia="SimSun" w:hAnsi="SimSun" w:cs="SimSun"/>
          <w:spacing w:val="1"/>
          <w:sz w:val="21"/>
          <w:szCs w:val="21"/>
        </w:rPr>
        <w:t>些联系在一起的结就是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10"/>
          <w:sz w:val="21"/>
          <w:szCs w:val="21"/>
        </w:rPr>
        <w:t>分析。</w:t>
      </w:r>
    </w:p>
    <w:p>
      <w:pPr>
        <w:spacing w:before="248" w:line="248" w:lineRule="auto"/>
        <w:ind w:left="37" w:right="315" w:hanging="38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spacing w:val="6"/>
          <w:sz w:val="21"/>
          <w:szCs w:val="21"/>
        </w:rPr>
        <w:t>“</w:t>
      </w:r>
      <w:r>
        <w:rPr>
          <w:rFonts w:ascii="Calibri" w:eastAsia="Calibri" w:hAnsi="Calibri" w:cs="Calibri"/>
          <w:spacing w:val="-1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当你谈论联邦政府是该国最大的雇主时</w:t>
      </w:r>
      <w:r>
        <w:rPr>
          <w:rFonts w:ascii="SimSun" w:eastAsia="SimSun" w:hAnsi="SimSun" w:cs="SimSun"/>
          <w:spacing w:val="-2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，</w:t>
      </w:r>
      <w:r>
        <w:rPr>
          <w:rFonts w:ascii="SimSun" w:eastAsia="SimSun" w:hAnsi="SimSun" w:cs="SimSun"/>
          <w:spacing w:val="-34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它应该是模范雇主</w:t>
      </w:r>
      <w:r>
        <w:rPr>
          <w:rFonts w:ascii="SimSun" w:eastAsia="SimSun" w:hAnsi="SimSun" w:cs="SimSun"/>
          <w:spacing w:val="-2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，</w:t>
      </w:r>
      <w:r>
        <w:rPr>
          <w:rFonts w:ascii="SimSun" w:eastAsia="SimSun" w:hAnsi="SimSun" w:cs="SimSun"/>
          <w:spacing w:val="-42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6"/>
          <w:sz w:val="21"/>
          <w:szCs w:val="21"/>
        </w:rPr>
        <w:t>”</w:t>
      </w:r>
      <w:r>
        <w:rPr>
          <w:rFonts w:ascii="Calibri" w:eastAsia="Calibri" w:hAnsi="Calibri" w:cs="Calibri"/>
          <w:spacing w:val="3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6"/>
          <w:sz w:val="21"/>
          <w:szCs w:val="21"/>
        </w:rPr>
        <w:t>国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土安全部</w:t>
      </w:r>
      <w:r>
        <w:rPr>
          <w:rFonts w:ascii="SimSun" w:eastAsia="SimSun" w:hAnsi="SimSun" w:cs="SimSun"/>
          <w:spacing w:val="-3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（</w:t>
      </w:r>
      <w:r>
        <w:rPr>
          <w:rFonts w:ascii="Calibri" w:eastAsia="Calibri" w:hAnsi="Calibri" w:cs="Calibri"/>
          <w:sz w:val="21"/>
          <w:szCs w:val="21"/>
        </w:rPr>
        <w:t>DHS</w:t>
      </w:r>
      <w:r>
        <w:rPr>
          <w:rFonts w:ascii="Calibri" w:eastAsia="Calibri" w:hAnsi="Calibri" w:cs="Calibri"/>
          <w:spacing w:val="34"/>
          <w:w w:val="10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）</w:t>
      </w:r>
      <w:r>
        <w:rPr>
          <w:rFonts w:ascii="SimSun" w:eastAsia="SimSun" w:hAnsi="SimSun" w:cs="SimSun"/>
          <w:spacing w:val="-3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战略招聘</w:t>
      </w:r>
      <w:r>
        <w:rPr>
          <w:rFonts w:ascii="SimSun" w:eastAsia="SimSun" w:hAnsi="SimSun" w:cs="SimSun"/>
          <w:spacing w:val="-28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，</w:t>
      </w:r>
      <w:r>
        <w:rPr>
          <w:rFonts w:ascii="SimSun" w:eastAsia="SimSun" w:hAnsi="SimSun" w:cs="SimSun"/>
          <w:spacing w:val="-2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8"/>
          <w:sz w:val="21"/>
          <w:szCs w:val="21"/>
        </w:rPr>
        <w:t>多元化和包容性执行董事</w:t>
      </w:r>
      <w:r>
        <w:rPr>
          <w:rFonts w:ascii="SimSun" w:eastAsia="SimSun" w:hAnsi="SimSun" w:cs="SimSun"/>
          <w:spacing w:val="-47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Sharon</w:t>
      </w:r>
    </w:p>
    <w:p>
      <w:pPr>
        <w:spacing w:before="66" w:line="212" w:lineRule="auto"/>
        <w:ind w:left="35"/>
        <w:rPr>
          <w:rFonts w:ascii="SimSun" w:eastAsia="SimSun" w:hAnsi="SimSun" w:cs="SimSun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Wong</w:t>
      </w:r>
      <w:r>
        <w:rPr>
          <w:rFonts w:ascii="Calibri" w:eastAsia="Calibri" w:hAnsi="Calibri" w:cs="Calibri"/>
          <w:spacing w:val="13"/>
          <w:w w:val="101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2"/>
          <w:sz w:val="21"/>
          <w:szCs w:val="21"/>
        </w:rPr>
        <w:t>说。</w:t>
      </w: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line="606" w:lineRule="exact"/>
        <w:ind w:firstLine="4939"/>
      </w:pPr>
      <w:r>
        <w:rPr>
          <w:position w:val="-12"/>
        </w:rPr>
        <w:drawing>
          <wp:inline distT="0" distB="0" distL="0" distR="0">
            <wp:extent cx="410210" cy="384492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38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80" w:lineRule="exact"/>
        <w:ind w:firstLine="3701"/>
      </w:pPr>
      <w:r>
        <w:rPr>
          <w:position w:val="-3"/>
        </w:rPr>
        <w:pict>
          <v:shape id="_x0000_i1031" style="width:23.45pt;height:9.15pt;mso-position-horizontal-relative:char;mso-position-vertical-relative:line" coordorigin="0,0" coordsize="469,182" path="m460,147l215,147l207,155l207,174l215,182l451,182l460,182l468,174l468,155l460,147xem252,l7,l,7l,27l7,33l243,33l252,33l261,27l261,7l252,xe" filled="t" fillcolor="#e8e8e8" stroked="f">
            <w10:wrap type="none"/>
          </v:shape>
        </w:pict>
      </w:r>
    </w:p>
    <w:p>
      <w:pPr>
        <w:spacing w:before="232" w:line="273" w:lineRule="exact"/>
        <w:ind w:firstLine="6283"/>
      </w:pPr>
      <w:r>
        <w:rPr>
          <w:position w:val="-5"/>
        </w:rPr>
        <w:drawing>
          <wp:inline distT="0" distB="0" distL="0" distR="0">
            <wp:extent cx="259079" cy="173354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9079" cy="173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" w:line="615" w:lineRule="exact"/>
        <w:ind w:firstLine="5839"/>
      </w:pPr>
      <w:r>
        <w:rPr>
          <w:position w:val="-12"/>
        </w:rPr>
        <w:drawing>
          <wp:inline distT="0" distB="0" distL="0" distR="0">
            <wp:extent cx="485140" cy="3905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514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5" w:line="258" w:lineRule="auto"/>
        <w:ind w:left="6" w:right="790"/>
        <w:jc w:val="both"/>
        <w:rPr>
          <w:rFonts w:ascii="SimSun" w:eastAsia="SimSun" w:hAnsi="SimSun" w:cs="SimSun"/>
          <w:sz w:val="21"/>
          <w:szCs w:val="21"/>
        </w:rPr>
      </w:pPr>
      <w:r>
        <w:rPr>
          <w:rFonts w:ascii="Calibri" w:eastAsia="Calibri" w:hAnsi="Calibri" w:cs="Calibri"/>
          <w:sz w:val="21"/>
          <w:szCs w:val="21"/>
        </w:rPr>
        <w:t>GovLoop</w:t>
      </w:r>
      <w:r>
        <w:rPr>
          <w:rFonts w:ascii="Calibri" w:eastAsia="Calibri" w:hAnsi="Calibri" w:cs="Calibri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2"/>
          <w:sz w:val="21"/>
          <w:szCs w:val="21"/>
        </w:rPr>
        <w:t>和</w:t>
      </w:r>
      <w:r>
        <w:rPr>
          <w:rFonts w:ascii="SimSun" w:eastAsia="SimSun" w:hAnsi="SimSun" w:cs="SimSun"/>
          <w:spacing w:val="-41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Workday</w:t>
      </w:r>
      <w:r>
        <w:rPr>
          <w:rFonts w:ascii="Calibri" w:eastAsia="Calibri" w:hAnsi="Calibri" w:cs="Calibri"/>
          <w:spacing w:val="1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2"/>
          <w:sz w:val="21"/>
          <w:szCs w:val="21"/>
        </w:rPr>
        <w:t>是一家面向财务和人力资源的企业云应用程序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提供商</w:t>
      </w:r>
      <w:r>
        <w:rPr>
          <w:rFonts w:ascii="SimSun" w:eastAsia="SimSun" w:hAnsi="SimSun" w:cs="SimSun"/>
          <w:spacing w:val="-15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，</w:t>
      </w:r>
      <w:r>
        <w:rPr>
          <w:rFonts w:ascii="SimSun" w:eastAsia="SimSun" w:hAnsi="SimSun" w:cs="SimSun"/>
          <w:spacing w:val="-3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他们创建了这本剧本</w:t>
      </w:r>
      <w:r>
        <w:rPr>
          <w:rFonts w:ascii="SimSun" w:eastAsia="SimSun" w:hAnsi="SimSun" w:cs="SimSun"/>
          <w:spacing w:val="-2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5"/>
          <w:sz w:val="21"/>
          <w:szCs w:val="21"/>
        </w:rPr>
        <w:t>， 以了解联邦政府如何优化其员工</w:t>
      </w:r>
      <w:r>
        <w:rPr>
          <w:rFonts w:ascii="SimSun" w:eastAsia="SimSun" w:hAnsi="SimSun" w:cs="SimSun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4"/>
          <w:sz w:val="21"/>
          <w:szCs w:val="21"/>
        </w:rPr>
        <w:t>队伍。</w:t>
      </w:r>
    </w:p>
    <w:p>
      <w:pPr>
        <w:pStyle w:val="BodyText"/>
        <w:spacing w:before="205" w:line="208" w:lineRule="auto"/>
        <w:ind w:left="104"/>
        <w:rPr>
          <w:rFonts w:ascii="SimSun" w:eastAsia="SimSun" w:hAnsi="SimSun" w:cs="SimSun"/>
        </w:rPr>
      </w:pPr>
      <w:r>
        <w:rPr>
          <w:spacing w:val="10"/>
          <w:sz w:val="24"/>
          <w:szCs w:val="24"/>
        </w:rPr>
        <w:t>•</w:t>
      </w:r>
      <w:r>
        <w:rPr>
          <w:spacing w:val="14"/>
          <w:sz w:val="24"/>
          <w:szCs w:val="24"/>
        </w:rPr>
        <w:t xml:space="preserve">  </w:t>
      </w:r>
      <w:r>
        <w:rPr>
          <w:rFonts w:ascii="SimSun" w:eastAsia="SimSun" w:hAnsi="SimSun" w:cs="SimSun"/>
          <w:spacing w:val="10"/>
        </w:rPr>
        <w:t>大流行如何影响机构</w:t>
      </w:r>
    </w:p>
    <w:p>
      <w:pPr>
        <w:pStyle w:val="BodyText"/>
        <w:spacing w:before="210" w:line="208" w:lineRule="auto"/>
        <w:ind w:left="104"/>
        <w:rPr>
          <w:rFonts w:ascii="SimSun" w:eastAsia="SimSun" w:hAnsi="SimSun" w:cs="SimSun"/>
        </w:rPr>
      </w:pPr>
      <w:r>
        <w:rPr>
          <w:spacing w:val="10"/>
          <w:sz w:val="24"/>
          <w:szCs w:val="24"/>
        </w:rPr>
        <w:t xml:space="preserve">•  </w:t>
      </w:r>
      <w:r>
        <w:rPr>
          <w:rFonts w:ascii="SimSun" w:eastAsia="SimSun" w:hAnsi="SimSun" w:cs="SimSun"/>
          <w:spacing w:val="10"/>
        </w:rPr>
        <w:t>关于劳动力优化的事实和成功案例</w:t>
      </w:r>
    </w:p>
    <w:p>
      <w:pPr>
        <w:pStyle w:val="BodyText"/>
        <w:spacing w:before="210" w:line="208" w:lineRule="auto"/>
        <w:ind w:left="104"/>
        <w:rPr>
          <w:rFonts w:ascii="SimSun" w:eastAsia="SimSun" w:hAnsi="SimSun" w:cs="SimSun"/>
        </w:rPr>
      </w:pPr>
      <w:r>
        <w:rPr>
          <w:spacing w:val="10"/>
          <w:sz w:val="24"/>
          <w:szCs w:val="24"/>
        </w:rPr>
        <w:t xml:space="preserve">•  </w:t>
      </w:r>
      <w:r>
        <w:rPr>
          <w:rFonts w:ascii="SimSun" w:eastAsia="SimSun" w:hAnsi="SimSun" w:cs="SimSun"/>
          <w:spacing w:val="10"/>
        </w:rPr>
        <w:t>优化的挑战以及如何克服它们</w:t>
      </w:r>
    </w:p>
    <w:p>
      <w:pPr>
        <w:pStyle w:val="BodyText"/>
        <w:spacing w:before="209" w:line="226" w:lineRule="auto"/>
        <w:ind w:left="382" w:right="1085" w:hanging="278"/>
        <w:rPr>
          <w:rFonts w:ascii="SimSun" w:eastAsia="SimSun" w:hAnsi="SimSun" w:cs="SimSun"/>
        </w:rPr>
      </w:pPr>
      <w:r>
        <w:rPr>
          <w:spacing w:val="13"/>
          <w:sz w:val="24"/>
          <w:szCs w:val="24"/>
        </w:rPr>
        <w:t xml:space="preserve">•  </w:t>
      </w:r>
      <w:r>
        <w:rPr>
          <w:rFonts w:ascii="SimSun" w:eastAsia="SimSun" w:hAnsi="SimSun" w:cs="SimSun"/>
          <w:spacing w:val="13"/>
        </w:rPr>
        <w:t>公共服务伙伴关系研究和评估副总裁</w:t>
      </w:r>
      <w:r>
        <w:rPr>
          <w:rFonts w:ascii="SimSun" w:eastAsia="SimSun" w:hAnsi="SimSun" w:cs="SimSun"/>
          <w:spacing w:val="-33"/>
        </w:rPr>
        <w:t xml:space="preserve"> </w:t>
      </w:r>
      <w:r>
        <w:rPr>
          <w:rFonts w:ascii="Calibri" w:eastAsia="Calibri" w:hAnsi="Calibri" w:cs="Calibri"/>
        </w:rPr>
        <w:t>Loren</w:t>
      </w:r>
      <w:r>
        <w:rPr>
          <w:rFonts w:ascii="Calibri" w:eastAsia="Calibri" w:hAnsi="Calibri" w:cs="Calibri"/>
          <w:spacing w:val="21"/>
          <w:w w:val="101"/>
        </w:rPr>
        <w:t xml:space="preserve"> </w:t>
      </w:r>
      <w:r>
        <w:rPr>
          <w:rFonts w:ascii="Calibri" w:eastAsia="Calibri" w:hAnsi="Calibri" w:cs="Calibri"/>
        </w:rPr>
        <w:t>DeJonge</w:t>
      </w:r>
      <w:r>
        <w:rPr>
          <w:rFonts w:ascii="Calibri" w:eastAsia="Calibri" w:hAnsi="Calibri" w:cs="Calibri"/>
          <w:spacing w:val="13"/>
        </w:rPr>
        <w:t xml:space="preserve"> </w:t>
      </w:r>
      <w:r>
        <w:rPr>
          <w:rFonts w:ascii="Calibri" w:eastAsia="Calibri" w:hAnsi="Calibri" w:cs="Calibri"/>
        </w:rPr>
        <w:t xml:space="preserve">Shulman </w:t>
      </w:r>
      <w:r>
        <w:rPr>
          <w:rFonts w:ascii="SimSun" w:eastAsia="SimSun" w:hAnsi="SimSun" w:cs="SimSun"/>
          <w:spacing w:val="1"/>
        </w:rPr>
        <w:t>的见解</w:t>
      </w:r>
    </w:p>
    <w:p>
      <w:pPr>
        <w:pStyle w:val="BodyText"/>
        <w:spacing w:before="209" w:line="4678" w:lineRule="exact"/>
      </w:pPr>
      <w:r>
        <w:rPr>
          <w:position w:val="-93"/>
        </w:rPr>
        <w:pict>
          <v:group id="_x0000_i1032" style="width:355.7pt;height:233.95pt;mso-position-horizontal-relative:char;mso-position-vertical-relative:line" coordorigin="0,0" coordsize="7114,4678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width:7114;height:4497;position:absolute;top:181" filled="f" stroked="f">
              <v:imagedata r:id="rId2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width:6885;height:4622;left:84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01" w:lineRule="auto"/>
                      <w:ind w:left="20"/>
                      <w:rPr>
                        <w:rFonts w:ascii="SimSun" w:eastAsia="SimSun" w:hAnsi="SimSun" w:cs="SimSun"/>
                        <w:sz w:val="21"/>
                        <w:szCs w:val="21"/>
                      </w:rPr>
                    </w:pPr>
                    <w:r>
                      <w:rPr>
                        <w:rFonts w:ascii="Arial" w:eastAsia="Arial" w:hAnsi="Arial" w:cs="Arial"/>
                        <w:spacing w:val="5"/>
                        <w:sz w:val="24"/>
                        <w:szCs w:val="24"/>
                      </w:rPr>
                      <w:t xml:space="preserve">• 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1"/>
                        <w:szCs w:val="21"/>
                      </w:rPr>
                      <w:t>政府</w:t>
                    </w:r>
                    <w:r>
                      <w:rPr>
                        <w:rFonts w:ascii="SimSun" w:eastAsia="SimSun" w:hAnsi="SimSun" w:cs="SimSun"/>
                        <w:spacing w:val="-33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1"/>
                        <w:szCs w:val="21"/>
                      </w:rPr>
                      <w:t>DE</w:t>
                    </w:r>
                    <w:r>
                      <w:rPr>
                        <w:rFonts w:ascii="Calibri" w:eastAsia="Calibri" w:hAnsi="Calibri" w:cs="Calibri"/>
                        <w:spacing w:val="32"/>
                        <w:w w:val="10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1"/>
                        <w:szCs w:val="21"/>
                      </w:rPr>
                      <w:t>＆</w:t>
                    </w:r>
                    <w:r>
                      <w:rPr>
                        <w:rFonts w:ascii="SimSun" w:eastAsia="SimSun" w:hAnsi="SimSun" w:cs="SimSun"/>
                        <w:spacing w:val="-35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5"/>
                        <w:sz w:val="21"/>
                        <w:szCs w:val="21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spacing w:val="11"/>
                        <w:w w:val="10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1"/>
                        <w:szCs w:val="21"/>
                      </w:rPr>
                      <w:t>专家</w:t>
                    </w:r>
                    <w:r>
                      <w:rPr>
                        <w:rFonts w:ascii="SimSun" w:eastAsia="SimSun" w:hAnsi="SimSun" w:cs="SimSun"/>
                        <w:spacing w:val="-5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1"/>
                        <w:szCs w:val="21"/>
                      </w:rPr>
                      <w:t>Tracey</w:t>
                    </w:r>
                    <w:r>
                      <w:rPr>
                        <w:rFonts w:ascii="Calibri" w:eastAsia="Calibri" w:hAnsi="Calibri" w:cs="Calibri"/>
                        <w:spacing w:val="21"/>
                        <w:w w:val="101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21"/>
                        <w:szCs w:val="21"/>
                      </w:rPr>
                      <w:t>France</w:t>
                    </w:r>
                    <w:r>
                      <w:rPr>
                        <w:rFonts w:ascii="Calibri" w:eastAsia="Calibri" w:hAnsi="Calibri" w:cs="Calibri"/>
                        <w:spacing w:val="29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5"/>
                        <w:sz w:val="21"/>
                        <w:szCs w:val="21"/>
                      </w:rPr>
                      <w:t>的采访</w:t>
                    </w:r>
                  </w:p>
                  <w:p>
                    <w:pPr>
                      <w:spacing w:line="40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145" w:lineRule="exact"/>
                      <w:ind w:firstLine="6459"/>
                    </w:pPr>
                    <w:r>
                      <w:rPr>
                        <w:position w:val="-2"/>
                      </w:rPr>
                      <w:drawing>
                        <wp:inline distT="0" distB="0" distL="0" distR="0">
                          <wp:extent cx="88900" cy="92075"/>
                          <wp:effectExtent l="0" t="0" r="0" b="0"/>
                          <wp:docPr id="32" name="IM 3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" name="IM 32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900" cy="920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before="47" w:line="137" w:lineRule="exact"/>
                      <w:ind w:firstLine="2085"/>
                    </w:pPr>
                    <w:r>
                      <w:rPr>
                        <w:position w:val="-2"/>
                      </w:rPr>
                      <w:drawing>
                        <wp:inline distT="0" distB="0" distL="0" distR="0">
                          <wp:extent cx="88900" cy="87312"/>
                          <wp:effectExtent l="0" t="0" r="0" b="0"/>
                          <wp:docPr id="34" name="IM 34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4" name="IM 34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900" cy="8731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735" w:lineRule="exact"/>
                      <w:ind w:firstLine="5726"/>
                    </w:pPr>
                    <w:r>
                      <w:rPr>
                        <w:position w:val="-14"/>
                      </w:rPr>
                      <w:drawing>
                        <wp:inline distT="0" distB="0" distL="0" distR="0">
                          <wp:extent cx="723265" cy="467042"/>
                          <wp:effectExtent l="0" t="0" r="0" b="0"/>
                          <wp:docPr id="36" name="IM 3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" name="IM 36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23265" cy="46704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1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589" w:lineRule="exact"/>
                      <w:ind w:firstLine="998"/>
                    </w:pPr>
                    <w:r>
                      <w:rPr>
                        <w:position w:val="-11"/>
                      </w:rPr>
                      <w:drawing>
                        <wp:inline distT="0" distB="0" distL="0" distR="0">
                          <wp:extent cx="1071880" cy="374014"/>
                          <wp:effectExtent l="0" t="0" r="0" b="0"/>
                          <wp:docPr id="38" name="IM 3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8" name="IM 38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2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71880" cy="37401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4678" w:lineRule="exact"/>
        <w:sectPr>
          <w:headerReference w:type="default" r:id="rId26"/>
          <w:footerReference w:type="default" r:id="rId27"/>
          <w:type w:val="continuous"/>
          <w:pgSz w:w="15840" w:h="12240"/>
          <w:pgMar w:top="400" w:right="563" w:bottom="636" w:left="1050" w:header="0" w:footer="478" w:gutter="0"/>
          <w:pgNumType w:start="4"/>
          <w:cols w:num="2" w:space="708" w:equalWidth="0">
            <w:col w:w="6953" w:space="100"/>
            <w:col w:w="7174" w:space="0"/>
          </w:cols>
        </w:sectPr>
      </w:pPr>
    </w:p>
    <w:p>
      <w:pPr>
        <w:pStyle w:val="BodyText"/>
        <w:spacing w:line="426" w:lineRule="auto"/>
      </w:pPr>
      <w:r>
        <w:pict>
          <v:shape id="_x0000_s1035" style="width:449.75pt;height:0.5pt;margin-top:65.85pt;margin-left:4in;mso-position-horizontal-relative:page;mso-position-vertical-relative:page;position:absolute;z-index:251675648" coordorigin="0,0" coordsize="8995,10" o:allowincell="f" path="m,5l8995,5e" filled="f" strokecolor="#00ab7f" strokeweight="0.5pt">
            <v:stroke joinstyle="miter"/>
          </v:shape>
        </w:pict>
      </w:r>
      <w:r>
        <w:pict>
          <v:group id="_x0000_s1036" style="width:3in;height:133.15pt;margin-top:197.05pt;margin-left:54pt;mso-position-horizontal-relative:page;mso-position-vertical-relative:page;position:absolute;z-index:251669504" coordorigin="0,0" coordsize="4320,2662" o:allowincell="f" filled="f" stroked="f">
            <v:shape id="_x0000_s1037" type="#_x0000_t75" style="width:4065;height:2662;position:absolute" filled="f" stroked="f">
              <v:imagedata r:id="rId28" o:title=""/>
            </v:shape>
            <v:shape id="_x0000_s1038" type="#_x0000_t75" style="width:968;height:380;left:2775;position:absolute;top:568" filled="f" stroked="f">
              <v:imagedata r:id="rId29" o:title=""/>
            </v:shape>
            <v:shape id="_x0000_s1039" style="width:710;height:379;left:3001;position:absolute" coordorigin="0,0" coordsize="710,379" path="m267,l212,70l196,150l183,232l172,280l152,318l117,337l93,332l72,315l50,305l28,310l17,325l12,342l7,362l,378l710,378l701,327l670,230l617,158l572,137l525,138l486,168l472,207l465,252l452,293l421,320l377,320l351,292l336,250l328,208l323,165l321,122l315,80l306,37l298,25l291,13l281,5l267,xe" filled="t" fillcolor="#e8e7e9" stroked="f"/>
            <v:shape id="_x0000_s1040" type="#_x0000_t75" style="width:258;height:242;left:1191;position:absolute;top:77" filled="f" stroked="f">
              <v:imagedata r:id="rId30" o:title=""/>
            </v:shape>
            <v:rect id="_x0000_s1041" style="width:86;height:90;left:988;position:absolute;top:632" filled="t" fillcolor="#f26b6c" stroked="f"/>
            <v:rect id="_x0000_s1042" style="width:312;height:12;left:4007;position:absolute;top:2644" filled="t" fillcolor="#262626" stroked="f"/>
          </v:group>
        </w:pict>
      </w: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3747554</wp:posOffset>
            </wp:positionH>
            <wp:positionV relativeFrom="page">
              <wp:posOffset>2937764</wp:posOffset>
            </wp:positionV>
            <wp:extent cx="2583814" cy="154432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83814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3" type="#_x0000_t202" style="width:218.5pt;height:168.4pt;margin-top:349.13pt;margin-left:52.75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4320" w:type="dxa"/>
                    <w:tblInd w:w="25" w:type="dxa"/>
                    <w:tblBorders>
                      <w:top w:val="single" w:sz="4" w:space="0" w:color="00AB7F"/>
                      <w:left w:val="single" w:sz="4" w:space="0" w:color="00AB7F"/>
                      <w:bottom w:val="single" w:sz="4" w:space="0" w:color="00AB7F"/>
                      <w:right w:val="single" w:sz="4" w:space="0" w:color="00AB7F"/>
                    </w:tblBorders>
                    <w:tblLayout w:type="fixed"/>
                  </w:tblPr>
                  <w:tblGrid>
                    <w:gridCol w:w="4320"/>
                  </w:tblGrid>
                  <w:tr>
                    <w:tblPrEx>
                      <w:tblW w:w="4320" w:type="dxa"/>
                      <w:tblInd w:w="25" w:type="dxa"/>
                      <w:tblBorders>
                        <w:top w:val="single" w:sz="4" w:space="0" w:color="00AB7F"/>
                        <w:left w:val="single" w:sz="4" w:space="0" w:color="00AB7F"/>
                        <w:bottom w:val="single" w:sz="4" w:space="0" w:color="00AB7F"/>
                        <w:right w:val="single" w:sz="4" w:space="0" w:color="00AB7F"/>
                      </w:tblBorders>
                      <w:tblLayout w:type="fixed"/>
                    </w:tblPrEx>
                    <w:trPr>
                      <w:trHeight w:val="3307"/>
                    </w:trPr>
                    <w:tc>
                      <w:tcPr>
                        <w:tcW w:w="4320" w:type="dxa"/>
                        <w:vAlign w:val="top"/>
                      </w:tcPr>
                      <w:p>
                        <w:pPr>
                          <w:pStyle w:val="TableText"/>
                          <w:spacing w:before="200" w:line="258" w:lineRule="auto"/>
                          <w:ind w:left="176" w:right="259" w:firstLine="6"/>
                        </w:pPr>
                        <w:r>
                          <w:rPr>
                            <w:spacing w:val="5"/>
                          </w:rPr>
                          <w:t>奥巴马总统于</w:t>
                        </w:r>
                        <w:r>
                          <w:rPr>
                            <w:spacing w:val="-31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5"/>
                          </w:rPr>
                          <w:t xml:space="preserve">2016 </w:t>
                        </w:r>
                        <w:r>
                          <w:rPr>
                            <w:spacing w:val="5"/>
                          </w:rPr>
                          <w:t>年</w:t>
                        </w:r>
                        <w:r>
                          <w:rPr>
                            <w:spacing w:val="-3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5"/>
                          </w:rPr>
                          <w:t>12</w:t>
                        </w:r>
                        <w:r>
                          <w:rPr>
                            <w:rFonts w:ascii="Calibri" w:eastAsia="Calibri" w:hAnsi="Calibri" w:cs="Calibri"/>
                            <w:spacing w:val="14"/>
                            <w:w w:val="102"/>
                          </w:rPr>
                          <w:t xml:space="preserve"> </w:t>
                        </w:r>
                        <w:r>
                          <w:rPr>
                            <w:spacing w:val="5"/>
                          </w:rPr>
                          <w:t>月签署的《计划管</w:t>
                        </w:r>
                        <w:r>
                          <w:t xml:space="preserve">  </w:t>
                        </w:r>
                        <w:r>
                          <w:rPr>
                            <w:spacing w:val="6"/>
                          </w:rPr>
                          <w:t>理改进和责任法案》呼吁建立标准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，</w:t>
                        </w:r>
                        <w:r>
                          <w:rPr>
                            <w:spacing w:val="-28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改进计</w:t>
                        </w:r>
                        <w:r>
                          <w:t xml:space="preserve"> </w:t>
                        </w:r>
                        <w:r>
                          <w:rPr>
                            <w:spacing w:val="2"/>
                          </w:rPr>
                          <w:t>划</w:t>
                        </w:r>
                        <w:r>
                          <w:rPr>
                            <w:spacing w:val="-14"/>
                          </w:rPr>
                          <w:t xml:space="preserve"> </w:t>
                        </w:r>
                        <w:r>
                          <w:rPr>
                            <w:spacing w:val="2"/>
                          </w:rPr>
                          <w:t>，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2"/>
                          </w:rPr>
                          <w:t>领导责任和跨机构协调</w:t>
                        </w:r>
                        <w:r>
                          <w:rPr>
                            <w:spacing w:val="-26"/>
                          </w:rPr>
                          <w:t xml:space="preserve"> </w:t>
                        </w:r>
                        <w:r>
                          <w:rPr>
                            <w:spacing w:val="2"/>
                          </w:rPr>
                          <w:t>， 以大大加强</w:t>
                        </w:r>
                        <w:r>
                          <w:t xml:space="preserve">  </w:t>
                        </w:r>
                        <w:r>
                          <w:rPr>
                            <w:spacing w:val="7"/>
                          </w:rPr>
                          <w:t>计划管理</w:t>
                        </w:r>
                        <w:r>
                          <w:rPr>
                            <w:spacing w:val="-26"/>
                          </w:rPr>
                          <w:t xml:space="preserve"> </w:t>
                        </w:r>
                        <w:r>
                          <w:rPr>
                            <w:spacing w:val="7"/>
                          </w:rPr>
                          <w:t>，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spacing w:val="7"/>
                          </w:rPr>
                          <w:t>减少浪费并提高政府计划的成功</w:t>
                        </w:r>
                        <w:r>
                          <w:t xml:space="preserve"> </w:t>
                        </w:r>
                        <w:r>
                          <w:rPr>
                            <w:spacing w:val="-6"/>
                          </w:rPr>
                          <w:t>率。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44" type="#_x0000_t202" style="width:218.5pt;height:111.05pt;margin-top:460.99pt;margin-left:520.75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4320" w:type="dxa"/>
                    <w:tblInd w:w="25" w:type="dxa"/>
                    <w:tblBorders>
                      <w:top w:val="single" w:sz="4" w:space="0" w:color="C2E812"/>
                      <w:left w:val="single" w:sz="4" w:space="0" w:color="C2E812"/>
                      <w:bottom w:val="single" w:sz="4" w:space="0" w:color="C2E812"/>
                      <w:right w:val="single" w:sz="4" w:space="0" w:color="C2E812"/>
                    </w:tblBorders>
                    <w:tblLayout w:type="fixed"/>
                  </w:tblPr>
                  <w:tblGrid>
                    <w:gridCol w:w="4320"/>
                  </w:tblGrid>
                  <w:tr>
                    <w:tblPrEx>
                      <w:tblW w:w="4320" w:type="dxa"/>
                      <w:tblInd w:w="25" w:type="dxa"/>
                      <w:tblBorders>
                        <w:top w:val="single" w:sz="4" w:space="0" w:color="C2E812"/>
                        <w:left w:val="single" w:sz="4" w:space="0" w:color="C2E812"/>
                        <w:bottom w:val="single" w:sz="4" w:space="0" w:color="C2E812"/>
                        <w:right w:val="single" w:sz="4" w:space="0" w:color="C2E812"/>
                      </w:tblBorders>
                      <w:tblLayout w:type="fixed"/>
                    </w:tblPrEx>
                    <w:trPr>
                      <w:trHeight w:val="2160"/>
                    </w:trPr>
                    <w:tc>
                      <w:tcPr>
                        <w:tcW w:w="4320" w:type="dxa"/>
                        <w:vAlign w:val="top"/>
                      </w:tcPr>
                      <w:p>
                        <w:pPr>
                          <w:pStyle w:val="TableText"/>
                          <w:spacing w:before="201" w:line="255" w:lineRule="auto"/>
                          <w:ind w:left="193" w:right="244" w:firstLine="2"/>
                        </w:pPr>
                        <w:r>
                          <w:rPr>
                            <w:rFonts w:ascii="Calibri" w:eastAsia="Calibri" w:hAnsi="Calibri" w:cs="Calibri"/>
                            <w:spacing w:val="7"/>
                          </w:rPr>
                          <w:t xml:space="preserve">2018 </w:t>
                        </w:r>
                        <w:r>
                          <w:rPr>
                            <w:spacing w:val="7"/>
                          </w:rPr>
                          <w:t>年总统的管理议程将从低价值工作转向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高价值工作作为跨机构的优先目标</w:t>
                        </w:r>
                        <w:r>
                          <w:rPr>
                            <w:spacing w:val="-13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，</w:t>
                        </w:r>
                        <w:r>
                          <w:rPr>
                            <w:spacing w:val="-30"/>
                          </w:rPr>
                          <w:t xml:space="preserve"> </w:t>
                        </w:r>
                        <w:r>
                          <w:rPr>
                            <w:spacing w:val="6"/>
                          </w:rPr>
                          <w:t>并呼吁</w:t>
                        </w:r>
                        <w:r>
                          <w:t xml:space="preserve"> </w:t>
                        </w:r>
                        <w:r>
                          <w:rPr>
                            <w:spacing w:val="7"/>
                          </w:rPr>
                          <w:t>各机构</w:t>
                        </w:r>
                        <w:r>
                          <w:rPr>
                            <w:spacing w:val="-35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</w:rPr>
                          <w:t>“</w:t>
                        </w:r>
                        <w:r>
                          <w:rPr>
                            <w:spacing w:val="7"/>
                          </w:rPr>
                          <w:t>通过集成</w:t>
                        </w:r>
                        <w:r>
                          <w:rPr>
                            <w:spacing w:val="-3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IT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</w:rPr>
                          <w:t xml:space="preserve"> </w:t>
                        </w:r>
                        <w:r>
                          <w:rPr>
                            <w:spacing w:val="7"/>
                          </w:rPr>
                          <w:t>和自动化软件等工具减</w:t>
                        </w:r>
                        <w:r>
                          <w:t xml:space="preserve">  </w:t>
                        </w:r>
                        <w:r>
                          <w:rPr>
                            <w:spacing w:val="3"/>
                          </w:rPr>
                          <w:t>轻负担</w:t>
                        </w:r>
                        <w:r>
                          <w:rPr>
                            <w:spacing w:val="-4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 xml:space="preserve">” </w:t>
                        </w:r>
                        <w:r>
                          <w:rPr>
                            <w:spacing w:val="3"/>
                          </w:rPr>
                          <w:t>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6635750</wp:posOffset>
            </wp:positionH>
            <wp:positionV relativeFrom="page">
              <wp:posOffset>4116413</wp:posOffset>
            </wp:positionV>
            <wp:extent cx="2743200" cy="156527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6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9" w:line="220" w:lineRule="auto"/>
        <w:ind w:left="54"/>
        <w:rPr>
          <w:rFonts w:ascii="SimSun" w:eastAsia="SimSun" w:hAnsi="SimSun" w:cs="SimSun"/>
          <w:sz w:val="55"/>
          <w:szCs w:val="55"/>
        </w:rPr>
      </w:pPr>
      <w:r>
        <w:rPr>
          <w:rFonts w:ascii="SimSun" w:eastAsia="SimSun" w:hAnsi="SimSun" w:cs="SimSun"/>
          <w:color w:val="00AB7F"/>
          <w:spacing w:val="-30"/>
          <w:sz w:val="55"/>
          <w:szCs w:val="55"/>
        </w:rPr>
        <w:t>需要知道</w:t>
      </w:r>
    </w:p>
    <w:p>
      <w:pPr>
        <w:pStyle w:val="BodyText"/>
        <w:spacing w:line="353" w:lineRule="auto"/>
      </w:pPr>
    </w:p>
    <w:p>
      <w:pPr>
        <w:spacing w:before="62" w:line="273" w:lineRule="exact"/>
        <w:ind w:left="14"/>
        <w:rPr>
          <w:rFonts w:ascii="SimSun" w:eastAsia="SimSun" w:hAnsi="SimSun" w:cs="SimSun"/>
          <w:sz w:val="19"/>
          <w:szCs w:val="19"/>
        </w:rPr>
      </w:pPr>
      <w:r>
        <w:pict>
          <v:shape id="_x0000_s1045" type="#_x0000_t202" style="width:218.5pt;height:94.5pt;margin-top:-8.32pt;margin-left:467pt;position:absolute;z-index:251674624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4320" w:type="dxa"/>
                    <w:tblInd w:w="25" w:type="dxa"/>
                    <w:tblBorders>
                      <w:top w:val="single" w:sz="4" w:space="0" w:color="00AB7F"/>
                      <w:left w:val="single" w:sz="4" w:space="0" w:color="00AB7F"/>
                      <w:bottom w:val="single" w:sz="4" w:space="0" w:color="00AB7F"/>
                      <w:right w:val="single" w:sz="4" w:space="0" w:color="00AB7F"/>
                    </w:tblBorders>
                    <w:tblLayout w:type="fixed"/>
                  </w:tblPr>
                  <w:tblGrid>
                    <w:gridCol w:w="4320"/>
                  </w:tblGrid>
                  <w:tr>
                    <w:tblPrEx>
                      <w:tblW w:w="4320" w:type="dxa"/>
                      <w:tblInd w:w="25" w:type="dxa"/>
                      <w:tblBorders>
                        <w:top w:val="single" w:sz="4" w:space="0" w:color="00AB7F"/>
                        <w:left w:val="single" w:sz="4" w:space="0" w:color="00AB7F"/>
                        <w:bottom w:val="single" w:sz="4" w:space="0" w:color="00AB7F"/>
                        <w:right w:val="single" w:sz="4" w:space="0" w:color="00AB7F"/>
                      </w:tblBorders>
                      <w:tblLayout w:type="fixed"/>
                    </w:tblPrEx>
                    <w:trPr>
                      <w:trHeight w:val="1830"/>
                    </w:trPr>
                    <w:tc>
                      <w:tcPr>
                        <w:tcW w:w="4320" w:type="dxa"/>
                        <w:vAlign w:val="top"/>
                      </w:tcPr>
                      <w:p>
                        <w:pPr>
                          <w:pStyle w:val="TableText"/>
                          <w:spacing w:before="193" w:line="252" w:lineRule="auto"/>
                          <w:ind w:left="183" w:right="201" w:firstLine="2"/>
                        </w:pPr>
                        <w:r>
                          <w:rPr>
                            <w:rFonts w:ascii="Calibri" w:eastAsia="Calibri" w:hAnsi="Calibri" w:cs="Calibri"/>
                            <w:spacing w:val="2"/>
                            <w:u w:val="single" w:color="FF6B6B"/>
                          </w:rPr>
                          <w:t xml:space="preserve">2017 </w:t>
                        </w:r>
                        <w:r>
                          <w:rPr>
                            <w:spacing w:val="2"/>
                            <w:u w:val="single" w:color="FF6B6B"/>
                          </w:rPr>
                          <w:t>年</w:t>
                        </w:r>
                        <w:r>
                          <w:rPr>
                            <w:spacing w:val="-33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u w:val="single" w:color="FF6B6B"/>
                          </w:rPr>
                          <w:t>12</w:t>
                        </w:r>
                        <w:r>
                          <w:rPr>
                            <w:rFonts w:ascii="Calibri" w:eastAsia="Calibri" w:hAnsi="Calibri" w:cs="Calibri"/>
                            <w:spacing w:val="15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spacing w:val="2"/>
                            <w:u w:val="single" w:color="FF6B6B"/>
                          </w:rPr>
                          <w:t>月颁布的《现代化政府技术法案</w:t>
                        </w:r>
                        <w:r>
                          <w:rPr>
                            <w:spacing w:val="1"/>
                            <w:u w:val="single" w:color="FF6B6B"/>
                          </w:rPr>
                          <w:t xml:space="preserve">》 </w:t>
                        </w:r>
                        <w:r>
                          <w:t xml:space="preserve"> </w:t>
                        </w:r>
                        <w:r>
                          <w:rPr>
                            <w:spacing w:val="9"/>
                            <w:u w:val="single" w:color="FF6B6B"/>
                          </w:rPr>
                          <w:t>和技术现代化基金为改善服务提供了技术框</w:t>
                        </w:r>
                        <w:r>
                          <w:t xml:space="preserve">  </w:t>
                        </w:r>
                        <w:r>
                          <w:rPr>
                            <w:spacing w:val="-18"/>
                            <w:u w:val="single" w:color="FF6B6B"/>
                          </w:rPr>
                          <w:t>架和资金。</w:t>
                        </w:r>
                        <w:r>
                          <w:rPr>
                            <w:u w:val="single" w:color="FF6B6B"/>
                          </w:rPr>
                          <w:t xml:space="preserve">  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pict>
          <v:shape id="_x0000_s1046" type="#_x0000_t202" style="width:218.5pt;height:124pt;margin-top:-8.32pt;margin-left:233.25pt;position:absolute;z-index:251671552" filled="f" stroked="f">
            <o:lock v:ext="edit" aspectratio="f"/>
            <v:textbox inset="0,0,0,0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TableNormal0"/>
                    <w:tblW w:w="4320" w:type="dxa"/>
                    <w:tblInd w:w="25" w:type="dxa"/>
                    <w:tblBorders>
                      <w:top w:val="single" w:sz="4" w:space="0" w:color="C2E812"/>
                      <w:left w:val="single" w:sz="4" w:space="0" w:color="C2E812"/>
                      <w:bottom w:val="single" w:sz="4" w:space="0" w:color="C2E812"/>
                      <w:right w:val="single" w:sz="4" w:space="0" w:color="C2E812"/>
                    </w:tblBorders>
                    <w:tblLayout w:type="fixed"/>
                  </w:tblPr>
                  <w:tblGrid>
                    <w:gridCol w:w="4320"/>
                  </w:tblGrid>
                  <w:tr>
                    <w:tblPrEx>
                      <w:tblW w:w="4320" w:type="dxa"/>
                      <w:tblInd w:w="25" w:type="dxa"/>
                      <w:tblBorders>
                        <w:top w:val="single" w:sz="4" w:space="0" w:color="C2E812"/>
                        <w:left w:val="single" w:sz="4" w:space="0" w:color="C2E812"/>
                        <w:bottom w:val="single" w:sz="4" w:space="0" w:color="C2E812"/>
                        <w:right w:val="single" w:sz="4" w:space="0" w:color="C2E812"/>
                      </w:tblBorders>
                      <w:tblLayout w:type="fixed"/>
                    </w:tblPrEx>
                    <w:trPr>
                      <w:trHeight w:val="2420"/>
                    </w:trPr>
                    <w:tc>
                      <w:tcPr>
                        <w:tcW w:w="4320" w:type="dxa"/>
                        <w:vAlign w:val="top"/>
                      </w:tcPr>
                      <w:p>
                        <w:pPr>
                          <w:pStyle w:val="TableText"/>
                          <w:spacing w:before="199" w:line="258" w:lineRule="auto"/>
                          <w:ind w:left="182" w:right="299"/>
                        </w:pPr>
                        <w:r>
                          <w:rPr>
                            <w:spacing w:val="5"/>
                            <w:u w:val="single" w:color="FF6B6B"/>
                          </w:rPr>
                          <w:t>唐纳德</w:t>
                        </w:r>
                        <w:r>
                          <w:rPr>
                            <w:spacing w:val="-35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5"/>
                            <w:u w:val="single" w:color="FF6B6B"/>
                          </w:rPr>
                          <w:t xml:space="preserve">· </w:t>
                        </w:r>
                        <w:r>
                          <w:rPr>
                            <w:spacing w:val="5"/>
                            <w:u w:val="single" w:color="FF6B6B"/>
                          </w:rPr>
                          <w:t>特朗普总统于</w:t>
                        </w:r>
                        <w:r>
                          <w:rPr>
                            <w:spacing w:val="-39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5"/>
                            <w:u w:val="single" w:color="FF6B6B"/>
                          </w:rPr>
                          <w:t xml:space="preserve">2017 </w:t>
                        </w:r>
                        <w:r>
                          <w:rPr>
                            <w:spacing w:val="5"/>
                            <w:u w:val="single" w:color="FF6B6B"/>
                          </w:rPr>
                          <w:t>年</w:t>
                        </w:r>
                        <w:r>
                          <w:rPr>
                            <w:spacing w:val="-40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5"/>
                            <w:u w:val="single" w:color="FF6B6B"/>
                          </w:rPr>
                          <w:t>3</w:t>
                        </w:r>
                        <w:r>
                          <w:rPr>
                            <w:rFonts w:ascii="Calibri" w:eastAsia="Calibri" w:hAnsi="Calibri" w:cs="Calibri"/>
                            <w:spacing w:val="15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spacing w:val="5"/>
                            <w:u w:val="single" w:color="FF6B6B"/>
                          </w:rPr>
                          <w:t>月发布的第</w:t>
                        </w:r>
                        <w: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7"/>
                            <w:u w:val="single" w:color="FF6B6B"/>
                          </w:rPr>
                          <w:t>13781</w:t>
                        </w:r>
                        <w:r>
                          <w:rPr>
                            <w:rFonts w:ascii="Calibri" w:eastAsia="Calibri" w:hAnsi="Calibri" w:cs="Calibri"/>
                            <w:spacing w:val="22"/>
                            <w:w w:val="101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spacing w:val="7"/>
                            <w:u w:val="single" w:color="FF6B6B"/>
                          </w:rPr>
                          <w:t>号行政命令要求各机构制定改革计划</w:t>
                        </w:r>
                        <w:r>
                          <w:t xml:space="preserve">  </w:t>
                        </w:r>
                        <w:r>
                          <w:rPr>
                            <w:spacing w:val="5"/>
                            <w:u w:val="single" w:color="FF6B6B"/>
                          </w:rPr>
                          <w:t>,  其中包括人力资本运营计划和短期工作削</w:t>
                        </w:r>
                        <w:r>
                          <w:rPr>
                            <w:spacing w:val="16"/>
                          </w:rPr>
                          <w:t xml:space="preserve"> </w:t>
                        </w:r>
                        <w:r>
                          <w:rPr>
                            <w:spacing w:val="2"/>
                            <w:u w:val="single" w:color="FF6B6B"/>
                          </w:rPr>
                          <w:t>减。它还将缩写词从</w:t>
                        </w:r>
                        <w:r>
                          <w:rPr>
                            <w:spacing w:val="-28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u w:val="single" w:color="FF6B6B"/>
                          </w:rPr>
                          <w:t>DE</w:t>
                        </w:r>
                        <w:r>
                          <w:rPr>
                            <w:rFonts w:ascii="Calibri" w:eastAsia="Calibri" w:hAnsi="Calibri" w:cs="Calibri"/>
                            <w:spacing w:val="29"/>
                            <w:w w:val="101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spacing w:val="2"/>
                            <w:u w:val="single" w:color="FF6B6B"/>
                          </w:rPr>
                          <w:t>＆</w:t>
                        </w:r>
                        <w:r>
                          <w:rPr>
                            <w:spacing w:val="-32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  <w:u w:val="single" w:color="FF6B6B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12"/>
                            <w:w w:val="101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spacing w:val="2"/>
                            <w:u w:val="single" w:color="FF6B6B"/>
                          </w:rPr>
                          <w:t>更改为</w:t>
                        </w:r>
                        <w:r>
                          <w:rPr>
                            <w:spacing w:val="-33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u w:val="single" w:color="FF6B6B"/>
                          </w:rPr>
                          <w:t>DEIA</w:t>
                        </w:r>
                        <w:r>
                          <w:rPr>
                            <w:rFonts w:ascii="Calibri" w:eastAsia="Calibri" w:hAnsi="Calibri" w:cs="Calibri"/>
                            <w:spacing w:val="26"/>
                            <w:u w:val="single" w:color="FF6B6B"/>
                          </w:rPr>
                          <w:t xml:space="preserve"> </w:t>
                        </w:r>
                        <w:r>
                          <w:rPr>
                            <w:spacing w:val="2"/>
                            <w:u w:val="single" w:color="FF6B6B"/>
                          </w:rPr>
                          <w:t>，</w:t>
                        </w:r>
                        <w:r>
                          <w:rPr>
                            <w:spacing w:val="-43"/>
                            <w:u w:val="single" w:color="FF6B6B"/>
                          </w:rPr>
                          <w:t xml:space="preserve"> </w:t>
                        </w:r>
                        <w:r>
                          <w:t xml:space="preserve"> </w:t>
                        </w:r>
                        <w:r>
                          <w:rPr>
                            <w:spacing w:val="-8"/>
                            <w:u w:val="single" w:color="FF6B6B"/>
                          </w:rPr>
                          <w:t>以包括可访问性。</w:t>
                        </w:r>
                        <w:r>
                          <w:rPr>
                            <w:spacing w:val="1"/>
                            <w:u w:val="single" w:color="FF6B6B"/>
                          </w:rPr>
                          <w:t xml:space="preserve">  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SimSun" w:eastAsia="SimSun" w:hAnsi="SimSun" w:cs="SimSun"/>
          <w:color w:val="081411"/>
          <w:spacing w:val="-9"/>
          <w:position w:val="6"/>
          <w:sz w:val="19"/>
          <w:szCs w:val="19"/>
          <w14:textOutline w14:w="3447">
            <w14:solidFill>
              <w14:srgbClr w14:val="081411"/>
            </w14:solidFill>
            <w14:prstDash w14:val="solid"/>
            <w14:miter w14:lim="10"/>
          </w14:textOutline>
        </w:rPr>
        <w:t>与劳动力相关的任务为机构应如何对待员工树立了榜</w:t>
      </w:r>
    </w:p>
    <w:p>
      <w:pPr>
        <w:spacing w:line="219" w:lineRule="auto"/>
        <w:ind w:left="1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81411"/>
          <w:spacing w:val="-9"/>
          <w:sz w:val="19"/>
          <w:szCs w:val="19"/>
          <w14:textOutline w14:w="3447">
            <w14:solidFill>
              <w14:srgbClr w14:val="081411"/>
            </w14:solidFill>
            <w14:prstDash w14:val="solid"/>
            <w14:miter w14:lim="10"/>
          </w14:textOutline>
        </w:rPr>
        <w:t>样。以下是过去五年中在两位总统领导下出现的六项</w:t>
      </w:r>
    </w:p>
    <w:p>
      <w:pPr>
        <w:spacing w:before="169" w:line="96" w:lineRule="exact"/>
        <w:ind w:left="28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color w:val="081411"/>
          <w:position w:val="1"/>
          <w:sz w:val="19"/>
          <w:szCs w:val="19"/>
          <w14:textOutline w14:w="3447">
            <w14:solidFill>
              <w14:srgbClr w14:val="081411"/>
            </w14:solidFill>
            <w14:prstDash w14:val="solid"/>
            <w14:miter w14:lim="10"/>
          </w14:textOutline>
        </w:rPr>
        <w:t>。</w:t>
      </w:r>
    </w:p>
    <w:p>
      <w:pPr>
        <w:spacing w:before="42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TableNormal0"/>
        <w:tblW w:w="4320" w:type="dxa"/>
        <w:tblInd w:w="9355" w:type="dxa"/>
        <w:tblBorders>
          <w:top w:val="single" w:sz="4" w:space="0" w:color="FF6B6B"/>
          <w:left w:val="single" w:sz="4" w:space="0" w:color="FF6B6B"/>
          <w:bottom w:val="single" w:sz="4" w:space="0" w:color="FF6B6B"/>
          <w:right w:val="single" w:sz="4" w:space="0" w:color="FF6B6B"/>
        </w:tblBorders>
        <w:tblLayout w:type="fixed"/>
      </w:tblPr>
      <w:tblGrid>
        <w:gridCol w:w="4320"/>
      </w:tblGrid>
      <w:tr>
        <w:tblPrEx>
          <w:tblW w:w="4320" w:type="dxa"/>
          <w:tblInd w:w="9355" w:type="dxa"/>
          <w:tblBorders>
            <w:top w:val="single" w:sz="4" w:space="0" w:color="FF6B6B"/>
            <w:left w:val="single" w:sz="4" w:space="0" w:color="FF6B6B"/>
            <w:bottom w:val="single" w:sz="4" w:space="0" w:color="FF6B6B"/>
            <w:right w:val="single" w:sz="4" w:space="0" w:color="FF6B6B"/>
          </w:tblBorders>
          <w:tblLayout w:type="fixed"/>
        </w:tblPrEx>
        <w:trPr>
          <w:trHeight w:val="2160"/>
        </w:trPr>
        <w:tc>
          <w:tcPr>
            <w:tcW w:w="4320" w:type="dxa"/>
            <w:vAlign w:val="top"/>
          </w:tcPr>
          <w:p>
            <w:pPr>
              <w:pStyle w:val="TableText"/>
              <w:spacing w:before="219" w:line="255" w:lineRule="auto"/>
              <w:ind w:left="193" w:right="239"/>
            </w:pPr>
            <w:r>
              <w:rPr>
                <w:rFonts w:ascii="Calibri" w:eastAsia="Calibri" w:hAnsi="Calibri" w:cs="Calibri"/>
                <w:spacing w:val="-2"/>
              </w:rPr>
              <w:t>OPM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spacing w:val="-2"/>
              </w:rPr>
              <w:t>于</w:t>
            </w:r>
            <w:r>
              <w:rPr>
                <w:spacing w:val="-4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 xml:space="preserve">2018 </w:t>
            </w:r>
            <w:r>
              <w:rPr>
                <w:spacing w:val="-2"/>
              </w:rPr>
              <w:t>年发布的联邦劳动力优先事项报</w:t>
            </w:r>
            <w:r>
              <w:t xml:space="preserve">  </w:t>
            </w:r>
            <w:r>
              <w:rPr>
                <w:spacing w:val="-3"/>
              </w:rPr>
              <w:t>告为未来的劳动力设定了六个优先事项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：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培训</w:t>
            </w:r>
            <w:r>
              <w:t xml:space="preserve"> </w:t>
            </w:r>
            <w:r>
              <w:rPr>
                <w:spacing w:val="-6"/>
              </w:rPr>
              <w:t>和发展</w:t>
            </w:r>
            <w:r>
              <w:rPr>
                <w:spacing w:val="-19"/>
              </w:rPr>
              <w:t xml:space="preserve"> </w:t>
            </w:r>
            <w:r>
              <w:rPr>
                <w:spacing w:val="-6"/>
              </w:rPr>
              <w:t>，</w:t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>人员配备水平</w:t>
            </w:r>
            <w:r>
              <w:rPr>
                <w:spacing w:val="-29"/>
              </w:rPr>
              <w:t xml:space="preserve"> </w:t>
            </w:r>
            <w:r>
              <w:rPr>
                <w:spacing w:val="-6"/>
              </w:rPr>
              <w:t>，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技能</w:t>
            </w:r>
            <w:r>
              <w:rPr>
                <w:spacing w:val="-29"/>
              </w:rPr>
              <w:t xml:space="preserve"> </w:t>
            </w:r>
            <w:r>
              <w:rPr>
                <w:spacing w:val="-6"/>
              </w:rPr>
              <w:t>，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招聘和招聘</w:t>
            </w:r>
            <w:r>
              <w:t xml:space="preserve"> </w:t>
            </w:r>
            <w:r>
              <w:rPr>
                <w:spacing w:val="-7"/>
              </w:rPr>
              <w:t>,  数据和分析以及计划。</w:t>
            </w:r>
          </w:p>
        </w:tc>
      </w:tr>
    </w:tbl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https://d.book118.com/277164111160006025</w:t>
        </w:r>
      </w:hyperlink>
    </w:p>
    <w:p>
      <w:pPr>
        <w:spacing w:before="1"/>
      </w:pPr>
    </w:p>
    <w:sectPr>
      <w:headerReference w:type="default" r:id="rId34"/>
      <w:footerReference w:type="default" r:id="rId35"/>
      <w:pgSz w:w="15840" w:h="12240"/>
      <w:pgMar w:top="400" w:right="563" w:bottom="636" w:left="1075" w:header="0" w:footer="478" w:gutter="0"/>
      <w:pgNumType w:start="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2" w:lineRule="auto"/>
      <w:jc w:val="right"/>
      <w:rPr>
        <w:sz w:val="17"/>
        <w:szCs w:val="17"/>
      </w:rPr>
    </w:pPr>
    <w:r>
      <w:rPr>
        <w:b/>
        <w:bCs/>
        <w:color w:val="00AB7F"/>
        <w:spacing w:val="-5"/>
        <w:sz w:val="17"/>
        <w:szCs w:val="17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2" w:lineRule="auto"/>
      <w:jc w:val="right"/>
      <w:rPr>
        <w:sz w:val="17"/>
        <w:szCs w:val="17"/>
      </w:rPr>
    </w:pPr>
    <w:r>
      <w:rPr>
        <w:b/>
        <w:bCs/>
        <w:color w:val="00AB7F"/>
        <w:spacing w:val="-5"/>
        <w:sz w:val="17"/>
        <w:szCs w:val="17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81" w:lineRule="auto"/>
      <w:jc w:val="right"/>
      <w:rPr>
        <w:sz w:val="17"/>
        <w:szCs w:val="17"/>
      </w:rPr>
    </w:pPr>
    <w:r>
      <w:rPr>
        <w:b/>
        <w:bCs/>
        <w:color w:val="00AB7F"/>
        <w:spacing w:val="-7"/>
        <w:sz w:val="17"/>
        <w:szCs w:val="17"/>
      </w:rPr>
      <w:t>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058400" cy="77724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058400" cy="7772400"/>
                      </a:xfrm>
                      <a:prstGeom prst="rect">
                        <a:avLst/>
                      </a:prstGeom>
                      <a:solidFill>
                        <a:srgbClr val="00AB7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11in;height:612pt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00ab7f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0058400" cy="7772400"/>
              <wp:effectExtent l="0" t="0" r="0" b="0"/>
              <wp:wrapNone/>
              <wp:docPr id="2025949616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0058400" cy="7772400"/>
                      </a:xfrm>
                      <a:prstGeom prst="rect">
                        <a:avLst/>
                      </a:prstGeom>
                      <a:solidFill>
                        <a:srgbClr val="00AB7F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11in;height:612pt;margin-top:0;margin-left:0;mso-position-horizontal-relative:page;mso-position-vertical-relative:page;mso-wrap-distance-bottom:0;mso-wrap-distance-left:0;mso-wrap-distance-right:0;mso-wrap-distance-top:0;position:absolute;v-text-anchor:top;z-index:-251656192" o:allowincell="f" fillcolor="#00ab7f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9"/>
      <w:szCs w:val="19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eader" Target="header1.xml" /><Relationship Id="rId14" Type="http://schemas.openxmlformats.org/officeDocument/2006/relationships/image" Target="media/image10.png" /><Relationship Id="rId15" Type="http://schemas.openxmlformats.org/officeDocument/2006/relationships/header" Target="header2.xml" /><Relationship Id="rId16" Type="http://schemas.openxmlformats.org/officeDocument/2006/relationships/header" Target="header3.xml" /><Relationship Id="rId17" Type="http://schemas.openxmlformats.org/officeDocument/2006/relationships/footer" Target="footer1.xml" /><Relationship Id="rId18" Type="http://schemas.openxmlformats.org/officeDocument/2006/relationships/image" Target="media/image11.png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image" Target="media/image15.png" /><Relationship Id="rId23" Type="http://schemas.openxmlformats.org/officeDocument/2006/relationships/image" Target="media/image16.png" /><Relationship Id="rId24" Type="http://schemas.openxmlformats.org/officeDocument/2006/relationships/image" Target="media/image17.png" /><Relationship Id="rId25" Type="http://schemas.openxmlformats.org/officeDocument/2006/relationships/image" Target="media/image18.png" /><Relationship Id="rId26" Type="http://schemas.openxmlformats.org/officeDocument/2006/relationships/header" Target="header4.xml" /><Relationship Id="rId27" Type="http://schemas.openxmlformats.org/officeDocument/2006/relationships/footer" Target="footer2.xml" /><Relationship Id="rId28" Type="http://schemas.openxmlformats.org/officeDocument/2006/relationships/image" Target="media/image19.png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png" /><Relationship Id="rId31" Type="http://schemas.openxmlformats.org/officeDocument/2006/relationships/image" Target="media/image22.png" /><Relationship Id="rId32" Type="http://schemas.openxmlformats.org/officeDocument/2006/relationships/image" Target="media/image23.png" /><Relationship Id="rId33" Type="http://schemas.openxmlformats.org/officeDocument/2006/relationships/hyperlink" Target="https://d.book118.com/277164111160006025" TargetMode="External" /><Relationship Id="rId34" Type="http://schemas.openxmlformats.org/officeDocument/2006/relationships/header" Target="header5.xml" /><Relationship Id="rId35" Type="http://schemas.openxmlformats.org/officeDocument/2006/relationships/footer" Target="footer3.xml" /><Relationship Id="rId36" Type="http://schemas.openxmlformats.org/officeDocument/2006/relationships/theme" Target="theme/theme1.xml" /><Relationship Id="rId37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2024-01-06T11:32:55Z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2024-01-06T13:34:08Z</vt:filetime>
  </property>
  <property fmtid="{D5CDD505-2E9C-101B-9397-08002B2CF9AE}" pid="3" name="CRO">
    <vt:lpwstr>wqlLaW5nc29mdCBQREYgdG8gV1BTIDkw</vt:lpwstr>
  </property>
</Properties>
</file>