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防雷产品战略市场规划报告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660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_Toc28660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32" w:history="1">
        <w:r>
          <w:rPr>
            <w:rFonts w:ascii="仿宋" w:eastAsia="仿宋" w:hAnsi="仿宋" w:cs="仿宋" w:hint="eastAsia"/>
            <w:lang w:val="en-GB"/>
          </w:rPr>
          <w:t>一、防雷产品危机管理与应对策略</w:t>
        </w:r>
        <w:r>
          <w:tab/>
        </w:r>
        <w:r>
          <w:fldChar w:fldCharType="begin"/>
        </w:r>
        <w:r>
          <w:instrText xml:space="preserve"> PAGEREF _Toc13232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0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_Toc3810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9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_Toc24079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6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_Toc4716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_Toc787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55" w:history="1">
        <w:r>
          <w:rPr>
            <w:rFonts w:ascii="仿宋" w:eastAsia="仿宋" w:hAnsi="仿宋" w:cs="仿宋" w:hint="eastAsia"/>
            <w:lang w:val="en-GB"/>
          </w:rPr>
          <w:t>二、防雷产品行业前景</w:t>
        </w:r>
        <w:r>
          <w:tab/>
        </w:r>
        <w:r>
          <w:fldChar w:fldCharType="begin"/>
        </w:r>
        <w:r>
          <w:instrText xml:space="preserve"> PAGEREF _Toc28055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_Toc1942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3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_Toc16423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_Toc2359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_Toc621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87" w:history="1">
        <w:r>
          <w:rPr>
            <w:rFonts w:ascii="仿宋" w:eastAsia="仿宋" w:hAnsi="仿宋" w:cs="仿宋" w:hint="eastAsia"/>
            <w:lang w:val="en-GB"/>
          </w:rPr>
          <w:t>三、人力资源分析</w:t>
        </w:r>
        <w:r>
          <w:tab/>
        </w:r>
        <w:r>
          <w:fldChar w:fldCharType="begin"/>
        </w:r>
        <w:r>
          <w:instrText xml:space="preserve"> PAGEREF _Toc21387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7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_Toc15397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9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_Toc30699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8" w:history="1">
        <w:r>
          <w:rPr>
            <w:rFonts w:ascii="仿宋" w:eastAsia="仿宋" w:hAnsi="仿宋" w:cs="仿宋" w:hint="eastAsia"/>
            <w:lang w:val="en-GB"/>
          </w:rPr>
          <w:t>四、发展规划分析</w:t>
        </w:r>
        <w:r>
          <w:tab/>
        </w:r>
        <w:r>
          <w:fldChar w:fldCharType="begin"/>
        </w:r>
        <w:r>
          <w:instrText xml:space="preserve"> PAGEREF _Toc1928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9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_Toc25809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2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_Toc27082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" w:history="1">
        <w:r>
          <w:rPr>
            <w:rFonts w:ascii="仿宋" w:eastAsia="仿宋" w:hAnsi="仿宋" w:cs="仿宋" w:hint="eastAsia"/>
            <w:lang w:val="en-GB"/>
          </w:rPr>
          <w:t>五、员工培训与绩效提升</w:t>
        </w:r>
        <w:r>
          <w:tab/>
        </w:r>
        <w:r>
          <w:fldChar w:fldCharType="begin"/>
        </w:r>
        <w:r>
          <w:instrText xml:space="preserve"> PAGEREF _Toc210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6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_Toc5266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2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_Toc11962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_Toc2915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9" w:history="1">
        <w:r>
          <w:rPr>
            <w:rFonts w:ascii="仿宋" w:eastAsia="仿宋" w:hAnsi="仿宋" w:cs="仿宋" w:hint="eastAsia"/>
            <w:lang w:val="en-GB"/>
          </w:rPr>
          <w:t>六、防雷产品新型运营方式</w:t>
        </w:r>
        <w:r>
          <w:tab/>
        </w:r>
        <w:r>
          <w:fldChar w:fldCharType="begin"/>
        </w:r>
        <w:r>
          <w:instrText xml:space="preserve"> PAGEREF _Toc3249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8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_Toc31528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_Toc1996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_Toc3123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2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_Toc10422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55" w:history="1">
        <w:r>
          <w:rPr>
            <w:rFonts w:ascii="仿宋" w:eastAsia="仿宋" w:hAnsi="仿宋" w:cs="仿宋" w:hint="eastAsia"/>
            <w:lang w:val="en-GB"/>
          </w:rPr>
          <w:t>七、技术与生产管理</w:t>
        </w:r>
        <w:r>
          <w:tab/>
        </w:r>
        <w:r>
          <w:fldChar w:fldCharType="begin"/>
        </w:r>
        <w:r>
          <w:instrText xml:space="preserve"> PAGEREF _Toc7155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3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_Toc22043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1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_Toc24951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0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_Toc29080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9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_Toc19339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12" w:history="1">
        <w:r>
          <w:rPr>
            <w:rFonts w:ascii="仿宋" w:eastAsia="仿宋" w:hAnsi="仿宋" w:cs="仿宋" w:hint="eastAsia"/>
            <w:lang w:val="en-GB"/>
          </w:rPr>
          <w:t>八、防雷产品定价策略</w:t>
        </w:r>
        <w:r>
          <w:tab/>
        </w:r>
        <w:r>
          <w:fldChar w:fldCharType="begin"/>
        </w:r>
        <w:r>
          <w:instrText xml:space="preserve"> PAGEREF _Toc31712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4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_Toc22724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0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_Toc16160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_Toc223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9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_Toc22879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22" w:history="1">
        <w:r>
          <w:rPr>
            <w:rFonts w:ascii="仿宋" w:eastAsia="仿宋" w:hAnsi="仿宋" w:cs="仿宋" w:hint="eastAsia"/>
            <w:lang w:val="en-GB"/>
          </w:rPr>
          <w:t>九、防雷产品促销策略</w:t>
        </w:r>
        <w:r>
          <w:tab/>
        </w:r>
        <w:r>
          <w:fldChar w:fldCharType="begin"/>
        </w:r>
        <w:r>
          <w:instrText xml:space="preserve"> PAGEREF _Toc16922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3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_Toc3813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3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_Toc14973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7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_Toc19707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345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_Toc13345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99" w:history="1">
        <w:r>
          <w:rPr>
            <w:rFonts w:ascii="仿宋" w:eastAsia="仿宋" w:hAnsi="仿宋" w:cs="仿宋" w:hint="eastAsia"/>
            <w:lang w:val="en-GB"/>
          </w:rPr>
          <w:t>十、防雷产品整合营销</w:t>
        </w:r>
        <w:r>
          <w:tab/>
        </w:r>
        <w:r>
          <w:fldChar w:fldCharType="begin"/>
        </w:r>
        <w:r>
          <w:instrText xml:space="preserve"> PAGEREF _Toc18299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_Toc1274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5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_Toc12295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4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_Toc26034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6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_Toc15336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32" w:history="1">
        <w:r>
          <w:rPr>
            <w:rFonts w:ascii="仿宋" w:eastAsia="仿宋" w:hAnsi="仿宋" w:cs="仿宋" w:hint="eastAsia"/>
            <w:lang w:val="en-GB"/>
          </w:rPr>
          <w:t>十一、防雷产品数字化发展方案</w:t>
        </w:r>
        <w:r>
          <w:tab/>
        </w:r>
        <w:r>
          <w:fldChar w:fldCharType="begin"/>
        </w:r>
        <w:r>
          <w:instrText xml:space="preserve"> PAGEREF _Toc16532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4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_Toc5594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7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_Toc16537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_Toc855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8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_Toc27158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" w:history="1">
        <w:r>
          <w:rPr>
            <w:rFonts w:ascii="仿宋" w:eastAsia="仿宋" w:hAnsi="仿宋" w:cs="仿宋" w:hint="eastAsia"/>
            <w:lang w:val="en-GB"/>
          </w:rPr>
          <w:t>十二、防雷产品行业高质量发展</w:t>
        </w:r>
        <w:r>
          <w:tab/>
        </w:r>
        <w:r>
          <w:fldChar w:fldCharType="begin"/>
        </w:r>
        <w:r>
          <w:instrText xml:space="preserve"> PAGEREF _Toc289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6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_Toc4506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3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_Toc30993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8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_Toc27388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_Toc890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54" w:history="1">
        <w:r>
          <w:rPr>
            <w:rFonts w:ascii="仿宋" w:eastAsia="仿宋" w:hAnsi="仿宋" w:cs="仿宋" w:hint="eastAsia"/>
            <w:lang w:val="en-GB"/>
          </w:rPr>
          <w:t>十三、市场营销与销售策略</w:t>
        </w:r>
        <w:r>
          <w:tab/>
        </w:r>
        <w:r>
          <w:fldChar w:fldCharType="begin"/>
        </w:r>
        <w:r>
          <w:instrText xml:space="preserve"> PAGEREF _Toc31154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8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_Toc30888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8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_Toc13528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0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_Toc31550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_Toc1182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69" w:history="1">
        <w:r>
          <w:rPr>
            <w:rFonts w:ascii="仿宋" w:eastAsia="仿宋" w:hAnsi="仿宋" w:cs="仿宋" w:hint="eastAsia"/>
            <w:lang w:val="en-GB"/>
          </w:rPr>
          <w:t>十四、防雷产品供应链管理</w:t>
        </w:r>
        <w:r>
          <w:tab/>
        </w:r>
        <w:r>
          <w:fldChar w:fldCharType="begin"/>
        </w:r>
        <w:r>
          <w:instrText xml:space="preserve"> PAGEREF _Toc10869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2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_Toc11252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1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_Toc25501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_Toc2210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5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_Toc29765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29" w:history="1">
        <w:r>
          <w:rPr>
            <w:rFonts w:ascii="仿宋" w:eastAsia="仿宋" w:hAnsi="仿宋" w:cs="仿宋" w:hint="eastAsia"/>
            <w:lang w:val="en-GB"/>
          </w:rPr>
          <w:t>十五、防雷产品可持续发展战略</w:t>
        </w:r>
        <w:r>
          <w:tab/>
        </w:r>
        <w:r>
          <w:fldChar w:fldCharType="begin"/>
        </w:r>
        <w:r>
          <w:instrText xml:space="preserve"> PAGEREF _Toc9529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7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_Toc27377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7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_Toc13187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8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_Toc25168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7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_Toc31567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28660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防雷产品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3232"/>
      <w:r>
        <w:rPr>
          <w:rFonts w:ascii="仿宋" w:eastAsia="仿宋" w:hAnsi="仿宋" w:cs="仿宋" w:hint="eastAsia"/>
          <w:sz w:val="28"/>
          <w:lang w:val="en-GB"/>
        </w:rPr>
        <w:t>一、防雷产品危机管理与应对策略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3810"/>
      <w:r>
        <w:rPr>
          <w:rFonts w:ascii="仿宋" w:eastAsia="仿宋" w:hAnsi="仿宋" w:cs="仿宋" w:hint="eastAsia"/>
          <w:lang w:val="en-GB"/>
        </w:rPr>
        <w:t>(一)、危机预警与应急计划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一、危机预警与监测体系的建立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应对复杂多变的商业环境，公司决定构建一套健全且高效的危机预警体系。此体系不仅将实时监测市场动态，还将深入分析经济环境和政策变化等多个层面，旨在及时发现并应对可能对公司经营产生负面影响的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测方面，公司将充分利用现代信息技术和数据分析工具，通过社交媒体分析、消费者调查以及竞争对手行为追踪等手段，全面把握市场脉搏。此外，公司还将密切关注国内外经济趋势、汇率波动等宏观经济因素，以及与公司业务相关的政策法规变化，确保公司经营策略与外部环境的动态变化保持同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实现这一目标，公司将建立一支专业的危机预警团队，负责数据的收集、整理和分析工作。该团队将与公司的其他部门紧密合作，确保信息的及时传递和有效应用。同时，公司将定期对预警系统进行评估和优化，以提高其准确性和有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二、应急计划的制定与执行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在危机预警体系的基础上，公司决定制定一套详尽的应急计划。该计划将明确各部门的职责和应对步骤，确保在危机爆发时能够迅速做出反应，最大限度地减少损失。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应急计划将根据不同类型的危机制定相应的应对策略。例如，在面对市场竞争压力时，公司将调整营销策略，加大产品创新力度；在遭遇自然灾害等不可抗力因素时，公司将启动业务连续性计划，确保公司运营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应急计划的有效执行，公司将定期组织模拟演练和培训活动，提高员工的危机意识和应对能力。同时，公司将建立应急指挥中心，负责在危机发生时统一协调各部门的行动和资源，确保公司的快速响应和高效处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24079"/>
      <w:r>
        <w:rPr>
          <w:rFonts w:ascii="仿宋" w:eastAsia="仿宋" w:hAnsi="仿宋" w:cs="仿宋" w:hint="eastAsia"/>
          <w:sz w:val="28"/>
          <w:lang w:val="en-GB"/>
        </w:rPr>
        <w:t>(二)、公关与危机沟通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公关策略方面，公司将建立专业的公关团队，由资深公关专业人士组成。该团队将负责制定和执行全面的公关策略，包括品牌推广、形象建设、社会责任传播等方面。通过与媒体建立紧密的关系，公司将确保信息的及时传播和准确传递。在公关活动中，公司将强调透明度和真实性，确保公众对公司的认知是真实、全面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危机沟通团队的建立与培训是公司危机管理的重要组成部分。该团队将由危机管理专业人士、法务团队、高管层成员等组成。他们将负责在危机发生时的信息发布、危机应对策略的制定和执行。团队成员将接受定期的危机沟通培训，提高其在紧急情况下的应变能力和沟通技巧。培训内容将涵盖公关原则、媒体交往、社交媒体管理等多个方面，以确保团队在危机时能够迅速而有效地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社交媒体管理与舆情监测是公司危机沟通的重要环节。公司将加强对社交媒体的管理，建立完善的社交媒体监测系统。通过对各类社交媒体平台的实时监控，公司将及时了解公众对公司的关切点、舆论走向。在危机时，公司将积极参与社交媒体的互动，通过积极回应、解释公司立场等方式，引导舆论走向。同时，公司将保持高度警惕，及时发现和应对社交媒体上的谣言和负面信息，以避免信息传播的不当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关系维护与合作伙伴关系建设是公司危机管理的基石。公司将注重与各利益相关方的关系维护和合作伙伴关系建设。通过定期的交流活动、企业社会责任防雷产品项目的推动等方式，公司将增进与员工、客户、供应商、投资者等各方的良好关系。在危机时，公司将充分发挥各方关系的积极作用，争取更多理解和支持。与关键合作伙伴之间，公司将建立长期稳定的合作机制，共同应对危机，形成危机共建共享的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形象修复与长期声誉管理是公司在危机后重要的工作。公司将根据危机的具体情况，制定相应的形象修复策略。通过开展品牌形象宣传、产品升级、社会公益活动等多种手段，公司将努力恢复公众对其的信任。长期声誉管理方面，公司将不仅仅在危机时关注形象维护，而是通过日常经营和企业社会责任的全面推动，树立积极向上的企业形象，增强公众对公司的好感度和认同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4716"/>
      <w:r>
        <w:rPr>
          <w:rFonts w:ascii="仿宋" w:eastAsia="仿宋" w:hAnsi="仿宋" w:cs="仿宋" w:hint="eastAsia"/>
          <w:sz w:val="28"/>
          <w:lang w:val="en-GB"/>
        </w:rPr>
        <w:t>(三)、媒体关系与舆情管理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媒体关系建设：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积极构建与各类媒体的良好关系。这包括与新闻机构、防雷产品行业媒体、社交媒体等多个媒体渠道的沟通与合作。建立定期的媒体沟通渠道，向媒体提供及时准确的企业信息，展示公司的发展成就和社会责任履行，以确保对外信息传递的一致性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舆情监测与分析：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全面的舆情监测系统，跟踪主流媒体、社交媒体和专业论坛等多个平台的舆情信息。通过先进的舆情分析工具，实时监测与公司相关的正面和负面舆情，深度分析舆情数据，及时了解公众关注点，为公司决策提供科学依据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危机舆情处理：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健全的危机舆情处理机制，包括危机应对预案、危机沟通团队等。在危机事件发生时，公司将迅速做出反应，通过透明的信息发布、迅速的问题解决和积极的危机沟通，及时平息不良舆情，保护企业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定期发布信息：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https://d.book118.com/277166161056006032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防雷产品战略市场规划报告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防雷产品战略市场规划报告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防雷产品战略市场规划报告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防雷产品战略市场规划报告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防雷产品战略市场规划报告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防雷产品战略市场规划报告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防雷产品战略市场规划报告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5A5E1F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5D5A5E1F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77166161056006032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2024-01-09T02:13:00Z</dcterms:created>
  <dcterms:modified xsi:type="dcterms:W3CDTF">2024-01-09T02:13:14Z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E156D7D2EFAC4F4384F348FC5E7A4162_11</vt:lpwstr>
  </property>
  <property fmtid="{D5CDD505-2E9C-101B-9397-08002B2CF9AE}" pid="3" name="KSOProductBuildVer">
    <vt:lpwstr>2052-12.1.0.16120</vt:lpwstr>
  </property>
</Properties>
</file>