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ind w:left="0"/>
        <w:rPr>
          <w:rFonts w:ascii="Times New Roman"/>
          <w:sz w:val="20"/>
        </w:rPr>
      </w:pPr>
      <w:r>
        <w:drawing>
          <wp:anchor distT="0" distB="0" distL="0" distR="0" simplePos="0" relativeHeight="251658240" behindDoc="1" locked="0" layoutInCell="1" allowOverlap="1">
            <wp:simplePos x="0" y="0"/>
            <wp:positionH relativeFrom="page">
              <wp:posOffset>8951</wp:posOffset>
            </wp:positionH>
            <wp:positionV relativeFrom="page">
              <wp:posOffset>0</wp:posOffset>
            </wp:positionV>
            <wp:extent cx="7551358" cy="1069213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4" cstate="print"/>
                    <a:stretch>
                      <a:fillRect/>
                    </a:stretch>
                  </pic:blipFill>
                  <pic:spPr>
                    <a:xfrm>
                      <a:off x="0" y="0"/>
                      <a:ext cx="7551358" cy="10692130"/>
                    </a:xfrm>
                    <a:prstGeom prst="rect">
                      <a:avLst/>
                    </a:prstGeom>
                  </pic:spPr>
                </pic:pic>
              </a:graphicData>
            </a:graphic>
          </wp:anchor>
        </w:drawing>
      </w: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spacing w:before="8"/>
        <w:ind w:left="0"/>
        <w:rPr>
          <w:rFonts w:ascii="Times New Roman"/>
          <w:sz w:val="17"/>
        </w:rPr>
      </w:pPr>
    </w:p>
    <w:p>
      <w:pPr>
        <w:pStyle w:val="Heading1"/>
        <w:spacing w:line="1168" w:lineRule="exact"/>
      </w:pPr>
      <w:r>
        <w:t>（建筑工程管理</w:t>
      </w:r>
      <w:r>
        <w:rPr>
          <w:spacing w:val="-329"/>
        </w:rPr>
        <w:t>）</w:t>
      </w:r>
      <w:r>
        <w:t>分部工程</w:t>
      </w:r>
    </w:p>
    <w:p>
      <w:pPr>
        <w:spacing w:before="131"/>
        <w:ind w:left="256" w:right="0" w:firstLine="0"/>
        <w:jc w:val="left"/>
        <w:rPr>
          <w:rFonts w:ascii="Microsoft JhengHei" w:eastAsia="Microsoft JhengHei" w:hAnsi="Microsoft JhengHei" w:hint="eastAsia"/>
          <w:b/>
          <w:sz w:val="72"/>
        </w:rPr>
      </w:pPr>
      <w:r>
        <w:rPr>
          <w:rFonts w:ascii="Microsoft JhengHei" w:eastAsia="Microsoft JhengHei" w:hAnsi="Microsoft JhengHei" w:hint="eastAsia"/>
          <w:b/>
          <w:spacing w:val="-30"/>
          <w:sz w:val="72"/>
        </w:rPr>
        <w:t>‘堤防加固工程’施工工法</w:t>
      </w:r>
    </w:p>
    <w:p>
      <w:pPr>
        <w:spacing w:after="0"/>
        <w:jc w:val="left"/>
        <w:rPr>
          <w:rFonts w:ascii="Microsoft JhengHei" w:eastAsia="Microsoft JhengHei" w:hAnsi="Microsoft JhengHei" w:hint="eastAsia"/>
          <w:sz w:val="72"/>
        </w:rPr>
        <w:sectPr>
          <w:type w:val="continuous"/>
          <w:pgSz w:w="11910" w:h="16840"/>
          <w:pgMar w:top="1580" w:right="800" w:bottom="280" w:left="1540" w:header="708" w:footer="708"/>
          <w:cols w:space="708"/>
        </w:sectPr>
      </w:pPr>
    </w:p>
    <w:p>
      <w:pPr>
        <w:spacing w:before="74"/>
        <w:ind w:left="256" w:right="0" w:firstLine="0"/>
        <w:jc w:val="left"/>
        <w:rPr>
          <w:sz w:val="28"/>
        </w:rPr>
      </w:pPr>
      <w:r>
        <w:rPr>
          <w:sz w:val="28"/>
        </w:rPr>
        <w:t>第壹章、综合说明</w:t>
      </w:r>
    </w:p>
    <w:p>
      <w:pPr>
        <w:pStyle w:val="Heading5"/>
        <w:spacing w:before="208" w:line="240" w:lineRule="auto"/>
      </w:pPr>
      <w:r>
        <w:t>壹、编制说明</w:t>
      </w:r>
    </w:p>
    <w:p>
      <w:pPr>
        <w:pStyle w:val="BodyText"/>
        <w:spacing w:before="199" w:line="268" w:lineRule="auto"/>
        <w:ind w:right="995" w:firstLine="480"/>
      </w:pPr>
      <w:r>
        <w:rPr>
          <w:spacing w:val="-7"/>
        </w:rPr>
        <w:t>本施工组织设计针对“增城市石滩镇屈头排涝泵站重建工程”招标文件、投</w:t>
      </w:r>
      <w:r>
        <w:t>标文件、</w:t>
      </w:r>
    </w:p>
    <w:p>
      <w:pPr>
        <w:pStyle w:val="BodyText"/>
        <w:spacing w:line="268" w:lineRule="auto"/>
        <w:ind w:right="2108"/>
      </w:pPr>
      <w:r>
        <w:t>施工合同、施工图纸、施工规范相关内容编写，执行有关规范如下。水利水电工程施工组织设计规范 SL303—2004；</w:t>
      </w:r>
    </w:p>
    <w:p>
      <w:pPr>
        <w:pStyle w:val="BodyText"/>
        <w:spacing w:line="268" w:lineRule="auto"/>
        <w:ind w:right="3781"/>
      </w:pPr>
      <w:r>
        <w:t>水利水电工程水工混凝土施工规范 DL/T5144-2001； 水利水电工程泵站施工规范 SL—1999；</w:t>
      </w:r>
    </w:p>
    <w:p>
      <w:pPr>
        <w:pStyle w:val="BodyText"/>
        <w:spacing w:line="307" w:lineRule="exact"/>
      </w:pPr>
      <w:r>
        <w:t>水利水电工程《土坝坝体灌浆技术规范》SD266-88；</w:t>
      </w:r>
    </w:p>
    <w:p>
      <w:pPr>
        <w:pStyle w:val="BodyText"/>
        <w:spacing w:before="36"/>
      </w:pPr>
      <w:r>
        <w:t>《公路路基施工技术规范》JTGF10-2006；</w:t>
      </w:r>
    </w:p>
    <w:p>
      <w:pPr>
        <w:pStyle w:val="BodyText"/>
        <w:spacing w:before="37"/>
      </w:pPr>
      <w:r>
        <w:t>《公路工程施工安全技术规程》JTJ076-95；</w:t>
      </w:r>
    </w:p>
    <w:p>
      <w:pPr>
        <w:pStyle w:val="BodyText"/>
        <w:spacing w:before="37"/>
      </w:pPr>
      <w:r>
        <w:t>《公路工程质量检验评定标准》JTGF-80/1-2004；</w:t>
      </w:r>
    </w:p>
    <w:p>
      <w:pPr>
        <w:pStyle w:val="BodyText"/>
        <w:spacing w:before="37"/>
      </w:pPr>
      <w:r>
        <w:t>《公路土工试验规程》JTJE40—2007；</w:t>
      </w:r>
    </w:p>
    <w:p>
      <w:pPr>
        <w:pStyle w:val="BodyText"/>
        <w:spacing w:before="36"/>
      </w:pPr>
      <w:r>
        <w:t>《公路工程质量检验评定标准第壹册土建工程》JTGF80/1-2004。</w:t>
      </w:r>
    </w:p>
    <w:p>
      <w:pPr>
        <w:pStyle w:val="Heading5"/>
        <w:spacing w:before="174" w:line="240" w:lineRule="auto"/>
      </w:pPr>
      <w:r>
        <w:t>二、工程概况</w:t>
      </w:r>
    </w:p>
    <w:p>
      <w:pPr>
        <w:pStyle w:val="BodyText"/>
        <w:spacing w:before="12"/>
        <w:ind w:left="0"/>
        <w:rPr>
          <w:rFonts w:ascii="Microsoft JhengHei"/>
          <w:b/>
          <w:sz w:val="14"/>
        </w:rPr>
      </w:pPr>
    </w:p>
    <w:p>
      <w:pPr>
        <w:pStyle w:val="BodyText"/>
        <w:spacing w:line="379" w:lineRule="auto"/>
        <w:ind w:left="736" w:right="995"/>
      </w:pPr>
      <w:r>
        <w:rPr>
          <w:spacing w:val="-6"/>
        </w:rPr>
        <w:t>屈头排涝泵站枢纽布置在屈头旧站址范围内，堤顶有交通要求，采用的是堤</w:t>
      </w:r>
      <w:r>
        <w:t>后式的枢</w:t>
      </w:r>
    </w:p>
    <w:p>
      <w:pPr>
        <w:pStyle w:val="BodyText"/>
        <w:spacing w:line="379" w:lineRule="auto"/>
        <w:ind w:right="995"/>
        <w:jc w:val="both"/>
      </w:pPr>
      <w:r>
        <w:rPr>
          <w:spacing w:val="-3"/>
        </w:rPr>
        <w:t xml:space="preserve">纽布置型式。堤防分部起始 </w:t>
      </w:r>
      <w:r>
        <w:t>13+420～13+520，堤身设计采用粘土锥探灌浆：排</w:t>
      </w:r>
      <w:r>
        <w:rPr>
          <w:spacing w:val="-30"/>
        </w:rPr>
        <w:t xml:space="preserve">距 </w:t>
      </w:r>
      <w:r>
        <w:t>1.5m，</w:t>
      </w:r>
      <w:r>
        <w:rPr>
          <w:spacing w:val="-20"/>
        </w:rPr>
        <w:t xml:space="preserve">孔距 </w:t>
      </w:r>
      <w:r>
        <w:t>1.5m，</w:t>
      </w:r>
      <w:r>
        <w:rPr>
          <w:spacing w:val="-3"/>
        </w:rPr>
        <w:t xml:space="preserve">呈梅花型布置，钻孔深度至堤基不透水层以下 </w:t>
      </w:r>
      <w:r>
        <w:rPr>
          <w:spacing w:val="-6"/>
        </w:rPr>
        <w:t>1.5m</w:t>
      </w:r>
      <w:r>
        <w:rPr>
          <w:spacing w:val="-8"/>
        </w:rPr>
        <w:t>；堤身</w:t>
      </w:r>
      <w:r>
        <w:t>填筑压实度≥90%；堤顶高程▼7.595m</w:t>
      </w:r>
      <w:r>
        <w:rPr>
          <w:spacing w:val="-10"/>
        </w:rPr>
        <w:t xml:space="preserve">，路面宽 </w:t>
      </w:r>
      <w:r>
        <w:t>6.00m</w:t>
      </w:r>
      <w:r>
        <w:rPr>
          <w:spacing w:val="-7"/>
        </w:rPr>
        <w:t xml:space="preserve">，路面排水坡度 </w:t>
      </w:r>
      <w:r>
        <w:t>2%，路面</w:t>
      </w:r>
      <w:r>
        <w:rPr>
          <w:spacing w:val="-17"/>
        </w:rPr>
        <w:t xml:space="preserve">俩侧采用 </w:t>
      </w:r>
      <w:r>
        <w:t>C15</w:t>
      </w:r>
      <w:r>
        <w:rPr>
          <w:spacing w:val="-25"/>
        </w:rPr>
        <w:t xml:space="preserve"> 预制路缘石 </w:t>
      </w:r>
      <w:r>
        <w:t>200×400</w:t>
      </w:r>
      <w:r>
        <w:rPr>
          <w:spacing w:val="-16"/>
        </w:rPr>
        <w:t xml:space="preserve"> 砌体，路边坡坡度上下游均为 </w:t>
      </w:r>
      <w:r>
        <w:rPr>
          <w:spacing w:val="-3"/>
        </w:rPr>
        <w:t>1:2.5</w:t>
      </w:r>
      <w:r>
        <w:rPr>
          <w:spacing w:val="-6"/>
        </w:rPr>
        <w:t>，草皮护</w:t>
      </w:r>
      <w:r>
        <w:t>坡，路边坡上游在高程▼1.20m</w:t>
      </w:r>
      <w:r>
        <w:rPr>
          <w:spacing w:val="-38"/>
        </w:rPr>
        <w:t xml:space="preserve"> 以下 </w:t>
      </w:r>
      <w:r>
        <w:t>M7.5</w:t>
      </w:r>
      <w:r>
        <w:rPr>
          <w:spacing w:val="-20"/>
        </w:rPr>
        <w:t xml:space="preserve"> 浆砌石排水沟 </w:t>
      </w:r>
      <w:r>
        <w:t>600×600</w:t>
      </w:r>
      <w:r>
        <w:rPr>
          <w:spacing w:val="-38"/>
        </w:rPr>
        <w:t xml:space="preserve"> 厚度 </w:t>
      </w:r>
      <w:r>
        <w:t>300㎜。</w:t>
      </w:r>
    </w:p>
    <w:p>
      <w:pPr>
        <w:pStyle w:val="Heading5"/>
        <w:spacing w:line="358" w:lineRule="exact"/>
      </w:pPr>
      <w:r>
        <w:t>三、分部单元内容</w:t>
      </w:r>
    </w:p>
    <w:p>
      <w:pPr>
        <w:pStyle w:val="BodyText"/>
        <w:spacing w:before="121" w:line="379" w:lineRule="auto"/>
        <w:ind w:right="875" w:firstLine="480"/>
        <w:jc w:val="both"/>
      </w:pPr>
      <w:r>
        <w:t>1</w:t>
      </w:r>
      <w:r>
        <w:rPr>
          <w:spacing w:val="-4"/>
        </w:rPr>
        <w:t>、堤基表土清理；</w:t>
      </w:r>
      <w:r>
        <w:rPr>
          <w:spacing w:val="-8"/>
        </w:rPr>
        <w:t>2</w:t>
      </w:r>
      <w:r>
        <w:rPr>
          <w:spacing w:val="-4"/>
        </w:rPr>
        <w:t>、堤身土方开挖；</w:t>
      </w:r>
      <w:r>
        <w:rPr>
          <w:spacing w:val="-8"/>
        </w:rPr>
        <w:t>3</w:t>
      </w:r>
      <w:r>
        <w:rPr>
          <w:spacing w:val="-3"/>
        </w:rPr>
        <w:t>、▲堤身土方回填；</w:t>
      </w:r>
      <w:r>
        <w:rPr>
          <w:spacing w:val="-8"/>
        </w:rPr>
        <w:t>4</w:t>
      </w:r>
      <w:r>
        <w:t>、▲粘土锥探</w:t>
      </w:r>
      <w:r>
        <w:rPr>
          <w:spacing w:val="-6"/>
        </w:rPr>
        <w:t>灌浆；5</w:t>
      </w:r>
      <w:r>
        <w:rPr>
          <w:spacing w:val="-3"/>
        </w:rPr>
        <w:t>、堤顶路床工程；</w:t>
      </w:r>
      <w:r>
        <w:rPr>
          <w:spacing w:val="-6"/>
        </w:rPr>
        <w:t>6</w:t>
      </w:r>
      <w:r>
        <w:rPr>
          <w:spacing w:val="-3"/>
        </w:rPr>
        <w:t>、堤顶泥结石路面；</w:t>
      </w:r>
      <w:r>
        <w:rPr>
          <w:spacing w:val="-6"/>
        </w:rPr>
        <w:t>7</w:t>
      </w:r>
      <w:r>
        <w:rPr>
          <w:spacing w:val="-3"/>
        </w:rPr>
        <w:t>、堤顶路缘石安装；</w:t>
      </w:r>
      <w:r>
        <w:rPr>
          <w:spacing w:val="-6"/>
        </w:rPr>
        <w:t>8</w:t>
      </w:r>
      <w:r>
        <w:t>、1#下堤路路床工程；9、1#下堤路泥结石路面；10、2#下堤路路床工程；11、2#下堤路</w:t>
      </w:r>
      <w:r>
        <w:rPr>
          <w:spacing w:val="-8"/>
        </w:rPr>
        <w:t>泥结石路面；</w:t>
      </w:r>
      <w:r>
        <w:rPr>
          <w:spacing w:val="-12"/>
        </w:rPr>
        <w:t>12</w:t>
      </w:r>
      <w:r>
        <w:rPr>
          <w:spacing w:val="-8"/>
        </w:rPr>
        <w:t>、草皮护坡；</w:t>
      </w:r>
      <w:r>
        <w:rPr>
          <w:spacing w:val="-12"/>
        </w:rPr>
        <w:t>13</w:t>
      </w:r>
      <w:r>
        <w:rPr>
          <w:spacing w:val="-5"/>
        </w:rPr>
        <w:t>、堤脚排水沟基础开挖；</w:t>
      </w:r>
      <w:r>
        <w:rPr>
          <w:spacing w:val="-12"/>
        </w:rPr>
        <w:t>14</w:t>
      </w:r>
      <w:r>
        <w:rPr>
          <w:spacing w:val="-2"/>
        </w:rPr>
        <w:t>、堤脚浆砌石排水沟。</w:t>
      </w:r>
    </w:p>
    <w:p>
      <w:pPr>
        <w:spacing w:before="81"/>
        <w:ind w:left="2013" w:right="0" w:firstLine="0"/>
        <w:jc w:val="left"/>
        <w:rPr>
          <w:rFonts w:ascii="Microsoft JhengHei" w:eastAsia="Microsoft JhengHei" w:hint="eastAsia"/>
          <w:b/>
          <w:sz w:val="32"/>
        </w:rPr>
      </w:pPr>
      <w:r>
        <w:rPr>
          <w:rFonts w:ascii="Microsoft JhengHei" w:eastAsia="Microsoft JhengHei" w:hint="eastAsia"/>
          <w:b/>
          <w:sz w:val="32"/>
        </w:rPr>
        <w:t>第二章、施工准备及施工平面布置</w:t>
      </w:r>
    </w:p>
    <w:p>
      <w:pPr>
        <w:pStyle w:val="Heading5"/>
        <w:spacing w:before="217" w:line="240" w:lineRule="auto"/>
      </w:pPr>
      <w:r>
        <w:t>壹、施工部署</w:t>
      </w:r>
    </w:p>
    <w:p>
      <w:pPr>
        <w:spacing w:after="0" w:line="240" w:lineRule="auto"/>
        <w:sectPr>
          <w:pgSz w:w="11910" w:h="16840"/>
          <w:pgMar w:top="1420" w:right="800" w:bottom="280" w:left="1540" w:header="708" w:footer="708"/>
          <w:pgNumType w:start="2"/>
          <w:cols w:space="708"/>
        </w:sectPr>
      </w:pPr>
    </w:p>
    <w:p>
      <w:pPr>
        <w:pStyle w:val="BodyText"/>
        <w:spacing w:before="69" w:line="379" w:lineRule="auto"/>
        <w:ind w:left="736" w:right="995"/>
      </w:pPr>
      <w:r>
        <w:rPr>
          <w:spacing w:val="-7"/>
        </w:rPr>
        <w:t>根据该分部工程结构特点、工期要求以及我司的技术装备、劳动力状况，确</w:t>
      </w:r>
      <w:r>
        <w:t>定该分部</w:t>
      </w:r>
    </w:p>
    <w:p>
      <w:pPr>
        <w:pStyle w:val="BodyText"/>
        <w:spacing w:line="379" w:lineRule="auto"/>
        <w:ind w:right="908"/>
      </w:pPr>
      <w:r>
        <w:rPr>
          <w:spacing w:val="-9"/>
        </w:rPr>
        <w:t>工程的施工总体程序为：第壹先堤基表土清理、新老路搭接主要采取开挖台阶后</w:t>
      </w:r>
      <w:r>
        <w:rPr>
          <w:spacing w:val="-13"/>
        </w:rPr>
        <w:t>分层填筑碾压、独层完成填筑检验修筑边坡、完成至路床设计高程面；第二粘土</w:t>
      </w:r>
      <w:r>
        <w:rPr>
          <w:spacing w:val="-14"/>
        </w:rPr>
        <w:t>锥探灌浆；第三泥结路面碾压；第四路缘石砌体；第五边坡排水沟、草皮护坡。</w:t>
      </w:r>
      <w:r>
        <w:rPr>
          <w:spacing w:val="-1"/>
        </w:rPr>
        <w:t xml:space="preserve">实施按工序分层、分段、流水施工，循环推进的施工方法，以系统工程的原理， </w:t>
      </w:r>
      <w:r>
        <w:rPr>
          <w:spacing w:val="-6"/>
        </w:rPr>
        <w:t>充分利用有限的时间和空间，组织各工种、各工序的立体交叉作业，对工程的施</w:t>
      </w:r>
    </w:p>
    <w:p>
      <w:pPr>
        <w:pStyle w:val="BodyText"/>
        <w:spacing w:line="303" w:lineRule="exact"/>
      </w:pPr>
      <w:r>
        <w:t>工流程、进度、资源、质量、安全、成本实行全面控制。</w:t>
      </w:r>
    </w:p>
    <w:p>
      <w:pPr>
        <w:pStyle w:val="Heading5"/>
        <w:spacing w:before="26" w:line="432" w:lineRule="exact"/>
      </w:pPr>
      <w:r>
        <w:t>（壹</w:t>
      </w:r>
      <w:r>
        <w:rPr>
          <w:spacing w:val="-120"/>
        </w:rPr>
        <w:t>）</w:t>
      </w:r>
      <w:r>
        <w:t>、技术准备</w:t>
      </w:r>
    </w:p>
    <w:p>
      <w:pPr>
        <w:pStyle w:val="BodyText"/>
        <w:spacing w:line="268" w:lineRule="auto"/>
        <w:ind w:left="736" w:right="995"/>
      </w:pPr>
      <w:r>
        <w:t>1、为工程施工开展作好充分的资源准备，以充分满足工程需要，按施工管理架构配</w:t>
      </w:r>
    </w:p>
    <w:p>
      <w:pPr>
        <w:pStyle w:val="BodyText"/>
        <w:spacing w:line="268" w:lineRule="auto"/>
        <w:ind w:left="736" w:right="875" w:hanging="480"/>
      </w:pPr>
      <w:r>
        <w:rPr>
          <w:spacing w:val="-17"/>
        </w:rPr>
        <w:t>备技术人员，建立有施工经验、工作效率高的工地领导机构，确保工程管理质量。</w:t>
      </w:r>
      <w:r>
        <w:t>2</w:t>
      </w:r>
      <w:r>
        <w:rPr>
          <w:spacing w:val="-6"/>
        </w:rPr>
        <w:t xml:space="preserve">、会同建设单位、监理 </w:t>
      </w:r>
      <w:r>
        <w:t>X</w:t>
      </w:r>
      <w:r>
        <w:rPr>
          <w:spacing w:val="-8"/>
        </w:rPr>
        <w:t xml:space="preserve"> 公司、设计单位进行图纸会审，听取设计要求、意图及施工</w:t>
      </w:r>
    </w:p>
    <w:p>
      <w:pPr>
        <w:pStyle w:val="BodyText"/>
        <w:spacing w:line="307" w:lineRule="exact"/>
      </w:pPr>
      <w:r>
        <w:t>工艺的特殊要求。</w:t>
      </w:r>
    </w:p>
    <w:p>
      <w:pPr>
        <w:pStyle w:val="BodyText"/>
        <w:spacing w:before="28" w:line="268" w:lineRule="auto"/>
        <w:ind w:left="736" w:right="995"/>
      </w:pPr>
      <w:r>
        <w:t>3、施工前做好施工技术、工程质量和安全交底。组织现场施工管理人员充分熟悉和</w:t>
      </w:r>
    </w:p>
    <w:p>
      <w:pPr>
        <w:pStyle w:val="BodyText"/>
        <w:spacing w:line="268" w:lineRule="auto"/>
        <w:ind w:right="994"/>
        <w:jc w:val="both"/>
      </w:pPr>
      <w:r>
        <w:rPr>
          <w:spacing w:val="-9"/>
        </w:rPr>
        <w:t>学习图纸，做好图纸自审和会审的工作，特别要做好各专业图纸会审。解决施工</w:t>
      </w:r>
      <w:r>
        <w:rPr>
          <w:spacing w:val="-6"/>
        </w:rPr>
        <w:t>现场和设计图纸之间的相互矛盾，各专业交叉、搭接出现的问题，以避免施工中</w:t>
      </w:r>
      <w:r>
        <w:t>不必要的返工。</w:t>
      </w:r>
    </w:p>
    <w:p>
      <w:pPr>
        <w:pStyle w:val="BodyText"/>
        <w:spacing w:line="268" w:lineRule="auto"/>
        <w:ind w:left="736" w:right="995"/>
      </w:pPr>
      <w:r>
        <w:t>4、按会审过的施工图，编制工程施工组织设计、预算和材料计划，以便材料部门组</w:t>
      </w:r>
    </w:p>
    <w:p>
      <w:pPr>
        <w:pStyle w:val="BodyText"/>
        <w:spacing w:line="268" w:lineRule="auto"/>
        <w:ind w:right="994"/>
      </w:pPr>
      <w:r>
        <w:rPr>
          <w:spacing w:val="-11"/>
        </w:rPr>
        <w:t>织资源，按时供应。开工前制定材料进场计划，特殊材料进场和设计指定的材料</w:t>
      </w:r>
      <w:r>
        <w:t>尽早落实货源，及时组织进场。</w:t>
      </w:r>
    </w:p>
    <w:p>
      <w:pPr>
        <w:pStyle w:val="BodyText"/>
        <w:spacing w:line="268" w:lineRule="auto"/>
        <w:ind w:left="736" w:right="995"/>
      </w:pPr>
      <w:r>
        <w:t>5、提前进行原材料检验工作和混凝土及砂浆的试配，把好质量关，以确保工程质量，</w:t>
      </w:r>
    </w:p>
    <w:p>
      <w:pPr>
        <w:pStyle w:val="BodyText"/>
        <w:spacing w:line="268" w:lineRule="auto"/>
        <w:ind w:right="995"/>
      </w:pPr>
      <w:r>
        <w:rPr>
          <w:spacing w:val="-5"/>
        </w:rPr>
        <w:t>同时工程使用的材料必须符合设计图纸和有关规范的要求，必须有出厂合格证和</w:t>
      </w:r>
      <w:r>
        <w:t>试验合格资料及材料许可证。</w:t>
      </w:r>
    </w:p>
    <w:p>
      <w:pPr>
        <w:pStyle w:val="BodyText"/>
        <w:spacing w:line="268" w:lineRule="auto"/>
        <w:ind w:left="736" w:right="995"/>
      </w:pPr>
      <w:r>
        <w:t>6、组织人员进行安全教育和技术交底，确保各分部分项工程的验收准则， 建立现场</w:t>
      </w:r>
    </w:p>
    <w:p>
      <w:pPr>
        <w:pStyle w:val="BodyText"/>
        <w:spacing w:line="268" w:lineRule="auto"/>
        <w:ind w:right="995"/>
      </w:pPr>
      <w:r>
        <w:rPr>
          <w:spacing w:val="-9"/>
        </w:rPr>
        <w:t>质量保证体系。制定施工计划和作业细则，保证开工前所有准备工作，壹切准备</w:t>
      </w:r>
      <w:r>
        <w:t>就绪。</w:t>
      </w:r>
    </w:p>
    <w:p>
      <w:pPr>
        <w:pStyle w:val="BodyText"/>
        <w:spacing w:line="307" w:lineRule="exact"/>
        <w:ind w:left="736"/>
      </w:pPr>
      <w:r>
        <w:t>7、组织现场施工人员学习施工工艺和安全操作规程，进行相应的技术培训。</w:t>
      </w:r>
    </w:p>
    <w:p>
      <w:pPr>
        <w:pStyle w:val="BodyText"/>
        <w:spacing w:before="35" w:line="268" w:lineRule="auto"/>
        <w:ind w:left="736" w:right="995"/>
      </w:pPr>
      <w:r>
        <w:t>8、根据工程图纸编制工程预算。编制工程总体施工组织设计方案和分部分项施工技</w:t>
      </w:r>
    </w:p>
    <w:p>
      <w:pPr>
        <w:pStyle w:val="BodyText"/>
        <w:spacing w:line="268" w:lineRule="auto"/>
        <w:ind w:right="995"/>
      </w:pPr>
      <w:r>
        <w:rPr>
          <w:spacing w:val="-11"/>
        </w:rPr>
        <w:t>术方案，且组织有关人员对施工组织设计及分项单位工程进行逐项措施及技术方</w:t>
      </w:r>
      <w:r>
        <w:t>案交底。</w:t>
      </w:r>
    </w:p>
    <w:p>
      <w:pPr>
        <w:spacing w:after="0" w:line="268" w:lineRule="auto"/>
        <w:sectPr>
          <w:pgSz w:w="11910" w:h="16840"/>
          <w:pgMar w:top="1440" w:right="800" w:bottom="280" w:left="1540" w:header="708" w:footer="708"/>
          <w:pgNumType w:start="3"/>
          <w:cols w:space="708"/>
        </w:sectPr>
      </w:pPr>
    </w:p>
    <w:p>
      <w:pPr>
        <w:pStyle w:val="BodyText"/>
        <w:spacing w:before="79" w:line="268" w:lineRule="auto"/>
        <w:ind w:left="736" w:right="994"/>
      </w:pPr>
      <w:r>
        <w:t>9</w:t>
      </w:r>
      <w:r>
        <w:rPr>
          <w:spacing w:val="-8"/>
        </w:rPr>
        <w:t>、掌握本工程水文地质详细资料</w:t>
      </w:r>
      <w:r>
        <w:t>（根据工程勘察招报告</w:t>
      </w:r>
      <w:r>
        <w:rPr>
          <w:spacing w:val="-75"/>
        </w:rPr>
        <w:t>）</w:t>
      </w:r>
      <w:r>
        <w:rPr>
          <w:spacing w:val="-13"/>
        </w:rPr>
        <w:t>，以及地下原有管</w:t>
      </w:r>
      <w:r>
        <w:t>道及障碍</w:t>
      </w:r>
    </w:p>
    <w:p>
      <w:pPr>
        <w:pStyle w:val="BodyText"/>
        <w:spacing w:line="268" w:lineRule="auto"/>
        <w:ind w:right="995"/>
      </w:pPr>
      <w:r>
        <w:rPr>
          <w:spacing w:val="-9"/>
        </w:rPr>
        <w:t>物等资料，检查复核建设单位提供的红线桩和水准点，引出轴线控制桩，建立现</w:t>
      </w:r>
      <w:r>
        <w:t>场测量控制网及调和控制网。</w:t>
      </w:r>
    </w:p>
    <w:p>
      <w:pPr>
        <w:pStyle w:val="Heading5"/>
      </w:pPr>
      <w:r>
        <w:t>（二</w:t>
      </w:r>
      <w:r>
        <w:rPr>
          <w:spacing w:val="-120"/>
        </w:rPr>
        <w:t>）</w:t>
      </w:r>
      <w:r>
        <w:t>、生产准备</w:t>
      </w:r>
    </w:p>
    <w:p>
      <w:pPr>
        <w:pStyle w:val="BodyText"/>
        <w:spacing w:line="268" w:lineRule="auto"/>
        <w:ind w:left="736" w:right="995"/>
      </w:pPr>
      <w:r>
        <w:t>1、掌握气象资料，综合组织施工全过程的均衡施工，制定雨季、大风天气的施工措</w:t>
      </w:r>
    </w:p>
    <w:p>
      <w:pPr>
        <w:pStyle w:val="BodyText"/>
      </w:pPr>
      <w:r>
        <w:t>施。</w:t>
      </w:r>
    </w:p>
    <w:p>
      <w:pPr>
        <w:pStyle w:val="BodyText"/>
        <w:spacing w:before="27" w:line="268" w:lineRule="auto"/>
        <w:ind w:left="736" w:right="874"/>
      </w:pPr>
      <w:r>
        <w:t>2</w:t>
      </w:r>
      <w:r>
        <w:rPr>
          <w:spacing w:val="-10"/>
        </w:rPr>
        <w:t xml:space="preserve">、根据施工总平面的安排，报建且搭设临时设施，安装垂直运输机械设备， </w:t>
      </w:r>
      <w:r>
        <w:t>且调试</w:t>
      </w:r>
    </w:p>
    <w:p>
      <w:pPr>
        <w:pStyle w:val="BodyText"/>
        <w:spacing w:line="268" w:lineRule="auto"/>
        <w:ind w:left="736" w:right="908" w:hanging="480"/>
      </w:pPr>
      <w:r>
        <w:rPr>
          <w:spacing w:val="-12"/>
        </w:rPr>
        <w:t xml:space="preserve">完毕，经 </w:t>
      </w:r>
      <w:r>
        <w:t>X</w:t>
      </w:r>
      <w:r>
        <w:rPr>
          <w:spacing w:val="-9"/>
        </w:rPr>
        <w:t xml:space="preserve"> 公司动力部、质安部检查验收后才投入使用，整理好材料堆放场地。</w:t>
      </w:r>
      <w:r>
        <w:t>3、搭设现场办公用房，生活用房，施工临时设备、钢筋加工场、木工棚等施工及生</w:t>
      </w:r>
    </w:p>
    <w:p>
      <w:pPr>
        <w:pStyle w:val="BodyText"/>
        <w:spacing w:line="307" w:lineRule="exact"/>
      </w:pPr>
      <w:r>
        <w:t>活必须的设施。调查水电的供应能力，以便采取相应措施。</w:t>
      </w:r>
    </w:p>
    <w:p>
      <w:pPr>
        <w:pStyle w:val="BodyText"/>
        <w:spacing w:before="37" w:line="268" w:lineRule="auto"/>
        <w:ind w:left="736" w:right="995"/>
      </w:pPr>
      <w:r>
        <w:t>4、按施工平面布置图，接通水、电源，储备施工及消防用水，现场水电工根据方案</w:t>
      </w:r>
    </w:p>
    <w:p>
      <w:pPr>
        <w:pStyle w:val="BodyText"/>
        <w:spacing w:line="268" w:lineRule="auto"/>
        <w:ind w:right="995"/>
      </w:pPr>
      <w:r>
        <w:rPr>
          <w:spacing w:val="-9"/>
        </w:rPr>
        <w:t>要求，按安全操作规程敷设临时地下、地上水管和电线，将水、电送到各个用水</w:t>
      </w:r>
      <w:r>
        <w:t>用电施工地点，且做好现场排水工作。</w:t>
      </w:r>
    </w:p>
    <w:p>
      <w:pPr>
        <w:pStyle w:val="BodyText"/>
        <w:spacing w:line="268" w:lineRule="auto"/>
        <w:ind w:left="736" w:right="874"/>
      </w:pPr>
      <w:r>
        <w:t>5</w:t>
      </w:r>
      <w:r>
        <w:rPr>
          <w:spacing w:val="-11"/>
        </w:rPr>
        <w:t xml:space="preserve">、修通现场临时运输道路，施工场地硬地化。各种施工机械设备安装就位， </w:t>
      </w:r>
      <w:r>
        <w:t>调试完</w:t>
      </w:r>
    </w:p>
    <w:p>
      <w:pPr>
        <w:pStyle w:val="BodyText"/>
        <w:spacing w:line="286" w:lineRule="exact"/>
      </w:pPr>
      <w:r>
        <w:t>毕。</w:t>
      </w:r>
    </w:p>
    <w:p>
      <w:pPr>
        <w:pStyle w:val="Heading5"/>
        <w:spacing w:line="411" w:lineRule="exact"/>
      </w:pPr>
      <w:r>
        <w:t>（三</w:t>
      </w:r>
      <w:r>
        <w:rPr>
          <w:spacing w:val="-120"/>
        </w:rPr>
        <w:t>）</w:t>
      </w:r>
      <w:r>
        <w:t>、施工现场的准备</w:t>
      </w:r>
    </w:p>
    <w:p>
      <w:pPr>
        <w:pStyle w:val="BodyText"/>
        <w:spacing w:line="268" w:lineRule="auto"/>
        <w:ind w:left="736" w:right="995"/>
      </w:pPr>
      <w:r>
        <w:rPr>
          <w:spacing w:val="-8"/>
        </w:rPr>
        <w:t>为使现场使用合理，施工平面布置应有条理，尽量减少占用施工用地，使平</w:t>
      </w:r>
      <w:r>
        <w:t>面布置紧</w:t>
      </w:r>
    </w:p>
    <w:p>
      <w:pPr>
        <w:pStyle w:val="BodyText"/>
        <w:spacing w:line="268" w:lineRule="auto"/>
        <w:ind w:right="875"/>
      </w:pPr>
      <w:r>
        <w:t>凑合理，同时做到场容整齐清洁，道路畅通，符合防火安全及文明施工的要求。</w:t>
      </w:r>
      <w:r>
        <w:rPr>
          <w:spacing w:val="-12"/>
        </w:rPr>
        <w:t>施工过程中避免多个工种在同壹场地、同壹区域进行施工而相互牵制、相互干扰。</w:t>
      </w:r>
      <w:r>
        <w:rPr>
          <w:spacing w:val="-7"/>
        </w:rPr>
        <w:t>施工平面设专人负责管理，使各项材料、机具等按已审定的现场施工平面布置图的位置堆放。</w:t>
      </w:r>
    </w:p>
    <w:p>
      <w:pPr>
        <w:pStyle w:val="Heading5"/>
      </w:pPr>
      <w:r>
        <w:t>二、施工平面布置</w:t>
      </w:r>
    </w:p>
    <w:p>
      <w:pPr>
        <w:pStyle w:val="BodyText"/>
        <w:spacing w:line="268" w:lineRule="auto"/>
        <w:ind w:left="736" w:right="995"/>
      </w:pPr>
      <w:r>
        <w:rPr>
          <w:spacing w:val="-6"/>
        </w:rPr>
        <w:t>本着文明施工,方便运输,减少场内二次搬运，因地制宜和紧密围绕机械设备</w:t>
      </w:r>
      <w:r>
        <w:t>进行施</w:t>
      </w:r>
    </w:p>
    <w:p>
      <w:pPr>
        <w:pStyle w:val="BodyText"/>
        <w:spacing w:line="268" w:lineRule="auto"/>
        <w:ind w:right="908"/>
      </w:pPr>
      <w:r>
        <w:rPr>
          <w:spacing w:val="-9"/>
        </w:rPr>
        <w:t>工，合理布置施工临时设施，施工用水、用电分别引接至施工现场，确保施工场</w:t>
      </w:r>
      <w:r>
        <w:rPr>
          <w:spacing w:val="-10"/>
        </w:rPr>
        <w:t>地内文明卫生、交通安全，优化施工对周围造成的施工影响，施工平面图附后。</w:t>
      </w:r>
    </w:p>
    <w:p>
      <w:pPr>
        <w:pStyle w:val="Heading5"/>
      </w:pPr>
      <w:r>
        <w:t>（壹</w:t>
      </w:r>
      <w:r>
        <w:rPr>
          <w:spacing w:val="-120"/>
        </w:rPr>
        <w:t>）</w:t>
      </w:r>
      <w:r>
        <w:t>、施工现场平面管理</w:t>
      </w:r>
    </w:p>
    <w:p>
      <w:pPr>
        <w:pStyle w:val="BodyText"/>
        <w:spacing w:line="268" w:lineRule="auto"/>
        <w:ind w:left="736" w:right="995"/>
      </w:pPr>
      <w:r>
        <w:t>1、平面管理由项目经理负责，日常工作由主管生产负责人组织有关人员实施，按分</w:t>
      </w:r>
    </w:p>
    <w:p>
      <w:pPr>
        <w:pStyle w:val="BodyText"/>
        <w:spacing w:line="307" w:lineRule="exact"/>
      </w:pPr>
      <w:r>
        <w:t>片区包干管理，未经同意，不得任意占用；</w:t>
      </w:r>
    </w:p>
    <w:p>
      <w:pPr>
        <w:pStyle w:val="BodyText"/>
        <w:spacing w:before="9" w:line="268" w:lineRule="auto"/>
        <w:ind w:left="736" w:right="995"/>
      </w:pPr>
      <w:r>
        <w:t>2、现场道路均作好路基，且进行地面硬化处理，排水沟壹律用砖砌，保持畅通。</w:t>
      </w:r>
    </w:p>
    <w:p>
      <w:pPr>
        <w:pStyle w:val="BodyText"/>
        <w:spacing w:line="307" w:lineRule="exact"/>
        <w:ind w:left="736"/>
      </w:pPr>
      <w:r>
        <w:t>3、现场入口处设警卫室，挂出入制度、场容管理条例、工程简介、安全管</w:t>
      </w:r>
    </w:p>
    <w:p>
      <w:pPr>
        <w:spacing w:after="0" w:line="307" w:lineRule="exact"/>
        <w:sectPr>
          <w:pgSz w:w="11910" w:h="16840"/>
          <w:pgMar w:top="1360" w:right="800" w:bottom="280" w:left="1540" w:header="708" w:footer="708"/>
          <w:pgNumType w:start="4"/>
          <w:cols w:space="708"/>
        </w:sectPr>
      </w:pPr>
    </w:p>
    <w:p>
      <w:pPr>
        <w:pStyle w:val="BodyText"/>
        <w:spacing w:before="79"/>
        <w:ind w:left="736"/>
      </w:pPr>
      <w:r>
        <w:t>理制度、</w:t>
      </w:r>
    </w:p>
    <w:p>
      <w:pPr>
        <w:pStyle w:val="BodyText"/>
        <w:spacing w:before="37"/>
      </w:pPr>
      <w:r>
        <w:t>质量方针、管理机构系统等图牌。</w:t>
      </w:r>
    </w:p>
    <w:p>
      <w:pPr>
        <w:pStyle w:val="BodyText"/>
        <w:spacing w:before="36" w:line="268" w:lineRule="auto"/>
        <w:ind w:left="736" w:right="995"/>
      </w:pPr>
      <w:r>
        <w:t>4、凡进出场的设备、材料需出示有关部门所签发放行条，警卫进行登记方可进出，</w:t>
      </w:r>
    </w:p>
    <w:p>
      <w:pPr>
        <w:pStyle w:val="BodyText"/>
        <w:spacing w:line="307" w:lineRule="exact"/>
      </w:pPr>
      <w:r>
        <w:t>所有设备、材料按平面布置图指定的位置堆放整齐，不得任意堆放或改动。</w:t>
      </w:r>
    </w:p>
    <w:p>
      <w:pPr>
        <w:pStyle w:val="BodyText"/>
        <w:spacing w:before="37" w:line="268" w:lineRule="auto"/>
        <w:ind w:left="736" w:right="995"/>
      </w:pPr>
      <w:r>
        <w:t>5、施工现场的水准点、轴线控制点、埋地电缆、架空电线有醒目标志，所有材料堆</w:t>
      </w:r>
    </w:p>
    <w:p>
      <w:pPr>
        <w:pStyle w:val="BodyText"/>
      </w:pPr>
      <w:r>
        <w:t>场也必须作好标志，且加以保护。</w:t>
      </w:r>
    </w:p>
    <w:p>
      <w:pPr>
        <w:pStyle w:val="BodyText"/>
        <w:spacing w:before="37" w:line="268" w:lineRule="auto"/>
        <w:ind w:left="736" w:right="995"/>
      </w:pPr>
      <w:r>
        <w:t>6、现场在出入口设门卫，所有出入人员凭出入证，甲方等有关单位发给特别通行证，</w:t>
      </w:r>
    </w:p>
    <w:p>
      <w:pPr>
        <w:pStyle w:val="BodyText"/>
        <w:spacing w:line="268" w:lineRule="auto"/>
        <w:ind w:right="908"/>
      </w:pPr>
      <w:r>
        <w:t>无关人员禁止入内，警卫全天候值班，特别加强夜间巡逻，防止偷盗现场材料， 维持良好工作秩序，禁止打架斗殴等行为发生。</w:t>
      </w:r>
    </w:p>
    <w:p>
      <w:pPr>
        <w:pStyle w:val="BodyText"/>
        <w:spacing w:line="268" w:lineRule="auto"/>
        <w:ind w:left="736" w:right="995"/>
      </w:pPr>
      <w:r>
        <w:t>7、施工垃圾处理。现场施工垃圾采用集中堆放，专人管理、统壹搬运的方法。楼层</w:t>
      </w:r>
    </w:p>
    <w:p>
      <w:pPr>
        <w:pStyle w:val="BodyText"/>
        <w:spacing w:line="286" w:lineRule="exact"/>
      </w:pPr>
      <w:r>
        <w:t>垃圾用提升机空闲时间吊运，且由专门班组搬运至堆放地点，且及时运出场外。</w:t>
      </w:r>
    </w:p>
    <w:p>
      <w:pPr>
        <w:pStyle w:val="Heading5"/>
        <w:spacing w:line="372" w:lineRule="exact"/>
      </w:pPr>
      <w:r>
        <w:t>（二</w:t>
      </w:r>
      <w:r>
        <w:rPr>
          <w:spacing w:val="-120"/>
        </w:rPr>
        <w:t>）</w:t>
      </w:r>
      <w:r>
        <w:t>、机具布置要点</w:t>
      </w:r>
    </w:p>
    <w:p>
      <w:pPr>
        <w:spacing w:before="0" w:line="384" w:lineRule="exact"/>
        <w:ind w:left="256" w:right="0" w:firstLine="0"/>
        <w:jc w:val="left"/>
        <w:rPr>
          <w:rFonts w:ascii="Microsoft JhengHei" w:eastAsia="Microsoft JhengHei" w:hint="eastAsia"/>
          <w:b/>
          <w:sz w:val="24"/>
        </w:rPr>
      </w:pPr>
      <w:r>
        <w:rPr>
          <w:rFonts w:ascii="Microsoft JhengHei" w:eastAsia="Microsoft JhengHei" w:hint="eastAsia"/>
          <w:b/>
          <w:sz w:val="24"/>
        </w:rPr>
        <w:t>1、加工厂、仓库、材料、构件堆场的布置</w:t>
      </w:r>
    </w:p>
    <w:p>
      <w:pPr>
        <w:pStyle w:val="ListParagraph"/>
        <w:numPr>
          <w:ilvl w:val="0"/>
          <w:numId w:val="22"/>
        </w:numPr>
        <w:tabs>
          <w:tab w:val="left" w:pos="1218"/>
        </w:tabs>
        <w:spacing w:before="0" w:after="0" w:line="299" w:lineRule="exact"/>
        <w:ind w:left="1218" w:right="0" w:hanging="602"/>
        <w:jc w:val="left"/>
        <w:rPr>
          <w:sz w:val="24"/>
        </w:rPr>
      </w:pPr>
      <w:r>
        <w:rPr>
          <w:sz w:val="24"/>
        </w:rPr>
        <w:t>、尽量靠近使用地点，运输、装卸方便；</w:t>
      </w:r>
    </w:p>
    <w:p>
      <w:pPr>
        <w:pStyle w:val="ListParagraph"/>
        <w:numPr>
          <w:ilvl w:val="0"/>
          <w:numId w:val="22"/>
        </w:numPr>
        <w:tabs>
          <w:tab w:val="left" w:pos="1218"/>
        </w:tabs>
        <w:spacing w:before="36" w:after="0" w:line="240" w:lineRule="auto"/>
        <w:ind w:left="1218" w:right="0" w:hanging="602"/>
        <w:jc w:val="left"/>
        <w:rPr>
          <w:sz w:val="24"/>
        </w:rPr>
      </w:pPr>
      <w:r>
        <w:rPr>
          <w:sz w:val="24"/>
        </w:rPr>
        <w:t>、工程使用混凝土采用商品混凝土。</w:t>
      </w:r>
    </w:p>
    <w:p>
      <w:pPr>
        <w:pStyle w:val="ListParagraph"/>
        <w:numPr>
          <w:ilvl w:val="0"/>
          <w:numId w:val="22"/>
        </w:numPr>
        <w:tabs>
          <w:tab w:val="left" w:pos="1218"/>
        </w:tabs>
        <w:spacing w:before="37" w:after="0" w:line="240" w:lineRule="auto"/>
        <w:ind w:left="1218" w:right="0" w:hanging="602"/>
        <w:jc w:val="left"/>
        <w:rPr>
          <w:sz w:val="24"/>
        </w:rPr>
      </w:pPr>
      <w:r>
        <w:rPr>
          <w:sz w:val="24"/>
        </w:rPr>
        <w:t>、木材棚、钢筋棚和水电加工棚离建筑物稍运，且有相应的堆场；</w:t>
      </w:r>
    </w:p>
    <w:p>
      <w:pPr>
        <w:pStyle w:val="ListParagraph"/>
        <w:numPr>
          <w:ilvl w:val="0"/>
          <w:numId w:val="22"/>
        </w:numPr>
        <w:tabs>
          <w:tab w:val="left" w:pos="1219"/>
        </w:tabs>
        <w:spacing w:before="37" w:after="0" w:line="268" w:lineRule="auto"/>
        <w:ind w:left="616" w:right="995" w:firstLine="0"/>
        <w:jc w:val="left"/>
        <w:rPr>
          <w:sz w:val="24"/>
        </w:rPr>
      </w:pPr>
      <w:r>
        <w:rPr>
          <w:sz w:val="24"/>
        </w:rPr>
        <w:t>、堆场布置按材料使用先后顺序，同壹场地可供多种材料或构件堆放，易燃、易</w:t>
      </w:r>
    </w:p>
    <w:p>
      <w:pPr>
        <w:pStyle w:val="BodyText"/>
        <w:spacing w:line="286" w:lineRule="exact"/>
      </w:pPr>
      <w:r>
        <w:t>爆品的仓库位置，遵守防火、防爆安全距离的要求。</w:t>
      </w:r>
    </w:p>
    <w:p>
      <w:pPr>
        <w:pStyle w:val="Heading5"/>
        <w:spacing w:line="411" w:lineRule="exact"/>
      </w:pPr>
      <w:r>
        <w:t>2、运输道路的修筑</w:t>
      </w:r>
    </w:p>
    <w:p>
      <w:pPr>
        <w:pStyle w:val="BodyText"/>
        <w:spacing w:line="268" w:lineRule="auto"/>
        <w:ind w:left="856" w:right="995"/>
      </w:pPr>
      <w:r>
        <w:t>按照材料和构件运输需要,沿着仓库和堆场进行布置,使之畅行无阻。宽度要符合规</w:t>
      </w:r>
    </w:p>
    <w:p>
      <w:pPr>
        <w:pStyle w:val="BodyText"/>
        <w:spacing w:line="277" w:lineRule="exact"/>
      </w:pPr>
      <w:r>
        <w:t>定。</w:t>
      </w:r>
    </w:p>
    <w:p>
      <w:pPr>
        <w:pStyle w:val="Heading5"/>
        <w:spacing w:line="411" w:lineRule="exact"/>
      </w:pPr>
      <w:r>
        <w:t>3、临时设施布置</w:t>
      </w:r>
    </w:p>
    <w:p>
      <w:pPr>
        <w:pStyle w:val="BodyText"/>
        <w:spacing w:line="268" w:lineRule="auto"/>
        <w:ind w:left="736" w:right="788"/>
      </w:pPr>
      <w:r>
        <w:rPr>
          <w:spacing w:val="-7"/>
        </w:rPr>
        <w:t xml:space="preserve">根据平面布置原则对施工现场临时生活设施、施工设施作出合理的规划布置， </w:t>
      </w:r>
      <w:r>
        <w:t>从而正</w:t>
      </w:r>
    </w:p>
    <w:p>
      <w:pPr>
        <w:pStyle w:val="BodyText"/>
        <w:spacing w:line="268" w:lineRule="auto"/>
        <w:ind w:right="908"/>
      </w:pPr>
      <w:r>
        <w:t>确处理施工期间各项临时设施和永久建筑、拟建建筑之间的空间关系。按使用方便，不妨碍施工，符合防火、安全要求的原则。分别布置办公室、宿舍、食堂、厨房、厕所、仓库等临时设施。</w:t>
      </w:r>
    </w:p>
    <w:p>
      <w:pPr>
        <w:pStyle w:val="Heading5"/>
      </w:pPr>
      <w:r>
        <w:t>（三</w:t>
      </w:r>
      <w:r>
        <w:rPr>
          <w:spacing w:val="-120"/>
        </w:rPr>
        <w:t>）</w:t>
      </w:r>
      <w:r>
        <w:t>、平面布置说明</w:t>
      </w:r>
    </w:p>
    <w:p>
      <w:pPr>
        <w:pStyle w:val="BodyText"/>
        <w:spacing w:line="268" w:lineRule="auto"/>
        <w:ind w:left="736" w:right="995"/>
      </w:pPr>
      <w:r>
        <w:t>1、临时设施区引入电源经柱上变压器变压进入总配电箱，加工制作间设动力配电箱，</w:t>
      </w:r>
    </w:p>
    <w:p>
      <w:pPr>
        <w:pStyle w:val="BodyText"/>
        <w:spacing w:line="268" w:lineRule="auto"/>
        <w:ind w:right="995"/>
      </w:pPr>
      <w:r>
        <w:rPr>
          <w:spacing w:val="-12"/>
        </w:rPr>
        <w:t>办公、宿舍、食堂、室外照明设照明配电箱。总配电箱加装漏电保护器，总电源</w:t>
      </w:r>
      <w:r>
        <w:t>接入各分支电源均采用架空线。</w:t>
      </w:r>
    </w:p>
    <w:p>
      <w:pPr>
        <w:pStyle w:val="BodyText"/>
        <w:spacing w:line="307" w:lineRule="exact"/>
        <w:ind w:left="736"/>
      </w:pPr>
      <w:r>
        <w:t>2、水源由 DN100 引入接通阀门，水表后分别接入厨房、卫生间。</w:t>
      </w:r>
    </w:p>
    <w:p>
      <w:pPr>
        <w:pStyle w:val="BodyText"/>
        <w:spacing w:before="18"/>
        <w:ind w:left="736"/>
      </w:pPr>
      <w:r>
        <w:t>3、临时设施区沿区内建筑物布置人行走道，区内堆场按泥结路面设定。</w:t>
      </w:r>
    </w:p>
    <w:p>
      <w:pPr>
        <w:spacing w:after="0"/>
        <w:sectPr>
          <w:pgSz w:w="11910" w:h="16840"/>
          <w:pgMar w:top="1360" w:right="800" w:bottom="280" w:left="1540" w:header="708" w:footer="708"/>
          <w:pgNumType w:start="5"/>
          <w:cols w:space="708"/>
        </w:sectPr>
      </w:pPr>
    </w:p>
    <w:p>
      <w:pPr>
        <w:pStyle w:val="BodyText"/>
        <w:spacing w:before="4"/>
        <w:ind w:left="0"/>
        <w:rPr>
          <w:sz w:val="31"/>
        </w:rPr>
      </w:pPr>
    </w:p>
    <w:p>
      <w:pPr>
        <w:spacing w:before="0" w:line="430" w:lineRule="exact"/>
        <w:ind w:left="256" w:right="0" w:firstLine="0"/>
        <w:jc w:val="left"/>
        <w:rPr>
          <w:rFonts w:ascii="Microsoft JhengHei" w:eastAsia="Microsoft JhengHei" w:hint="eastAsia"/>
          <w:b/>
          <w:sz w:val="24"/>
        </w:rPr>
      </w:pPr>
      <w:r>
        <w:rPr>
          <w:rFonts w:ascii="Microsoft JhengHei" w:eastAsia="Microsoft JhengHei" w:hint="eastAsia"/>
          <w:b/>
          <w:sz w:val="24"/>
        </w:rPr>
        <w:t>壹、组建项目经理部</w:t>
      </w:r>
    </w:p>
    <w:p>
      <w:pPr>
        <w:spacing w:before="0" w:line="504" w:lineRule="exact"/>
        <w:ind w:left="256" w:right="0" w:firstLine="0"/>
        <w:jc w:val="left"/>
        <w:rPr>
          <w:rFonts w:ascii="Microsoft JhengHei" w:eastAsia="Microsoft JhengHei" w:hint="eastAsia"/>
          <w:b/>
          <w:sz w:val="28"/>
        </w:rPr>
      </w:pPr>
      <w:r>
        <w:br w:type="column"/>
      </w:r>
      <w:r>
        <w:rPr>
          <w:rFonts w:ascii="Microsoft JhengHei" w:eastAsia="Microsoft JhengHei" w:hint="eastAsia"/>
          <w:b/>
          <w:sz w:val="28"/>
        </w:rPr>
        <w:t>第三章、工程管理架构</w:t>
      </w:r>
    </w:p>
    <w:p>
      <w:pPr>
        <w:spacing w:after="0" w:line="504" w:lineRule="exact"/>
        <w:jc w:val="left"/>
        <w:rPr>
          <w:rFonts w:ascii="Microsoft JhengHei" w:eastAsia="Microsoft JhengHei" w:hint="eastAsia"/>
          <w:sz w:val="28"/>
        </w:rPr>
        <w:sectPr>
          <w:pgSz w:w="11910" w:h="16840"/>
          <w:pgMar w:top="1360" w:right="800" w:bottom="280" w:left="1540" w:header="708" w:footer="708"/>
          <w:pgNumType w:start="6"/>
          <w:cols w:num="2" w:space="708" w:equalWidth="0">
            <w:col w:w="2458" w:space="298"/>
            <w:col w:w="6814" w:space="0"/>
          </w:cols>
        </w:sectPr>
      </w:pPr>
    </w:p>
    <w:p>
      <w:pPr>
        <w:pStyle w:val="BodyText"/>
        <w:spacing w:line="268" w:lineRule="auto"/>
        <w:ind w:left="736" w:right="875"/>
      </w:pPr>
      <w:r>
        <w:rPr>
          <w:spacing w:val="-12"/>
        </w:rPr>
        <w:t>建立以项目经理为首的项目经理部，承担整个项目施工全过程的质量、工期、</w:t>
      </w:r>
      <w:r>
        <w:t>安全、</w:t>
      </w:r>
    </w:p>
    <w:p>
      <w:pPr>
        <w:pStyle w:val="BodyText"/>
        <w:spacing w:line="307" w:lineRule="exact"/>
      </w:pPr>
      <w:r>
        <w:t>文明施工等的组织协调和管理工作。</w:t>
      </w:r>
    </w:p>
    <w:p>
      <w:pPr>
        <w:pStyle w:val="BodyText"/>
        <w:spacing w:before="31" w:line="268" w:lineRule="auto"/>
        <w:ind w:right="875" w:firstLine="480"/>
      </w:pPr>
      <w:r>
        <w:rPr>
          <w:spacing w:val="-5"/>
        </w:rPr>
        <w:t>项目经理部将以项目经理为首，同时配备技术负责人、施工员、质安员、资料员、材料员及各专业专职人员。全面负责该工程的施工、技术、进度、安全、</w:t>
      </w:r>
      <w:r>
        <w:rPr>
          <w:spacing w:val="-10"/>
        </w:rPr>
        <w:t>质量、材料、文明施工及消防等工作，由项目经理负责具体组织实施，落实到现</w:t>
      </w:r>
      <w:r>
        <w:rPr>
          <w:spacing w:val="-12"/>
        </w:rPr>
        <w:t>场具体人员；且定期召开技术安全、工程协调会议，提高工程质量，加快工程进</w:t>
      </w:r>
      <w:r>
        <w:rPr>
          <w:spacing w:val="-16"/>
        </w:rPr>
        <w:t xml:space="preserve">度。同时项目经理及各职能部门除按职能范围对现场施工工作进行监督、协调外， </w:t>
      </w:r>
      <w:r>
        <w:rPr>
          <w:spacing w:val="-15"/>
        </w:rPr>
        <w:t xml:space="preserve">仍调动 </w:t>
      </w:r>
      <w:r>
        <w:t>X</w:t>
      </w:r>
      <w:r>
        <w:rPr>
          <w:spacing w:val="-12"/>
        </w:rPr>
        <w:t xml:space="preserve"> 公司内部人力、物力、财力等生产资源；及时互通消息，保证该项目的全部后勤补给工作，使本工程保证施工顺利进行，且按期完工，交付业主使用。</w:t>
      </w:r>
    </w:p>
    <w:p>
      <w:pPr>
        <w:pStyle w:val="BodyText"/>
        <w:spacing w:line="268" w:lineRule="auto"/>
        <w:ind w:left="736" w:right="908"/>
      </w:pPr>
      <w:r>
        <w:rPr>
          <w:spacing w:val="-12"/>
        </w:rPr>
        <w:t xml:space="preserve">积极发挥 </w:t>
      </w:r>
      <w:r>
        <w:t>X</w:t>
      </w:r>
      <w:r>
        <w:rPr>
          <w:spacing w:val="-9"/>
        </w:rPr>
        <w:t xml:space="preserve"> 公司质量保证体系的作用，从文件控制、材料采购到产品标识、</w:t>
      </w:r>
      <w:r>
        <w:t>过程控制等</w:t>
      </w:r>
    </w:p>
    <w:p>
      <w:pPr>
        <w:spacing w:before="0" w:line="353" w:lineRule="exact"/>
        <w:ind w:left="256" w:right="0" w:firstLine="0"/>
        <w:jc w:val="left"/>
        <w:rPr>
          <w:sz w:val="24"/>
        </w:rPr>
      </w:pPr>
      <w:r>
        <w:rPr>
          <w:sz w:val="24"/>
        </w:rPr>
        <w:t xml:space="preserve">壹系列过程中，切实贯彻 </w:t>
      </w:r>
      <w:r>
        <w:rPr>
          <w:rFonts w:ascii="Microsoft JhengHei" w:eastAsia="Microsoft JhengHei" w:hint="eastAsia"/>
          <w:b/>
          <w:sz w:val="24"/>
        </w:rPr>
        <w:t xml:space="preserve">ISO9000 </w:t>
      </w:r>
      <w:r>
        <w:rPr>
          <w:sz w:val="24"/>
        </w:rPr>
        <w:t>体系标准和 X 公司质量保证体系。</w:t>
      </w:r>
    </w:p>
    <w:p>
      <w:pPr>
        <w:pStyle w:val="BodyText"/>
        <w:spacing w:line="277" w:lineRule="exact"/>
      </w:pPr>
      <w:r>
        <w:t>项目经理部架构及主要管理人员资料，详见本标书相应内容。</w:t>
      </w:r>
    </w:p>
    <w:p>
      <w:pPr>
        <w:pStyle w:val="Heading5"/>
        <w:spacing w:line="372" w:lineRule="exact"/>
      </w:pPr>
      <w:r>
        <w:t>二、质量体系</w:t>
      </w:r>
    </w:p>
    <w:p>
      <w:pPr>
        <w:spacing w:before="0" w:line="384" w:lineRule="exact"/>
        <w:ind w:left="736" w:right="0" w:firstLine="0"/>
        <w:jc w:val="left"/>
        <w:rPr>
          <w:sz w:val="24"/>
        </w:rPr>
      </w:pPr>
      <w:r>
        <w:rPr>
          <w:sz w:val="24"/>
        </w:rPr>
        <w:t xml:space="preserve">建立 </w:t>
      </w:r>
      <w:r>
        <w:rPr>
          <w:rFonts w:ascii="Microsoft JhengHei" w:eastAsia="Microsoft JhengHei" w:hint="eastAsia"/>
          <w:b/>
          <w:sz w:val="24"/>
        </w:rPr>
        <w:t xml:space="preserve">ISO9000 </w:t>
      </w:r>
      <w:r>
        <w:rPr>
          <w:sz w:val="24"/>
        </w:rPr>
        <w:t>质量保证体系，对各分部分项工程实行目标管理，做到组织落</w:t>
      </w:r>
    </w:p>
    <w:p>
      <w:pPr>
        <w:pStyle w:val="BodyText"/>
        <w:spacing w:line="299" w:lineRule="exact"/>
      </w:pPr>
      <w:r>
        <w:t>实，建立岗位责任制，以保证实现总的质量目标。</w:t>
      </w:r>
    </w:p>
    <w:p>
      <w:pPr>
        <w:spacing w:before="210"/>
        <w:ind w:left="2323" w:right="0" w:firstLine="0"/>
        <w:jc w:val="left"/>
        <w:rPr>
          <w:rFonts w:ascii="Microsoft JhengHei" w:eastAsia="Microsoft JhengHei" w:hint="eastAsia"/>
          <w:b/>
          <w:sz w:val="30"/>
        </w:rPr>
      </w:pPr>
      <w:r>
        <w:rPr>
          <w:rFonts w:ascii="Microsoft JhengHei" w:eastAsia="Microsoft JhengHei" w:hint="eastAsia"/>
          <w:b/>
          <w:sz w:val="30"/>
        </w:rPr>
        <w:t>第四章、主要施工工</w:t>
      </w:r>
      <w:r>
        <w:rPr>
          <w:rFonts w:ascii="Microsoft JhengHei" w:eastAsia="Microsoft JhengHei" w:hint="eastAsia"/>
          <w:b/>
          <w:sz w:val="28"/>
        </w:rPr>
        <w:t>法</w:t>
      </w:r>
      <w:r>
        <w:rPr>
          <w:rFonts w:ascii="Microsoft JhengHei" w:eastAsia="Microsoft JhengHei" w:hint="eastAsia"/>
          <w:b/>
          <w:sz w:val="30"/>
        </w:rPr>
        <w:t>技术措施</w:t>
      </w:r>
    </w:p>
    <w:p>
      <w:pPr>
        <w:pStyle w:val="Heading5"/>
        <w:spacing w:before="164" w:line="393" w:lineRule="exact"/>
      </w:pPr>
      <w:r>
        <w:t>壹、堤身土方回填</w:t>
      </w:r>
    </w:p>
    <w:p>
      <w:pPr>
        <w:spacing w:before="0" w:line="384" w:lineRule="exact"/>
        <w:ind w:left="256" w:right="0" w:firstLine="0"/>
        <w:jc w:val="left"/>
        <w:rPr>
          <w:rFonts w:ascii="Microsoft JhengHei" w:eastAsia="Microsoft JhengHei" w:hint="eastAsia"/>
          <w:b/>
          <w:sz w:val="24"/>
        </w:rPr>
      </w:pPr>
      <w:r>
        <w:rPr>
          <w:rFonts w:ascii="Microsoft JhengHei" w:eastAsia="Microsoft JhengHei" w:hint="eastAsia"/>
          <w:b/>
          <w:sz w:val="24"/>
        </w:rPr>
        <w:t>（壹</w:t>
      </w:r>
      <w:r>
        <w:rPr>
          <w:rFonts w:ascii="Microsoft JhengHei" w:eastAsia="Microsoft JhengHei" w:hint="eastAsia"/>
          <w:b/>
          <w:spacing w:val="-120"/>
          <w:sz w:val="24"/>
        </w:rPr>
        <w:t>）</w:t>
      </w:r>
      <w:r>
        <w:rPr>
          <w:rFonts w:ascii="Microsoft JhengHei" w:eastAsia="Microsoft JhengHei" w:hint="eastAsia"/>
          <w:b/>
          <w:sz w:val="24"/>
        </w:rPr>
        <w:t>、作业条件</w:t>
      </w:r>
    </w:p>
    <w:p>
      <w:pPr>
        <w:pStyle w:val="BodyText"/>
        <w:spacing w:line="268" w:lineRule="auto"/>
        <w:ind w:right="874"/>
      </w:pPr>
      <w:r>
        <w:t>1</w:t>
      </w:r>
      <w:r>
        <w:rPr>
          <w:spacing w:val="-10"/>
        </w:rPr>
        <w:t xml:space="preserve">、对路基范围内的黄土陷穴宜进行处理。挖方边坡顶以外的陷穴，若倾向路基， </w:t>
      </w:r>
      <w:r>
        <w:rPr>
          <w:spacing w:val="-9"/>
        </w:rPr>
        <w:t>应作适当处理。对串珠状陷穴应彻底进行处治。应在其发源地点对陷穴进口进行封填，且截排周围地表水。现有的陷穴、暗穴，可采用灌砂、灌浆、开挖回填、</w:t>
      </w:r>
      <w:r>
        <w:rPr>
          <w:spacing w:val="-12"/>
        </w:rPr>
        <w:t xml:space="preserve">导洞和竖井等措施进行填充。陷穴表面的防渗处理层厚度不宜小于 </w:t>
      </w:r>
      <w:r>
        <w:rPr>
          <w:spacing w:val="-3"/>
        </w:rPr>
        <w:t>300mm</w:t>
      </w:r>
      <w:r>
        <w:rPr>
          <w:spacing w:val="-2"/>
        </w:rPr>
        <w:t>，且将流向陷穴的附近地面水引离。</w:t>
      </w:r>
    </w:p>
    <w:p>
      <w:pPr>
        <w:pStyle w:val="BodyText"/>
        <w:spacing w:line="268" w:lineRule="auto"/>
        <w:ind w:right="995"/>
      </w:pPr>
      <w:r>
        <w:t>2、对路基范围内的地表裂缝，积水洼地，分别整平夯实，同时做好排水，以避免黄土陷穴继续发育。</w:t>
      </w:r>
    </w:p>
    <w:p>
      <w:pPr>
        <w:pStyle w:val="BodyText"/>
      </w:pPr>
      <w:r>
        <w:t>3、因本标段大部分为挖方，填方原料充足，填方所需土方量由挖方段运入。</w:t>
      </w:r>
    </w:p>
    <w:p>
      <w:pPr>
        <w:pStyle w:val="BodyText"/>
        <w:spacing w:before="27" w:line="268" w:lineRule="auto"/>
        <w:ind w:right="908"/>
      </w:pPr>
      <w:r>
        <w:t>4、施工前整体对临时性排水系统进行规划，和永久性排水系统相协调。及时完成临时性排水系统、永久性排水系统。对地表水采取拦截、分散、防冲、防渗、远接远送的原则，将各种危及路基稳定性的水源迅速引离路基。</w:t>
      </w:r>
    </w:p>
    <w:p>
      <w:pPr>
        <w:pStyle w:val="Heading5"/>
        <w:spacing w:line="313" w:lineRule="exact"/>
      </w:pPr>
      <w:r>
        <w:t>（二</w:t>
      </w:r>
      <w:r>
        <w:rPr>
          <w:spacing w:val="-120"/>
        </w:rPr>
        <w:t>）</w:t>
      </w:r>
      <w:r>
        <w:t>、填方施工</w:t>
      </w:r>
    </w:p>
    <w:p>
      <w:pPr>
        <w:spacing w:before="0" w:line="344" w:lineRule="exact"/>
        <w:ind w:left="256" w:right="0" w:firstLine="0"/>
        <w:jc w:val="left"/>
        <w:rPr>
          <w:rFonts w:ascii="Microsoft JhengHei" w:eastAsia="Microsoft JhengHei" w:hint="eastAsia"/>
          <w:b/>
          <w:sz w:val="24"/>
        </w:rPr>
      </w:pPr>
      <w:r>
        <w:rPr>
          <w:rFonts w:ascii="Microsoft JhengHei" w:eastAsia="Microsoft JhengHei" w:hint="eastAsia"/>
          <w:b/>
          <w:sz w:val="24"/>
        </w:rPr>
        <w:t>1、路堤工艺流程图</w:t>
      </w:r>
    </w:p>
    <w:p>
      <w:pPr>
        <w:pStyle w:val="Heading5"/>
        <w:spacing w:line="384" w:lineRule="exact"/>
        <w:rPr>
          <w:rFonts w:ascii="宋体" w:eastAsia="宋体" w:hint="eastAsia"/>
          <w:b w:val="0"/>
        </w:rPr>
      </w:pPr>
      <w:r>
        <w:t>2、基底处理</w:t>
      </w:r>
      <w:r>
        <w:rPr>
          <w:rFonts w:ascii="宋体" w:eastAsia="宋体" w:hint="eastAsia"/>
          <w:b w:val="0"/>
        </w:rPr>
        <w:t>：</w:t>
      </w:r>
    </w:p>
    <w:p>
      <w:pPr>
        <w:pStyle w:val="BodyText"/>
        <w:spacing w:line="268" w:lineRule="auto"/>
        <w:ind w:right="995"/>
      </w:pPr>
      <w:r>
        <w:rPr>
          <w:spacing w:val="-5"/>
        </w:rPr>
        <w:t xml:space="preserve">壹般地段原地面清除表土 </w:t>
      </w:r>
      <w:r>
        <w:t>20～30cm</w:t>
      </w:r>
      <w:r>
        <w:rPr>
          <w:spacing w:val="-9"/>
        </w:rPr>
        <w:t xml:space="preserve">，老路刷坡 </w:t>
      </w:r>
      <w:r>
        <w:t>50cm。填方路段清表后地面压实</w:t>
      </w:r>
      <w:r>
        <w:rPr>
          <w:spacing w:val="-1"/>
        </w:rPr>
        <w:t xml:space="preserve">度应不小于 </w:t>
      </w:r>
      <w:r>
        <w:t>90%</w:t>
      </w:r>
      <w:r>
        <w:rPr>
          <w:spacing w:val="11"/>
        </w:rPr>
        <w:t>。为保证路基边缘部分的压实度，在路堤右侧填筑宽度增加</w:t>
      </w:r>
    </w:p>
    <w:p>
      <w:pPr>
        <w:spacing w:after="0" w:line="268" w:lineRule="auto"/>
        <w:sectPr>
          <w:type w:val="continuous"/>
          <w:pgSz w:w="11910" w:h="16840"/>
          <w:pgMar w:top="1580" w:right="800" w:bottom="280" w:left="1540" w:header="708" w:footer="708"/>
          <w:pgNumType w:start="7"/>
          <w:cols w:space="708"/>
        </w:sectPr>
      </w:pPr>
    </w:p>
    <w:p>
      <w:pPr>
        <w:pStyle w:val="BodyText"/>
        <w:spacing w:before="79" w:line="268" w:lineRule="auto"/>
        <w:ind w:right="994"/>
        <w:jc w:val="both"/>
      </w:pPr>
      <w:r>
        <w:rPr>
          <w:spacing w:val="-6"/>
        </w:rPr>
        <w:t>50cm</w:t>
      </w:r>
      <w:r>
        <w:rPr>
          <w:spacing w:val="-7"/>
        </w:rPr>
        <w:t>，碾压完毕后进行削坡处理。为提高表层土体的压实度和承载能力，对填前</w:t>
      </w:r>
      <w:r>
        <w:rPr>
          <w:spacing w:val="-5"/>
        </w:rPr>
        <w:t xml:space="preserve">压实后的地表采用三边形 </w:t>
      </w:r>
      <w:r>
        <w:t>25kj</w:t>
      </w:r>
      <w:r>
        <w:rPr>
          <w:spacing w:val="-8"/>
        </w:rPr>
        <w:t xml:space="preserve"> 冲击压路机进行冲击压实，为提高路堤填土压实</w:t>
      </w:r>
      <w:r>
        <w:rPr>
          <w:spacing w:val="-10"/>
        </w:rPr>
        <w:t xml:space="preserve">的均匀性，对上、下路堤填土分层压实后，由下至上每填 </w:t>
      </w:r>
      <w:r>
        <w:t>2.0m</w:t>
      </w:r>
      <w:r>
        <w:rPr>
          <w:spacing w:val="-20"/>
        </w:rPr>
        <w:t xml:space="preserve"> 高，再利用 </w:t>
      </w:r>
      <w:r>
        <w:rPr>
          <w:spacing w:val="-4"/>
        </w:rPr>
        <w:t xml:space="preserve">25kj </w:t>
      </w:r>
      <w:r>
        <w:rPr>
          <w:spacing w:val="-3"/>
        </w:rPr>
        <w:t xml:space="preserve">冲击压路机进行冲击压实，路堤最后壹层冲击压实厚度控制在 </w:t>
      </w:r>
      <w:r>
        <w:t>1.0m～2.0m。</w:t>
      </w:r>
    </w:p>
    <w:p>
      <w:pPr>
        <w:pStyle w:val="Heading5"/>
        <w:rPr>
          <w:rFonts w:ascii="宋体" w:eastAsia="宋体" w:hint="eastAsia"/>
          <w:b w:val="0"/>
        </w:rPr>
      </w:pPr>
      <w:r>
        <w:t>3、标高控制</w:t>
      </w:r>
      <w:r>
        <w:rPr>
          <w:rFonts w:ascii="宋体" w:eastAsia="宋体" w:hint="eastAsia"/>
          <w:b w:val="0"/>
        </w:rPr>
        <w:t>：</w:t>
      </w:r>
    </w:p>
    <w:p>
      <w:pPr>
        <w:pStyle w:val="BodyText"/>
        <w:spacing w:line="268" w:lineRule="auto"/>
        <w:ind w:right="995"/>
        <w:jc w:val="both"/>
      </w:pPr>
      <w:r>
        <w:rPr>
          <w:spacing w:val="-6"/>
        </w:rPr>
        <w:t>由于路基填筑材料为湿陷性黄土，路基压实较难，所以控制每层的填筑质量对保</w:t>
      </w:r>
      <w:r>
        <w:rPr>
          <w:spacing w:val="-7"/>
        </w:rPr>
        <w:t>证整个路基工程具有重要影响，有必要在施工中加强层厚的控制。我单位决定在</w:t>
      </w:r>
      <w:r>
        <w:rPr>
          <w:spacing w:val="-4"/>
        </w:rPr>
        <w:t>壹定施工段落内设置路基边缘的标高控制杆的检查控制填筑层数和施工标高，这</w:t>
      </w:r>
      <w:r>
        <w:t>是壹种很好的质量控制办法。</w:t>
      </w:r>
    </w:p>
    <w:p>
      <w:pPr>
        <w:pStyle w:val="Heading5"/>
      </w:pPr>
      <w:r>
        <w:t>4、摊铺整平：</w:t>
      </w:r>
    </w:p>
    <w:p>
      <w:pPr>
        <w:pStyle w:val="BodyText"/>
        <w:spacing w:line="268" w:lineRule="auto"/>
        <w:ind w:right="875"/>
      </w:pPr>
      <w:r>
        <w:rPr>
          <w:spacing w:val="-13"/>
        </w:rPr>
        <w:t xml:space="preserve">摊铺时先用推土机或装载机粗平，再用平地机精平，粗平和精平要同时穿插进行， </w:t>
      </w:r>
      <w:r>
        <w:rPr>
          <w:spacing w:val="-10"/>
        </w:rPr>
        <w:t>以节约时间，减少水分损失。在精平后检测其松铺厚度是否和试验段确定的松铺厚度吻合，在确认壹致后准备开始碾压作业。</w:t>
      </w:r>
    </w:p>
    <w:p>
      <w:pPr>
        <w:pStyle w:val="Heading5"/>
      </w:pPr>
      <w:r>
        <w:t>5、碾压</w:t>
      </w:r>
    </w:p>
    <w:p>
      <w:pPr>
        <w:pStyle w:val="BodyText"/>
        <w:spacing w:line="268" w:lineRule="auto"/>
        <w:ind w:right="874" w:firstLine="480"/>
      </w:pPr>
      <w:r>
        <w:rPr>
          <w:spacing w:val="-10"/>
        </w:rPr>
        <w:t>（1）</w:t>
      </w:r>
      <w:r>
        <w:rPr>
          <w:spacing w:val="-7"/>
        </w:rPr>
        <w:t xml:space="preserve">黄土含水量过小，壹般宜在土场进行处理。也可在现场均匀洒水加湿， </w:t>
      </w:r>
      <w:r>
        <w:rPr>
          <w:spacing w:val="-6"/>
        </w:rPr>
        <w:t xml:space="preserve">土体吸收水份后，采用人工或双轮双锋犁反复拌和，及时整平、碾压。洒水量应根据现场抽检天然含水量和最佳含水量之差，且考虑蒸发量。最好在傍晚洒水， </w:t>
      </w:r>
      <w:r>
        <w:rPr>
          <w:spacing w:val="-11"/>
        </w:rPr>
        <w:t>第二天再补压，这样，洒在土层表面的水经长时间渗透，使土体各部分含水量很</w:t>
      </w:r>
      <w:r>
        <w:rPr>
          <w:spacing w:val="-14"/>
        </w:rPr>
        <w:t>均匀，才能达到补水的目的；否则，表层含水量过大，碾压后出现薄层“弹簧</w:t>
      </w:r>
      <w:r>
        <w:rPr>
          <w:spacing w:val="-82"/>
        </w:rPr>
        <w:t>”，</w:t>
      </w:r>
      <w:r>
        <w:t>压实度仍然不能达标。</w:t>
      </w:r>
    </w:p>
    <w:p>
      <w:pPr>
        <w:pStyle w:val="ListParagraph"/>
        <w:numPr>
          <w:ilvl w:val="0"/>
          <w:numId w:val="20"/>
        </w:numPr>
        <w:tabs>
          <w:tab w:val="left" w:pos="1218"/>
        </w:tabs>
        <w:spacing w:before="0" w:after="0" w:line="268" w:lineRule="auto"/>
        <w:ind w:left="256" w:right="995" w:firstLine="360"/>
        <w:jc w:val="left"/>
        <w:rPr>
          <w:sz w:val="24"/>
        </w:rPr>
      </w:pPr>
      <w:r>
        <w:rPr>
          <w:spacing w:val="-21"/>
          <w:sz w:val="24"/>
        </w:rPr>
        <w:t xml:space="preserve">大于 </w:t>
      </w:r>
      <w:r>
        <w:rPr>
          <w:sz w:val="24"/>
        </w:rPr>
        <w:t>10cm</w:t>
      </w:r>
      <w:r>
        <w:rPr>
          <w:spacing w:val="-13"/>
          <w:sz w:val="24"/>
        </w:rPr>
        <w:t xml:space="preserve"> 的块料，必须打碎。摊铺厚度应控制在 </w:t>
      </w:r>
      <w:r>
        <w:rPr>
          <w:sz w:val="24"/>
        </w:rPr>
        <w:t>25～30cm</w:t>
      </w:r>
      <w:r>
        <w:rPr>
          <w:spacing w:val="-3"/>
          <w:sz w:val="24"/>
        </w:rPr>
        <w:t>，上路的土</w:t>
      </w:r>
      <w:r>
        <w:rPr>
          <w:sz w:val="24"/>
        </w:rPr>
        <w:t>要及时碾压，洒水后的土达到最佳含水量时也要及时进行碾压。</w:t>
      </w:r>
    </w:p>
    <w:p>
      <w:pPr>
        <w:pStyle w:val="ListParagraph"/>
        <w:numPr>
          <w:ilvl w:val="0"/>
          <w:numId w:val="20"/>
        </w:numPr>
        <w:tabs>
          <w:tab w:val="left" w:pos="1218"/>
        </w:tabs>
        <w:spacing w:before="0" w:after="0" w:line="268" w:lineRule="auto"/>
        <w:ind w:left="256" w:right="995" w:firstLine="360"/>
        <w:jc w:val="both"/>
        <w:rPr>
          <w:sz w:val="24"/>
        </w:rPr>
      </w:pPr>
      <w:r>
        <w:rPr>
          <w:spacing w:val="-17"/>
          <w:sz w:val="24"/>
        </w:rPr>
        <w:t xml:space="preserve">参考压实方案：先用 </w:t>
      </w:r>
      <w:r>
        <w:rPr>
          <w:sz w:val="24"/>
        </w:rPr>
        <w:t>CA25</w:t>
      </w:r>
      <w:r>
        <w:rPr>
          <w:spacing w:val="-12"/>
          <w:sz w:val="24"/>
        </w:rPr>
        <w:t xml:space="preserve"> 自行式钢轮压路机静压壹遍，再由 </w:t>
      </w:r>
      <w:r>
        <w:rPr>
          <w:sz w:val="24"/>
        </w:rPr>
        <w:t>YZT16K</w:t>
      </w:r>
      <w:r>
        <w:rPr>
          <w:spacing w:val="-39"/>
          <w:sz w:val="24"/>
        </w:rPr>
        <w:t xml:space="preserve"> 拖</w:t>
      </w:r>
      <w:r>
        <w:rPr>
          <w:spacing w:val="-5"/>
          <w:sz w:val="24"/>
        </w:rPr>
        <w:t xml:space="preserve">式凸轮振动压路机振动碾压 </w:t>
      </w:r>
      <w:r>
        <w:rPr>
          <w:sz w:val="24"/>
        </w:rPr>
        <w:t>5～6</w:t>
      </w:r>
      <w:r>
        <w:rPr>
          <w:spacing w:val="-8"/>
          <w:sz w:val="24"/>
        </w:rPr>
        <w:t xml:space="preserve"> 遍，由洒水车洒水壹遍，平地机再次整平，再</w:t>
      </w:r>
      <w:r>
        <w:rPr>
          <w:spacing w:val="-34"/>
          <w:sz w:val="24"/>
        </w:rPr>
        <w:t xml:space="preserve">由 </w:t>
      </w:r>
      <w:r>
        <w:rPr>
          <w:sz w:val="24"/>
        </w:rPr>
        <w:t>CA25</w:t>
      </w:r>
      <w:r>
        <w:rPr>
          <w:spacing w:val="-16"/>
          <w:sz w:val="24"/>
        </w:rPr>
        <w:t xml:space="preserve"> 光轮振动碾压 </w:t>
      </w:r>
      <w:r>
        <w:rPr>
          <w:sz w:val="24"/>
        </w:rPr>
        <w:t>2</w:t>
      </w:r>
      <w:r>
        <w:rPr>
          <w:spacing w:val="-8"/>
          <w:sz w:val="24"/>
        </w:rPr>
        <w:t xml:space="preserve"> 遍，路肩处多碾压壹遍，最后静压壹遍。</w:t>
      </w:r>
    </w:p>
    <w:p>
      <w:pPr>
        <w:pStyle w:val="ListParagraph"/>
        <w:numPr>
          <w:ilvl w:val="0"/>
          <w:numId w:val="20"/>
        </w:numPr>
        <w:tabs>
          <w:tab w:val="left" w:pos="1218"/>
        </w:tabs>
        <w:spacing w:before="0" w:after="0" w:line="268" w:lineRule="auto"/>
        <w:ind w:left="256" w:right="875" w:firstLine="360"/>
        <w:jc w:val="left"/>
        <w:rPr>
          <w:sz w:val="24"/>
        </w:rPr>
      </w:pPr>
      <w:r>
        <w:rPr>
          <w:spacing w:val="-11"/>
          <w:sz w:val="24"/>
        </w:rPr>
        <w:t>在每层施工前，需要注意在上土前在压实的原地面或填筑层上洒水湿润</w:t>
      </w:r>
      <w:r>
        <w:rPr>
          <w:spacing w:val="-8"/>
          <w:sz w:val="24"/>
        </w:rPr>
        <w:t xml:space="preserve">，这样做可防止上层接触填筑土的水份损失，也防止施工车辆对填筑层的破坏， </w:t>
      </w:r>
      <w:r>
        <w:rPr>
          <w:sz w:val="24"/>
        </w:rPr>
        <w:t>减少粉尘污染环境。</w:t>
      </w:r>
    </w:p>
    <w:p>
      <w:pPr>
        <w:pStyle w:val="Heading5"/>
      </w:pPr>
      <w:r>
        <w:t>6、注意事项</w:t>
      </w:r>
    </w:p>
    <w:p>
      <w:pPr>
        <w:pStyle w:val="ListParagraph"/>
        <w:numPr>
          <w:ilvl w:val="0"/>
          <w:numId w:val="19"/>
        </w:numPr>
        <w:tabs>
          <w:tab w:val="left" w:pos="1223"/>
        </w:tabs>
        <w:spacing w:before="0" w:after="0" w:line="268" w:lineRule="auto"/>
        <w:ind w:left="256" w:right="995" w:firstLine="360"/>
        <w:jc w:val="both"/>
        <w:rPr>
          <w:sz w:val="24"/>
        </w:rPr>
      </w:pPr>
      <w:r>
        <w:rPr>
          <w:sz w:val="24"/>
        </w:rPr>
        <w:t>新老路搭接：新老路搭接主要采取开挖台阶的方式，第壹层台阶高度1.2m</w:t>
      </w:r>
      <w:r>
        <w:rPr>
          <w:spacing w:val="-6"/>
          <w:sz w:val="24"/>
        </w:rPr>
        <w:t xml:space="preserve">，其它各层台阶高度 </w:t>
      </w:r>
      <w:r>
        <w:rPr>
          <w:sz w:val="24"/>
        </w:rPr>
        <w:t>0.8m，开挖破率和原老路基保持壹致，台阶宽度依据破率确定。</w:t>
      </w:r>
    </w:p>
    <w:p>
      <w:pPr>
        <w:pStyle w:val="ListParagraph"/>
        <w:numPr>
          <w:ilvl w:val="0"/>
          <w:numId w:val="19"/>
        </w:numPr>
        <w:tabs>
          <w:tab w:val="left" w:pos="1218"/>
        </w:tabs>
        <w:spacing w:before="0" w:after="0" w:line="268" w:lineRule="auto"/>
        <w:ind w:left="256" w:right="995" w:firstLine="360"/>
        <w:jc w:val="left"/>
        <w:rPr>
          <w:sz w:val="24"/>
        </w:rPr>
      </w:pPr>
      <w:r>
        <w:rPr>
          <w:spacing w:val="-7"/>
          <w:sz w:val="24"/>
        </w:rPr>
        <w:t xml:space="preserve">路基回填时，应分层进行摊铺。保证每层满足压实度及平纵坡要求， </w:t>
      </w:r>
      <w:r>
        <w:rPr>
          <w:spacing w:val="-4"/>
          <w:sz w:val="24"/>
        </w:rPr>
        <w:t>不得出现积水，确保质量要求。</w:t>
      </w:r>
    </w:p>
    <w:p>
      <w:pPr>
        <w:pStyle w:val="ListParagraph"/>
        <w:numPr>
          <w:ilvl w:val="0"/>
          <w:numId w:val="19"/>
        </w:numPr>
        <w:tabs>
          <w:tab w:val="left" w:pos="1224"/>
        </w:tabs>
        <w:spacing w:before="0" w:after="0" w:line="268" w:lineRule="auto"/>
        <w:ind w:left="256" w:right="908" w:firstLine="360"/>
        <w:jc w:val="left"/>
        <w:rPr>
          <w:sz w:val="24"/>
        </w:rPr>
      </w:pPr>
      <w:r>
        <w:rPr>
          <w:spacing w:val="-2"/>
          <w:sz w:val="24"/>
        </w:rPr>
        <w:t xml:space="preserve">填挖交界处为壹般土时，应对挖方区 </w:t>
      </w:r>
      <w:r>
        <w:rPr>
          <w:sz w:val="24"/>
        </w:rPr>
        <w:t>0.8m</w:t>
      </w:r>
      <w:r>
        <w:rPr>
          <w:spacing w:val="-14"/>
          <w:sz w:val="24"/>
        </w:rPr>
        <w:t xml:space="preserve"> 深度、</w:t>
      </w:r>
      <w:r>
        <w:rPr>
          <w:sz w:val="24"/>
        </w:rPr>
        <w:t>10m</w:t>
      </w:r>
      <w:r>
        <w:rPr>
          <w:spacing w:val="-7"/>
          <w:sz w:val="24"/>
        </w:rPr>
        <w:t xml:space="preserve"> 长度范围内土体</w:t>
      </w:r>
      <w:r>
        <w:rPr>
          <w:spacing w:val="-8"/>
          <w:sz w:val="24"/>
        </w:rPr>
        <w:t xml:space="preserve">进行超挖回填碾压，且在填挖交界处路床顶、底各设置壹层双向塑料土工格栅， </w:t>
      </w:r>
      <w:r>
        <w:rPr>
          <w:spacing w:val="-4"/>
          <w:sz w:val="24"/>
        </w:rPr>
        <w:t xml:space="preserve">格栅锚固在挖方区的长度纵向不小于 </w:t>
      </w:r>
      <w:r>
        <w:rPr>
          <w:sz w:val="24"/>
        </w:rPr>
        <w:t>5m</w:t>
      </w:r>
      <w:r>
        <w:rPr>
          <w:spacing w:val="-9"/>
          <w:sz w:val="24"/>
        </w:rPr>
        <w:t xml:space="preserve">，锚固采用 </w:t>
      </w:r>
      <w:r>
        <w:rPr>
          <w:sz w:val="24"/>
        </w:rPr>
        <w:t>φ8</w:t>
      </w:r>
      <w:r>
        <w:rPr>
          <w:spacing w:val="-5"/>
          <w:sz w:val="24"/>
        </w:rPr>
        <w:t xml:space="preserve"> 钢筋钉。填挖交界处的</w:t>
      </w:r>
      <w:r>
        <w:rPr>
          <w:spacing w:val="-8"/>
          <w:sz w:val="24"/>
        </w:rPr>
        <w:t xml:space="preserve">衔接通过开挖锯齿形台阶实现，台阶宽度不小于 </w:t>
      </w:r>
      <w:r>
        <w:rPr>
          <w:sz w:val="24"/>
        </w:rPr>
        <w:t>2m</w:t>
      </w:r>
    </w:p>
    <w:p>
      <w:pPr>
        <w:pStyle w:val="ListParagraph"/>
        <w:numPr>
          <w:ilvl w:val="0"/>
          <w:numId w:val="19"/>
        </w:numPr>
        <w:tabs>
          <w:tab w:val="left" w:pos="1223"/>
        </w:tabs>
        <w:spacing w:before="0" w:after="0" w:line="268" w:lineRule="auto"/>
        <w:ind w:left="256" w:right="995" w:firstLine="360"/>
        <w:jc w:val="left"/>
        <w:rPr>
          <w:sz w:val="24"/>
        </w:rPr>
      </w:pPr>
      <w:r>
        <w:rPr>
          <w:spacing w:val="-4"/>
          <w:sz w:val="24"/>
        </w:rPr>
        <w:t xml:space="preserve">对于桥头路堤的处理，采用 </w:t>
      </w:r>
      <w:r>
        <w:rPr>
          <w:sz w:val="24"/>
        </w:rPr>
        <w:t>5%石灰土填筑，通过重型压路机达到的压</w:t>
      </w:r>
      <w:r>
        <w:rPr>
          <w:spacing w:val="-9"/>
          <w:sz w:val="24"/>
        </w:rPr>
        <w:t xml:space="preserve">实度不得小于 </w:t>
      </w:r>
      <w:r>
        <w:rPr>
          <w:spacing w:val="-4"/>
          <w:sz w:val="24"/>
        </w:rPr>
        <w:t>96%，重型压路机压不到的地方要求用小型机具薄层夯实。台背路</w:t>
      </w:r>
    </w:p>
    <w:p>
      <w:pPr>
        <w:spacing w:after="0" w:line="268" w:lineRule="auto"/>
        <w:jc w:val="left"/>
        <w:rPr>
          <w:sz w:val="24"/>
        </w:rPr>
        <w:sectPr>
          <w:pgSz w:w="11910" w:h="16840"/>
          <w:pgMar w:top="1360" w:right="800" w:bottom="280" w:left="1540" w:header="708" w:footer="708"/>
          <w:pgNumType w:start="8"/>
          <w:cols w:space="708"/>
        </w:sectPr>
      </w:pPr>
    </w:p>
    <w:p>
      <w:pPr>
        <w:pStyle w:val="BodyText"/>
        <w:spacing w:before="79"/>
      </w:pPr>
      <w:r>
        <w:t>基填筑和壹般路基采用台阶搭接，搭接台阶宽度为 1.5m，高 1.0m，自基底沿 1：</w:t>
      </w:r>
    </w:p>
    <w:p>
      <w:pPr>
        <w:pStyle w:val="BodyText"/>
        <w:spacing w:before="37"/>
      </w:pPr>
      <w:r>
        <w:t>1.5 的坡率向上搭接至路床顶面。</w:t>
      </w:r>
    </w:p>
    <w:p>
      <w:pPr>
        <w:pStyle w:val="BodyText"/>
        <w:spacing w:before="36" w:line="268" w:lineRule="auto"/>
        <w:ind w:right="995"/>
      </w:pPr>
      <w:r>
        <w:t>桥涵及其他构造物处的填土,应适时分层回填压实。回填土时对桥涵污工的强度等要求应按照《公路桥涵施工技术规范》有关规定办理。</w:t>
      </w:r>
    </w:p>
    <w:p>
      <w:pPr>
        <w:pStyle w:val="Heading5"/>
        <w:spacing w:line="187" w:lineRule="auto"/>
        <w:ind w:right="4628"/>
      </w:pPr>
      <w:r>
        <w:rPr>
          <w:w w:val="95"/>
        </w:rPr>
        <w:t>7、路基填料强度、压实度应满足以下要求。</w:t>
      </w:r>
      <w:r>
        <w:t>路基的填料强度、压实度要求</w:t>
      </w:r>
    </w:p>
    <w:tbl>
      <w:tblPr>
        <w:tblStyle w:val="TableNormal0"/>
        <w:tblW w:w="0" w:type="auto"/>
        <w:jc w:val="left"/>
        <w:tblInd w:w="4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00"/>
        <w:gridCol w:w="1800"/>
        <w:gridCol w:w="1620"/>
        <w:gridCol w:w="1980"/>
      </w:tblGrid>
      <w:tr>
        <w:tblPrEx>
          <w:tblW w:w="0" w:type="auto"/>
          <w:jc w:val="left"/>
          <w:tblInd w:w="4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835"/>
          <w:jc w:val="left"/>
        </w:trPr>
        <w:tc>
          <w:tcPr>
            <w:tcW w:w="3600" w:type="dxa"/>
          </w:tcPr>
          <w:p>
            <w:pPr>
              <w:pStyle w:val="TableParagraph"/>
              <w:spacing w:before="6"/>
              <w:ind w:left="0"/>
              <w:rPr>
                <w:rFonts w:ascii="Microsoft JhengHei"/>
                <w:b/>
                <w:sz w:val="13"/>
              </w:rPr>
            </w:pPr>
          </w:p>
          <w:p>
            <w:pPr>
              <w:pStyle w:val="TableParagraph"/>
              <w:spacing w:before="1"/>
              <w:rPr>
                <w:sz w:val="24"/>
              </w:rPr>
            </w:pPr>
            <w:r>
              <w:rPr>
                <w:sz w:val="24"/>
              </w:rPr>
              <w:t>项目分类</w:t>
            </w:r>
          </w:p>
        </w:tc>
        <w:tc>
          <w:tcPr>
            <w:tcW w:w="1800" w:type="dxa"/>
          </w:tcPr>
          <w:p>
            <w:pPr>
              <w:pStyle w:val="TableParagraph"/>
              <w:spacing w:before="74"/>
              <w:rPr>
                <w:sz w:val="24"/>
              </w:rPr>
            </w:pPr>
            <w:r>
              <w:rPr>
                <w:sz w:val="24"/>
              </w:rPr>
              <w:t>填料最小强度</w:t>
            </w:r>
          </w:p>
          <w:p>
            <w:pPr>
              <w:pStyle w:val="TableParagraph"/>
              <w:spacing w:before="36"/>
              <w:rPr>
                <w:sz w:val="24"/>
              </w:rPr>
            </w:pPr>
            <w:r>
              <w:rPr>
                <w:sz w:val="24"/>
              </w:rPr>
              <w:t>CBR 值（%）</w:t>
            </w:r>
          </w:p>
        </w:tc>
        <w:tc>
          <w:tcPr>
            <w:tcW w:w="1620" w:type="dxa"/>
          </w:tcPr>
          <w:p>
            <w:pPr>
              <w:pStyle w:val="TableParagraph"/>
              <w:spacing w:before="6"/>
              <w:ind w:left="0"/>
              <w:rPr>
                <w:rFonts w:ascii="Microsoft JhengHei"/>
                <w:b/>
                <w:sz w:val="13"/>
              </w:rPr>
            </w:pPr>
          </w:p>
          <w:p>
            <w:pPr>
              <w:pStyle w:val="TableParagraph"/>
              <w:spacing w:before="1"/>
              <w:rPr>
                <w:sz w:val="24"/>
              </w:rPr>
            </w:pPr>
            <w:r>
              <w:rPr>
                <w:sz w:val="24"/>
              </w:rPr>
              <w:t>压实度（%）</w:t>
            </w:r>
          </w:p>
        </w:tc>
        <w:tc>
          <w:tcPr>
            <w:tcW w:w="1980" w:type="dxa"/>
          </w:tcPr>
          <w:p>
            <w:pPr>
              <w:pStyle w:val="TableParagraph"/>
              <w:spacing w:before="74"/>
              <w:rPr>
                <w:sz w:val="24"/>
              </w:rPr>
            </w:pPr>
            <w:r>
              <w:rPr>
                <w:sz w:val="24"/>
              </w:rPr>
              <w:t>填料最大粒径</w:t>
            </w:r>
          </w:p>
          <w:p>
            <w:pPr>
              <w:pStyle w:val="TableParagraph"/>
              <w:spacing w:before="36"/>
              <w:rPr>
                <w:sz w:val="24"/>
              </w:rPr>
            </w:pPr>
            <w:r>
              <w:rPr>
                <w:sz w:val="24"/>
              </w:rPr>
              <w:t>（cm）</w:t>
            </w:r>
          </w:p>
        </w:tc>
      </w:tr>
      <w:tr>
        <w:tblPrEx>
          <w:tblW w:w="0" w:type="auto"/>
          <w:jc w:val="left"/>
          <w:tblInd w:w="441" w:type="dxa"/>
          <w:tblLayout w:type="fixed"/>
          <w:tblCellMar>
            <w:top w:w="0" w:type="dxa"/>
            <w:left w:w="0" w:type="dxa"/>
            <w:bottom w:w="0" w:type="dxa"/>
            <w:right w:w="0" w:type="dxa"/>
          </w:tblCellMar>
          <w:tblLook w:val="01E0"/>
        </w:tblPrEx>
        <w:trPr>
          <w:trHeight w:val="344"/>
          <w:jc w:val="left"/>
        </w:trPr>
        <w:tc>
          <w:tcPr>
            <w:tcW w:w="3600" w:type="dxa"/>
          </w:tcPr>
          <w:p>
            <w:pPr>
              <w:pStyle w:val="TableParagraph"/>
              <w:rPr>
                <w:sz w:val="24"/>
              </w:rPr>
            </w:pPr>
            <w:r>
              <w:rPr>
                <w:sz w:val="24"/>
              </w:rPr>
              <w:t>上路床（0-30cm）</w:t>
            </w:r>
          </w:p>
        </w:tc>
        <w:tc>
          <w:tcPr>
            <w:tcW w:w="1800" w:type="dxa"/>
          </w:tcPr>
          <w:p>
            <w:pPr>
              <w:pStyle w:val="TableParagraph"/>
              <w:rPr>
                <w:sz w:val="24"/>
              </w:rPr>
            </w:pPr>
            <w:r>
              <w:rPr>
                <w:sz w:val="24"/>
              </w:rPr>
              <w:t>8.0</w:t>
            </w:r>
          </w:p>
        </w:tc>
        <w:tc>
          <w:tcPr>
            <w:tcW w:w="1620" w:type="dxa"/>
          </w:tcPr>
          <w:p>
            <w:pPr>
              <w:pStyle w:val="TableParagraph"/>
              <w:rPr>
                <w:sz w:val="24"/>
              </w:rPr>
            </w:pPr>
            <w:r>
              <w:rPr>
                <w:sz w:val="24"/>
              </w:rPr>
              <w:t>≥91</w:t>
            </w:r>
          </w:p>
        </w:tc>
        <w:tc>
          <w:tcPr>
            <w:tcW w:w="1980" w:type="dxa"/>
          </w:tcPr>
          <w:p>
            <w:pPr>
              <w:pStyle w:val="TableParagraph"/>
              <w:rPr>
                <w:sz w:val="24"/>
              </w:rPr>
            </w:pPr>
            <w:r>
              <w:rPr>
                <w:sz w:val="24"/>
              </w:rPr>
              <w:t>10</w:t>
            </w:r>
          </w:p>
        </w:tc>
      </w:tr>
      <w:tr>
        <w:tblPrEx>
          <w:tblW w:w="0" w:type="auto"/>
          <w:jc w:val="left"/>
          <w:tblInd w:w="441" w:type="dxa"/>
          <w:tblLayout w:type="fixed"/>
          <w:tblCellMar>
            <w:top w:w="0" w:type="dxa"/>
            <w:left w:w="0" w:type="dxa"/>
            <w:bottom w:w="0" w:type="dxa"/>
            <w:right w:w="0" w:type="dxa"/>
          </w:tblCellMar>
          <w:tblLook w:val="01E0"/>
        </w:tblPrEx>
        <w:trPr>
          <w:trHeight w:val="344"/>
          <w:jc w:val="left"/>
        </w:trPr>
        <w:tc>
          <w:tcPr>
            <w:tcW w:w="3600" w:type="dxa"/>
          </w:tcPr>
          <w:p>
            <w:pPr>
              <w:pStyle w:val="TableParagraph"/>
              <w:rPr>
                <w:sz w:val="24"/>
              </w:rPr>
            </w:pPr>
            <w:r>
              <w:rPr>
                <w:sz w:val="24"/>
              </w:rPr>
              <w:t>下路床（30-80cm）</w:t>
            </w:r>
          </w:p>
        </w:tc>
        <w:tc>
          <w:tcPr>
            <w:tcW w:w="1800" w:type="dxa"/>
          </w:tcPr>
          <w:p>
            <w:pPr>
              <w:pStyle w:val="TableParagraph"/>
              <w:rPr>
                <w:sz w:val="24"/>
              </w:rPr>
            </w:pPr>
            <w:r>
              <w:rPr>
                <w:sz w:val="24"/>
              </w:rPr>
              <w:t>5.0</w:t>
            </w:r>
          </w:p>
        </w:tc>
        <w:tc>
          <w:tcPr>
            <w:tcW w:w="1620" w:type="dxa"/>
          </w:tcPr>
          <w:p>
            <w:pPr>
              <w:pStyle w:val="TableParagraph"/>
              <w:rPr>
                <w:sz w:val="24"/>
              </w:rPr>
            </w:pPr>
            <w:r>
              <w:rPr>
                <w:sz w:val="24"/>
              </w:rPr>
              <w:t>≥91</w:t>
            </w:r>
          </w:p>
        </w:tc>
        <w:tc>
          <w:tcPr>
            <w:tcW w:w="1980" w:type="dxa"/>
          </w:tcPr>
          <w:p>
            <w:pPr>
              <w:pStyle w:val="TableParagraph"/>
              <w:rPr>
                <w:sz w:val="24"/>
              </w:rPr>
            </w:pPr>
            <w:r>
              <w:rPr>
                <w:sz w:val="24"/>
              </w:rPr>
              <w:t>10</w:t>
            </w:r>
          </w:p>
        </w:tc>
      </w:tr>
      <w:tr>
        <w:tblPrEx>
          <w:tblW w:w="0" w:type="auto"/>
          <w:jc w:val="left"/>
          <w:tblInd w:w="441" w:type="dxa"/>
          <w:tblLayout w:type="fixed"/>
          <w:tblCellMar>
            <w:top w:w="0" w:type="dxa"/>
            <w:left w:w="0" w:type="dxa"/>
            <w:bottom w:w="0" w:type="dxa"/>
            <w:right w:w="0" w:type="dxa"/>
          </w:tblCellMar>
          <w:tblLook w:val="01E0"/>
        </w:tblPrEx>
        <w:trPr>
          <w:trHeight w:val="344"/>
          <w:jc w:val="left"/>
        </w:trPr>
        <w:tc>
          <w:tcPr>
            <w:tcW w:w="3600" w:type="dxa"/>
          </w:tcPr>
          <w:p>
            <w:pPr>
              <w:pStyle w:val="TableParagraph"/>
              <w:rPr>
                <w:sz w:val="24"/>
              </w:rPr>
            </w:pPr>
            <w:r>
              <w:rPr>
                <w:sz w:val="24"/>
              </w:rPr>
              <w:t>上路堤（80-150cm）</w:t>
            </w:r>
          </w:p>
        </w:tc>
        <w:tc>
          <w:tcPr>
            <w:tcW w:w="1800" w:type="dxa"/>
          </w:tcPr>
          <w:p>
            <w:pPr>
              <w:pStyle w:val="TableParagraph"/>
              <w:rPr>
                <w:sz w:val="24"/>
              </w:rPr>
            </w:pPr>
            <w:r>
              <w:rPr>
                <w:sz w:val="24"/>
              </w:rPr>
              <w:t>4.0</w:t>
            </w:r>
          </w:p>
        </w:tc>
        <w:tc>
          <w:tcPr>
            <w:tcW w:w="1620" w:type="dxa"/>
          </w:tcPr>
          <w:p>
            <w:pPr>
              <w:pStyle w:val="TableParagraph"/>
              <w:rPr>
                <w:sz w:val="24"/>
              </w:rPr>
            </w:pPr>
            <w:r>
              <w:rPr>
                <w:sz w:val="24"/>
              </w:rPr>
              <w:t>≥90</w:t>
            </w:r>
          </w:p>
        </w:tc>
        <w:tc>
          <w:tcPr>
            <w:tcW w:w="1980" w:type="dxa"/>
          </w:tcPr>
          <w:p>
            <w:pPr>
              <w:pStyle w:val="TableParagraph"/>
              <w:rPr>
                <w:sz w:val="24"/>
              </w:rPr>
            </w:pPr>
            <w:r>
              <w:rPr>
                <w:sz w:val="24"/>
              </w:rPr>
              <w:t>15</w:t>
            </w:r>
          </w:p>
        </w:tc>
      </w:tr>
      <w:tr>
        <w:tblPrEx>
          <w:tblW w:w="0" w:type="auto"/>
          <w:jc w:val="left"/>
          <w:tblInd w:w="441" w:type="dxa"/>
          <w:tblLayout w:type="fixed"/>
          <w:tblCellMar>
            <w:top w:w="0" w:type="dxa"/>
            <w:left w:w="0" w:type="dxa"/>
            <w:bottom w:w="0" w:type="dxa"/>
            <w:right w:w="0" w:type="dxa"/>
          </w:tblCellMar>
          <w:tblLook w:val="01E0"/>
        </w:tblPrEx>
        <w:trPr>
          <w:trHeight w:val="344"/>
          <w:jc w:val="left"/>
        </w:trPr>
        <w:tc>
          <w:tcPr>
            <w:tcW w:w="3600" w:type="dxa"/>
          </w:tcPr>
          <w:p>
            <w:pPr>
              <w:pStyle w:val="TableParagraph"/>
              <w:rPr>
                <w:sz w:val="24"/>
              </w:rPr>
            </w:pPr>
            <w:r>
              <w:rPr>
                <w:sz w:val="24"/>
              </w:rPr>
              <w:t>下路堤（150cm 以下）</w:t>
            </w:r>
          </w:p>
        </w:tc>
        <w:tc>
          <w:tcPr>
            <w:tcW w:w="1800" w:type="dxa"/>
          </w:tcPr>
          <w:p>
            <w:pPr>
              <w:pStyle w:val="TableParagraph"/>
              <w:rPr>
                <w:sz w:val="24"/>
              </w:rPr>
            </w:pPr>
            <w:r>
              <w:rPr>
                <w:sz w:val="24"/>
              </w:rPr>
              <w:t>3.0</w:t>
            </w:r>
          </w:p>
        </w:tc>
        <w:tc>
          <w:tcPr>
            <w:tcW w:w="1620" w:type="dxa"/>
          </w:tcPr>
          <w:p>
            <w:pPr>
              <w:pStyle w:val="TableParagraph"/>
              <w:rPr>
                <w:sz w:val="24"/>
              </w:rPr>
            </w:pPr>
            <w:r>
              <w:rPr>
                <w:sz w:val="24"/>
              </w:rPr>
              <w:t>≥90</w:t>
            </w:r>
          </w:p>
        </w:tc>
        <w:tc>
          <w:tcPr>
            <w:tcW w:w="1980" w:type="dxa"/>
          </w:tcPr>
          <w:p>
            <w:pPr>
              <w:pStyle w:val="TableParagraph"/>
              <w:rPr>
                <w:sz w:val="24"/>
              </w:rPr>
            </w:pPr>
            <w:r>
              <w:rPr>
                <w:sz w:val="24"/>
              </w:rPr>
              <w:t>15</w:t>
            </w:r>
          </w:p>
        </w:tc>
      </w:tr>
      <w:tr>
        <w:tblPrEx>
          <w:tblW w:w="0" w:type="auto"/>
          <w:jc w:val="left"/>
          <w:tblInd w:w="441" w:type="dxa"/>
          <w:tblLayout w:type="fixed"/>
          <w:tblCellMar>
            <w:top w:w="0" w:type="dxa"/>
            <w:left w:w="0" w:type="dxa"/>
            <w:bottom w:w="0" w:type="dxa"/>
            <w:right w:w="0" w:type="dxa"/>
          </w:tblCellMar>
          <w:tblLook w:val="01E0"/>
        </w:tblPrEx>
        <w:trPr>
          <w:trHeight w:val="344"/>
          <w:jc w:val="left"/>
        </w:trPr>
        <w:tc>
          <w:tcPr>
            <w:tcW w:w="3600" w:type="dxa"/>
          </w:tcPr>
          <w:p>
            <w:pPr>
              <w:pStyle w:val="TableParagraph"/>
              <w:rPr>
                <w:sz w:val="24"/>
              </w:rPr>
            </w:pPr>
            <w:r>
              <w:rPr>
                <w:sz w:val="24"/>
              </w:rPr>
              <w:t>零填及挖方路床（0-30cm）</w:t>
            </w:r>
          </w:p>
        </w:tc>
        <w:tc>
          <w:tcPr>
            <w:tcW w:w="1800" w:type="dxa"/>
          </w:tcPr>
          <w:p>
            <w:pPr>
              <w:pStyle w:val="TableParagraph"/>
              <w:rPr>
                <w:sz w:val="24"/>
              </w:rPr>
            </w:pPr>
            <w:r>
              <w:rPr>
                <w:sz w:val="24"/>
              </w:rPr>
              <w:t>8.0</w:t>
            </w:r>
          </w:p>
        </w:tc>
        <w:tc>
          <w:tcPr>
            <w:tcW w:w="1620" w:type="dxa"/>
          </w:tcPr>
          <w:p>
            <w:pPr>
              <w:pStyle w:val="TableParagraph"/>
              <w:rPr>
                <w:sz w:val="24"/>
              </w:rPr>
            </w:pPr>
            <w:r>
              <w:rPr>
                <w:sz w:val="24"/>
              </w:rPr>
              <w:t>≥90</w:t>
            </w:r>
          </w:p>
        </w:tc>
        <w:tc>
          <w:tcPr>
            <w:tcW w:w="1980" w:type="dxa"/>
          </w:tcPr>
          <w:p>
            <w:pPr>
              <w:pStyle w:val="TableParagraph"/>
              <w:rPr>
                <w:sz w:val="24"/>
              </w:rPr>
            </w:pPr>
            <w:r>
              <w:rPr>
                <w:sz w:val="24"/>
              </w:rPr>
              <w:t>10</w:t>
            </w:r>
          </w:p>
        </w:tc>
      </w:tr>
      <w:tr>
        <w:tblPrEx>
          <w:tblW w:w="0" w:type="auto"/>
          <w:jc w:val="left"/>
          <w:tblInd w:w="441" w:type="dxa"/>
          <w:tblLayout w:type="fixed"/>
          <w:tblCellMar>
            <w:top w:w="0" w:type="dxa"/>
            <w:left w:w="0" w:type="dxa"/>
            <w:bottom w:w="0" w:type="dxa"/>
            <w:right w:w="0" w:type="dxa"/>
          </w:tblCellMar>
          <w:tblLook w:val="01E0"/>
        </w:tblPrEx>
        <w:trPr>
          <w:trHeight w:val="344"/>
          <w:jc w:val="left"/>
        </w:trPr>
        <w:tc>
          <w:tcPr>
            <w:tcW w:w="3600" w:type="dxa"/>
          </w:tcPr>
          <w:p>
            <w:pPr>
              <w:pStyle w:val="TableParagraph"/>
              <w:rPr>
                <w:sz w:val="24"/>
              </w:rPr>
            </w:pPr>
            <w:r>
              <w:rPr>
                <w:sz w:val="24"/>
              </w:rPr>
              <w:t>零填及挖方路床（30-80cm）</w:t>
            </w:r>
          </w:p>
        </w:tc>
        <w:tc>
          <w:tcPr>
            <w:tcW w:w="1800" w:type="dxa"/>
          </w:tcPr>
          <w:p>
            <w:pPr>
              <w:pStyle w:val="TableParagraph"/>
              <w:rPr>
                <w:sz w:val="24"/>
              </w:rPr>
            </w:pPr>
            <w:r>
              <w:rPr>
                <w:sz w:val="24"/>
              </w:rPr>
              <w:t>5.0</w:t>
            </w:r>
          </w:p>
        </w:tc>
        <w:tc>
          <w:tcPr>
            <w:tcW w:w="1620" w:type="dxa"/>
          </w:tcPr>
          <w:p>
            <w:pPr>
              <w:pStyle w:val="TableParagraph"/>
              <w:rPr>
                <w:sz w:val="24"/>
              </w:rPr>
            </w:pPr>
            <w:r>
              <w:rPr>
                <w:sz w:val="24"/>
              </w:rPr>
              <w:t>≥90</w:t>
            </w:r>
          </w:p>
        </w:tc>
        <w:tc>
          <w:tcPr>
            <w:tcW w:w="1980" w:type="dxa"/>
          </w:tcPr>
          <w:p>
            <w:pPr>
              <w:pStyle w:val="TableParagraph"/>
              <w:rPr>
                <w:sz w:val="24"/>
              </w:rPr>
            </w:pPr>
            <w:r>
              <w:rPr>
                <w:sz w:val="24"/>
              </w:rPr>
              <w:t>10</w:t>
            </w:r>
          </w:p>
        </w:tc>
      </w:tr>
      <w:tr>
        <w:tblPrEx>
          <w:tblW w:w="0" w:type="auto"/>
          <w:jc w:val="left"/>
          <w:tblInd w:w="441" w:type="dxa"/>
          <w:tblLayout w:type="fixed"/>
          <w:tblCellMar>
            <w:top w:w="0" w:type="dxa"/>
            <w:left w:w="0" w:type="dxa"/>
            <w:bottom w:w="0" w:type="dxa"/>
            <w:right w:w="0" w:type="dxa"/>
          </w:tblCellMar>
          <w:tblLook w:val="01E0"/>
        </w:tblPrEx>
        <w:trPr>
          <w:trHeight w:val="880"/>
          <w:jc w:val="left"/>
        </w:trPr>
        <w:tc>
          <w:tcPr>
            <w:tcW w:w="9000" w:type="dxa"/>
            <w:gridSpan w:val="4"/>
          </w:tcPr>
          <w:p>
            <w:pPr>
              <w:pStyle w:val="TableParagraph"/>
              <w:spacing w:before="96"/>
              <w:rPr>
                <w:sz w:val="24"/>
              </w:rPr>
            </w:pPr>
            <w:r>
              <w:rPr>
                <w:sz w:val="24"/>
              </w:rPr>
              <w:t>1、压实度采用《公路土工试验规程》（JTGE40-2007）规定的最大干密度的压实度。</w:t>
            </w:r>
          </w:p>
          <w:p>
            <w:pPr>
              <w:pStyle w:val="TableParagraph"/>
              <w:spacing w:before="37"/>
              <w:rPr>
                <w:sz w:val="24"/>
              </w:rPr>
            </w:pPr>
            <w:r>
              <w:rPr>
                <w:sz w:val="24"/>
              </w:rPr>
              <w:t>2、为保证路肩的稳定，对于土路肩培土的压实度要求≥90%。</w:t>
            </w:r>
          </w:p>
        </w:tc>
      </w:tr>
    </w:tbl>
    <w:p>
      <w:pPr>
        <w:spacing w:before="0" w:line="353" w:lineRule="exact"/>
        <w:ind w:left="256" w:right="0" w:firstLine="0"/>
        <w:jc w:val="left"/>
        <w:rPr>
          <w:rFonts w:ascii="Microsoft JhengHei" w:eastAsia="Microsoft JhengHei" w:hint="eastAsia"/>
          <w:b/>
          <w:sz w:val="24"/>
        </w:rPr>
      </w:pPr>
      <w:r>
        <w:rPr>
          <w:rFonts w:ascii="Microsoft JhengHei" w:eastAsia="Microsoft JhengHei" w:hint="eastAsia"/>
          <w:b/>
          <w:sz w:val="24"/>
        </w:rPr>
        <w:t>（三</w:t>
      </w:r>
      <w:r>
        <w:rPr>
          <w:rFonts w:ascii="Microsoft JhengHei" w:eastAsia="Microsoft JhengHei" w:hint="eastAsia"/>
          <w:b/>
          <w:spacing w:val="-120"/>
          <w:sz w:val="24"/>
        </w:rPr>
        <w:t>）</w:t>
      </w:r>
      <w:r>
        <w:rPr>
          <w:rFonts w:ascii="Microsoft JhengHei" w:eastAsia="Microsoft JhengHei" w:hint="eastAsia"/>
          <w:b/>
          <w:sz w:val="24"/>
        </w:rPr>
        <w:t>、质量标准和控制</w:t>
      </w:r>
    </w:p>
    <w:p>
      <w:pPr>
        <w:pStyle w:val="BodyText"/>
        <w:spacing w:line="268" w:lineRule="auto"/>
        <w:ind w:right="995" w:firstLine="480"/>
        <w:jc w:val="both"/>
      </w:pPr>
      <w:r>
        <w:t>1、必须根据天气情况合理安排施工，根据当地天气自然情况制订旱、雨季</w:t>
      </w:r>
      <w:r>
        <w:rPr>
          <w:spacing w:val="-10"/>
        </w:rPr>
        <w:t>施工计划，每层施工完成后应完善地表水处置方案，把其对路基的破坏降到最低</w:t>
      </w:r>
      <w:r>
        <w:t>点。</w:t>
      </w:r>
    </w:p>
    <w:p>
      <w:pPr>
        <w:pStyle w:val="BodyText"/>
        <w:spacing w:line="268" w:lineRule="auto"/>
        <w:ind w:right="995" w:firstLine="480"/>
      </w:pPr>
      <w:r>
        <w:t>2、路基必须分层填筑压实,表面平整坚实,无软弹和翻浆现象,横坡合适,排水良好,压实度土壤强度和路床的整体强度符合设计要求。</w:t>
      </w:r>
    </w:p>
    <w:p>
      <w:pPr>
        <w:pStyle w:val="BodyText"/>
        <w:spacing w:line="268" w:lineRule="auto"/>
        <w:ind w:right="995" w:firstLine="480"/>
        <w:jc w:val="both"/>
      </w:pPr>
      <w:r>
        <w:t>3、填方地段应在填土前排除地面积水和其他杂物、草皮、淤泥、腐殖土和冰块且平整压实。路堤边坡应修整密实、直顺、平整稳定、曲线圆滑,填料及路堤的整体强度必须符合设计要求。</w:t>
      </w:r>
    </w:p>
    <w:p>
      <w:pPr>
        <w:pStyle w:val="BodyText"/>
        <w:spacing w:line="286" w:lineRule="exact"/>
        <w:ind w:left="736"/>
      </w:pPr>
      <w:r>
        <w:t>4、土方路基施工质量标准必须符合下表的要求。</w:t>
      </w:r>
    </w:p>
    <w:p>
      <w:pPr>
        <w:pStyle w:val="Heading5"/>
        <w:spacing w:line="420" w:lineRule="exact"/>
      </w:pPr>
      <w:r>
        <w:pict>
          <v:shapetype id="_x0000_t202" coordsize="21600,21600" o:spt="202" path="m,l,21600r21600,l21600,xe">
            <v:stroke joinstyle="miter"/>
            <v:path gradientshapeok="t" o:connecttype="rect"/>
          </v:shapetype>
          <v:shape id="_x0000_s1025" type="#_x0000_t202" style="width:430.75pt;height:200.2pt;margin-top:19.26pt;margin-left:82.4pt;mso-position-horizontal-relative:page;position:absolute;z-index:251659264" filled="f" stroked="f">
            <v:textbox inset="0,0,0,0">
              <w:txbxContent>
                <w:tbl>
                  <w:tblPr>
                    <w:tblStyle w:val="TableNormal0"/>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8"/>
                    <w:gridCol w:w="1082"/>
                    <w:gridCol w:w="1307"/>
                    <w:gridCol w:w="1374"/>
                    <w:gridCol w:w="1906"/>
                    <w:gridCol w:w="2373"/>
                  </w:tblGrid>
                  <w:tr>
                    <w:tblPrEx>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88"/>
                      <w:jc w:val="left"/>
                    </w:trPr>
                    <w:tc>
                      <w:tcPr>
                        <w:tcW w:w="558" w:type="dxa"/>
                        <w:vMerge w:val="restart"/>
                      </w:tcPr>
                      <w:p>
                        <w:pPr>
                          <w:pStyle w:val="TableParagraph"/>
                          <w:ind w:left="0"/>
                          <w:rPr>
                            <w:rFonts w:ascii="Microsoft JhengHei"/>
                            <w:b/>
                            <w:sz w:val="14"/>
                          </w:rPr>
                        </w:pPr>
                      </w:p>
                      <w:p>
                        <w:pPr>
                          <w:pStyle w:val="TableParagraph"/>
                          <w:spacing w:line="268" w:lineRule="auto"/>
                          <w:ind w:right="199"/>
                          <w:rPr>
                            <w:sz w:val="24"/>
                          </w:rPr>
                        </w:pPr>
                        <w:r>
                          <w:rPr>
                            <w:sz w:val="24"/>
                          </w:rPr>
                          <w:t>项次</w:t>
                        </w:r>
                      </w:p>
                    </w:tc>
                    <w:tc>
                      <w:tcPr>
                        <w:tcW w:w="3763" w:type="dxa"/>
                        <w:gridSpan w:val="3"/>
                        <w:vMerge w:val="restart"/>
                      </w:tcPr>
                      <w:p>
                        <w:pPr>
                          <w:pStyle w:val="TableParagraph"/>
                          <w:spacing w:before="6"/>
                          <w:ind w:left="0"/>
                          <w:rPr>
                            <w:rFonts w:ascii="Microsoft JhengHei"/>
                            <w:b/>
                            <w:sz w:val="23"/>
                          </w:rPr>
                        </w:pPr>
                      </w:p>
                      <w:p>
                        <w:pPr>
                          <w:pStyle w:val="TableParagraph"/>
                          <w:spacing w:before="1"/>
                          <w:ind w:left="107"/>
                          <w:rPr>
                            <w:sz w:val="24"/>
                          </w:rPr>
                        </w:pPr>
                        <w:r>
                          <w:rPr>
                            <w:sz w:val="24"/>
                          </w:rPr>
                          <w:t>检查项目</w:t>
                        </w:r>
                      </w:p>
                    </w:tc>
                    <w:tc>
                      <w:tcPr>
                        <w:tcW w:w="1906" w:type="dxa"/>
                      </w:tcPr>
                      <w:p>
                        <w:pPr>
                          <w:pStyle w:val="TableParagraph"/>
                          <w:spacing w:before="17"/>
                          <w:rPr>
                            <w:sz w:val="24"/>
                          </w:rPr>
                        </w:pPr>
                        <w:r>
                          <w:rPr>
                            <w:sz w:val="24"/>
                          </w:rPr>
                          <w:t>规定值或允许偏</w:t>
                        </w:r>
                      </w:p>
                      <w:p>
                        <w:pPr>
                          <w:pStyle w:val="TableParagraph"/>
                          <w:spacing w:before="37" w:line="307" w:lineRule="exact"/>
                          <w:rPr>
                            <w:sz w:val="24"/>
                          </w:rPr>
                        </w:pPr>
                        <w:r>
                          <w:rPr>
                            <w:sz w:val="24"/>
                          </w:rPr>
                          <w:t>差</w:t>
                        </w:r>
                      </w:p>
                    </w:tc>
                    <w:tc>
                      <w:tcPr>
                        <w:tcW w:w="2373" w:type="dxa"/>
                        <w:vMerge w:val="restart"/>
                      </w:tcPr>
                      <w:p>
                        <w:pPr>
                          <w:pStyle w:val="TableParagraph"/>
                          <w:spacing w:before="6"/>
                          <w:ind w:left="0"/>
                          <w:rPr>
                            <w:rFonts w:ascii="Microsoft JhengHei"/>
                            <w:b/>
                            <w:sz w:val="23"/>
                          </w:rPr>
                        </w:pPr>
                      </w:p>
                      <w:p>
                        <w:pPr>
                          <w:pStyle w:val="TableParagraph"/>
                          <w:spacing w:before="1"/>
                          <w:rPr>
                            <w:sz w:val="24"/>
                          </w:rPr>
                        </w:pPr>
                        <w:r>
                          <w:rPr>
                            <w:sz w:val="24"/>
                          </w:rPr>
                          <w:t>检查方法和频率</w:t>
                        </w:r>
                      </w:p>
                    </w:tc>
                  </w:tr>
                  <w:tr>
                    <w:tblPrEx>
                      <w:tblW w:w="0" w:type="auto"/>
                      <w:jc w:val="left"/>
                      <w:tblInd w:w="5" w:type="dxa"/>
                      <w:tblLayout w:type="fixed"/>
                      <w:tblCellMar>
                        <w:top w:w="0" w:type="dxa"/>
                        <w:left w:w="0" w:type="dxa"/>
                        <w:bottom w:w="0" w:type="dxa"/>
                        <w:right w:w="0" w:type="dxa"/>
                      </w:tblCellMar>
                      <w:tblLook w:val="01E0"/>
                    </w:tblPrEx>
                    <w:trPr>
                      <w:trHeight w:val="470"/>
                      <w:jc w:val="left"/>
                    </w:trPr>
                    <w:tc>
                      <w:tcPr>
                        <w:tcW w:w="558" w:type="dxa"/>
                        <w:vMerge/>
                        <w:tcBorders>
                          <w:top w:val="nil"/>
                        </w:tcBorders>
                      </w:tcPr>
                      <w:p>
                        <w:pPr>
                          <w:rPr>
                            <w:sz w:val="2"/>
                            <w:szCs w:val="2"/>
                          </w:rPr>
                        </w:pPr>
                      </w:p>
                    </w:tc>
                    <w:tc>
                      <w:tcPr>
                        <w:tcW w:w="3763" w:type="dxa"/>
                        <w:gridSpan w:val="3"/>
                        <w:vMerge/>
                        <w:tcBorders>
                          <w:top w:val="nil"/>
                        </w:tcBorders>
                      </w:tcPr>
                      <w:p>
                        <w:pPr>
                          <w:rPr>
                            <w:sz w:val="2"/>
                            <w:szCs w:val="2"/>
                          </w:rPr>
                        </w:pPr>
                      </w:p>
                    </w:tc>
                    <w:tc>
                      <w:tcPr>
                        <w:tcW w:w="1906" w:type="dxa"/>
                      </w:tcPr>
                      <w:p>
                        <w:pPr>
                          <w:pStyle w:val="TableParagraph"/>
                          <w:spacing w:before="80"/>
                          <w:rPr>
                            <w:sz w:val="24"/>
                          </w:rPr>
                        </w:pPr>
                        <w:r>
                          <w:rPr>
                            <w:sz w:val="24"/>
                          </w:rPr>
                          <w:t>高速公路</w:t>
                        </w:r>
                      </w:p>
                    </w:tc>
                    <w:tc>
                      <w:tcPr>
                        <w:tcW w:w="2373" w:type="dxa"/>
                        <w:vMerge/>
                        <w:tcBorders>
                          <w:top w:val="nil"/>
                        </w:tcBorders>
                      </w:tcPr>
                      <w:p>
                        <w:pPr>
                          <w:rPr>
                            <w:sz w:val="2"/>
                            <w:szCs w:val="2"/>
                          </w:rPr>
                        </w:pPr>
                      </w:p>
                    </w:tc>
                  </w:tr>
                  <w:tr>
                    <w:tblPrEx>
                      <w:tblW w:w="0" w:type="auto"/>
                      <w:jc w:val="left"/>
                      <w:tblInd w:w="5" w:type="dxa"/>
                      <w:tblLayout w:type="fixed"/>
                      <w:tblCellMar>
                        <w:top w:w="0" w:type="dxa"/>
                        <w:left w:w="0" w:type="dxa"/>
                        <w:bottom w:w="0" w:type="dxa"/>
                        <w:right w:w="0" w:type="dxa"/>
                      </w:tblCellMar>
                      <w:tblLook w:val="01E0"/>
                    </w:tblPrEx>
                    <w:trPr>
                      <w:trHeight w:val="344"/>
                      <w:jc w:val="left"/>
                    </w:trPr>
                    <w:tc>
                      <w:tcPr>
                        <w:tcW w:w="558" w:type="dxa"/>
                        <w:vMerge w:val="restart"/>
                      </w:tcPr>
                      <w:p>
                        <w:pPr>
                          <w:pStyle w:val="TableParagraph"/>
                          <w:ind w:left="0"/>
                          <w:rPr>
                            <w:rFonts w:ascii="Microsoft JhengHei"/>
                            <w:b/>
                            <w:sz w:val="26"/>
                          </w:rPr>
                        </w:pPr>
                      </w:p>
                      <w:p>
                        <w:pPr>
                          <w:pStyle w:val="TableParagraph"/>
                          <w:spacing w:before="8"/>
                          <w:ind w:left="0"/>
                          <w:rPr>
                            <w:rFonts w:ascii="Microsoft JhengHei"/>
                            <w:b/>
                            <w:sz w:val="13"/>
                          </w:rPr>
                        </w:pPr>
                      </w:p>
                      <w:p>
                        <w:pPr>
                          <w:pStyle w:val="TableParagraph"/>
                          <w:rPr>
                            <w:sz w:val="24"/>
                          </w:rPr>
                        </w:pPr>
                        <w:r>
                          <w:rPr>
                            <w:sz w:val="24"/>
                          </w:rPr>
                          <w:t>1</w:t>
                        </w:r>
                      </w:p>
                      <w:p>
                        <w:pPr>
                          <w:pStyle w:val="TableParagraph"/>
                          <w:spacing w:before="37"/>
                          <w:rPr>
                            <w:sz w:val="24"/>
                          </w:rPr>
                        </w:pPr>
                        <w:r>
                          <w:rPr>
                            <w:sz w:val="24"/>
                          </w:rPr>
                          <w:t>△</w:t>
                        </w:r>
                      </w:p>
                    </w:tc>
                    <w:tc>
                      <w:tcPr>
                        <w:tcW w:w="1082" w:type="dxa"/>
                        <w:vMerge w:val="restart"/>
                      </w:tcPr>
                      <w:p>
                        <w:pPr>
                          <w:pStyle w:val="TableParagraph"/>
                          <w:ind w:left="0"/>
                          <w:rPr>
                            <w:rFonts w:ascii="Microsoft JhengHei"/>
                            <w:b/>
                            <w:sz w:val="26"/>
                          </w:rPr>
                        </w:pPr>
                      </w:p>
                      <w:p>
                        <w:pPr>
                          <w:pStyle w:val="TableParagraph"/>
                          <w:spacing w:before="8"/>
                          <w:ind w:left="0"/>
                          <w:rPr>
                            <w:rFonts w:ascii="Microsoft JhengHei"/>
                            <w:b/>
                            <w:sz w:val="13"/>
                          </w:rPr>
                        </w:pPr>
                      </w:p>
                      <w:p>
                        <w:pPr>
                          <w:pStyle w:val="TableParagraph"/>
                          <w:ind w:left="107"/>
                          <w:rPr>
                            <w:sz w:val="24"/>
                          </w:rPr>
                        </w:pPr>
                        <w:r>
                          <w:rPr>
                            <w:sz w:val="24"/>
                          </w:rPr>
                          <w:t>压 实 度</w:t>
                        </w:r>
                      </w:p>
                      <w:p>
                        <w:pPr>
                          <w:pStyle w:val="TableParagraph"/>
                          <w:spacing w:before="37"/>
                          <w:ind w:left="107"/>
                          <w:rPr>
                            <w:sz w:val="24"/>
                          </w:rPr>
                        </w:pPr>
                        <w:r>
                          <w:rPr>
                            <w:sz w:val="24"/>
                          </w:rPr>
                          <w:t>（%）</w:t>
                        </w:r>
                      </w:p>
                    </w:tc>
                    <w:tc>
                      <w:tcPr>
                        <w:tcW w:w="1307" w:type="dxa"/>
                        <w:vMerge w:val="restart"/>
                      </w:tcPr>
                      <w:p>
                        <w:pPr>
                          <w:pStyle w:val="TableParagraph"/>
                          <w:spacing w:before="22"/>
                          <w:rPr>
                            <w:sz w:val="24"/>
                          </w:rPr>
                        </w:pPr>
                        <w:r>
                          <w:rPr>
                            <w:sz w:val="24"/>
                          </w:rPr>
                          <w:t>零填及挖</w:t>
                        </w:r>
                      </w:p>
                      <w:p>
                        <w:pPr>
                          <w:pStyle w:val="TableParagraph"/>
                          <w:spacing w:before="37"/>
                          <w:rPr>
                            <w:sz w:val="24"/>
                          </w:rPr>
                        </w:pPr>
                        <w:r>
                          <w:rPr>
                            <w:sz w:val="24"/>
                          </w:rPr>
                          <w:t>方（m）</w:t>
                        </w:r>
                      </w:p>
                    </w:tc>
                    <w:tc>
                      <w:tcPr>
                        <w:tcW w:w="1374" w:type="dxa"/>
                      </w:tcPr>
                      <w:p>
                        <w:pPr>
                          <w:pStyle w:val="TableParagraph"/>
                          <w:spacing w:before="17" w:line="307" w:lineRule="exact"/>
                          <w:rPr>
                            <w:sz w:val="24"/>
                          </w:rPr>
                        </w:pPr>
                        <w:r>
                          <w:rPr>
                            <w:sz w:val="24"/>
                          </w:rPr>
                          <w:t>0～0.30</w:t>
                        </w:r>
                      </w:p>
                    </w:tc>
                    <w:tc>
                      <w:tcPr>
                        <w:tcW w:w="1906" w:type="dxa"/>
                      </w:tcPr>
                      <w:p>
                        <w:pPr>
                          <w:pStyle w:val="TableParagraph"/>
                          <w:spacing w:before="17" w:line="307" w:lineRule="exact"/>
                          <w:rPr>
                            <w:sz w:val="24"/>
                          </w:rPr>
                        </w:pPr>
                        <w:r>
                          <w:rPr>
                            <w:sz w:val="24"/>
                          </w:rPr>
                          <w:t>——</w:t>
                        </w:r>
                      </w:p>
                    </w:tc>
                    <w:tc>
                      <w:tcPr>
                        <w:tcW w:w="2373" w:type="dxa"/>
                        <w:vMerge w:val="restart"/>
                      </w:tcPr>
                      <w:p>
                        <w:pPr>
                          <w:pStyle w:val="TableParagraph"/>
                          <w:ind w:left="0"/>
                          <w:rPr>
                            <w:rFonts w:ascii="Microsoft JhengHei"/>
                            <w:b/>
                            <w:sz w:val="26"/>
                          </w:rPr>
                        </w:pPr>
                      </w:p>
                      <w:p>
                        <w:pPr>
                          <w:pStyle w:val="TableParagraph"/>
                          <w:spacing w:before="8"/>
                          <w:ind w:left="0"/>
                          <w:rPr>
                            <w:rFonts w:ascii="Microsoft JhengHei"/>
                            <w:b/>
                            <w:sz w:val="13"/>
                          </w:rPr>
                        </w:pPr>
                      </w:p>
                      <w:p>
                        <w:pPr>
                          <w:pStyle w:val="TableParagraph"/>
                          <w:spacing w:line="268" w:lineRule="auto"/>
                          <w:ind w:right="95"/>
                          <w:rPr>
                            <w:sz w:val="24"/>
                          </w:rPr>
                        </w:pPr>
                        <w:r>
                          <w:rPr>
                            <w:spacing w:val="-10"/>
                            <w:sz w:val="24"/>
                          </w:rPr>
                          <w:t xml:space="preserve">密度法： 每 </w:t>
                        </w:r>
                        <w:r>
                          <w:rPr>
                            <w:sz w:val="24"/>
                          </w:rPr>
                          <w:t>200m</w:t>
                        </w:r>
                        <w:r>
                          <w:rPr>
                            <w:spacing w:val="-38"/>
                            <w:sz w:val="24"/>
                          </w:rPr>
                          <w:t xml:space="preserve"> 每</w:t>
                        </w:r>
                        <w:r>
                          <w:rPr>
                            <w:spacing w:val="-12"/>
                            <w:sz w:val="24"/>
                          </w:rPr>
                          <w:t xml:space="preserve">压实层测 </w:t>
                        </w:r>
                        <w:r>
                          <w:rPr>
                            <w:sz w:val="24"/>
                          </w:rPr>
                          <w:t>4</w:t>
                        </w:r>
                        <w:r>
                          <w:rPr>
                            <w:spacing w:val="-30"/>
                            <w:sz w:val="24"/>
                          </w:rPr>
                          <w:t xml:space="preserve"> 处</w:t>
                        </w:r>
                      </w:p>
                    </w:tc>
                  </w:tr>
                  <w:tr>
                    <w:tblPrEx>
                      <w:tblW w:w="0" w:type="auto"/>
                      <w:jc w:val="left"/>
                      <w:tblInd w:w="5" w:type="dxa"/>
                      <w:tblLayout w:type="fixed"/>
                      <w:tblCellMar>
                        <w:top w:w="0" w:type="dxa"/>
                        <w:left w:w="0" w:type="dxa"/>
                        <w:bottom w:w="0" w:type="dxa"/>
                        <w:right w:w="0" w:type="dxa"/>
                      </w:tblCellMar>
                      <w:tblLook w:val="01E0"/>
                    </w:tblPrEx>
                    <w:trPr>
                      <w:trHeight w:val="344"/>
                      <w:jc w:val="left"/>
                    </w:trPr>
                    <w:tc>
                      <w:tcPr>
                        <w:tcW w:w="558" w:type="dxa"/>
                        <w:vMerge/>
                        <w:tcBorders>
                          <w:top w:val="nil"/>
                        </w:tcBorders>
                      </w:tcPr>
                      <w:p>
                        <w:pPr>
                          <w:rPr>
                            <w:sz w:val="2"/>
                            <w:szCs w:val="2"/>
                          </w:rPr>
                        </w:pPr>
                      </w:p>
                    </w:tc>
                    <w:tc>
                      <w:tcPr>
                        <w:tcW w:w="1082" w:type="dxa"/>
                        <w:vMerge/>
                        <w:tcBorders>
                          <w:top w:val="nil"/>
                        </w:tcBorders>
                      </w:tcPr>
                      <w:p>
                        <w:pPr>
                          <w:rPr>
                            <w:sz w:val="2"/>
                            <w:szCs w:val="2"/>
                          </w:rPr>
                        </w:pPr>
                      </w:p>
                    </w:tc>
                    <w:tc>
                      <w:tcPr>
                        <w:tcW w:w="1307" w:type="dxa"/>
                        <w:vMerge/>
                        <w:tcBorders>
                          <w:top w:val="nil"/>
                        </w:tcBorders>
                      </w:tcPr>
                      <w:p>
                        <w:pPr>
                          <w:rPr>
                            <w:sz w:val="2"/>
                            <w:szCs w:val="2"/>
                          </w:rPr>
                        </w:pPr>
                      </w:p>
                    </w:tc>
                    <w:tc>
                      <w:tcPr>
                        <w:tcW w:w="1374" w:type="dxa"/>
                      </w:tcPr>
                      <w:p>
                        <w:pPr>
                          <w:pStyle w:val="TableParagraph"/>
                          <w:spacing w:before="17" w:line="307" w:lineRule="exact"/>
                          <w:rPr>
                            <w:sz w:val="24"/>
                          </w:rPr>
                        </w:pPr>
                        <w:r>
                          <w:rPr>
                            <w:sz w:val="24"/>
                          </w:rPr>
                          <w:t>0～0.80</w:t>
                        </w:r>
                      </w:p>
                    </w:tc>
                    <w:tc>
                      <w:tcPr>
                        <w:tcW w:w="1906" w:type="dxa"/>
                      </w:tcPr>
                      <w:p>
                        <w:pPr>
                          <w:pStyle w:val="TableParagraph"/>
                          <w:spacing w:before="17" w:line="307" w:lineRule="exact"/>
                          <w:rPr>
                            <w:sz w:val="24"/>
                          </w:rPr>
                        </w:pPr>
                        <w:r>
                          <w:rPr>
                            <w:sz w:val="24"/>
                          </w:rPr>
                          <w:t>≥96</w:t>
                        </w:r>
                      </w:p>
                    </w:tc>
                    <w:tc>
                      <w:tcPr>
                        <w:tcW w:w="2373" w:type="dxa"/>
                        <w:vMerge/>
                        <w:tcBorders>
                          <w:top w:val="nil"/>
                        </w:tcBorders>
                      </w:tcPr>
                      <w:p>
                        <w:pPr>
                          <w:rPr>
                            <w:sz w:val="2"/>
                            <w:szCs w:val="2"/>
                          </w:rPr>
                        </w:pPr>
                      </w:p>
                    </w:tc>
                  </w:tr>
                  <w:tr>
                    <w:tblPrEx>
                      <w:tblW w:w="0" w:type="auto"/>
                      <w:jc w:val="left"/>
                      <w:tblInd w:w="5" w:type="dxa"/>
                      <w:tblLayout w:type="fixed"/>
                      <w:tblCellMar>
                        <w:top w:w="0" w:type="dxa"/>
                        <w:left w:w="0" w:type="dxa"/>
                        <w:bottom w:w="0" w:type="dxa"/>
                        <w:right w:w="0" w:type="dxa"/>
                      </w:tblCellMar>
                      <w:tblLook w:val="01E0"/>
                    </w:tblPrEx>
                    <w:trPr>
                      <w:trHeight w:val="344"/>
                      <w:jc w:val="left"/>
                    </w:trPr>
                    <w:tc>
                      <w:tcPr>
                        <w:tcW w:w="558" w:type="dxa"/>
                        <w:vMerge/>
                        <w:tcBorders>
                          <w:top w:val="nil"/>
                        </w:tcBorders>
                      </w:tcPr>
                      <w:p>
                        <w:pPr>
                          <w:rPr>
                            <w:sz w:val="2"/>
                            <w:szCs w:val="2"/>
                          </w:rPr>
                        </w:pPr>
                      </w:p>
                    </w:tc>
                    <w:tc>
                      <w:tcPr>
                        <w:tcW w:w="1082" w:type="dxa"/>
                        <w:vMerge/>
                        <w:tcBorders>
                          <w:top w:val="nil"/>
                        </w:tcBorders>
                      </w:tcPr>
                      <w:p>
                        <w:pPr>
                          <w:rPr>
                            <w:sz w:val="2"/>
                            <w:szCs w:val="2"/>
                          </w:rPr>
                        </w:pPr>
                      </w:p>
                    </w:tc>
                    <w:tc>
                      <w:tcPr>
                        <w:tcW w:w="1307" w:type="dxa"/>
                        <w:vMerge w:val="restart"/>
                      </w:tcPr>
                      <w:p>
                        <w:pPr>
                          <w:pStyle w:val="TableParagraph"/>
                          <w:spacing w:before="10"/>
                          <w:ind w:left="0"/>
                          <w:rPr>
                            <w:rFonts w:ascii="Microsoft JhengHei"/>
                            <w:b/>
                            <w:sz w:val="29"/>
                          </w:rPr>
                        </w:pPr>
                      </w:p>
                      <w:p>
                        <w:pPr>
                          <w:pStyle w:val="TableParagraph"/>
                          <w:rPr>
                            <w:sz w:val="24"/>
                          </w:rPr>
                        </w:pPr>
                        <w:r>
                          <w:rPr>
                            <w:sz w:val="24"/>
                          </w:rPr>
                          <w:t>填方（m）</w:t>
                        </w:r>
                      </w:p>
                    </w:tc>
                    <w:tc>
                      <w:tcPr>
                        <w:tcW w:w="1374" w:type="dxa"/>
                      </w:tcPr>
                      <w:p>
                        <w:pPr>
                          <w:pStyle w:val="TableParagraph"/>
                          <w:spacing w:before="17" w:line="307" w:lineRule="exact"/>
                          <w:rPr>
                            <w:sz w:val="24"/>
                          </w:rPr>
                        </w:pPr>
                        <w:r>
                          <w:rPr>
                            <w:sz w:val="24"/>
                          </w:rPr>
                          <w:t>0～0.80</w:t>
                        </w:r>
                      </w:p>
                    </w:tc>
                    <w:tc>
                      <w:tcPr>
                        <w:tcW w:w="1906" w:type="dxa"/>
                      </w:tcPr>
                      <w:p>
                        <w:pPr>
                          <w:pStyle w:val="TableParagraph"/>
                          <w:spacing w:before="17" w:line="307" w:lineRule="exact"/>
                          <w:rPr>
                            <w:sz w:val="24"/>
                          </w:rPr>
                        </w:pPr>
                        <w:r>
                          <w:rPr>
                            <w:sz w:val="24"/>
                          </w:rPr>
                          <w:t>≥96</w:t>
                        </w:r>
                      </w:p>
                    </w:tc>
                    <w:tc>
                      <w:tcPr>
                        <w:tcW w:w="2373" w:type="dxa"/>
                        <w:vMerge/>
                        <w:tcBorders>
                          <w:top w:val="nil"/>
                        </w:tcBorders>
                      </w:tcPr>
                      <w:p>
                        <w:pPr>
                          <w:rPr>
                            <w:sz w:val="2"/>
                            <w:szCs w:val="2"/>
                          </w:rPr>
                        </w:pPr>
                      </w:p>
                    </w:tc>
                  </w:tr>
                  <w:tr>
                    <w:tblPrEx>
                      <w:tblW w:w="0" w:type="auto"/>
                      <w:jc w:val="left"/>
                      <w:tblInd w:w="5" w:type="dxa"/>
                      <w:tblLayout w:type="fixed"/>
                      <w:tblCellMar>
                        <w:top w:w="0" w:type="dxa"/>
                        <w:left w:w="0" w:type="dxa"/>
                        <w:bottom w:w="0" w:type="dxa"/>
                        <w:right w:w="0" w:type="dxa"/>
                      </w:tblCellMar>
                      <w:tblLook w:val="01E0"/>
                    </w:tblPrEx>
                    <w:trPr>
                      <w:trHeight w:val="688"/>
                      <w:jc w:val="left"/>
                    </w:trPr>
                    <w:tc>
                      <w:tcPr>
                        <w:tcW w:w="558" w:type="dxa"/>
                        <w:vMerge/>
                        <w:tcBorders>
                          <w:top w:val="nil"/>
                        </w:tcBorders>
                      </w:tcPr>
                      <w:p>
                        <w:pPr>
                          <w:rPr>
                            <w:sz w:val="2"/>
                            <w:szCs w:val="2"/>
                          </w:rPr>
                        </w:pPr>
                      </w:p>
                    </w:tc>
                    <w:tc>
                      <w:tcPr>
                        <w:tcW w:w="1082" w:type="dxa"/>
                        <w:vMerge/>
                        <w:tcBorders>
                          <w:top w:val="nil"/>
                        </w:tcBorders>
                      </w:tcPr>
                      <w:p>
                        <w:pPr>
                          <w:rPr>
                            <w:sz w:val="2"/>
                            <w:szCs w:val="2"/>
                          </w:rPr>
                        </w:pPr>
                      </w:p>
                    </w:tc>
                    <w:tc>
                      <w:tcPr>
                        <w:tcW w:w="1307" w:type="dxa"/>
                        <w:vMerge/>
                        <w:tcBorders>
                          <w:top w:val="nil"/>
                        </w:tcBorders>
                      </w:tcPr>
                      <w:p>
                        <w:pPr>
                          <w:rPr>
                            <w:sz w:val="2"/>
                            <w:szCs w:val="2"/>
                          </w:rPr>
                        </w:pPr>
                      </w:p>
                    </w:tc>
                    <w:tc>
                      <w:tcPr>
                        <w:tcW w:w="1374" w:type="dxa"/>
                      </w:tcPr>
                      <w:p>
                        <w:pPr>
                          <w:pStyle w:val="TableParagraph"/>
                          <w:spacing w:before="17"/>
                          <w:rPr>
                            <w:sz w:val="24"/>
                          </w:rPr>
                        </w:pPr>
                        <w:r>
                          <w:rPr>
                            <w:sz w:val="24"/>
                          </w:rPr>
                          <w:t>0.80～</w:t>
                        </w:r>
                      </w:p>
                      <w:p>
                        <w:pPr>
                          <w:pStyle w:val="TableParagraph"/>
                          <w:spacing w:before="37" w:line="307" w:lineRule="exact"/>
                          <w:rPr>
                            <w:sz w:val="24"/>
                          </w:rPr>
                        </w:pPr>
                        <w:r>
                          <w:rPr>
                            <w:sz w:val="24"/>
                          </w:rPr>
                          <w:t>1.50</w:t>
                        </w:r>
                      </w:p>
                    </w:tc>
                    <w:tc>
                      <w:tcPr>
                        <w:tcW w:w="1906" w:type="dxa"/>
                      </w:tcPr>
                      <w:p>
                        <w:pPr>
                          <w:pStyle w:val="TableParagraph"/>
                          <w:spacing w:before="189"/>
                          <w:rPr>
                            <w:sz w:val="24"/>
                          </w:rPr>
                        </w:pPr>
                        <w:r>
                          <w:rPr>
                            <w:sz w:val="24"/>
                          </w:rPr>
                          <w:t>≥94</w:t>
                        </w:r>
                      </w:p>
                    </w:tc>
                    <w:tc>
                      <w:tcPr>
                        <w:tcW w:w="2373" w:type="dxa"/>
                        <w:vMerge/>
                        <w:tcBorders>
                          <w:top w:val="nil"/>
                        </w:tcBorders>
                      </w:tcPr>
                      <w:p>
                        <w:pPr>
                          <w:rPr>
                            <w:sz w:val="2"/>
                            <w:szCs w:val="2"/>
                          </w:rPr>
                        </w:pPr>
                      </w:p>
                    </w:tc>
                  </w:tr>
                  <w:tr>
                    <w:tblPrEx>
                      <w:tblW w:w="0" w:type="auto"/>
                      <w:jc w:val="left"/>
                      <w:tblInd w:w="5" w:type="dxa"/>
                      <w:tblLayout w:type="fixed"/>
                      <w:tblCellMar>
                        <w:top w:w="0" w:type="dxa"/>
                        <w:left w:w="0" w:type="dxa"/>
                        <w:bottom w:w="0" w:type="dxa"/>
                        <w:right w:w="0" w:type="dxa"/>
                      </w:tblCellMar>
                      <w:tblLook w:val="01E0"/>
                    </w:tblPrEx>
                    <w:trPr>
                      <w:trHeight w:val="344"/>
                      <w:jc w:val="left"/>
                    </w:trPr>
                    <w:tc>
                      <w:tcPr>
                        <w:tcW w:w="558" w:type="dxa"/>
                        <w:vMerge/>
                        <w:tcBorders>
                          <w:top w:val="nil"/>
                        </w:tcBorders>
                      </w:tcPr>
                      <w:p>
                        <w:pPr>
                          <w:rPr>
                            <w:sz w:val="2"/>
                            <w:szCs w:val="2"/>
                          </w:rPr>
                        </w:pPr>
                      </w:p>
                    </w:tc>
                    <w:tc>
                      <w:tcPr>
                        <w:tcW w:w="1082" w:type="dxa"/>
                        <w:vMerge/>
                        <w:tcBorders>
                          <w:top w:val="nil"/>
                        </w:tcBorders>
                      </w:tcPr>
                      <w:p>
                        <w:pPr>
                          <w:rPr>
                            <w:sz w:val="2"/>
                            <w:szCs w:val="2"/>
                          </w:rPr>
                        </w:pPr>
                      </w:p>
                    </w:tc>
                    <w:tc>
                      <w:tcPr>
                        <w:tcW w:w="1307" w:type="dxa"/>
                        <w:vMerge/>
                        <w:tcBorders>
                          <w:top w:val="nil"/>
                        </w:tcBorders>
                      </w:tcPr>
                      <w:p>
                        <w:pPr>
                          <w:rPr>
                            <w:sz w:val="2"/>
                            <w:szCs w:val="2"/>
                          </w:rPr>
                        </w:pPr>
                      </w:p>
                    </w:tc>
                    <w:tc>
                      <w:tcPr>
                        <w:tcW w:w="1374" w:type="dxa"/>
                      </w:tcPr>
                      <w:p>
                        <w:pPr>
                          <w:pStyle w:val="TableParagraph"/>
                          <w:spacing w:before="17" w:line="307" w:lineRule="exact"/>
                          <w:rPr>
                            <w:sz w:val="24"/>
                          </w:rPr>
                        </w:pPr>
                        <w:r>
                          <w:rPr>
                            <w:sz w:val="24"/>
                          </w:rPr>
                          <w:t>＞1.50</w:t>
                        </w:r>
                      </w:p>
                    </w:tc>
                    <w:tc>
                      <w:tcPr>
                        <w:tcW w:w="1906" w:type="dxa"/>
                      </w:tcPr>
                      <w:p>
                        <w:pPr>
                          <w:pStyle w:val="TableParagraph"/>
                          <w:spacing w:before="17" w:line="307" w:lineRule="exact"/>
                          <w:rPr>
                            <w:sz w:val="24"/>
                          </w:rPr>
                        </w:pPr>
                        <w:r>
                          <w:rPr>
                            <w:sz w:val="24"/>
                          </w:rPr>
                          <w:t>≥93</w:t>
                        </w:r>
                      </w:p>
                    </w:tc>
                    <w:tc>
                      <w:tcPr>
                        <w:tcW w:w="2373" w:type="dxa"/>
                        <w:vMerge/>
                        <w:tcBorders>
                          <w:top w:val="nil"/>
                        </w:tcBorders>
                      </w:tcPr>
                      <w:p>
                        <w:pPr>
                          <w:rPr>
                            <w:sz w:val="2"/>
                            <w:szCs w:val="2"/>
                          </w:rPr>
                        </w:pPr>
                      </w:p>
                    </w:tc>
                  </w:tr>
                  <w:tr>
                    <w:tblPrEx>
                      <w:tblW w:w="0" w:type="auto"/>
                      <w:jc w:val="left"/>
                      <w:tblInd w:w="5" w:type="dxa"/>
                      <w:tblLayout w:type="fixed"/>
                      <w:tblCellMar>
                        <w:top w:w="0" w:type="dxa"/>
                        <w:left w:w="0" w:type="dxa"/>
                        <w:bottom w:w="0" w:type="dxa"/>
                        <w:right w:w="0" w:type="dxa"/>
                      </w:tblCellMar>
                      <w:tblLook w:val="01E0"/>
                    </w:tblPrEx>
                    <w:trPr>
                      <w:trHeight w:val="688"/>
                      <w:jc w:val="left"/>
                    </w:trPr>
                    <w:tc>
                      <w:tcPr>
                        <w:tcW w:w="558" w:type="dxa"/>
                      </w:tcPr>
                      <w:p>
                        <w:pPr>
                          <w:pStyle w:val="TableParagraph"/>
                          <w:spacing w:before="17"/>
                          <w:rPr>
                            <w:sz w:val="24"/>
                          </w:rPr>
                        </w:pPr>
                        <w:r>
                          <w:rPr>
                            <w:sz w:val="24"/>
                          </w:rPr>
                          <w:t>2</w:t>
                        </w:r>
                      </w:p>
                      <w:p>
                        <w:pPr>
                          <w:pStyle w:val="TableParagraph"/>
                          <w:spacing w:before="37" w:line="307" w:lineRule="exact"/>
                          <w:rPr>
                            <w:sz w:val="24"/>
                          </w:rPr>
                        </w:pPr>
                        <w:r>
                          <w:rPr>
                            <w:sz w:val="24"/>
                          </w:rPr>
                          <w:t>△</w:t>
                        </w:r>
                      </w:p>
                    </w:tc>
                    <w:tc>
                      <w:tcPr>
                        <w:tcW w:w="3763" w:type="dxa"/>
                        <w:gridSpan w:val="3"/>
                      </w:tcPr>
                      <w:p>
                        <w:pPr>
                          <w:pStyle w:val="TableParagraph"/>
                          <w:spacing w:before="189"/>
                          <w:ind w:left="107"/>
                          <w:rPr>
                            <w:sz w:val="24"/>
                          </w:rPr>
                        </w:pPr>
                        <w:r>
                          <w:rPr>
                            <w:sz w:val="24"/>
                          </w:rPr>
                          <w:t>弯沉（0.01mm）</w:t>
                        </w:r>
                      </w:p>
                    </w:tc>
                    <w:tc>
                      <w:tcPr>
                        <w:tcW w:w="1906" w:type="dxa"/>
                      </w:tcPr>
                      <w:p>
                        <w:pPr>
                          <w:pStyle w:val="TableParagraph"/>
                          <w:spacing w:before="189"/>
                          <w:rPr>
                            <w:sz w:val="24"/>
                          </w:rPr>
                        </w:pPr>
                        <w:r>
                          <w:rPr>
                            <w:sz w:val="24"/>
                          </w:rPr>
                          <w:t>不大于设计值</w:t>
                        </w:r>
                      </w:p>
                    </w:tc>
                    <w:tc>
                      <w:tcPr>
                        <w:tcW w:w="2373" w:type="dxa"/>
                      </w:tcPr>
                      <w:p>
                        <w:pPr>
                          <w:pStyle w:val="TableParagraph"/>
                          <w:ind w:left="0"/>
                          <w:rPr>
                            <w:rFonts w:ascii="Times New Roman"/>
                            <w:sz w:val="24"/>
                          </w:rPr>
                        </w:pPr>
                      </w:p>
                    </w:tc>
                  </w:tr>
                </w:tbl>
                <w:p>
                  <w:pPr>
                    <w:pStyle w:val="BodyText"/>
                    <w:ind w:left="0"/>
                  </w:pPr>
                </w:p>
              </w:txbxContent>
            </v:textbox>
          </v:shape>
        </w:pict>
      </w:r>
      <w:r>
        <w:t>土方路基实测项目</w:t>
      </w:r>
    </w:p>
    <w:p>
      <w:pPr>
        <w:spacing w:after="0" w:line="420" w:lineRule="exact"/>
        <w:sectPr>
          <w:pgSz w:w="11910" w:h="16840"/>
          <w:pgMar w:top="1360" w:right="800" w:bottom="280" w:left="1540" w:header="708" w:footer="708"/>
          <w:pgNumType w:start="9"/>
          <w:cols w:space="708"/>
        </w:sectPr>
      </w:pPr>
    </w:p>
    <w:tbl>
      <w:tblPr>
        <w:tblStyle w:val="TableNormal1"/>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8"/>
        <w:gridCol w:w="3763"/>
        <w:gridCol w:w="1906"/>
        <w:gridCol w:w="2373"/>
      </w:tblGrid>
      <w:tr>
        <w:tblPrEx>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88"/>
          <w:jc w:val="left"/>
        </w:trPr>
        <w:tc>
          <w:tcPr>
            <w:tcW w:w="558" w:type="dxa"/>
          </w:tcPr>
          <w:p>
            <w:pPr>
              <w:pStyle w:val="TableParagraph"/>
              <w:spacing w:before="189"/>
              <w:rPr>
                <w:sz w:val="24"/>
              </w:rPr>
            </w:pPr>
            <w:r>
              <w:rPr>
                <w:sz w:val="24"/>
              </w:rPr>
              <w:t>3</w:t>
            </w:r>
          </w:p>
        </w:tc>
        <w:tc>
          <w:tcPr>
            <w:tcW w:w="3763" w:type="dxa"/>
          </w:tcPr>
          <w:p>
            <w:pPr>
              <w:pStyle w:val="TableParagraph"/>
              <w:spacing w:before="189"/>
              <w:ind w:left="107"/>
              <w:rPr>
                <w:sz w:val="24"/>
              </w:rPr>
            </w:pPr>
            <w:r>
              <w:rPr>
                <w:sz w:val="24"/>
              </w:rPr>
              <w:t>纵断高程（mm）</w:t>
            </w:r>
          </w:p>
        </w:tc>
        <w:tc>
          <w:tcPr>
            <w:tcW w:w="1906" w:type="dxa"/>
          </w:tcPr>
          <w:p>
            <w:pPr>
              <w:pStyle w:val="TableParagraph"/>
              <w:spacing w:before="189"/>
              <w:rPr>
                <w:sz w:val="24"/>
              </w:rPr>
            </w:pPr>
            <w:r>
              <w:rPr>
                <w:sz w:val="24"/>
              </w:rPr>
              <w:t>+10，-15</w:t>
            </w:r>
          </w:p>
        </w:tc>
        <w:tc>
          <w:tcPr>
            <w:tcW w:w="2373" w:type="dxa"/>
          </w:tcPr>
          <w:p>
            <w:pPr>
              <w:pStyle w:val="TableParagraph"/>
              <w:spacing w:before="17"/>
              <w:rPr>
                <w:sz w:val="24"/>
              </w:rPr>
            </w:pPr>
            <w:r>
              <w:rPr>
                <w:spacing w:val="-31"/>
                <w:sz w:val="24"/>
              </w:rPr>
              <w:t xml:space="preserve">水准仪：每 </w:t>
            </w:r>
            <w:r>
              <w:rPr>
                <w:sz w:val="24"/>
              </w:rPr>
              <w:t>200m</w:t>
            </w:r>
            <w:r>
              <w:rPr>
                <w:spacing w:val="-42"/>
                <w:sz w:val="24"/>
              </w:rPr>
              <w:t xml:space="preserve"> 测 </w:t>
            </w:r>
            <w:r>
              <w:rPr>
                <w:sz w:val="24"/>
              </w:rPr>
              <w:t>4</w:t>
            </w:r>
          </w:p>
          <w:p>
            <w:pPr>
              <w:pStyle w:val="TableParagraph"/>
              <w:spacing w:before="37" w:line="307" w:lineRule="exact"/>
              <w:rPr>
                <w:sz w:val="24"/>
              </w:rPr>
            </w:pPr>
            <w:r>
              <w:rPr>
                <w:sz w:val="24"/>
              </w:rPr>
              <w:t>断面</w:t>
            </w:r>
          </w:p>
        </w:tc>
      </w:tr>
      <w:tr>
        <w:tblPrEx>
          <w:tblW w:w="0" w:type="auto"/>
          <w:jc w:val="left"/>
          <w:tblInd w:w="117" w:type="dxa"/>
          <w:tblLayout w:type="fixed"/>
          <w:tblCellMar>
            <w:top w:w="0" w:type="dxa"/>
            <w:left w:w="0" w:type="dxa"/>
            <w:bottom w:w="0" w:type="dxa"/>
            <w:right w:w="0" w:type="dxa"/>
          </w:tblCellMar>
          <w:tblLook w:val="01E0"/>
        </w:tblPrEx>
        <w:trPr>
          <w:trHeight w:val="1032"/>
          <w:jc w:val="left"/>
        </w:trPr>
        <w:tc>
          <w:tcPr>
            <w:tcW w:w="558" w:type="dxa"/>
          </w:tcPr>
          <w:p>
            <w:pPr>
              <w:pStyle w:val="TableParagraph"/>
              <w:spacing w:before="12"/>
              <w:ind w:left="0"/>
              <w:rPr>
                <w:rFonts w:ascii="Microsoft JhengHei"/>
                <w:b/>
                <w:sz w:val="19"/>
              </w:rPr>
            </w:pPr>
          </w:p>
          <w:p>
            <w:pPr>
              <w:pStyle w:val="TableParagraph"/>
              <w:rPr>
                <w:sz w:val="24"/>
              </w:rPr>
            </w:pPr>
            <w:r>
              <w:rPr>
                <w:sz w:val="24"/>
              </w:rPr>
              <w:t>4</w:t>
            </w:r>
          </w:p>
        </w:tc>
        <w:tc>
          <w:tcPr>
            <w:tcW w:w="3763" w:type="dxa"/>
          </w:tcPr>
          <w:p>
            <w:pPr>
              <w:pStyle w:val="TableParagraph"/>
              <w:spacing w:before="12"/>
              <w:ind w:left="0"/>
              <w:rPr>
                <w:rFonts w:ascii="Microsoft JhengHei"/>
                <w:b/>
                <w:sz w:val="19"/>
              </w:rPr>
            </w:pPr>
          </w:p>
          <w:p>
            <w:pPr>
              <w:pStyle w:val="TableParagraph"/>
              <w:ind w:left="107"/>
              <w:rPr>
                <w:sz w:val="24"/>
              </w:rPr>
            </w:pPr>
            <w:r>
              <w:rPr>
                <w:sz w:val="24"/>
              </w:rPr>
              <w:t>中线偏位（mm）</w:t>
            </w:r>
          </w:p>
        </w:tc>
        <w:tc>
          <w:tcPr>
            <w:tcW w:w="1906" w:type="dxa"/>
          </w:tcPr>
          <w:p>
            <w:pPr>
              <w:pStyle w:val="TableParagraph"/>
              <w:spacing w:before="12"/>
              <w:ind w:left="0"/>
              <w:rPr>
                <w:rFonts w:ascii="Microsoft JhengHei"/>
                <w:b/>
                <w:sz w:val="19"/>
              </w:rPr>
            </w:pPr>
          </w:p>
          <w:p>
            <w:pPr>
              <w:pStyle w:val="TableParagraph"/>
              <w:rPr>
                <w:sz w:val="24"/>
              </w:rPr>
            </w:pPr>
            <w:r>
              <w:rPr>
                <w:sz w:val="24"/>
              </w:rPr>
              <w:t>50</w:t>
            </w:r>
          </w:p>
        </w:tc>
        <w:tc>
          <w:tcPr>
            <w:tcW w:w="2373" w:type="dxa"/>
          </w:tcPr>
          <w:p>
            <w:pPr>
              <w:pStyle w:val="TableParagraph"/>
              <w:spacing w:before="17"/>
              <w:rPr>
                <w:sz w:val="24"/>
              </w:rPr>
            </w:pPr>
            <w:r>
              <w:rPr>
                <w:spacing w:val="-11"/>
                <w:sz w:val="24"/>
              </w:rPr>
              <w:t xml:space="preserve">经纬仪:每 </w:t>
            </w:r>
            <w:r>
              <w:rPr>
                <w:sz w:val="24"/>
              </w:rPr>
              <w:t>200m</w:t>
            </w:r>
            <w:r>
              <w:rPr>
                <w:spacing w:val="-41"/>
                <w:sz w:val="24"/>
              </w:rPr>
              <w:t xml:space="preserve"> 测 </w:t>
            </w:r>
            <w:r>
              <w:rPr>
                <w:sz w:val="24"/>
              </w:rPr>
              <w:t>4</w:t>
            </w:r>
          </w:p>
          <w:p>
            <w:pPr>
              <w:pStyle w:val="TableParagraph"/>
              <w:spacing w:before="37"/>
              <w:rPr>
                <w:sz w:val="24"/>
              </w:rPr>
            </w:pPr>
            <w:r>
              <w:rPr>
                <w:spacing w:val="5"/>
                <w:sz w:val="24"/>
              </w:rPr>
              <w:t xml:space="preserve">点，弯道加 </w:t>
            </w:r>
            <w:r>
              <w:rPr>
                <w:sz w:val="24"/>
              </w:rPr>
              <w:t>HY</w:t>
            </w:r>
            <w:r>
              <w:rPr>
                <w:spacing w:val="19"/>
                <w:sz w:val="24"/>
              </w:rPr>
              <w:t>、</w:t>
            </w:r>
            <w:r>
              <w:rPr>
                <w:sz w:val="24"/>
              </w:rPr>
              <w:t>YH</w:t>
            </w:r>
          </w:p>
          <w:p>
            <w:pPr>
              <w:pStyle w:val="TableParagraph"/>
              <w:spacing w:before="36" w:line="307" w:lineRule="exact"/>
              <w:rPr>
                <w:sz w:val="24"/>
              </w:rPr>
            </w:pPr>
            <w:r>
              <w:rPr>
                <w:sz w:val="24"/>
              </w:rPr>
              <w:t>俩点</w:t>
            </w:r>
          </w:p>
        </w:tc>
      </w:tr>
      <w:tr>
        <w:tblPrEx>
          <w:tblW w:w="0" w:type="auto"/>
          <w:jc w:val="left"/>
          <w:tblInd w:w="117" w:type="dxa"/>
          <w:tblLayout w:type="fixed"/>
          <w:tblCellMar>
            <w:top w:w="0" w:type="dxa"/>
            <w:left w:w="0" w:type="dxa"/>
            <w:bottom w:w="0" w:type="dxa"/>
            <w:right w:w="0" w:type="dxa"/>
          </w:tblCellMar>
          <w:tblLook w:val="01E0"/>
        </w:tblPrEx>
        <w:trPr>
          <w:trHeight w:val="688"/>
          <w:jc w:val="left"/>
        </w:trPr>
        <w:tc>
          <w:tcPr>
            <w:tcW w:w="558" w:type="dxa"/>
          </w:tcPr>
          <w:p>
            <w:pPr>
              <w:pStyle w:val="TableParagraph"/>
              <w:spacing w:before="189"/>
              <w:rPr>
                <w:sz w:val="24"/>
              </w:rPr>
            </w:pPr>
            <w:r>
              <w:rPr>
                <w:sz w:val="24"/>
              </w:rPr>
              <w:t>5</w:t>
            </w:r>
          </w:p>
        </w:tc>
        <w:tc>
          <w:tcPr>
            <w:tcW w:w="3763" w:type="dxa"/>
          </w:tcPr>
          <w:p>
            <w:pPr>
              <w:pStyle w:val="TableParagraph"/>
              <w:spacing w:before="189"/>
              <w:ind w:left="107"/>
              <w:rPr>
                <w:sz w:val="24"/>
              </w:rPr>
            </w:pPr>
            <w:r>
              <w:rPr>
                <w:sz w:val="24"/>
              </w:rPr>
              <w:t>宽度（mm）</w:t>
            </w:r>
          </w:p>
        </w:tc>
        <w:tc>
          <w:tcPr>
            <w:tcW w:w="1906" w:type="dxa"/>
          </w:tcPr>
          <w:p>
            <w:pPr>
              <w:pStyle w:val="TableParagraph"/>
              <w:spacing w:before="189"/>
              <w:rPr>
                <w:sz w:val="24"/>
              </w:rPr>
            </w:pPr>
            <w:r>
              <w:rPr>
                <w:sz w:val="24"/>
              </w:rPr>
              <w:t>不小于设计值</w:t>
            </w:r>
          </w:p>
        </w:tc>
        <w:tc>
          <w:tcPr>
            <w:tcW w:w="2373" w:type="dxa"/>
          </w:tcPr>
          <w:p>
            <w:pPr>
              <w:pStyle w:val="TableParagraph"/>
              <w:spacing w:before="17"/>
              <w:rPr>
                <w:sz w:val="24"/>
              </w:rPr>
            </w:pPr>
            <w:r>
              <w:rPr>
                <w:spacing w:val="-16"/>
                <w:sz w:val="24"/>
              </w:rPr>
              <w:t xml:space="preserve">米尺： 每 </w:t>
            </w:r>
            <w:r>
              <w:rPr>
                <w:sz w:val="24"/>
              </w:rPr>
              <w:t>200m</w:t>
            </w:r>
            <w:r>
              <w:rPr>
                <w:spacing w:val="-33"/>
                <w:sz w:val="24"/>
              </w:rPr>
              <w:t xml:space="preserve"> 测 </w:t>
            </w:r>
            <w:r>
              <w:rPr>
                <w:sz w:val="24"/>
              </w:rPr>
              <w:t>4</w:t>
            </w:r>
          </w:p>
          <w:p>
            <w:pPr>
              <w:pStyle w:val="TableParagraph"/>
              <w:spacing w:before="37" w:line="307" w:lineRule="exact"/>
              <w:rPr>
                <w:sz w:val="24"/>
              </w:rPr>
            </w:pPr>
            <w:r>
              <w:rPr>
                <w:sz w:val="24"/>
              </w:rPr>
              <w:t>处</w:t>
            </w:r>
          </w:p>
        </w:tc>
      </w:tr>
      <w:tr>
        <w:tblPrEx>
          <w:tblW w:w="0" w:type="auto"/>
          <w:jc w:val="left"/>
          <w:tblInd w:w="117" w:type="dxa"/>
          <w:tblLayout w:type="fixed"/>
          <w:tblCellMar>
            <w:top w:w="0" w:type="dxa"/>
            <w:left w:w="0" w:type="dxa"/>
            <w:bottom w:w="0" w:type="dxa"/>
            <w:right w:w="0" w:type="dxa"/>
          </w:tblCellMar>
          <w:tblLook w:val="01E0"/>
        </w:tblPrEx>
        <w:trPr>
          <w:trHeight w:val="688"/>
          <w:jc w:val="left"/>
        </w:trPr>
        <w:tc>
          <w:tcPr>
            <w:tcW w:w="558" w:type="dxa"/>
          </w:tcPr>
          <w:p>
            <w:pPr>
              <w:pStyle w:val="TableParagraph"/>
              <w:spacing w:before="189"/>
              <w:rPr>
                <w:sz w:val="24"/>
              </w:rPr>
            </w:pPr>
            <w:r>
              <w:rPr>
                <w:w w:val="99"/>
                <w:sz w:val="24"/>
              </w:rPr>
              <w:t>6</w:t>
            </w:r>
          </w:p>
        </w:tc>
        <w:tc>
          <w:tcPr>
            <w:tcW w:w="3763" w:type="dxa"/>
          </w:tcPr>
          <w:p>
            <w:pPr>
              <w:pStyle w:val="TableParagraph"/>
              <w:spacing w:before="189"/>
              <w:ind w:left="107"/>
              <w:rPr>
                <w:sz w:val="24"/>
              </w:rPr>
            </w:pPr>
            <w:r>
              <w:rPr>
                <w:sz w:val="24"/>
              </w:rPr>
              <w:t>平整度（mm）</w:t>
            </w:r>
          </w:p>
        </w:tc>
        <w:tc>
          <w:tcPr>
            <w:tcW w:w="1906" w:type="dxa"/>
          </w:tcPr>
          <w:p>
            <w:pPr>
              <w:pStyle w:val="TableParagraph"/>
              <w:spacing w:before="189"/>
              <w:rPr>
                <w:sz w:val="24"/>
              </w:rPr>
            </w:pPr>
            <w:r>
              <w:rPr>
                <w:sz w:val="24"/>
              </w:rPr>
              <w:t>15</w:t>
            </w:r>
          </w:p>
        </w:tc>
        <w:tc>
          <w:tcPr>
            <w:tcW w:w="2373" w:type="dxa"/>
          </w:tcPr>
          <w:p>
            <w:pPr>
              <w:pStyle w:val="TableParagraph"/>
              <w:spacing w:before="17"/>
              <w:rPr>
                <w:sz w:val="24"/>
              </w:rPr>
            </w:pPr>
            <w:r>
              <w:rPr>
                <w:sz w:val="24"/>
              </w:rPr>
              <w:t>3m</w:t>
            </w:r>
            <w:r>
              <w:rPr>
                <w:spacing w:val="-21"/>
                <w:sz w:val="24"/>
              </w:rPr>
              <w:t xml:space="preserve"> 直尺：每 </w:t>
            </w:r>
            <w:r>
              <w:rPr>
                <w:sz w:val="24"/>
              </w:rPr>
              <w:t>200m</w:t>
            </w:r>
            <w:r>
              <w:rPr>
                <w:spacing w:val="-31"/>
                <w:sz w:val="24"/>
              </w:rPr>
              <w:t xml:space="preserve"> 测</w:t>
            </w:r>
          </w:p>
          <w:p>
            <w:pPr>
              <w:pStyle w:val="TableParagraph"/>
              <w:spacing w:before="37" w:line="307" w:lineRule="exact"/>
              <w:rPr>
                <w:sz w:val="24"/>
              </w:rPr>
            </w:pPr>
            <w:r>
              <w:rPr>
                <w:sz w:val="24"/>
              </w:rPr>
              <w:t>2 处×10 尺</w:t>
            </w:r>
          </w:p>
        </w:tc>
      </w:tr>
      <w:tr>
        <w:tblPrEx>
          <w:tblW w:w="0" w:type="auto"/>
          <w:jc w:val="left"/>
          <w:tblInd w:w="117" w:type="dxa"/>
          <w:tblLayout w:type="fixed"/>
          <w:tblCellMar>
            <w:top w:w="0" w:type="dxa"/>
            <w:left w:w="0" w:type="dxa"/>
            <w:bottom w:w="0" w:type="dxa"/>
            <w:right w:w="0" w:type="dxa"/>
          </w:tblCellMar>
          <w:tblLook w:val="01E0"/>
        </w:tblPrEx>
        <w:trPr>
          <w:trHeight w:val="688"/>
          <w:jc w:val="left"/>
        </w:trPr>
        <w:tc>
          <w:tcPr>
            <w:tcW w:w="558" w:type="dxa"/>
          </w:tcPr>
          <w:p>
            <w:pPr>
              <w:pStyle w:val="TableParagraph"/>
              <w:spacing w:before="189"/>
              <w:rPr>
                <w:sz w:val="24"/>
              </w:rPr>
            </w:pPr>
            <w:r>
              <w:rPr>
                <w:sz w:val="24"/>
              </w:rPr>
              <w:t>7</w:t>
            </w:r>
          </w:p>
        </w:tc>
        <w:tc>
          <w:tcPr>
            <w:tcW w:w="3763" w:type="dxa"/>
          </w:tcPr>
          <w:p>
            <w:pPr>
              <w:pStyle w:val="TableParagraph"/>
              <w:spacing w:before="189"/>
              <w:ind w:left="107"/>
              <w:rPr>
                <w:sz w:val="24"/>
              </w:rPr>
            </w:pPr>
            <w:r>
              <w:rPr>
                <w:sz w:val="24"/>
              </w:rPr>
              <w:t>横坡（%）</w:t>
            </w:r>
          </w:p>
        </w:tc>
        <w:tc>
          <w:tcPr>
            <w:tcW w:w="1906" w:type="dxa"/>
          </w:tcPr>
          <w:p>
            <w:pPr>
              <w:pStyle w:val="TableParagraph"/>
              <w:spacing w:before="189"/>
              <w:rPr>
                <w:sz w:val="24"/>
              </w:rPr>
            </w:pPr>
            <w:r>
              <w:rPr>
                <w:w w:val="90"/>
                <w:sz w:val="24"/>
              </w:rPr>
              <w:t>±0.3</w:t>
            </w:r>
          </w:p>
        </w:tc>
        <w:tc>
          <w:tcPr>
            <w:tcW w:w="2373" w:type="dxa"/>
          </w:tcPr>
          <w:p>
            <w:pPr>
              <w:pStyle w:val="TableParagraph"/>
              <w:spacing w:before="17"/>
              <w:rPr>
                <w:sz w:val="24"/>
              </w:rPr>
            </w:pPr>
            <w:r>
              <w:rPr>
                <w:spacing w:val="-31"/>
                <w:sz w:val="24"/>
              </w:rPr>
              <w:t xml:space="preserve">水准仪：每 </w:t>
            </w:r>
            <w:r>
              <w:rPr>
                <w:sz w:val="24"/>
              </w:rPr>
              <w:t>200m</w:t>
            </w:r>
            <w:r>
              <w:rPr>
                <w:spacing w:val="-42"/>
                <w:sz w:val="24"/>
              </w:rPr>
              <w:t xml:space="preserve"> 测 </w:t>
            </w:r>
            <w:r>
              <w:rPr>
                <w:sz w:val="24"/>
              </w:rPr>
              <w:t>4</w:t>
            </w:r>
          </w:p>
          <w:p>
            <w:pPr>
              <w:pStyle w:val="TableParagraph"/>
              <w:spacing w:before="37" w:line="307" w:lineRule="exact"/>
              <w:rPr>
                <w:sz w:val="24"/>
              </w:rPr>
            </w:pPr>
            <w:r>
              <w:rPr>
                <w:sz w:val="24"/>
              </w:rPr>
              <w:t>个断面</w:t>
            </w:r>
          </w:p>
        </w:tc>
      </w:tr>
      <w:tr>
        <w:tblPrEx>
          <w:tblW w:w="0" w:type="auto"/>
          <w:jc w:val="left"/>
          <w:tblInd w:w="117" w:type="dxa"/>
          <w:tblLayout w:type="fixed"/>
          <w:tblCellMar>
            <w:top w:w="0" w:type="dxa"/>
            <w:left w:w="0" w:type="dxa"/>
            <w:bottom w:w="0" w:type="dxa"/>
            <w:right w:w="0" w:type="dxa"/>
          </w:tblCellMar>
          <w:tblLook w:val="01E0"/>
        </w:tblPrEx>
        <w:trPr>
          <w:trHeight w:val="688"/>
          <w:jc w:val="left"/>
        </w:trPr>
        <w:tc>
          <w:tcPr>
            <w:tcW w:w="558" w:type="dxa"/>
          </w:tcPr>
          <w:p>
            <w:pPr>
              <w:pStyle w:val="TableParagraph"/>
              <w:spacing w:before="189"/>
              <w:rPr>
                <w:sz w:val="24"/>
              </w:rPr>
            </w:pPr>
            <w:r>
              <w:rPr>
                <w:sz w:val="24"/>
              </w:rPr>
              <w:t>8</w:t>
            </w:r>
          </w:p>
        </w:tc>
        <w:tc>
          <w:tcPr>
            <w:tcW w:w="3763" w:type="dxa"/>
          </w:tcPr>
          <w:p>
            <w:pPr>
              <w:pStyle w:val="TableParagraph"/>
              <w:spacing w:before="189"/>
              <w:ind w:left="107"/>
              <w:rPr>
                <w:sz w:val="24"/>
              </w:rPr>
            </w:pPr>
            <w:r>
              <w:rPr>
                <w:sz w:val="24"/>
              </w:rPr>
              <w:t>边坡</w:t>
            </w:r>
          </w:p>
        </w:tc>
        <w:tc>
          <w:tcPr>
            <w:tcW w:w="1906" w:type="dxa"/>
          </w:tcPr>
          <w:p>
            <w:pPr>
              <w:pStyle w:val="TableParagraph"/>
              <w:spacing w:before="189"/>
              <w:rPr>
                <w:sz w:val="24"/>
              </w:rPr>
            </w:pPr>
            <w:r>
              <w:rPr>
                <w:sz w:val="24"/>
              </w:rPr>
              <w:t>不陡于设计坡度</w:t>
            </w:r>
          </w:p>
        </w:tc>
        <w:tc>
          <w:tcPr>
            <w:tcW w:w="2373" w:type="dxa"/>
          </w:tcPr>
          <w:p>
            <w:pPr>
              <w:pStyle w:val="TableParagraph"/>
              <w:spacing w:before="17"/>
              <w:rPr>
                <w:sz w:val="24"/>
              </w:rPr>
            </w:pPr>
            <w:r>
              <w:rPr>
                <w:spacing w:val="-16"/>
                <w:sz w:val="24"/>
              </w:rPr>
              <w:t xml:space="preserve">尺量： 每 </w:t>
            </w:r>
            <w:r>
              <w:rPr>
                <w:sz w:val="24"/>
              </w:rPr>
              <w:t>200m</w:t>
            </w:r>
            <w:r>
              <w:rPr>
                <w:spacing w:val="-33"/>
                <w:sz w:val="24"/>
              </w:rPr>
              <w:t xml:space="preserve"> 测 </w:t>
            </w:r>
            <w:r>
              <w:rPr>
                <w:sz w:val="24"/>
              </w:rPr>
              <w:t>4</w:t>
            </w:r>
          </w:p>
          <w:p>
            <w:pPr>
              <w:pStyle w:val="TableParagraph"/>
              <w:spacing w:before="37" w:line="307" w:lineRule="exact"/>
              <w:rPr>
                <w:sz w:val="24"/>
              </w:rPr>
            </w:pPr>
            <w:r>
              <w:rPr>
                <w:sz w:val="24"/>
              </w:rPr>
              <w:t>处</w:t>
            </w:r>
          </w:p>
        </w:tc>
      </w:tr>
    </w:tbl>
    <w:p>
      <w:pPr>
        <w:pStyle w:val="BodyText"/>
        <w:spacing w:before="10"/>
        <w:ind w:left="0"/>
        <w:rPr>
          <w:rFonts w:ascii="Microsoft JhengHei"/>
          <w:b/>
          <w:sz w:val="14"/>
        </w:rPr>
      </w:pPr>
    </w:p>
    <w:p>
      <w:pPr>
        <w:spacing w:before="14" w:line="432" w:lineRule="exact"/>
        <w:ind w:left="256" w:right="0" w:firstLine="0"/>
        <w:jc w:val="left"/>
        <w:rPr>
          <w:rFonts w:ascii="Microsoft JhengHei" w:eastAsia="Microsoft JhengHei" w:hint="eastAsia"/>
          <w:b/>
          <w:sz w:val="24"/>
        </w:rPr>
      </w:pPr>
      <w:r>
        <w:rPr>
          <w:rFonts w:ascii="Microsoft JhengHei" w:eastAsia="Microsoft JhengHei" w:hint="eastAsia"/>
          <w:b/>
          <w:sz w:val="24"/>
        </w:rPr>
        <w:t>（四</w:t>
      </w:r>
      <w:r>
        <w:rPr>
          <w:rFonts w:ascii="Microsoft JhengHei" w:eastAsia="Microsoft JhengHei" w:hint="eastAsia"/>
          <w:b/>
          <w:spacing w:val="-120"/>
          <w:sz w:val="24"/>
        </w:rPr>
        <w:t>）</w:t>
      </w:r>
      <w:r>
        <w:rPr>
          <w:rFonts w:ascii="Microsoft JhengHei" w:eastAsia="Microsoft JhengHei" w:hint="eastAsia"/>
          <w:b/>
          <w:sz w:val="24"/>
        </w:rPr>
        <w:t>、成品保护</w:t>
      </w:r>
    </w:p>
    <w:p>
      <w:pPr>
        <w:pStyle w:val="BodyText"/>
        <w:spacing w:line="268" w:lineRule="auto"/>
        <w:ind w:right="995" w:firstLine="480"/>
      </w:pPr>
      <w:r>
        <w:t>1</w:t>
      </w:r>
      <w:r>
        <w:rPr>
          <w:spacing w:val="-7"/>
        </w:rPr>
        <w:t xml:space="preserve">、为防止路基被雨水浸泡和边坡被雨水冲刷，应在路基面做成 </w:t>
      </w:r>
      <w:r>
        <w:t>2%～4%</w:t>
      </w:r>
      <w:r>
        <w:rPr>
          <w:spacing w:val="-8"/>
        </w:rPr>
        <w:t>的排</w:t>
      </w:r>
      <w:r>
        <w:t>水横坡，边沟必须及时开挖，确保排水畅通。</w:t>
      </w:r>
    </w:p>
    <w:p>
      <w:pPr>
        <w:pStyle w:val="BodyText"/>
        <w:spacing w:line="268" w:lineRule="auto"/>
        <w:ind w:right="995" w:firstLine="480"/>
      </w:pPr>
      <w:r>
        <w:t>2、已经成型的路基不应做施工道路，施工中的重型车辆应尽量通过施工便道，防止路床碾压后不平整或坑槽。</w:t>
      </w:r>
    </w:p>
    <w:p>
      <w:pPr>
        <w:pStyle w:val="BodyText"/>
        <w:spacing w:line="307" w:lineRule="exact"/>
        <w:ind w:left="736"/>
      </w:pPr>
      <w:r>
        <w:t>3、边坡桩应很好保护。水准基点妥善保护，供路面施工使用，测设高程。</w:t>
      </w:r>
    </w:p>
    <w:p>
      <w:pPr>
        <w:pStyle w:val="Heading5"/>
        <w:spacing w:before="19" w:line="240" w:lineRule="auto"/>
      </w:pPr>
      <w:r>
        <w:t>二、粘土锥探灌浆</w:t>
      </w:r>
    </w:p>
    <w:p>
      <w:pPr>
        <w:spacing w:before="44"/>
        <w:ind w:left="256" w:right="0" w:firstLine="0"/>
        <w:jc w:val="left"/>
        <w:rPr>
          <w:rFonts w:ascii="Microsoft JhengHei" w:eastAsia="Microsoft JhengHei" w:hint="eastAsia"/>
          <w:b/>
          <w:sz w:val="24"/>
        </w:rPr>
      </w:pPr>
      <w:r>
        <w:rPr>
          <w:rFonts w:ascii="Microsoft JhengHei" w:eastAsia="Microsoft JhengHei" w:hint="eastAsia"/>
          <w:b/>
          <w:sz w:val="24"/>
        </w:rPr>
        <w:t>（壹</w:t>
      </w:r>
      <w:r>
        <w:rPr>
          <w:rFonts w:ascii="Microsoft JhengHei" w:eastAsia="Microsoft JhengHei" w:hint="eastAsia"/>
          <w:b/>
          <w:spacing w:val="-120"/>
          <w:sz w:val="24"/>
        </w:rPr>
        <w:t>）</w:t>
      </w:r>
      <w:r>
        <w:rPr>
          <w:rFonts w:ascii="Microsoft JhengHei" w:eastAsia="Microsoft JhengHei" w:hint="eastAsia"/>
          <w:b/>
          <w:sz w:val="24"/>
        </w:rPr>
        <w:t>、开工条件控制</w:t>
      </w:r>
    </w:p>
    <w:p>
      <w:pPr>
        <w:pStyle w:val="BodyText"/>
        <w:spacing w:before="123"/>
        <w:ind w:left="736"/>
      </w:pPr>
      <w:r>
        <w:t>1、开工条件控制按下列程序进行：</w:t>
      </w:r>
    </w:p>
    <w:p>
      <w:pPr>
        <w:pStyle w:val="BodyText"/>
        <w:spacing w:before="177"/>
        <w:ind w:left="736"/>
      </w:pPr>
      <w:r>
        <w:t>⑴向施工单位进行监理工作交底。</w:t>
      </w:r>
    </w:p>
    <w:p>
      <w:pPr>
        <w:pStyle w:val="BodyText"/>
        <w:spacing w:before="178"/>
        <w:ind w:left="736"/>
      </w:pPr>
      <w:r>
        <w:t>⑵审批施工单位报送的施工措施计划。</w:t>
      </w:r>
    </w:p>
    <w:p>
      <w:pPr>
        <w:pStyle w:val="BodyText"/>
        <w:spacing w:before="177"/>
        <w:ind w:left="736"/>
      </w:pPr>
      <w:r>
        <w:t>⑶施工质量保证体系的检查认可。</w:t>
      </w:r>
    </w:p>
    <w:p>
      <w:pPr>
        <w:pStyle w:val="BodyText"/>
        <w:spacing w:before="178"/>
        <w:ind w:left="736"/>
      </w:pPr>
      <w:r>
        <w:t>⑷组织设计交底。</w:t>
      </w:r>
    </w:p>
    <w:p>
      <w:pPr>
        <w:pStyle w:val="BodyText"/>
        <w:spacing w:before="177"/>
        <w:ind w:left="736"/>
      </w:pPr>
      <w:r>
        <w:t>⑸移测量控制网点。</w:t>
      </w:r>
    </w:p>
    <w:p>
      <w:pPr>
        <w:pStyle w:val="BodyText"/>
        <w:spacing w:before="178"/>
        <w:ind w:left="736"/>
      </w:pPr>
      <w:r>
        <w:t>⑹检查施工条件。</w:t>
      </w:r>
    </w:p>
    <w:p>
      <w:pPr>
        <w:pStyle w:val="BodyText"/>
        <w:spacing w:before="177"/>
        <w:ind w:left="736"/>
      </w:pPr>
      <w:r>
        <w:t>⑺签发开工许可证。</w:t>
      </w:r>
    </w:p>
    <w:p>
      <w:pPr>
        <w:pStyle w:val="BodyText"/>
        <w:spacing w:before="178" w:line="379" w:lineRule="auto"/>
        <w:ind w:right="995" w:firstLine="480"/>
      </w:pPr>
      <w:r>
        <w:t>2、明确监理例行程序及作业表格；明确工程质量、进度表、签证的程序； 明确工程例会召开的地点、时间、会议议程等。</w:t>
      </w:r>
    </w:p>
    <w:p>
      <w:pPr>
        <w:pStyle w:val="BodyText"/>
        <w:spacing w:line="379" w:lineRule="auto"/>
        <w:ind w:right="995" w:firstLine="480"/>
      </w:pPr>
      <w:r>
        <w:t>3</w:t>
      </w:r>
      <w:r>
        <w:rPr>
          <w:spacing w:val="-3"/>
        </w:rPr>
        <w:t xml:space="preserve">、施工锥探灌浆作业开工前 </w:t>
      </w:r>
      <w:r>
        <w:t>14d，根据设计文件、施工合同的要求及工地</w:t>
      </w:r>
      <w:r>
        <w:rPr>
          <w:spacing w:val="-6"/>
        </w:rPr>
        <w:t>现场实际提交施工措施计划，且应从施工设备、材料供应、施工方法、施工质量</w:t>
      </w:r>
    </w:p>
    <w:p>
      <w:pPr>
        <w:spacing w:after="0" w:line="379" w:lineRule="auto"/>
        <w:sectPr>
          <w:pgSz w:w="11910" w:h="16840"/>
          <w:pgMar w:top="1420" w:right="800" w:bottom="280" w:left="1540" w:header="708" w:footer="708"/>
          <w:pgNumType w:start="10"/>
          <w:cols w:space="708"/>
        </w:sectPr>
      </w:pPr>
    </w:p>
    <w:p>
      <w:pPr>
        <w:pStyle w:val="BodyText"/>
        <w:spacing w:before="69" w:line="379" w:lineRule="auto"/>
        <w:ind w:right="995"/>
      </w:pPr>
      <w:r>
        <w:rPr>
          <w:spacing w:val="-9"/>
        </w:rPr>
        <w:t>保证体系和保证措施、施工进度、施工安全等方面检查是否满足施工合同工程的</w:t>
      </w:r>
      <w:r>
        <w:t>技术和进度要求。施工措施计划必须经监理工程师批准后才能实施。</w:t>
      </w:r>
    </w:p>
    <w:p>
      <w:pPr>
        <w:pStyle w:val="BodyText"/>
        <w:spacing w:line="306" w:lineRule="exact"/>
        <w:ind w:left="736"/>
      </w:pPr>
      <w:r>
        <w:t>施工措施计划应包括以下内容：</w:t>
      </w:r>
    </w:p>
    <w:p>
      <w:pPr>
        <w:pStyle w:val="BodyText"/>
        <w:spacing w:before="178"/>
        <w:ind w:left="736"/>
      </w:pPr>
      <w:r>
        <w:t>⑴工程概况（包括荣誉奖工程部位、施工布置等</w:t>
      </w:r>
      <w:r>
        <w:rPr>
          <w:spacing w:val="-120"/>
        </w:rPr>
        <w:t>）</w:t>
      </w:r>
      <w:r>
        <w:t>。</w:t>
      </w:r>
    </w:p>
    <w:p>
      <w:pPr>
        <w:pStyle w:val="BodyText"/>
        <w:spacing w:before="177"/>
        <w:ind w:left="736"/>
      </w:pPr>
      <w:r>
        <w:t>⑵施工工序、工艺。</w:t>
      </w:r>
    </w:p>
    <w:p>
      <w:pPr>
        <w:pStyle w:val="BodyText"/>
        <w:spacing w:before="178"/>
        <w:ind w:left="736"/>
      </w:pPr>
      <w:r>
        <w:t>⑶灌浆材料及配比。</w:t>
      </w:r>
    </w:p>
    <w:p>
      <w:pPr>
        <w:pStyle w:val="BodyText"/>
        <w:spacing w:before="177" w:line="379" w:lineRule="auto"/>
        <w:ind w:right="995" w:firstLine="480"/>
      </w:pPr>
      <w:r>
        <w:t>⑷组织管理机械、劳动力组织和机械设备配置(包括规格、型号、数量、台时生产率及使用说明书等)。</w:t>
      </w:r>
    </w:p>
    <w:p>
      <w:pPr>
        <w:pStyle w:val="BodyText"/>
        <w:spacing w:line="306" w:lineRule="exact"/>
        <w:ind w:left="736"/>
      </w:pPr>
      <w:r>
        <w:t>⑸施工进度计划。</w:t>
      </w:r>
    </w:p>
    <w:p>
      <w:pPr>
        <w:pStyle w:val="BodyText"/>
        <w:spacing w:before="178"/>
        <w:ind w:left="736"/>
      </w:pPr>
      <w:r>
        <w:t>⑹质量控制措施。</w:t>
      </w:r>
    </w:p>
    <w:p>
      <w:pPr>
        <w:pStyle w:val="BodyText"/>
        <w:spacing w:before="177"/>
        <w:ind w:left="736"/>
      </w:pPr>
      <w:r>
        <w:t>⑺安全、质量事故处理办法。</w:t>
      </w:r>
    </w:p>
    <w:p>
      <w:pPr>
        <w:pStyle w:val="BodyText"/>
        <w:spacing w:before="178"/>
        <w:ind w:left="736"/>
      </w:pPr>
      <w:r>
        <w:t>⑻环境保护措施。</w:t>
      </w:r>
    </w:p>
    <w:p>
      <w:pPr>
        <w:pStyle w:val="BodyText"/>
        <w:spacing w:before="177"/>
        <w:ind w:left="736"/>
      </w:pPr>
      <w:r>
        <w:t>⑼作业原始记录资料记录和整理。</w:t>
      </w:r>
    </w:p>
    <w:p>
      <w:pPr>
        <w:pStyle w:val="BodyText"/>
        <w:spacing w:before="178" w:line="379" w:lineRule="auto"/>
        <w:ind w:right="874" w:firstLine="480"/>
      </w:pPr>
      <w:r>
        <w:t>4</w:t>
      </w:r>
      <w:r>
        <w:rPr>
          <w:spacing w:val="-10"/>
        </w:rPr>
        <w:t>、施工质量保证体系的检查认可。施工单位应建立以项目经理、项目总工、</w:t>
      </w:r>
      <w:r>
        <w:rPr>
          <w:spacing w:val="-16"/>
        </w:rPr>
        <w:t xml:space="preserve">质检负责人、专职质检员组成的工程质量管理组织、配备质量检验和测量工程量， </w:t>
      </w:r>
      <w:r>
        <w:rPr>
          <w:spacing w:val="-4"/>
        </w:rPr>
        <w:t>建立满足工程质量检测的现场试验室或委托有相应资质、资格的检测单位进行检</w:t>
      </w:r>
      <w:r>
        <w:rPr>
          <w:spacing w:val="-10"/>
        </w:rPr>
        <w:t>测，建立班组自检、专职质检员复检和质检负责人终检的“三检”制，完成质量保证体系文件的编制，建立健全施工质量保证体系，且报送监理检查认可。</w:t>
      </w:r>
    </w:p>
    <w:p>
      <w:pPr>
        <w:pStyle w:val="BodyText"/>
        <w:spacing w:line="379" w:lineRule="auto"/>
        <w:ind w:right="995" w:firstLine="480"/>
      </w:pPr>
      <w:r>
        <w:t>5、组织设计交底。在工程开工前，组织设计单位进行设计交底，使施工单位明确设计意图、技术标准和技术要求。</w:t>
      </w:r>
    </w:p>
    <w:p>
      <w:pPr>
        <w:pStyle w:val="BodyText"/>
        <w:spacing w:line="379" w:lineRule="auto"/>
        <w:ind w:right="995" w:firstLine="480"/>
      </w:pPr>
      <w:r>
        <w:t>6、移交测量控制网点。在工程开工前，施工单位应及时向移交测量控制网点交监理工程师，对其成果进行审查和校验。</w:t>
      </w:r>
    </w:p>
    <w:p>
      <w:pPr>
        <w:pStyle w:val="BodyText"/>
        <w:spacing w:line="306" w:lineRule="exact"/>
        <w:ind w:left="736"/>
      </w:pPr>
      <w:r>
        <w:t>7、检查施工条件</w:t>
      </w:r>
    </w:p>
    <w:p>
      <w:pPr>
        <w:pStyle w:val="BodyText"/>
        <w:spacing w:before="171" w:line="379" w:lineRule="auto"/>
        <w:ind w:right="995" w:firstLine="480"/>
        <w:jc w:val="both"/>
      </w:pPr>
      <w:r>
        <w:rPr>
          <w:spacing w:val="-8"/>
        </w:rPr>
        <w:t>⑴施工设备进场查验。施工单位必须按合同要求组织施工设备进场，且向监</w:t>
      </w:r>
      <w:r>
        <w:rPr>
          <w:spacing w:val="-5"/>
        </w:rPr>
        <w:t>理报送进场报报验单。监理工程师应检查施工设备是否配套和完好；检查运至施</w:t>
      </w:r>
      <w:r>
        <w:rPr>
          <w:spacing w:val="-6"/>
        </w:rPr>
        <w:t>工现场用于锥探灌浆作业的各种机械设备、仪器仪表、计量观测装置和其他辅助</w:t>
      </w:r>
      <w:r>
        <w:rPr>
          <w:spacing w:val="-7"/>
        </w:rPr>
        <w:t>设备是否经过检查、率定，且安装调试合格；检查进行设备数量、型号、技术性</w:t>
      </w:r>
      <w:r>
        <w:rPr>
          <w:spacing w:val="-10"/>
        </w:rPr>
        <w:t>能、台生产率能否满足施工技术和进度的要求。未经监理工程师签证批准的设备</w:t>
      </w:r>
    </w:p>
    <w:p>
      <w:pPr>
        <w:spacing w:after="0" w:line="379" w:lineRule="auto"/>
        <w:jc w:val="both"/>
        <w:sectPr>
          <w:pgSz w:w="11910" w:h="16840"/>
          <w:pgMar w:top="1440" w:right="800" w:bottom="280" w:left="1540" w:header="708" w:footer="708"/>
          <w:pgNumType w:start="11"/>
          <w:cols w:space="708"/>
        </w:sectPr>
      </w:pPr>
    </w:p>
    <w:p>
      <w:pPr>
        <w:pStyle w:val="BodyText"/>
        <w:spacing w:before="69"/>
      </w:pPr>
      <w:r>
        <w:t>不得在工程中使用。</w:t>
      </w:r>
    </w:p>
    <w:p>
      <w:pPr>
        <w:pStyle w:val="BodyText"/>
        <w:spacing w:before="178" w:line="379" w:lineRule="auto"/>
        <w:ind w:right="994" w:firstLine="480"/>
        <w:jc w:val="both"/>
      </w:pPr>
      <w:r>
        <w:rPr>
          <w:spacing w:val="-8"/>
        </w:rPr>
        <w:t>⑵灌浆材料进场检验。在生产试验和施工使用前，施工单位应向监理报送灌</w:t>
      </w:r>
      <w:r>
        <w:rPr>
          <w:spacing w:val="-7"/>
        </w:rPr>
        <w:t>浆材料进场报验单。监理工程师应检查用于灌浆工程的粘土、膨润土、水泥、外</w:t>
      </w:r>
      <w:r>
        <w:rPr>
          <w:spacing w:val="-10"/>
        </w:rPr>
        <w:t>加剂、掺合料等材料的性能指标(第壹次仍应检查产品生产许可证)、施工单位的</w:t>
      </w:r>
      <w:r>
        <w:rPr>
          <w:spacing w:val="-7"/>
        </w:rPr>
        <w:t>复检报告和检测单位的资质、资格，必要时仍应进行见证取样、送样或监理抽样</w:t>
      </w:r>
      <w:r>
        <w:t>检测。</w:t>
      </w:r>
    </w:p>
    <w:p>
      <w:pPr>
        <w:pStyle w:val="BodyText"/>
        <w:spacing w:line="379" w:lineRule="auto"/>
        <w:ind w:right="908" w:firstLine="480"/>
      </w:pPr>
      <w:r>
        <w:t>⑶审批将材配比和灌浆生产性试验成果。在灌浆作业开始前，应督促施工单位做好浆材配比的试验工作和选择和实施推探灌浆试验成果报告均应报送监理工程师审批。试验方案未经审签批准，不得进行试验；试验成果未经审签批准， 工程不得开工。</w:t>
      </w:r>
    </w:p>
    <w:p>
      <w:pPr>
        <w:pStyle w:val="BodyText"/>
        <w:spacing w:line="379" w:lineRule="auto"/>
        <w:ind w:right="995" w:firstLine="480"/>
        <w:jc w:val="both"/>
      </w:pPr>
      <w:r>
        <w:t>8、监理工程师签发开工许可证。上述施工单位报送的报审材料连同审签意</w:t>
      </w:r>
      <w:r>
        <w:rPr>
          <w:spacing w:val="-2"/>
        </w:rPr>
        <w:t xml:space="preserve">见单壹式四份经施工单位项目经理或总签署且加盖公章后报送监理，监理在 </w:t>
      </w:r>
      <w:r>
        <w:t xml:space="preserve">3d </w:t>
      </w:r>
      <w:r>
        <w:rPr>
          <w:spacing w:val="-24"/>
        </w:rPr>
        <w:t>内返回审签意见单壹份，审签意见包括“照此执行”、“按意见修改后执行”、“修</w:t>
      </w:r>
      <w:r>
        <w:rPr>
          <w:spacing w:val="2"/>
        </w:rPr>
        <w:t>改后重新报送”</w:t>
      </w:r>
      <w:r>
        <w:t>3</w:t>
      </w:r>
      <w:r>
        <w:rPr>
          <w:spacing w:val="-12"/>
        </w:rPr>
        <w:t xml:space="preserve"> 种。除非审签意见为“修改后重新报送”，否则施工单位即可</w:t>
      </w:r>
      <w:r>
        <w:rPr>
          <w:spacing w:val="-15"/>
        </w:rPr>
        <w:t xml:space="preserve">向监理报送开工申请报告，监理将在收到开工申请 </w:t>
      </w:r>
      <w:r>
        <w:t>24h</w:t>
      </w:r>
      <w:r>
        <w:rPr>
          <w:spacing w:val="-8"/>
        </w:rPr>
        <w:t xml:space="preserve"> 内签发开工许可证。</w:t>
      </w:r>
    </w:p>
    <w:p>
      <w:pPr>
        <w:pStyle w:val="BodyText"/>
        <w:spacing w:line="379" w:lineRule="auto"/>
        <w:ind w:right="995" w:firstLine="480"/>
        <w:jc w:val="both"/>
      </w:pPr>
      <w:r>
        <w:t>9、如果施工单位未能按期向监理报送开工所必需的材料，由此造成施工工</w:t>
      </w:r>
      <w:r>
        <w:rPr>
          <w:spacing w:val="-8"/>
        </w:rPr>
        <w:t>期延误和其他损失，均由施工单位承担合同责任。施工单位在期限内未收到监理</w:t>
      </w:r>
      <w:r>
        <w:t>的审签意见单或批复文件，可视为已报经审阅同意。</w:t>
      </w:r>
    </w:p>
    <w:p>
      <w:pPr>
        <w:pStyle w:val="Heading5"/>
        <w:spacing w:line="360" w:lineRule="exact"/>
        <w:ind w:left="736"/>
      </w:pPr>
      <w:r>
        <w:t>（二</w:t>
      </w:r>
      <w:r>
        <w:rPr>
          <w:spacing w:val="-120"/>
        </w:rPr>
        <w:t>）</w:t>
      </w:r>
      <w:r>
        <w:t>、施工过程控制</w:t>
      </w:r>
    </w:p>
    <w:p>
      <w:pPr>
        <w:pStyle w:val="BodyText"/>
        <w:spacing w:before="111" w:line="379" w:lineRule="auto"/>
        <w:ind w:right="995" w:firstLine="480"/>
        <w:jc w:val="both"/>
      </w:pPr>
      <w:r>
        <w:rPr>
          <w:spacing w:val="-11"/>
        </w:rPr>
        <w:t>在施工过程中，施工单位按照批准的施工措施计划和按合同技术规程规范作业，严格执行工序质量“三检”制，上道工序未经监理工程师检验签证，下壹道</w:t>
      </w:r>
      <w:r>
        <w:rPr>
          <w:spacing w:val="-8"/>
        </w:rPr>
        <w:t>工序严禁开工。监理工程师仍应对作业工序进行巡视、跟踪、检查和记录，发现</w:t>
      </w:r>
      <w:r>
        <w:rPr>
          <w:spacing w:val="-7"/>
        </w:rPr>
        <w:t>违反技术规程规范作业，可采取口头违规警告、书面违规警告直至指令返工、停</w:t>
      </w:r>
      <w:r>
        <w:t>工等方式予以制止。</w:t>
      </w:r>
    </w:p>
    <w:p>
      <w:pPr>
        <w:pStyle w:val="BodyText"/>
        <w:spacing w:line="303" w:lineRule="exact"/>
        <w:ind w:left="736"/>
      </w:pPr>
      <w:r>
        <w:t>1、灌浆材料、制浆和设备控制：</w:t>
      </w:r>
    </w:p>
    <w:p>
      <w:pPr>
        <w:pStyle w:val="BodyText"/>
        <w:spacing w:before="177" w:line="379" w:lineRule="auto"/>
        <w:ind w:right="908" w:firstLine="480"/>
        <w:jc w:val="both"/>
      </w:pPr>
      <w:r>
        <w:rPr>
          <w:spacing w:val="-8"/>
        </w:rPr>
        <w:t>在施工过程中，施工单位应建立原材料进场、检验和使用记录制度。施工单</w:t>
      </w:r>
      <w:r>
        <w:rPr>
          <w:spacing w:val="3"/>
        </w:rPr>
        <w:t>位应对所有材料包括配制的浆材必须进行周期性检测试验以及监理工程师指示</w:t>
      </w:r>
      <w:r>
        <w:rPr>
          <w:spacing w:val="2"/>
        </w:rPr>
        <w:t>的质量抽检试验。必要时，监理工程师应进行见证取样、送样或监理抽样检测，</w:t>
      </w:r>
    </w:p>
    <w:p>
      <w:pPr>
        <w:spacing w:after="0" w:line="379" w:lineRule="auto"/>
        <w:jc w:val="both"/>
        <w:sectPr>
          <w:pgSz w:w="11910" w:h="16840"/>
          <w:pgMar w:top="1440" w:right="800" w:bottom="280" w:left="1540" w:header="708" w:footer="708"/>
          <w:pgNumType w:start="12"/>
          <w:cols w:space="708"/>
        </w:sectPr>
      </w:pPr>
    </w:p>
    <w:p>
      <w:pPr>
        <w:pStyle w:val="BodyText"/>
        <w:spacing w:before="69"/>
      </w:pPr>
      <w:r>
        <w:t>且留下见证记录。未经监理工程师签证批准的材料不得在工程中使用。</w:t>
      </w:r>
    </w:p>
    <w:p>
      <w:pPr>
        <w:pStyle w:val="BodyText"/>
        <w:spacing w:before="178"/>
        <w:ind w:left="736"/>
      </w:pPr>
      <w:r>
        <w:t>2、灌浆材料：</w:t>
      </w:r>
    </w:p>
    <w:p>
      <w:pPr>
        <w:pStyle w:val="BodyText"/>
        <w:spacing w:before="177" w:line="379" w:lineRule="auto"/>
        <w:ind w:right="995" w:firstLine="480"/>
        <w:jc w:val="both"/>
      </w:pPr>
      <w:r>
        <w:rPr>
          <w:spacing w:val="-11"/>
        </w:rPr>
        <w:t>⑴粘土：应选用成浆率较高、体缩率较小、稳定性较好的粉质粘土或重粉质壤土，在隐患严重或裂缝较宽、吸水量大的堤段可适当选用中粉质壤土或少量砂</w:t>
      </w:r>
      <w:r>
        <w:t>壤土。灌浆土料物理力学性能应符合设计要求。</w:t>
      </w:r>
    </w:p>
    <w:p>
      <w:pPr>
        <w:pStyle w:val="BodyText"/>
        <w:spacing w:line="305" w:lineRule="exact"/>
        <w:ind w:left="736"/>
      </w:pPr>
      <w:r>
        <w:t>⑵膨润土：使用时必须通过试验确定。</w:t>
      </w:r>
    </w:p>
    <w:p>
      <w:pPr>
        <w:pStyle w:val="BodyText"/>
        <w:spacing w:before="178"/>
        <w:ind w:left="736"/>
      </w:pPr>
      <w:r>
        <w:t>⑶水玻璃：模数为 2.4-3.0，浓度宜为 30-45 波美度。</w:t>
      </w:r>
    </w:p>
    <w:p>
      <w:pPr>
        <w:pStyle w:val="BodyText"/>
        <w:spacing w:before="177"/>
        <w:ind w:left="736"/>
      </w:pPr>
      <w:r>
        <w:t>⑷灭蚁药物：掺量为每立方米浆液 0.2kg，使用时应注意安全防护。</w:t>
      </w:r>
    </w:p>
    <w:p>
      <w:pPr>
        <w:pStyle w:val="BodyText"/>
        <w:spacing w:before="178"/>
        <w:ind w:left="736"/>
      </w:pPr>
      <w:r>
        <w:t>⑸水：灌浆用水壹般为不含过量杂质的淡水。</w:t>
      </w:r>
    </w:p>
    <w:p>
      <w:pPr>
        <w:pStyle w:val="BodyText"/>
        <w:spacing w:before="177"/>
        <w:ind w:left="736"/>
      </w:pPr>
      <w:r>
        <w:t>3、制浆：</w:t>
      </w:r>
    </w:p>
    <w:p>
      <w:pPr>
        <w:pStyle w:val="BodyText"/>
        <w:spacing w:before="178" w:line="379" w:lineRule="auto"/>
        <w:ind w:right="995" w:firstLine="480"/>
      </w:pPr>
      <w:r>
        <w:t>⑴制浆材料必须称量，称量误差应小于 5%，粘土等固相材料宜采用重量称量法。</w:t>
      </w:r>
    </w:p>
    <w:p>
      <w:pPr>
        <w:pStyle w:val="BodyText"/>
        <w:spacing w:line="306" w:lineRule="exact"/>
        <w:ind w:left="736"/>
      </w:pPr>
      <w:r>
        <w:t>⑵泥浆浆液物理力学性能应符合设计要求。</w:t>
      </w:r>
    </w:p>
    <w:p>
      <w:pPr>
        <w:pStyle w:val="BodyText"/>
        <w:spacing w:before="177"/>
        <w:ind w:left="736"/>
        <w:rPr>
          <w:sz w:val="16"/>
        </w:rPr>
      </w:pPr>
      <w:r>
        <w:t>1）容量：1.3-1.6t/m</w:t>
      </w:r>
      <w:r>
        <w:rPr>
          <w:position w:val="7"/>
          <w:sz w:val="16"/>
        </w:rPr>
        <w:t>3</w:t>
      </w:r>
    </w:p>
    <w:p>
      <w:pPr>
        <w:pStyle w:val="BodyText"/>
        <w:spacing w:before="178"/>
        <w:ind w:left="736"/>
      </w:pPr>
      <w:r>
        <w:t>2）粘度：10-100</w:t>
      </w:r>
      <w:r>
        <w:rPr>
          <w:vertAlign w:val="subscript"/>
        </w:rPr>
        <w:t>s</w:t>
      </w:r>
      <w:r>
        <w:rPr>
          <w:vertAlign w:val="baseline"/>
        </w:rPr>
        <w:t>。</w:t>
      </w:r>
    </w:p>
    <w:p>
      <w:pPr>
        <w:pStyle w:val="BodyText"/>
        <w:spacing w:before="177"/>
        <w:ind w:left="736"/>
      </w:pPr>
      <w:r>
        <w:t>3）稳定性：&lt;0.1s/cm</w:t>
      </w:r>
      <w:r>
        <w:rPr>
          <w:position w:val="7"/>
          <w:sz w:val="16"/>
        </w:rPr>
        <w:t>3</w:t>
      </w:r>
      <w:r>
        <w:t>。</w:t>
      </w:r>
    </w:p>
    <w:p>
      <w:pPr>
        <w:pStyle w:val="BodyText"/>
        <w:spacing w:before="178"/>
        <w:ind w:left="736"/>
      </w:pPr>
      <w:r>
        <w:t>4）胶体率：&gt;80%</w:t>
      </w:r>
    </w:p>
    <w:p>
      <w:pPr>
        <w:pStyle w:val="BodyText"/>
        <w:spacing w:before="177"/>
        <w:ind w:left="736"/>
      </w:pPr>
      <w:r>
        <w:t>5）失水量：10-30cm</w:t>
      </w:r>
      <w:r>
        <w:rPr>
          <w:position w:val="7"/>
          <w:sz w:val="16"/>
        </w:rPr>
        <w:t>3</w:t>
      </w:r>
      <w:r>
        <w:t>/30/min。</w:t>
      </w:r>
    </w:p>
    <w:p>
      <w:pPr>
        <w:pStyle w:val="BodyText"/>
        <w:spacing w:before="178"/>
        <w:ind w:left="736"/>
      </w:pPr>
      <w:r>
        <w:t>⑶浆液应采用专用机械制浆，搅拌应均匀且测定浆液密度。</w:t>
      </w:r>
    </w:p>
    <w:p>
      <w:pPr>
        <w:pStyle w:val="BodyText"/>
        <w:spacing w:before="177" w:line="379" w:lineRule="auto"/>
        <w:ind w:right="875" w:firstLine="480"/>
      </w:pPr>
      <w:r>
        <w:rPr>
          <w:spacing w:val="-6"/>
        </w:rPr>
        <w:t>⑷浆液各项指标应按设计要求控制。灌浆过程中浆液密度和输浆量应每小时</w:t>
      </w:r>
      <w:r>
        <w:rPr>
          <w:spacing w:val="-16"/>
        </w:rPr>
        <w:t xml:space="preserve">测量子力学次且记录，浆液的稳定性和自由析水率 </w:t>
      </w:r>
      <w:r>
        <w:t>10d</w:t>
      </w:r>
      <w:r>
        <w:rPr>
          <w:spacing w:val="-16"/>
        </w:rPr>
        <w:t xml:space="preserve"> 测壹次，如浆料发生变化， </w:t>
      </w:r>
      <w:r>
        <w:t>应随时加测。</w:t>
      </w:r>
    </w:p>
    <w:p>
      <w:pPr>
        <w:pStyle w:val="BodyText"/>
        <w:spacing w:line="379" w:lineRule="auto"/>
        <w:ind w:right="995" w:firstLine="480"/>
        <w:jc w:val="both"/>
      </w:pPr>
      <w:r>
        <w:rPr>
          <w:spacing w:val="-6"/>
        </w:rPr>
        <w:t>⑸为了加速浆液凝固和提高后期强度，或为提高泥浆的流动性，或为提高泥</w:t>
      </w:r>
      <w:r>
        <w:rPr>
          <w:spacing w:val="-8"/>
        </w:rPr>
        <w:t>浆的稳定性和泥浆的后期强度，经监理工程师批准可掺入适量水泥或少量的水玻</w:t>
      </w:r>
      <w:r>
        <w:rPr>
          <w:spacing w:val="-11"/>
        </w:rPr>
        <w:t>璃或适当的膨润土；如结合灌浆消灭白蚁，在浆液中可掺入少量灭蚁药物，但要</w:t>
      </w:r>
      <w:r>
        <w:t>防止污染水源；各种渗料的最佳掺量应通过试验确定且报监理工程师批准。</w:t>
      </w:r>
    </w:p>
    <w:p>
      <w:pPr>
        <w:pStyle w:val="BodyText"/>
        <w:spacing w:line="304" w:lineRule="exact"/>
        <w:ind w:left="736"/>
      </w:pPr>
      <w:r>
        <w:t>4、设备：</w:t>
      </w:r>
    </w:p>
    <w:p>
      <w:pPr>
        <w:pStyle w:val="BodyText"/>
        <w:spacing w:before="175"/>
        <w:ind w:left="736"/>
      </w:pPr>
      <w:r>
        <w:t>⑴灌浆孔钻孔可采用各式合适的锥探钻机和钻头。对先导孔、质量检查孔应</w:t>
      </w:r>
    </w:p>
    <w:p>
      <w:pPr>
        <w:spacing w:after="0"/>
        <w:sectPr>
          <w:pgSz w:w="11910" w:h="16840"/>
          <w:pgMar w:top="1440" w:right="800" w:bottom="280" w:left="1540" w:header="708" w:footer="708"/>
          <w:pgNumType w:start="13"/>
          <w:cols w:space="708"/>
        </w:sectPr>
      </w:pPr>
    </w:p>
    <w:p>
      <w:pPr>
        <w:pStyle w:val="BodyText"/>
        <w:spacing w:before="69" w:line="379" w:lineRule="auto"/>
        <w:ind w:right="995"/>
      </w:pPr>
      <w:r>
        <w:rPr>
          <w:spacing w:val="-10"/>
        </w:rPr>
        <w:t>采用回去转钻探的设备；软土地层宜采用螺旋钻探芯样钻探设备，采用合适的螺</w:t>
      </w:r>
      <w:r>
        <w:t>旋钻头、勺形钻头和芯样钻头；硬岩地层应采用芯样钻头。</w:t>
      </w:r>
    </w:p>
    <w:p>
      <w:pPr>
        <w:pStyle w:val="BodyText"/>
        <w:spacing w:line="379" w:lineRule="auto"/>
        <w:ind w:right="994" w:firstLine="480"/>
        <w:jc w:val="both"/>
      </w:pPr>
      <w:r>
        <w:rPr>
          <w:spacing w:val="-5"/>
        </w:rPr>
        <w:t>⑵施工单位应提供足够的双缸泥浆泵和泥浆搅拌机。灌浆泵性能应和浆液类</w:t>
      </w:r>
      <w:r>
        <w:rPr>
          <w:spacing w:val="-11"/>
        </w:rPr>
        <w:t xml:space="preserve">型、浓度相适应，容放工作压力应大于最大灌浆压力的 </w:t>
      </w:r>
      <w:r>
        <w:t>1.5</w:t>
      </w:r>
      <w:r>
        <w:rPr>
          <w:spacing w:val="-13"/>
        </w:rPr>
        <w:t xml:space="preserve"> 倍，且应用足够的排</w:t>
      </w:r>
      <w:r>
        <w:rPr>
          <w:spacing w:val="-10"/>
        </w:rPr>
        <w:t>浆量和稳定的工作性能。搅拌机的转速和拌和能力应分别和所搅拌浆液类型及灌</w:t>
      </w:r>
      <w:r>
        <w:t>浆泵排浆量相适应，在能保证均匀、连续地拌制浆液。</w:t>
      </w:r>
    </w:p>
    <w:p>
      <w:pPr>
        <w:pStyle w:val="BodyText"/>
        <w:spacing w:line="304" w:lineRule="exact"/>
        <w:ind w:left="736"/>
        <w:jc w:val="both"/>
      </w:pPr>
      <w:r>
        <w:t>⑶灌乐管路应保持浆液畅通，且能承受 1.5 倍的最大灌浆压力。</w:t>
      </w:r>
    </w:p>
    <w:p>
      <w:pPr>
        <w:pStyle w:val="BodyText"/>
        <w:spacing w:before="176" w:line="379" w:lineRule="auto"/>
        <w:ind w:right="995" w:firstLine="480"/>
        <w:jc w:val="both"/>
      </w:pPr>
      <w:r>
        <w:rPr>
          <w:spacing w:val="-6"/>
        </w:rPr>
        <w:t>⑷灌浆泵和灌浆孔口处均应安装压力表，进浆管路也宜安装压力表。所选用</w:t>
      </w:r>
      <w:r>
        <w:rPr>
          <w:spacing w:val="-4"/>
        </w:rPr>
        <w:t xml:space="preserve">的压力表应能使灌浆压力在其最大标值的 </w:t>
      </w:r>
      <w:r>
        <w:t>1/4-3/4</w:t>
      </w:r>
      <w:r>
        <w:rPr>
          <w:spacing w:val="-16"/>
        </w:rPr>
        <w:t xml:space="preserve"> 之间，压力表在使用前应进行</w:t>
      </w:r>
      <w:r>
        <w:rPr>
          <w:spacing w:val="-1"/>
        </w:rPr>
        <w:t xml:space="preserve">率定，使用过程中应经常检查核对，误差不应大于 </w:t>
      </w:r>
      <w:r>
        <w:t>5%，不合格和已损坏压力表严禁使用，压力表和管路之间应没有隔浆装置。</w:t>
      </w:r>
    </w:p>
    <w:p>
      <w:pPr>
        <w:pStyle w:val="BodyText"/>
        <w:spacing w:line="379" w:lineRule="auto"/>
        <w:ind w:right="914" w:firstLine="480"/>
      </w:pPr>
      <w:r>
        <w:t>⑸施工单位应准备足够的流量表、压力表、压力软客、供水管及必要的阀门等设备，且有必需的备用量。</w:t>
      </w:r>
    </w:p>
    <w:p>
      <w:pPr>
        <w:pStyle w:val="BodyText"/>
        <w:spacing w:line="379" w:lineRule="auto"/>
        <w:ind w:right="995" w:firstLine="480"/>
      </w:pPr>
      <w:r>
        <w:rPr>
          <w:spacing w:val="-7"/>
        </w:rPr>
        <w:t>⑹施工现场应配备比重计、比重秤、粘度计、温度计、测测斜仪等质量检验</w:t>
      </w:r>
      <w:r>
        <w:t>仪器。</w:t>
      </w:r>
    </w:p>
    <w:p>
      <w:pPr>
        <w:pStyle w:val="BodyText"/>
        <w:spacing w:line="306" w:lineRule="exact"/>
        <w:ind w:left="736"/>
      </w:pPr>
      <w:r>
        <w:t>⑺灌浆宜配备灌浆自动记录仪。</w:t>
      </w:r>
    </w:p>
    <w:p>
      <w:pPr>
        <w:pStyle w:val="BodyText"/>
        <w:spacing w:before="172"/>
        <w:ind w:left="736"/>
      </w:pPr>
      <w:r>
        <w:t>5、造孔：</w:t>
      </w:r>
    </w:p>
    <w:p>
      <w:pPr>
        <w:pStyle w:val="BodyText"/>
        <w:spacing w:before="178" w:line="379" w:lineRule="auto"/>
        <w:ind w:right="995" w:firstLine="480"/>
        <w:jc w:val="both"/>
      </w:pPr>
      <w:r>
        <w:rPr>
          <w:spacing w:val="-4"/>
        </w:rPr>
        <w:t xml:space="preserve">⑴造孔必须分序进行，壹般要求分 </w:t>
      </w:r>
      <w:r>
        <w:t>2-3</w:t>
      </w:r>
      <w:r>
        <w:rPr>
          <w:spacing w:val="-20"/>
        </w:rPr>
        <w:t xml:space="preserve"> 序。其中 </w:t>
      </w:r>
      <w:r>
        <w:t>1/10</w:t>
      </w:r>
      <w:r>
        <w:rPr>
          <w:spacing w:val="-37"/>
        </w:rPr>
        <w:t xml:space="preserve"> 的 </w:t>
      </w:r>
      <w:r>
        <w:t>1</w:t>
      </w:r>
      <w:r>
        <w:rPr>
          <w:spacing w:val="-10"/>
        </w:rPr>
        <w:t xml:space="preserve"> 序孔应作为先导</w:t>
      </w:r>
      <w:r>
        <w:rPr>
          <w:spacing w:val="-8"/>
        </w:rPr>
        <w:t xml:space="preserve">孔。先导孔中选 </w:t>
      </w:r>
      <w:r>
        <w:t>1/10</w:t>
      </w:r>
      <w:r>
        <w:rPr>
          <w:spacing w:val="-8"/>
        </w:rPr>
        <w:t xml:space="preserve"> 的孔进行钻孔取样，以探明堤身情况。</w:t>
      </w:r>
    </w:p>
    <w:p>
      <w:pPr>
        <w:pStyle w:val="BodyText"/>
        <w:spacing w:line="379" w:lineRule="auto"/>
        <w:ind w:right="994" w:firstLine="480"/>
        <w:jc w:val="both"/>
      </w:pPr>
      <w:r>
        <w:rPr>
          <w:spacing w:val="-6"/>
        </w:rPr>
        <w:t>⑵灌浆孔布置应满足设计文件要求，隐患严重，隐患严重、吃浆量大的堤段</w:t>
      </w:r>
      <w:r>
        <w:rPr>
          <w:spacing w:val="-2"/>
        </w:rPr>
        <w:t xml:space="preserve">应加密布孔。所有钻孔的开孔位置和孔位误差应不大于 </w:t>
      </w:r>
      <w:r>
        <w:t>10cm，如特殊原因，需调整孔位时，应报监理工程师批准。所有钻孔应编序号和孔号。</w:t>
      </w:r>
    </w:p>
    <w:p>
      <w:pPr>
        <w:pStyle w:val="BodyText"/>
        <w:spacing w:line="379" w:lineRule="auto"/>
        <w:ind w:right="995" w:firstLine="480"/>
        <w:jc w:val="both"/>
      </w:pPr>
      <w:r>
        <w:rPr>
          <w:spacing w:val="-7"/>
        </w:rPr>
        <w:t xml:space="preserve">⑶孔径应符合设计文件要求，设计文件无规定时选用孔 </w:t>
      </w:r>
      <w:r>
        <w:t>25-35mm</w:t>
      </w:r>
      <w:r>
        <w:rPr>
          <w:spacing w:val="-21"/>
        </w:rPr>
        <w:t xml:space="preserve"> 之间，造孔</w:t>
      </w:r>
      <w:r>
        <w:rPr>
          <w:spacing w:val="-8"/>
        </w:rPr>
        <w:t xml:space="preserve">浓度应超过隐患 </w:t>
      </w:r>
      <w:r>
        <w:t>1-2m。</w:t>
      </w:r>
    </w:p>
    <w:p>
      <w:pPr>
        <w:pStyle w:val="BodyText"/>
        <w:spacing w:line="379" w:lineRule="auto"/>
        <w:ind w:right="995" w:firstLine="480"/>
        <w:jc w:val="both"/>
      </w:pPr>
      <w:r>
        <w:t>⑷造孔应保证铅直，偏斜不得大于孔深的 2%。应采用干法造孔，不得用清水循环钻进。</w:t>
      </w:r>
    </w:p>
    <w:p>
      <w:pPr>
        <w:pStyle w:val="BodyText"/>
        <w:spacing w:line="379" w:lineRule="auto"/>
        <w:ind w:right="995" w:firstLine="480"/>
      </w:pPr>
      <w:r>
        <w:rPr>
          <w:spacing w:val="-8"/>
        </w:rPr>
        <w:t>⑸在造孔作业中，施工单位应对孔斜、孔深及时进行检查，且认真填写造孔</w:t>
      </w:r>
      <w:r>
        <w:rPr>
          <w:spacing w:val="-10"/>
        </w:rPr>
        <w:t>报表。如发现特殊情况时，应详细记录且分析处理。各孔终孔前，应通知监理工</w:t>
      </w:r>
    </w:p>
    <w:p>
      <w:pPr>
        <w:spacing w:after="0" w:line="379"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https://d.book118.com/278001054053006044</w:t>
        </w:r>
      </w:hyperlink>
    </w:p>
    <w:p>
      <w:pPr>
        <w:spacing w:after="0" w:line="379" w:lineRule="auto"/>
      </w:pPr>
    </w:p>
    <w:sectPr>
      <w:pgSz w:w="11910" w:h="16840"/>
      <w:pgMar w:top="1440" w:right="800" w:bottom="280" w:left="1540" w:header="708" w:footer="708"/>
      <w:pgNumType w:start="14"/>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1A72A"/>
    <w:multiLevelType w:val="hybridMultilevel"/>
    <w:tmpl w:val="00000000"/>
    <w:lvl w:ilvl="0">
      <w:start w:val="1"/>
      <w:numFmt w:val="decimal"/>
      <w:lvlText w:val="（%1）"/>
      <w:lvlJc w:val="left"/>
      <w:pPr>
        <w:ind w:left="858" w:hanging="601"/>
        <w:jc w:val="left"/>
      </w:pPr>
      <w:rPr>
        <w:rFonts w:ascii="宋体" w:eastAsia="宋体" w:hAnsi="宋体" w:cs="宋体" w:hint="default"/>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601" w:hanging="601"/>
      </w:pPr>
      <w:rPr>
        <w:rFonts w:hint="default"/>
        <w:lang w:val="en-US" w:eastAsia="zh-CN" w:bidi="ar-SA"/>
      </w:rPr>
    </w:lvl>
    <w:lvl w:ilvl="3">
      <w:start w:val="0"/>
      <w:numFmt w:val="bullet"/>
      <w:lvlText w:val="•"/>
      <w:lvlJc w:val="left"/>
      <w:pPr>
        <w:ind w:left="3471" w:hanging="601"/>
      </w:pPr>
      <w:rPr>
        <w:rFonts w:hint="default"/>
        <w:lang w:val="en-US" w:eastAsia="zh-CN" w:bidi="ar-SA"/>
      </w:rPr>
    </w:lvl>
    <w:lvl w:ilvl="4">
      <w:start w:val="0"/>
      <w:numFmt w:val="bullet"/>
      <w:lvlText w:val="•"/>
      <w:lvlJc w:val="left"/>
      <w:pPr>
        <w:ind w:left="4342" w:hanging="601"/>
      </w:pPr>
      <w:rPr>
        <w:rFonts w:hint="default"/>
        <w:lang w:val="en-US" w:eastAsia="zh-CN" w:bidi="ar-SA"/>
      </w:rPr>
    </w:lvl>
    <w:lvl w:ilvl="5">
      <w:start w:val="0"/>
      <w:numFmt w:val="bullet"/>
      <w:lvlText w:val="•"/>
      <w:lvlJc w:val="left"/>
      <w:pPr>
        <w:ind w:left="5213" w:hanging="601"/>
      </w:pPr>
      <w:rPr>
        <w:rFonts w:hint="default"/>
        <w:lang w:val="en-US" w:eastAsia="zh-CN" w:bidi="ar-SA"/>
      </w:rPr>
    </w:lvl>
    <w:lvl w:ilvl="6">
      <w:start w:val="0"/>
      <w:numFmt w:val="bullet"/>
      <w:lvlText w:val="•"/>
      <w:lvlJc w:val="left"/>
      <w:pPr>
        <w:ind w:left="6083" w:hanging="601"/>
      </w:pPr>
      <w:rPr>
        <w:rFonts w:hint="default"/>
        <w:lang w:val="en-US" w:eastAsia="zh-CN" w:bidi="ar-SA"/>
      </w:rPr>
    </w:lvl>
    <w:lvl w:ilvl="7">
      <w:start w:val="0"/>
      <w:numFmt w:val="bullet"/>
      <w:lvlText w:val="•"/>
      <w:lvlJc w:val="left"/>
      <w:pPr>
        <w:ind w:left="6954" w:hanging="601"/>
      </w:pPr>
      <w:rPr>
        <w:rFonts w:hint="default"/>
        <w:lang w:val="en-US" w:eastAsia="zh-CN" w:bidi="ar-SA"/>
      </w:rPr>
    </w:lvl>
    <w:lvl w:ilvl="8">
      <w:start w:val="0"/>
      <w:numFmt w:val="bullet"/>
      <w:lvlText w:val="•"/>
      <w:lvlJc w:val="left"/>
      <w:pPr>
        <w:ind w:left="7824" w:hanging="601"/>
      </w:pPr>
      <w:rPr>
        <w:rFonts w:hint="default"/>
        <w:lang w:val="en-US" w:eastAsia="zh-CN" w:bidi="ar-SA"/>
      </w:rPr>
    </w:lvl>
  </w:abstractNum>
  <w:abstractNum w:abstractNumId="1">
    <w:nsid w:val="0ECA2A02"/>
    <w:multiLevelType w:val="hybridMultilevel"/>
    <w:tmpl w:val="00000000"/>
    <w:lvl w:ilvl="0">
      <w:start w:val="1"/>
      <w:numFmt w:val="decimal"/>
      <w:lvlText w:val="（%1）"/>
      <w:lvlJc w:val="left"/>
      <w:pPr>
        <w:ind w:left="858" w:hanging="601"/>
        <w:jc w:val="left"/>
      </w:pPr>
      <w:rPr>
        <w:rFonts w:ascii="宋体" w:eastAsia="宋体" w:hAnsi="宋体" w:cs="宋体" w:hint="default"/>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601" w:hanging="601"/>
      </w:pPr>
      <w:rPr>
        <w:rFonts w:hint="default"/>
        <w:lang w:val="en-US" w:eastAsia="zh-CN" w:bidi="ar-SA"/>
      </w:rPr>
    </w:lvl>
    <w:lvl w:ilvl="3">
      <w:start w:val="0"/>
      <w:numFmt w:val="bullet"/>
      <w:lvlText w:val="•"/>
      <w:lvlJc w:val="left"/>
      <w:pPr>
        <w:ind w:left="3471" w:hanging="601"/>
      </w:pPr>
      <w:rPr>
        <w:rFonts w:hint="default"/>
        <w:lang w:val="en-US" w:eastAsia="zh-CN" w:bidi="ar-SA"/>
      </w:rPr>
    </w:lvl>
    <w:lvl w:ilvl="4">
      <w:start w:val="0"/>
      <w:numFmt w:val="bullet"/>
      <w:lvlText w:val="•"/>
      <w:lvlJc w:val="left"/>
      <w:pPr>
        <w:ind w:left="4342" w:hanging="601"/>
      </w:pPr>
      <w:rPr>
        <w:rFonts w:hint="default"/>
        <w:lang w:val="en-US" w:eastAsia="zh-CN" w:bidi="ar-SA"/>
      </w:rPr>
    </w:lvl>
    <w:lvl w:ilvl="5">
      <w:start w:val="0"/>
      <w:numFmt w:val="bullet"/>
      <w:lvlText w:val="•"/>
      <w:lvlJc w:val="left"/>
      <w:pPr>
        <w:ind w:left="5213" w:hanging="601"/>
      </w:pPr>
      <w:rPr>
        <w:rFonts w:hint="default"/>
        <w:lang w:val="en-US" w:eastAsia="zh-CN" w:bidi="ar-SA"/>
      </w:rPr>
    </w:lvl>
    <w:lvl w:ilvl="6">
      <w:start w:val="0"/>
      <w:numFmt w:val="bullet"/>
      <w:lvlText w:val="•"/>
      <w:lvlJc w:val="left"/>
      <w:pPr>
        <w:ind w:left="6083" w:hanging="601"/>
      </w:pPr>
      <w:rPr>
        <w:rFonts w:hint="default"/>
        <w:lang w:val="en-US" w:eastAsia="zh-CN" w:bidi="ar-SA"/>
      </w:rPr>
    </w:lvl>
    <w:lvl w:ilvl="7">
      <w:start w:val="0"/>
      <w:numFmt w:val="bullet"/>
      <w:lvlText w:val="•"/>
      <w:lvlJc w:val="left"/>
      <w:pPr>
        <w:ind w:left="6954" w:hanging="601"/>
      </w:pPr>
      <w:rPr>
        <w:rFonts w:hint="default"/>
        <w:lang w:val="en-US" w:eastAsia="zh-CN" w:bidi="ar-SA"/>
      </w:rPr>
    </w:lvl>
    <w:lvl w:ilvl="8">
      <w:start w:val="0"/>
      <w:numFmt w:val="bullet"/>
      <w:lvlText w:val="•"/>
      <w:lvlJc w:val="left"/>
      <w:pPr>
        <w:ind w:left="7824" w:hanging="601"/>
      </w:pPr>
      <w:rPr>
        <w:rFonts w:hint="default"/>
        <w:lang w:val="en-US" w:eastAsia="zh-CN" w:bidi="ar-SA"/>
      </w:rPr>
    </w:lvl>
  </w:abstractNum>
  <w:abstractNum w:abstractNumId="2">
    <w:nsid w:val="119BEDE6"/>
    <w:multiLevelType w:val="hybridMultilevel"/>
    <w:tmpl w:val="00000000"/>
    <w:lvl w:ilvl="0">
      <w:start w:val="1"/>
      <w:numFmt w:val="decimal"/>
      <w:lvlText w:val="（%1）"/>
      <w:lvlJc w:val="left"/>
      <w:pPr>
        <w:ind w:left="257" w:hanging="601"/>
        <w:jc w:val="left"/>
      </w:pPr>
      <w:rPr>
        <w:rFonts w:ascii="宋体" w:eastAsia="宋体" w:hAnsi="宋体" w:cs="宋体" w:hint="default"/>
        <w:spacing w:val="-23"/>
        <w:w w:val="100"/>
        <w:sz w:val="22"/>
        <w:szCs w:val="22"/>
        <w:lang w:val="en-US" w:eastAsia="zh-CN" w:bidi="ar-SA"/>
      </w:rPr>
    </w:lvl>
    <w:lvl w:ilvl="1">
      <w:start w:val="0"/>
      <w:numFmt w:val="bullet"/>
      <w:lvlText w:val="•"/>
      <w:lvlJc w:val="left"/>
      <w:pPr>
        <w:ind w:left="1190" w:hanging="601"/>
      </w:pPr>
      <w:rPr>
        <w:rFonts w:hint="default"/>
        <w:lang w:val="en-US" w:eastAsia="zh-CN" w:bidi="ar-SA"/>
      </w:rPr>
    </w:lvl>
    <w:lvl w:ilvl="2">
      <w:start w:val="0"/>
      <w:numFmt w:val="bullet"/>
      <w:lvlText w:val="•"/>
      <w:lvlJc w:val="left"/>
      <w:pPr>
        <w:ind w:left="2121" w:hanging="601"/>
      </w:pPr>
      <w:rPr>
        <w:rFonts w:hint="default"/>
        <w:lang w:val="en-US" w:eastAsia="zh-CN" w:bidi="ar-SA"/>
      </w:rPr>
    </w:lvl>
    <w:lvl w:ilvl="3">
      <w:start w:val="0"/>
      <w:numFmt w:val="bullet"/>
      <w:lvlText w:val="•"/>
      <w:lvlJc w:val="left"/>
      <w:pPr>
        <w:ind w:left="3051" w:hanging="601"/>
      </w:pPr>
      <w:rPr>
        <w:rFonts w:hint="default"/>
        <w:lang w:val="en-US" w:eastAsia="zh-CN" w:bidi="ar-SA"/>
      </w:rPr>
    </w:lvl>
    <w:lvl w:ilvl="4">
      <w:start w:val="0"/>
      <w:numFmt w:val="bullet"/>
      <w:lvlText w:val="•"/>
      <w:lvlJc w:val="left"/>
      <w:pPr>
        <w:ind w:left="3982" w:hanging="601"/>
      </w:pPr>
      <w:rPr>
        <w:rFonts w:hint="default"/>
        <w:lang w:val="en-US" w:eastAsia="zh-CN" w:bidi="ar-SA"/>
      </w:rPr>
    </w:lvl>
    <w:lvl w:ilvl="5">
      <w:start w:val="0"/>
      <w:numFmt w:val="bullet"/>
      <w:lvlText w:val="•"/>
      <w:lvlJc w:val="left"/>
      <w:pPr>
        <w:ind w:left="4913" w:hanging="601"/>
      </w:pPr>
      <w:rPr>
        <w:rFonts w:hint="default"/>
        <w:lang w:val="en-US" w:eastAsia="zh-CN" w:bidi="ar-SA"/>
      </w:rPr>
    </w:lvl>
    <w:lvl w:ilvl="6">
      <w:start w:val="0"/>
      <w:numFmt w:val="bullet"/>
      <w:lvlText w:val="•"/>
      <w:lvlJc w:val="left"/>
      <w:pPr>
        <w:ind w:left="5843" w:hanging="601"/>
      </w:pPr>
      <w:rPr>
        <w:rFonts w:hint="default"/>
        <w:lang w:val="en-US" w:eastAsia="zh-CN" w:bidi="ar-SA"/>
      </w:rPr>
    </w:lvl>
    <w:lvl w:ilvl="7">
      <w:start w:val="0"/>
      <w:numFmt w:val="bullet"/>
      <w:lvlText w:val="•"/>
      <w:lvlJc w:val="left"/>
      <w:pPr>
        <w:ind w:left="6774" w:hanging="601"/>
      </w:pPr>
      <w:rPr>
        <w:rFonts w:hint="default"/>
        <w:lang w:val="en-US" w:eastAsia="zh-CN" w:bidi="ar-SA"/>
      </w:rPr>
    </w:lvl>
    <w:lvl w:ilvl="8">
      <w:start w:val="0"/>
      <w:numFmt w:val="bullet"/>
      <w:lvlText w:val="•"/>
      <w:lvlJc w:val="left"/>
      <w:pPr>
        <w:ind w:left="7704" w:hanging="601"/>
      </w:pPr>
      <w:rPr>
        <w:rFonts w:hint="default"/>
        <w:lang w:val="en-US" w:eastAsia="zh-CN" w:bidi="ar-SA"/>
      </w:rPr>
    </w:lvl>
  </w:abstractNum>
  <w:abstractNum w:abstractNumId="3">
    <w:nsid w:val="16EF6E9B"/>
    <w:multiLevelType w:val="hybridMultilevel"/>
    <w:tmpl w:val="00000000"/>
    <w:lvl w:ilvl="0">
      <w:start w:val="1"/>
      <w:numFmt w:val="decimal"/>
      <w:lvlText w:val="（%1）"/>
      <w:lvlJc w:val="left"/>
      <w:pPr>
        <w:ind w:left="257" w:hanging="601"/>
        <w:jc w:val="left"/>
      </w:pPr>
      <w:rPr>
        <w:rFonts w:ascii="宋体" w:eastAsia="宋体" w:hAnsi="宋体" w:cs="宋体" w:hint="default"/>
        <w:spacing w:val="-30"/>
        <w:w w:val="100"/>
        <w:sz w:val="22"/>
        <w:szCs w:val="22"/>
        <w:lang w:val="en-US" w:eastAsia="zh-CN" w:bidi="ar-SA"/>
      </w:rPr>
    </w:lvl>
    <w:lvl w:ilvl="1">
      <w:start w:val="0"/>
      <w:numFmt w:val="bullet"/>
      <w:lvlText w:val="•"/>
      <w:lvlJc w:val="left"/>
      <w:pPr>
        <w:ind w:left="1190" w:hanging="601"/>
      </w:pPr>
      <w:rPr>
        <w:rFonts w:hint="default"/>
        <w:lang w:val="en-US" w:eastAsia="zh-CN" w:bidi="ar-SA"/>
      </w:rPr>
    </w:lvl>
    <w:lvl w:ilvl="2">
      <w:start w:val="0"/>
      <w:numFmt w:val="bullet"/>
      <w:lvlText w:val="•"/>
      <w:lvlJc w:val="left"/>
      <w:pPr>
        <w:ind w:left="2121" w:hanging="601"/>
      </w:pPr>
      <w:rPr>
        <w:rFonts w:hint="default"/>
        <w:lang w:val="en-US" w:eastAsia="zh-CN" w:bidi="ar-SA"/>
      </w:rPr>
    </w:lvl>
    <w:lvl w:ilvl="3">
      <w:start w:val="0"/>
      <w:numFmt w:val="bullet"/>
      <w:lvlText w:val="•"/>
      <w:lvlJc w:val="left"/>
      <w:pPr>
        <w:ind w:left="3051" w:hanging="601"/>
      </w:pPr>
      <w:rPr>
        <w:rFonts w:hint="default"/>
        <w:lang w:val="en-US" w:eastAsia="zh-CN" w:bidi="ar-SA"/>
      </w:rPr>
    </w:lvl>
    <w:lvl w:ilvl="4">
      <w:start w:val="0"/>
      <w:numFmt w:val="bullet"/>
      <w:lvlText w:val="•"/>
      <w:lvlJc w:val="left"/>
      <w:pPr>
        <w:ind w:left="3982" w:hanging="601"/>
      </w:pPr>
      <w:rPr>
        <w:rFonts w:hint="default"/>
        <w:lang w:val="en-US" w:eastAsia="zh-CN" w:bidi="ar-SA"/>
      </w:rPr>
    </w:lvl>
    <w:lvl w:ilvl="5">
      <w:start w:val="0"/>
      <w:numFmt w:val="bullet"/>
      <w:lvlText w:val="•"/>
      <w:lvlJc w:val="left"/>
      <w:pPr>
        <w:ind w:left="4913" w:hanging="601"/>
      </w:pPr>
      <w:rPr>
        <w:rFonts w:hint="default"/>
        <w:lang w:val="en-US" w:eastAsia="zh-CN" w:bidi="ar-SA"/>
      </w:rPr>
    </w:lvl>
    <w:lvl w:ilvl="6">
      <w:start w:val="0"/>
      <w:numFmt w:val="bullet"/>
      <w:lvlText w:val="•"/>
      <w:lvlJc w:val="left"/>
      <w:pPr>
        <w:ind w:left="5843" w:hanging="601"/>
      </w:pPr>
      <w:rPr>
        <w:rFonts w:hint="default"/>
        <w:lang w:val="en-US" w:eastAsia="zh-CN" w:bidi="ar-SA"/>
      </w:rPr>
    </w:lvl>
    <w:lvl w:ilvl="7">
      <w:start w:val="0"/>
      <w:numFmt w:val="bullet"/>
      <w:lvlText w:val="•"/>
      <w:lvlJc w:val="left"/>
      <w:pPr>
        <w:ind w:left="6774" w:hanging="601"/>
      </w:pPr>
      <w:rPr>
        <w:rFonts w:hint="default"/>
        <w:lang w:val="en-US" w:eastAsia="zh-CN" w:bidi="ar-SA"/>
      </w:rPr>
    </w:lvl>
    <w:lvl w:ilvl="8">
      <w:start w:val="0"/>
      <w:numFmt w:val="bullet"/>
      <w:lvlText w:val="•"/>
      <w:lvlJc w:val="left"/>
      <w:pPr>
        <w:ind w:left="7704" w:hanging="601"/>
      </w:pPr>
      <w:rPr>
        <w:rFonts w:hint="default"/>
        <w:lang w:val="en-US" w:eastAsia="zh-CN" w:bidi="ar-SA"/>
      </w:rPr>
    </w:lvl>
  </w:abstractNum>
  <w:abstractNum w:abstractNumId="4">
    <w:nsid w:val="1C6C1D7B"/>
    <w:multiLevelType w:val="hybridMultilevel"/>
    <w:tmpl w:val="00000000"/>
    <w:lvl w:ilvl="0">
      <w:start w:val="1"/>
      <w:numFmt w:val="decimal"/>
      <w:lvlText w:val="%1."/>
      <w:lvlJc w:val="left"/>
      <w:pPr>
        <w:ind w:left="257" w:hanging="241"/>
        <w:jc w:val="left"/>
      </w:pPr>
      <w:rPr>
        <w:rFonts w:ascii="宋体" w:eastAsia="宋体" w:hAnsi="宋体" w:cs="宋体" w:hint="default"/>
        <w:w w:val="100"/>
        <w:sz w:val="22"/>
        <w:szCs w:val="22"/>
        <w:lang w:val="en-US" w:eastAsia="zh-CN" w:bidi="ar-SA"/>
      </w:rPr>
    </w:lvl>
    <w:lvl w:ilvl="1">
      <w:start w:val="0"/>
      <w:numFmt w:val="bullet"/>
      <w:lvlText w:val="•"/>
      <w:lvlJc w:val="left"/>
      <w:pPr>
        <w:ind w:left="1190" w:hanging="241"/>
      </w:pPr>
      <w:rPr>
        <w:rFonts w:hint="default"/>
        <w:lang w:val="en-US" w:eastAsia="zh-CN" w:bidi="ar-SA"/>
      </w:rPr>
    </w:lvl>
    <w:lvl w:ilvl="2">
      <w:start w:val="0"/>
      <w:numFmt w:val="bullet"/>
      <w:lvlText w:val="•"/>
      <w:lvlJc w:val="left"/>
      <w:pPr>
        <w:ind w:left="2121" w:hanging="241"/>
      </w:pPr>
      <w:rPr>
        <w:rFonts w:hint="default"/>
        <w:lang w:val="en-US" w:eastAsia="zh-CN" w:bidi="ar-SA"/>
      </w:rPr>
    </w:lvl>
    <w:lvl w:ilvl="3">
      <w:start w:val="0"/>
      <w:numFmt w:val="bullet"/>
      <w:lvlText w:val="•"/>
      <w:lvlJc w:val="left"/>
      <w:pPr>
        <w:ind w:left="3051" w:hanging="241"/>
      </w:pPr>
      <w:rPr>
        <w:rFonts w:hint="default"/>
        <w:lang w:val="en-US" w:eastAsia="zh-CN" w:bidi="ar-SA"/>
      </w:rPr>
    </w:lvl>
    <w:lvl w:ilvl="4">
      <w:start w:val="0"/>
      <w:numFmt w:val="bullet"/>
      <w:lvlText w:val="•"/>
      <w:lvlJc w:val="left"/>
      <w:pPr>
        <w:ind w:left="3982" w:hanging="241"/>
      </w:pPr>
      <w:rPr>
        <w:rFonts w:hint="default"/>
        <w:lang w:val="en-US" w:eastAsia="zh-CN" w:bidi="ar-SA"/>
      </w:rPr>
    </w:lvl>
    <w:lvl w:ilvl="5">
      <w:start w:val="0"/>
      <w:numFmt w:val="bullet"/>
      <w:lvlText w:val="•"/>
      <w:lvlJc w:val="left"/>
      <w:pPr>
        <w:ind w:left="4913" w:hanging="241"/>
      </w:pPr>
      <w:rPr>
        <w:rFonts w:hint="default"/>
        <w:lang w:val="en-US" w:eastAsia="zh-CN" w:bidi="ar-SA"/>
      </w:rPr>
    </w:lvl>
    <w:lvl w:ilvl="6">
      <w:start w:val="0"/>
      <w:numFmt w:val="bullet"/>
      <w:lvlText w:val="•"/>
      <w:lvlJc w:val="left"/>
      <w:pPr>
        <w:ind w:left="5843" w:hanging="241"/>
      </w:pPr>
      <w:rPr>
        <w:rFonts w:hint="default"/>
        <w:lang w:val="en-US" w:eastAsia="zh-CN" w:bidi="ar-SA"/>
      </w:rPr>
    </w:lvl>
    <w:lvl w:ilvl="7">
      <w:start w:val="0"/>
      <w:numFmt w:val="bullet"/>
      <w:lvlText w:val="•"/>
      <w:lvlJc w:val="left"/>
      <w:pPr>
        <w:ind w:left="6774" w:hanging="241"/>
      </w:pPr>
      <w:rPr>
        <w:rFonts w:hint="default"/>
        <w:lang w:val="en-US" w:eastAsia="zh-CN" w:bidi="ar-SA"/>
      </w:rPr>
    </w:lvl>
    <w:lvl w:ilvl="8">
      <w:start w:val="0"/>
      <w:numFmt w:val="bullet"/>
      <w:lvlText w:val="•"/>
      <w:lvlJc w:val="left"/>
      <w:pPr>
        <w:ind w:left="7704" w:hanging="241"/>
      </w:pPr>
      <w:rPr>
        <w:rFonts w:hint="default"/>
        <w:lang w:val="en-US" w:eastAsia="zh-CN" w:bidi="ar-SA"/>
      </w:rPr>
    </w:lvl>
  </w:abstractNum>
  <w:abstractNum w:abstractNumId="5">
    <w:nsid w:val="25C6E851"/>
    <w:multiLevelType w:val="hybridMultilevel"/>
    <w:tmpl w:val="00000000"/>
    <w:lvl w:ilvl="0">
      <w:start w:val="1"/>
      <w:numFmt w:val="decimal"/>
      <w:lvlText w:val="（%1）"/>
      <w:lvlJc w:val="left"/>
      <w:pPr>
        <w:ind w:left="858" w:hanging="601"/>
        <w:jc w:val="left"/>
      </w:pPr>
      <w:rPr>
        <w:rFonts w:ascii="宋体" w:eastAsia="宋体" w:hAnsi="宋体" w:cs="宋体" w:hint="default"/>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601" w:hanging="601"/>
      </w:pPr>
      <w:rPr>
        <w:rFonts w:hint="default"/>
        <w:lang w:val="en-US" w:eastAsia="zh-CN" w:bidi="ar-SA"/>
      </w:rPr>
    </w:lvl>
    <w:lvl w:ilvl="3">
      <w:start w:val="0"/>
      <w:numFmt w:val="bullet"/>
      <w:lvlText w:val="•"/>
      <w:lvlJc w:val="left"/>
      <w:pPr>
        <w:ind w:left="3471" w:hanging="601"/>
      </w:pPr>
      <w:rPr>
        <w:rFonts w:hint="default"/>
        <w:lang w:val="en-US" w:eastAsia="zh-CN" w:bidi="ar-SA"/>
      </w:rPr>
    </w:lvl>
    <w:lvl w:ilvl="4">
      <w:start w:val="0"/>
      <w:numFmt w:val="bullet"/>
      <w:lvlText w:val="•"/>
      <w:lvlJc w:val="left"/>
      <w:pPr>
        <w:ind w:left="4342" w:hanging="601"/>
      </w:pPr>
      <w:rPr>
        <w:rFonts w:hint="default"/>
        <w:lang w:val="en-US" w:eastAsia="zh-CN" w:bidi="ar-SA"/>
      </w:rPr>
    </w:lvl>
    <w:lvl w:ilvl="5">
      <w:start w:val="0"/>
      <w:numFmt w:val="bullet"/>
      <w:lvlText w:val="•"/>
      <w:lvlJc w:val="left"/>
      <w:pPr>
        <w:ind w:left="5213" w:hanging="601"/>
      </w:pPr>
      <w:rPr>
        <w:rFonts w:hint="default"/>
        <w:lang w:val="en-US" w:eastAsia="zh-CN" w:bidi="ar-SA"/>
      </w:rPr>
    </w:lvl>
    <w:lvl w:ilvl="6">
      <w:start w:val="0"/>
      <w:numFmt w:val="bullet"/>
      <w:lvlText w:val="•"/>
      <w:lvlJc w:val="left"/>
      <w:pPr>
        <w:ind w:left="6083" w:hanging="601"/>
      </w:pPr>
      <w:rPr>
        <w:rFonts w:hint="default"/>
        <w:lang w:val="en-US" w:eastAsia="zh-CN" w:bidi="ar-SA"/>
      </w:rPr>
    </w:lvl>
    <w:lvl w:ilvl="7">
      <w:start w:val="0"/>
      <w:numFmt w:val="bullet"/>
      <w:lvlText w:val="•"/>
      <w:lvlJc w:val="left"/>
      <w:pPr>
        <w:ind w:left="6954" w:hanging="601"/>
      </w:pPr>
      <w:rPr>
        <w:rFonts w:hint="default"/>
        <w:lang w:val="en-US" w:eastAsia="zh-CN" w:bidi="ar-SA"/>
      </w:rPr>
    </w:lvl>
    <w:lvl w:ilvl="8">
      <w:start w:val="0"/>
      <w:numFmt w:val="bullet"/>
      <w:lvlText w:val="•"/>
      <w:lvlJc w:val="left"/>
      <w:pPr>
        <w:ind w:left="7824" w:hanging="601"/>
      </w:pPr>
      <w:rPr>
        <w:rFonts w:hint="default"/>
        <w:lang w:val="en-US" w:eastAsia="zh-CN" w:bidi="ar-SA"/>
      </w:rPr>
    </w:lvl>
  </w:abstractNum>
  <w:abstractNum w:abstractNumId="6">
    <w:nsid w:val="30ECEFB0"/>
    <w:multiLevelType w:val="hybridMultilevel"/>
    <w:tmpl w:val="00000000"/>
    <w:lvl w:ilvl="0">
      <w:start w:val="4"/>
      <w:numFmt w:val="decimal"/>
      <w:lvlText w:val="（%1）"/>
      <w:lvlJc w:val="left"/>
      <w:pPr>
        <w:ind w:left="257" w:hanging="601"/>
        <w:jc w:val="left"/>
      </w:pPr>
      <w:rPr>
        <w:rFonts w:ascii="宋体" w:eastAsia="宋体" w:hAnsi="宋体" w:cs="宋体" w:hint="default"/>
        <w:spacing w:val="-18"/>
        <w:w w:val="100"/>
        <w:sz w:val="22"/>
        <w:szCs w:val="22"/>
        <w:lang w:val="en-US" w:eastAsia="zh-CN" w:bidi="ar-SA"/>
      </w:rPr>
    </w:lvl>
    <w:lvl w:ilvl="1">
      <w:start w:val="0"/>
      <w:numFmt w:val="bullet"/>
      <w:lvlText w:val="•"/>
      <w:lvlJc w:val="left"/>
      <w:pPr>
        <w:ind w:left="1190" w:hanging="601"/>
      </w:pPr>
      <w:rPr>
        <w:rFonts w:hint="default"/>
        <w:lang w:val="en-US" w:eastAsia="zh-CN" w:bidi="ar-SA"/>
      </w:rPr>
    </w:lvl>
    <w:lvl w:ilvl="2">
      <w:start w:val="0"/>
      <w:numFmt w:val="bullet"/>
      <w:lvlText w:val="•"/>
      <w:lvlJc w:val="left"/>
      <w:pPr>
        <w:ind w:left="2121" w:hanging="601"/>
      </w:pPr>
      <w:rPr>
        <w:rFonts w:hint="default"/>
        <w:lang w:val="en-US" w:eastAsia="zh-CN" w:bidi="ar-SA"/>
      </w:rPr>
    </w:lvl>
    <w:lvl w:ilvl="3">
      <w:start w:val="0"/>
      <w:numFmt w:val="bullet"/>
      <w:lvlText w:val="•"/>
      <w:lvlJc w:val="left"/>
      <w:pPr>
        <w:ind w:left="3051" w:hanging="601"/>
      </w:pPr>
      <w:rPr>
        <w:rFonts w:hint="default"/>
        <w:lang w:val="en-US" w:eastAsia="zh-CN" w:bidi="ar-SA"/>
      </w:rPr>
    </w:lvl>
    <w:lvl w:ilvl="4">
      <w:start w:val="0"/>
      <w:numFmt w:val="bullet"/>
      <w:lvlText w:val="•"/>
      <w:lvlJc w:val="left"/>
      <w:pPr>
        <w:ind w:left="3982" w:hanging="601"/>
      </w:pPr>
      <w:rPr>
        <w:rFonts w:hint="default"/>
        <w:lang w:val="en-US" w:eastAsia="zh-CN" w:bidi="ar-SA"/>
      </w:rPr>
    </w:lvl>
    <w:lvl w:ilvl="5">
      <w:start w:val="0"/>
      <w:numFmt w:val="bullet"/>
      <w:lvlText w:val="•"/>
      <w:lvlJc w:val="left"/>
      <w:pPr>
        <w:ind w:left="4913" w:hanging="601"/>
      </w:pPr>
      <w:rPr>
        <w:rFonts w:hint="default"/>
        <w:lang w:val="en-US" w:eastAsia="zh-CN" w:bidi="ar-SA"/>
      </w:rPr>
    </w:lvl>
    <w:lvl w:ilvl="6">
      <w:start w:val="0"/>
      <w:numFmt w:val="bullet"/>
      <w:lvlText w:val="•"/>
      <w:lvlJc w:val="left"/>
      <w:pPr>
        <w:ind w:left="5843" w:hanging="601"/>
      </w:pPr>
      <w:rPr>
        <w:rFonts w:hint="default"/>
        <w:lang w:val="en-US" w:eastAsia="zh-CN" w:bidi="ar-SA"/>
      </w:rPr>
    </w:lvl>
    <w:lvl w:ilvl="7">
      <w:start w:val="0"/>
      <w:numFmt w:val="bullet"/>
      <w:lvlText w:val="•"/>
      <w:lvlJc w:val="left"/>
      <w:pPr>
        <w:ind w:left="6774" w:hanging="601"/>
      </w:pPr>
      <w:rPr>
        <w:rFonts w:hint="default"/>
        <w:lang w:val="en-US" w:eastAsia="zh-CN" w:bidi="ar-SA"/>
      </w:rPr>
    </w:lvl>
    <w:lvl w:ilvl="8">
      <w:start w:val="0"/>
      <w:numFmt w:val="bullet"/>
      <w:lvlText w:val="•"/>
      <w:lvlJc w:val="left"/>
      <w:pPr>
        <w:ind w:left="7704" w:hanging="601"/>
      </w:pPr>
      <w:rPr>
        <w:rFonts w:hint="default"/>
        <w:lang w:val="en-US" w:eastAsia="zh-CN" w:bidi="ar-SA"/>
      </w:rPr>
    </w:lvl>
  </w:abstractNum>
  <w:abstractNum w:abstractNumId="7">
    <w:nsid w:val="40F7B763"/>
    <w:multiLevelType w:val="hybridMultilevel"/>
    <w:tmpl w:val="00000000"/>
    <w:lvl w:ilvl="0">
      <w:start w:val="1"/>
      <w:numFmt w:val="decimal"/>
      <w:lvlText w:val="（%1）"/>
      <w:lvlJc w:val="left"/>
      <w:pPr>
        <w:ind w:left="1218" w:hanging="601"/>
        <w:jc w:val="left"/>
      </w:pPr>
      <w:rPr>
        <w:rFonts w:ascii="宋体" w:eastAsia="宋体" w:hAnsi="宋体" w:cs="宋体" w:hint="default"/>
        <w:spacing w:val="-120"/>
        <w:w w:val="100"/>
        <w:sz w:val="22"/>
        <w:szCs w:val="22"/>
        <w:lang w:val="en-US" w:eastAsia="zh-CN" w:bidi="ar-SA"/>
      </w:rPr>
    </w:lvl>
    <w:lvl w:ilvl="1">
      <w:start w:val="0"/>
      <w:numFmt w:val="bullet"/>
      <w:lvlText w:val="•"/>
      <w:lvlJc w:val="left"/>
      <w:pPr>
        <w:ind w:left="1220" w:hanging="601"/>
      </w:pPr>
      <w:rPr>
        <w:rFonts w:hint="default"/>
        <w:lang w:val="en-US" w:eastAsia="zh-CN" w:bidi="ar-SA"/>
      </w:rPr>
    </w:lvl>
    <w:lvl w:ilvl="2">
      <w:start w:val="0"/>
      <w:numFmt w:val="bullet"/>
      <w:lvlText w:val="•"/>
      <w:lvlJc w:val="left"/>
      <w:pPr>
        <w:ind w:left="2147" w:hanging="601"/>
      </w:pPr>
      <w:rPr>
        <w:rFonts w:hint="default"/>
        <w:lang w:val="en-US" w:eastAsia="zh-CN" w:bidi="ar-SA"/>
      </w:rPr>
    </w:lvl>
    <w:lvl w:ilvl="3">
      <w:start w:val="0"/>
      <w:numFmt w:val="bullet"/>
      <w:lvlText w:val="•"/>
      <w:lvlJc w:val="left"/>
      <w:pPr>
        <w:ind w:left="3074" w:hanging="601"/>
      </w:pPr>
      <w:rPr>
        <w:rFonts w:hint="default"/>
        <w:lang w:val="en-US" w:eastAsia="zh-CN" w:bidi="ar-SA"/>
      </w:rPr>
    </w:lvl>
    <w:lvl w:ilvl="4">
      <w:start w:val="0"/>
      <w:numFmt w:val="bullet"/>
      <w:lvlText w:val="•"/>
      <w:lvlJc w:val="left"/>
      <w:pPr>
        <w:ind w:left="4002" w:hanging="601"/>
      </w:pPr>
      <w:rPr>
        <w:rFonts w:hint="default"/>
        <w:lang w:val="en-US" w:eastAsia="zh-CN" w:bidi="ar-SA"/>
      </w:rPr>
    </w:lvl>
    <w:lvl w:ilvl="5">
      <w:start w:val="0"/>
      <w:numFmt w:val="bullet"/>
      <w:lvlText w:val="•"/>
      <w:lvlJc w:val="left"/>
      <w:pPr>
        <w:ind w:left="4929" w:hanging="601"/>
      </w:pPr>
      <w:rPr>
        <w:rFonts w:hint="default"/>
        <w:lang w:val="en-US" w:eastAsia="zh-CN" w:bidi="ar-SA"/>
      </w:rPr>
    </w:lvl>
    <w:lvl w:ilvl="6">
      <w:start w:val="0"/>
      <w:numFmt w:val="bullet"/>
      <w:lvlText w:val="•"/>
      <w:lvlJc w:val="left"/>
      <w:pPr>
        <w:ind w:left="5856" w:hanging="601"/>
      </w:pPr>
      <w:rPr>
        <w:rFonts w:hint="default"/>
        <w:lang w:val="en-US" w:eastAsia="zh-CN" w:bidi="ar-SA"/>
      </w:rPr>
    </w:lvl>
    <w:lvl w:ilvl="7">
      <w:start w:val="0"/>
      <w:numFmt w:val="bullet"/>
      <w:lvlText w:val="•"/>
      <w:lvlJc w:val="left"/>
      <w:pPr>
        <w:ind w:left="6784" w:hanging="601"/>
      </w:pPr>
      <w:rPr>
        <w:rFonts w:hint="default"/>
        <w:lang w:val="en-US" w:eastAsia="zh-CN" w:bidi="ar-SA"/>
      </w:rPr>
    </w:lvl>
    <w:lvl w:ilvl="8">
      <w:start w:val="0"/>
      <w:numFmt w:val="bullet"/>
      <w:lvlText w:val="•"/>
      <w:lvlJc w:val="left"/>
      <w:pPr>
        <w:ind w:left="7711" w:hanging="601"/>
      </w:pPr>
      <w:rPr>
        <w:rFonts w:hint="default"/>
        <w:lang w:val="en-US" w:eastAsia="zh-CN" w:bidi="ar-SA"/>
      </w:rPr>
    </w:lvl>
  </w:abstractNum>
  <w:abstractNum w:abstractNumId="8">
    <w:nsid w:val="41E19B9F"/>
    <w:multiLevelType w:val="hybridMultilevel"/>
    <w:tmpl w:val="00000000"/>
    <w:lvl w:ilvl="0">
      <w:start w:val="1"/>
      <w:numFmt w:val="decimal"/>
      <w:lvlText w:val="（%1）"/>
      <w:lvlJc w:val="left"/>
      <w:pPr>
        <w:ind w:left="858" w:hanging="601"/>
        <w:jc w:val="left"/>
      </w:pPr>
      <w:rPr>
        <w:rFonts w:ascii="宋体" w:eastAsia="宋体" w:hAnsi="宋体" w:cs="宋体" w:hint="default"/>
        <w:w w:val="100"/>
        <w:sz w:val="22"/>
        <w:szCs w:val="22"/>
        <w:lang w:val="en-US" w:eastAsia="zh-CN" w:bidi="ar-SA"/>
      </w:rPr>
    </w:lvl>
    <w:lvl w:ilvl="1">
      <w:start w:val="1"/>
      <w:numFmt w:val="decimal"/>
      <w:lvlText w:val="（%2）"/>
      <w:lvlJc w:val="left"/>
      <w:pPr>
        <w:ind w:left="257" w:hanging="601"/>
        <w:jc w:val="left"/>
      </w:pPr>
      <w:rPr>
        <w:rFonts w:ascii="宋体" w:eastAsia="宋体" w:hAnsi="宋体" w:cs="宋体" w:hint="default"/>
        <w:spacing w:val="-30"/>
        <w:w w:val="100"/>
        <w:sz w:val="22"/>
        <w:szCs w:val="22"/>
        <w:lang w:val="en-US" w:eastAsia="zh-CN" w:bidi="ar-SA"/>
      </w:rPr>
    </w:lvl>
    <w:lvl w:ilvl="2">
      <w:start w:val="0"/>
      <w:numFmt w:val="bullet"/>
      <w:lvlText w:val="•"/>
      <w:lvlJc w:val="left"/>
      <w:pPr>
        <w:ind w:left="1827" w:hanging="601"/>
      </w:pPr>
      <w:rPr>
        <w:rFonts w:hint="default"/>
        <w:lang w:val="en-US" w:eastAsia="zh-CN" w:bidi="ar-SA"/>
      </w:rPr>
    </w:lvl>
    <w:lvl w:ilvl="3">
      <w:start w:val="0"/>
      <w:numFmt w:val="bullet"/>
      <w:lvlText w:val="•"/>
      <w:lvlJc w:val="left"/>
      <w:pPr>
        <w:ind w:left="2794" w:hanging="601"/>
      </w:pPr>
      <w:rPr>
        <w:rFonts w:hint="default"/>
        <w:lang w:val="en-US" w:eastAsia="zh-CN" w:bidi="ar-SA"/>
      </w:rPr>
    </w:lvl>
    <w:lvl w:ilvl="4">
      <w:start w:val="0"/>
      <w:numFmt w:val="bullet"/>
      <w:lvlText w:val="•"/>
      <w:lvlJc w:val="left"/>
      <w:pPr>
        <w:ind w:left="3762" w:hanging="601"/>
      </w:pPr>
      <w:rPr>
        <w:rFonts w:hint="default"/>
        <w:lang w:val="en-US" w:eastAsia="zh-CN" w:bidi="ar-SA"/>
      </w:rPr>
    </w:lvl>
    <w:lvl w:ilvl="5">
      <w:start w:val="0"/>
      <w:numFmt w:val="bullet"/>
      <w:lvlText w:val="•"/>
      <w:lvlJc w:val="left"/>
      <w:pPr>
        <w:ind w:left="4729" w:hanging="601"/>
      </w:pPr>
      <w:rPr>
        <w:rFonts w:hint="default"/>
        <w:lang w:val="en-US" w:eastAsia="zh-CN" w:bidi="ar-SA"/>
      </w:rPr>
    </w:lvl>
    <w:lvl w:ilvl="6">
      <w:start w:val="0"/>
      <w:numFmt w:val="bullet"/>
      <w:lvlText w:val="•"/>
      <w:lvlJc w:val="left"/>
      <w:pPr>
        <w:ind w:left="5696" w:hanging="601"/>
      </w:pPr>
      <w:rPr>
        <w:rFonts w:hint="default"/>
        <w:lang w:val="en-US" w:eastAsia="zh-CN" w:bidi="ar-SA"/>
      </w:rPr>
    </w:lvl>
    <w:lvl w:ilvl="7">
      <w:start w:val="0"/>
      <w:numFmt w:val="bullet"/>
      <w:lvlText w:val="•"/>
      <w:lvlJc w:val="left"/>
      <w:pPr>
        <w:ind w:left="6664" w:hanging="601"/>
      </w:pPr>
      <w:rPr>
        <w:rFonts w:hint="default"/>
        <w:lang w:val="en-US" w:eastAsia="zh-CN" w:bidi="ar-SA"/>
      </w:rPr>
    </w:lvl>
    <w:lvl w:ilvl="8">
      <w:start w:val="0"/>
      <w:numFmt w:val="bullet"/>
      <w:lvlText w:val="•"/>
      <w:lvlJc w:val="left"/>
      <w:pPr>
        <w:ind w:left="7631" w:hanging="601"/>
      </w:pPr>
      <w:rPr>
        <w:rFonts w:hint="default"/>
        <w:lang w:val="en-US" w:eastAsia="zh-CN" w:bidi="ar-SA"/>
      </w:rPr>
    </w:lvl>
  </w:abstractNum>
  <w:abstractNum w:abstractNumId="9">
    <w:nsid w:val="47CB5627"/>
    <w:multiLevelType w:val="hybridMultilevel"/>
    <w:tmpl w:val="00000000"/>
    <w:lvl w:ilvl="0">
      <w:start w:val="1"/>
      <w:numFmt w:val="decimal"/>
      <w:lvlText w:val="（%1）"/>
      <w:lvlJc w:val="left"/>
      <w:pPr>
        <w:ind w:left="858" w:hanging="601"/>
        <w:jc w:val="left"/>
      </w:pPr>
      <w:rPr>
        <w:rFonts w:ascii="宋体" w:eastAsia="宋体" w:hAnsi="宋体" w:cs="宋体" w:hint="default"/>
        <w:spacing w:val="-120"/>
        <w:w w:val="100"/>
        <w:sz w:val="22"/>
        <w:szCs w:val="22"/>
        <w:lang w:val="en-US" w:eastAsia="zh-CN" w:bidi="ar-SA"/>
      </w:rPr>
    </w:lvl>
    <w:lvl w:ilvl="1">
      <w:start w:val="1"/>
      <w:numFmt w:val="decimal"/>
      <w:lvlText w:val="（%2）"/>
      <w:lvlJc w:val="left"/>
      <w:pPr>
        <w:ind w:left="257" w:hanging="603"/>
        <w:jc w:val="right"/>
      </w:pPr>
      <w:rPr>
        <w:rFonts w:ascii="宋体" w:eastAsia="宋体" w:hAnsi="宋体" w:cs="宋体" w:hint="default"/>
        <w:w w:val="100"/>
        <w:sz w:val="22"/>
        <w:szCs w:val="22"/>
        <w:lang w:val="en-US" w:eastAsia="zh-CN" w:bidi="ar-SA"/>
      </w:rPr>
    </w:lvl>
    <w:lvl w:ilvl="2">
      <w:start w:val="0"/>
      <w:numFmt w:val="bullet"/>
      <w:lvlText w:val="•"/>
      <w:lvlJc w:val="left"/>
      <w:pPr>
        <w:ind w:left="1827" w:hanging="603"/>
      </w:pPr>
      <w:rPr>
        <w:rFonts w:hint="default"/>
        <w:lang w:val="en-US" w:eastAsia="zh-CN" w:bidi="ar-SA"/>
      </w:rPr>
    </w:lvl>
    <w:lvl w:ilvl="3">
      <w:start w:val="0"/>
      <w:numFmt w:val="bullet"/>
      <w:lvlText w:val="•"/>
      <w:lvlJc w:val="left"/>
      <w:pPr>
        <w:ind w:left="2794" w:hanging="603"/>
      </w:pPr>
      <w:rPr>
        <w:rFonts w:hint="default"/>
        <w:lang w:val="en-US" w:eastAsia="zh-CN" w:bidi="ar-SA"/>
      </w:rPr>
    </w:lvl>
    <w:lvl w:ilvl="4">
      <w:start w:val="0"/>
      <w:numFmt w:val="bullet"/>
      <w:lvlText w:val="•"/>
      <w:lvlJc w:val="left"/>
      <w:pPr>
        <w:ind w:left="3762" w:hanging="603"/>
      </w:pPr>
      <w:rPr>
        <w:rFonts w:hint="default"/>
        <w:lang w:val="en-US" w:eastAsia="zh-CN" w:bidi="ar-SA"/>
      </w:rPr>
    </w:lvl>
    <w:lvl w:ilvl="5">
      <w:start w:val="0"/>
      <w:numFmt w:val="bullet"/>
      <w:lvlText w:val="•"/>
      <w:lvlJc w:val="left"/>
      <w:pPr>
        <w:ind w:left="4729" w:hanging="603"/>
      </w:pPr>
      <w:rPr>
        <w:rFonts w:hint="default"/>
        <w:lang w:val="en-US" w:eastAsia="zh-CN" w:bidi="ar-SA"/>
      </w:rPr>
    </w:lvl>
    <w:lvl w:ilvl="6">
      <w:start w:val="0"/>
      <w:numFmt w:val="bullet"/>
      <w:lvlText w:val="•"/>
      <w:lvlJc w:val="left"/>
      <w:pPr>
        <w:ind w:left="5696" w:hanging="603"/>
      </w:pPr>
      <w:rPr>
        <w:rFonts w:hint="default"/>
        <w:lang w:val="en-US" w:eastAsia="zh-CN" w:bidi="ar-SA"/>
      </w:rPr>
    </w:lvl>
    <w:lvl w:ilvl="7">
      <w:start w:val="0"/>
      <w:numFmt w:val="bullet"/>
      <w:lvlText w:val="•"/>
      <w:lvlJc w:val="left"/>
      <w:pPr>
        <w:ind w:left="6664" w:hanging="603"/>
      </w:pPr>
      <w:rPr>
        <w:rFonts w:hint="default"/>
        <w:lang w:val="en-US" w:eastAsia="zh-CN" w:bidi="ar-SA"/>
      </w:rPr>
    </w:lvl>
    <w:lvl w:ilvl="8">
      <w:start w:val="0"/>
      <w:numFmt w:val="bullet"/>
      <w:lvlText w:val="•"/>
      <w:lvlJc w:val="left"/>
      <w:pPr>
        <w:ind w:left="7631" w:hanging="603"/>
      </w:pPr>
      <w:rPr>
        <w:rFonts w:hint="default"/>
        <w:lang w:val="en-US" w:eastAsia="zh-CN" w:bidi="ar-SA"/>
      </w:rPr>
    </w:lvl>
  </w:abstractNum>
  <w:abstractNum w:abstractNumId="10">
    <w:nsid w:val="49F1743D"/>
    <w:multiLevelType w:val="hybridMultilevel"/>
    <w:tmpl w:val="00000000"/>
    <w:lvl w:ilvl="0">
      <w:start w:val="2"/>
      <w:numFmt w:val="decimal"/>
      <w:lvlText w:val="（%1）"/>
      <w:lvlJc w:val="left"/>
      <w:pPr>
        <w:ind w:left="257" w:hanging="601"/>
        <w:jc w:val="left"/>
      </w:pPr>
      <w:rPr>
        <w:rFonts w:ascii="宋体" w:eastAsia="宋体" w:hAnsi="宋体" w:cs="宋体" w:hint="default"/>
        <w:spacing w:val="-7"/>
        <w:w w:val="100"/>
        <w:sz w:val="22"/>
        <w:szCs w:val="22"/>
        <w:lang w:val="en-US" w:eastAsia="zh-CN" w:bidi="ar-SA"/>
      </w:rPr>
    </w:lvl>
    <w:lvl w:ilvl="1">
      <w:start w:val="0"/>
      <w:numFmt w:val="bullet"/>
      <w:lvlText w:val="•"/>
      <w:lvlJc w:val="left"/>
      <w:pPr>
        <w:ind w:left="1190" w:hanging="601"/>
      </w:pPr>
      <w:rPr>
        <w:rFonts w:hint="default"/>
        <w:lang w:val="en-US" w:eastAsia="zh-CN" w:bidi="ar-SA"/>
      </w:rPr>
    </w:lvl>
    <w:lvl w:ilvl="2">
      <w:start w:val="0"/>
      <w:numFmt w:val="bullet"/>
      <w:lvlText w:val="•"/>
      <w:lvlJc w:val="left"/>
      <w:pPr>
        <w:ind w:left="2121" w:hanging="601"/>
      </w:pPr>
      <w:rPr>
        <w:rFonts w:hint="default"/>
        <w:lang w:val="en-US" w:eastAsia="zh-CN" w:bidi="ar-SA"/>
      </w:rPr>
    </w:lvl>
    <w:lvl w:ilvl="3">
      <w:start w:val="0"/>
      <w:numFmt w:val="bullet"/>
      <w:lvlText w:val="•"/>
      <w:lvlJc w:val="left"/>
      <w:pPr>
        <w:ind w:left="3051" w:hanging="601"/>
      </w:pPr>
      <w:rPr>
        <w:rFonts w:hint="default"/>
        <w:lang w:val="en-US" w:eastAsia="zh-CN" w:bidi="ar-SA"/>
      </w:rPr>
    </w:lvl>
    <w:lvl w:ilvl="4">
      <w:start w:val="0"/>
      <w:numFmt w:val="bullet"/>
      <w:lvlText w:val="•"/>
      <w:lvlJc w:val="left"/>
      <w:pPr>
        <w:ind w:left="3982" w:hanging="601"/>
      </w:pPr>
      <w:rPr>
        <w:rFonts w:hint="default"/>
        <w:lang w:val="en-US" w:eastAsia="zh-CN" w:bidi="ar-SA"/>
      </w:rPr>
    </w:lvl>
    <w:lvl w:ilvl="5">
      <w:start w:val="0"/>
      <w:numFmt w:val="bullet"/>
      <w:lvlText w:val="•"/>
      <w:lvlJc w:val="left"/>
      <w:pPr>
        <w:ind w:left="4913" w:hanging="601"/>
      </w:pPr>
      <w:rPr>
        <w:rFonts w:hint="default"/>
        <w:lang w:val="en-US" w:eastAsia="zh-CN" w:bidi="ar-SA"/>
      </w:rPr>
    </w:lvl>
    <w:lvl w:ilvl="6">
      <w:start w:val="0"/>
      <w:numFmt w:val="bullet"/>
      <w:lvlText w:val="•"/>
      <w:lvlJc w:val="left"/>
      <w:pPr>
        <w:ind w:left="5843" w:hanging="601"/>
      </w:pPr>
      <w:rPr>
        <w:rFonts w:hint="default"/>
        <w:lang w:val="en-US" w:eastAsia="zh-CN" w:bidi="ar-SA"/>
      </w:rPr>
    </w:lvl>
    <w:lvl w:ilvl="7">
      <w:start w:val="0"/>
      <w:numFmt w:val="bullet"/>
      <w:lvlText w:val="•"/>
      <w:lvlJc w:val="left"/>
      <w:pPr>
        <w:ind w:left="6774" w:hanging="601"/>
      </w:pPr>
      <w:rPr>
        <w:rFonts w:hint="default"/>
        <w:lang w:val="en-US" w:eastAsia="zh-CN" w:bidi="ar-SA"/>
      </w:rPr>
    </w:lvl>
    <w:lvl w:ilvl="8">
      <w:start w:val="0"/>
      <w:numFmt w:val="bullet"/>
      <w:lvlText w:val="•"/>
      <w:lvlJc w:val="left"/>
      <w:pPr>
        <w:ind w:left="7704" w:hanging="601"/>
      </w:pPr>
      <w:rPr>
        <w:rFonts w:hint="default"/>
        <w:lang w:val="en-US" w:eastAsia="zh-CN" w:bidi="ar-SA"/>
      </w:rPr>
    </w:lvl>
  </w:abstractNum>
  <w:abstractNum w:abstractNumId="11">
    <w:nsid w:val="57078AAE"/>
    <w:multiLevelType w:val="hybridMultilevel"/>
    <w:tmpl w:val="00000000"/>
    <w:lvl w:ilvl="0">
      <w:start w:val="1"/>
      <w:numFmt w:val="decimal"/>
      <w:lvlText w:val="（%1）"/>
      <w:lvlJc w:val="left"/>
      <w:pPr>
        <w:ind w:left="858" w:hanging="601"/>
        <w:jc w:val="left"/>
      </w:pPr>
      <w:rPr>
        <w:rFonts w:ascii="宋体" w:eastAsia="宋体" w:hAnsi="宋体" w:cs="宋体" w:hint="default"/>
        <w:w w:val="100"/>
        <w:sz w:val="22"/>
        <w:szCs w:val="22"/>
        <w:lang w:val="en-US" w:eastAsia="zh-CN" w:bidi="ar-SA"/>
      </w:rPr>
    </w:lvl>
    <w:lvl w:ilvl="1">
      <w:start w:val="0"/>
      <w:numFmt w:val="bullet"/>
      <w:lvlText w:val="•"/>
      <w:lvlJc w:val="left"/>
      <w:pPr>
        <w:ind w:left="1730" w:hanging="601"/>
      </w:pPr>
      <w:rPr>
        <w:rFonts w:hint="default"/>
        <w:lang w:val="en-US" w:eastAsia="zh-CN" w:bidi="ar-SA"/>
      </w:rPr>
    </w:lvl>
    <w:lvl w:ilvl="2">
      <w:start w:val="0"/>
      <w:numFmt w:val="bullet"/>
      <w:lvlText w:val="•"/>
      <w:lvlJc w:val="left"/>
      <w:pPr>
        <w:ind w:left="2601" w:hanging="601"/>
      </w:pPr>
      <w:rPr>
        <w:rFonts w:hint="default"/>
        <w:lang w:val="en-US" w:eastAsia="zh-CN" w:bidi="ar-SA"/>
      </w:rPr>
    </w:lvl>
    <w:lvl w:ilvl="3">
      <w:start w:val="0"/>
      <w:numFmt w:val="bullet"/>
      <w:lvlText w:val="•"/>
      <w:lvlJc w:val="left"/>
      <w:pPr>
        <w:ind w:left="3471" w:hanging="601"/>
      </w:pPr>
      <w:rPr>
        <w:rFonts w:hint="default"/>
        <w:lang w:val="en-US" w:eastAsia="zh-CN" w:bidi="ar-SA"/>
      </w:rPr>
    </w:lvl>
    <w:lvl w:ilvl="4">
      <w:start w:val="0"/>
      <w:numFmt w:val="bullet"/>
      <w:lvlText w:val="•"/>
      <w:lvlJc w:val="left"/>
      <w:pPr>
        <w:ind w:left="4342" w:hanging="601"/>
      </w:pPr>
      <w:rPr>
        <w:rFonts w:hint="default"/>
        <w:lang w:val="en-US" w:eastAsia="zh-CN" w:bidi="ar-SA"/>
      </w:rPr>
    </w:lvl>
    <w:lvl w:ilvl="5">
      <w:start w:val="0"/>
      <w:numFmt w:val="bullet"/>
      <w:lvlText w:val="•"/>
      <w:lvlJc w:val="left"/>
      <w:pPr>
        <w:ind w:left="5213" w:hanging="601"/>
      </w:pPr>
      <w:rPr>
        <w:rFonts w:hint="default"/>
        <w:lang w:val="en-US" w:eastAsia="zh-CN" w:bidi="ar-SA"/>
      </w:rPr>
    </w:lvl>
    <w:lvl w:ilvl="6">
      <w:start w:val="0"/>
      <w:numFmt w:val="bullet"/>
      <w:lvlText w:val="•"/>
      <w:lvlJc w:val="left"/>
      <w:pPr>
        <w:ind w:left="6083" w:hanging="601"/>
      </w:pPr>
      <w:rPr>
        <w:rFonts w:hint="default"/>
        <w:lang w:val="en-US" w:eastAsia="zh-CN" w:bidi="ar-SA"/>
      </w:rPr>
    </w:lvl>
    <w:lvl w:ilvl="7">
      <w:start w:val="0"/>
      <w:numFmt w:val="bullet"/>
      <w:lvlText w:val="•"/>
      <w:lvlJc w:val="left"/>
      <w:pPr>
        <w:ind w:left="6954" w:hanging="601"/>
      </w:pPr>
      <w:rPr>
        <w:rFonts w:hint="default"/>
        <w:lang w:val="en-US" w:eastAsia="zh-CN" w:bidi="ar-SA"/>
      </w:rPr>
    </w:lvl>
    <w:lvl w:ilvl="8">
      <w:start w:val="0"/>
      <w:numFmt w:val="bullet"/>
      <w:lvlText w:val="•"/>
      <w:lvlJc w:val="left"/>
      <w:pPr>
        <w:ind w:left="7824" w:hanging="601"/>
      </w:pPr>
      <w:rPr>
        <w:rFonts w:hint="default"/>
        <w:lang w:val="en-US" w:eastAsia="zh-CN" w:bidi="ar-SA"/>
      </w:rPr>
    </w:lvl>
  </w:abstractNum>
  <w:abstractNum w:abstractNumId="12">
    <w:nsid w:val="5B2879BD"/>
    <w:multiLevelType w:val="hybridMultilevel"/>
    <w:tmpl w:val="00000000"/>
    <w:lvl w:ilvl="0">
      <w:start w:val="1"/>
      <w:numFmt w:val="decimal"/>
      <w:lvlText w:val="（%1）"/>
      <w:lvlJc w:val="left"/>
      <w:pPr>
        <w:ind w:left="257" w:hanging="601"/>
        <w:jc w:val="left"/>
      </w:pPr>
      <w:rPr>
        <w:rFonts w:ascii="宋体" w:eastAsia="宋体" w:hAnsi="宋体" w:cs="宋体" w:hint="default"/>
        <w:w w:val="100"/>
        <w:sz w:val="22"/>
        <w:szCs w:val="22"/>
        <w:lang w:val="en-US" w:eastAsia="zh-CN" w:bidi="ar-SA"/>
      </w:rPr>
    </w:lvl>
    <w:lvl w:ilvl="1">
      <w:start w:val="0"/>
      <w:numFmt w:val="bullet"/>
      <w:lvlText w:val="•"/>
      <w:lvlJc w:val="left"/>
      <w:pPr>
        <w:ind w:left="1190" w:hanging="601"/>
      </w:pPr>
      <w:rPr>
        <w:rFonts w:hint="default"/>
        <w:lang w:val="en-US" w:eastAsia="zh-CN" w:bidi="ar-SA"/>
      </w:rPr>
    </w:lvl>
    <w:lvl w:ilvl="2">
      <w:start w:val="0"/>
      <w:numFmt w:val="bullet"/>
      <w:lvlText w:val="•"/>
      <w:lvlJc w:val="left"/>
      <w:pPr>
        <w:ind w:left="2121" w:hanging="601"/>
      </w:pPr>
      <w:rPr>
        <w:rFonts w:hint="default"/>
        <w:lang w:val="en-US" w:eastAsia="zh-CN" w:bidi="ar-SA"/>
      </w:rPr>
    </w:lvl>
    <w:lvl w:ilvl="3">
      <w:start w:val="0"/>
      <w:numFmt w:val="bullet"/>
      <w:lvlText w:val="•"/>
      <w:lvlJc w:val="left"/>
      <w:pPr>
        <w:ind w:left="3051" w:hanging="601"/>
      </w:pPr>
      <w:rPr>
        <w:rFonts w:hint="default"/>
        <w:lang w:val="en-US" w:eastAsia="zh-CN" w:bidi="ar-SA"/>
      </w:rPr>
    </w:lvl>
    <w:lvl w:ilvl="4">
      <w:start w:val="0"/>
      <w:numFmt w:val="bullet"/>
      <w:lvlText w:val="•"/>
      <w:lvlJc w:val="left"/>
      <w:pPr>
        <w:ind w:left="3982" w:hanging="601"/>
      </w:pPr>
      <w:rPr>
        <w:rFonts w:hint="default"/>
        <w:lang w:val="en-US" w:eastAsia="zh-CN" w:bidi="ar-SA"/>
      </w:rPr>
    </w:lvl>
    <w:lvl w:ilvl="5">
      <w:start w:val="0"/>
      <w:numFmt w:val="bullet"/>
      <w:lvlText w:val="•"/>
      <w:lvlJc w:val="left"/>
      <w:pPr>
        <w:ind w:left="4913" w:hanging="601"/>
      </w:pPr>
      <w:rPr>
        <w:rFonts w:hint="default"/>
        <w:lang w:val="en-US" w:eastAsia="zh-CN" w:bidi="ar-SA"/>
      </w:rPr>
    </w:lvl>
    <w:lvl w:ilvl="6">
      <w:start w:val="0"/>
      <w:numFmt w:val="bullet"/>
      <w:lvlText w:val="•"/>
      <w:lvlJc w:val="left"/>
      <w:pPr>
        <w:ind w:left="5843" w:hanging="601"/>
      </w:pPr>
      <w:rPr>
        <w:rFonts w:hint="default"/>
        <w:lang w:val="en-US" w:eastAsia="zh-CN" w:bidi="ar-SA"/>
      </w:rPr>
    </w:lvl>
    <w:lvl w:ilvl="7">
      <w:start w:val="0"/>
      <w:numFmt w:val="bullet"/>
      <w:lvlText w:val="•"/>
      <w:lvlJc w:val="left"/>
      <w:pPr>
        <w:ind w:left="6774" w:hanging="601"/>
      </w:pPr>
      <w:rPr>
        <w:rFonts w:hint="default"/>
        <w:lang w:val="en-US" w:eastAsia="zh-CN" w:bidi="ar-SA"/>
      </w:rPr>
    </w:lvl>
    <w:lvl w:ilvl="8">
      <w:start w:val="0"/>
      <w:numFmt w:val="bullet"/>
      <w:lvlText w:val="•"/>
      <w:lvlJc w:val="left"/>
      <w:pPr>
        <w:ind w:left="7704" w:hanging="601"/>
      </w:pPr>
      <w:rPr>
        <w:rFonts w:hint="default"/>
        <w:lang w:val="en-US" w:eastAsia="zh-CN" w:bidi="ar-SA"/>
      </w:rPr>
    </w:lvl>
  </w:abstractNum>
  <w:abstractNum w:abstractNumId="13">
    <w:nsid w:val="5BC05938"/>
    <w:multiLevelType w:val="hybridMultilevel"/>
    <w:tmpl w:val="00000000"/>
    <w:lvl w:ilvl="0">
      <w:start w:val="1"/>
      <w:numFmt w:val="decimal"/>
      <w:lvlText w:val="（%1）"/>
      <w:lvlJc w:val="left"/>
      <w:pPr>
        <w:ind w:left="257" w:hanging="603"/>
        <w:jc w:val="left"/>
      </w:pPr>
      <w:rPr>
        <w:rFonts w:ascii="宋体" w:eastAsia="宋体" w:hAnsi="宋体" w:cs="宋体" w:hint="default"/>
        <w:w w:val="100"/>
        <w:sz w:val="22"/>
        <w:szCs w:val="22"/>
        <w:lang w:val="en-US" w:eastAsia="zh-CN" w:bidi="ar-SA"/>
      </w:rPr>
    </w:lvl>
    <w:lvl w:ilvl="1">
      <w:start w:val="0"/>
      <w:numFmt w:val="bullet"/>
      <w:lvlText w:val="•"/>
      <w:lvlJc w:val="left"/>
      <w:pPr>
        <w:ind w:left="1190" w:hanging="603"/>
      </w:pPr>
      <w:rPr>
        <w:rFonts w:hint="default"/>
        <w:lang w:val="en-US" w:eastAsia="zh-CN" w:bidi="ar-SA"/>
      </w:rPr>
    </w:lvl>
    <w:lvl w:ilvl="2">
      <w:start w:val="0"/>
      <w:numFmt w:val="bullet"/>
      <w:lvlText w:val="•"/>
      <w:lvlJc w:val="left"/>
      <w:pPr>
        <w:ind w:left="2121" w:hanging="603"/>
      </w:pPr>
      <w:rPr>
        <w:rFonts w:hint="default"/>
        <w:lang w:val="en-US" w:eastAsia="zh-CN" w:bidi="ar-SA"/>
      </w:rPr>
    </w:lvl>
    <w:lvl w:ilvl="3">
      <w:start w:val="0"/>
      <w:numFmt w:val="bullet"/>
      <w:lvlText w:val="•"/>
      <w:lvlJc w:val="left"/>
      <w:pPr>
        <w:ind w:left="3051" w:hanging="603"/>
      </w:pPr>
      <w:rPr>
        <w:rFonts w:hint="default"/>
        <w:lang w:val="en-US" w:eastAsia="zh-CN" w:bidi="ar-SA"/>
      </w:rPr>
    </w:lvl>
    <w:lvl w:ilvl="4">
      <w:start w:val="0"/>
      <w:numFmt w:val="bullet"/>
      <w:lvlText w:val="•"/>
      <w:lvlJc w:val="left"/>
      <w:pPr>
        <w:ind w:left="3982" w:hanging="603"/>
      </w:pPr>
      <w:rPr>
        <w:rFonts w:hint="default"/>
        <w:lang w:val="en-US" w:eastAsia="zh-CN" w:bidi="ar-SA"/>
      </w:rPr>
    </w:lvl>
    <w:lvl w:ilvl="5">
      <w:start w:val="0"/>
      <w:numFmt w:val="bullet"/>
      <w:lvlText w:val="•"/>
      <w:lvlJc w:val="left"/>
      <w:pPr>
        <w:ind w:left="4913" w:hanging="603"/>
      </w:pPr>
      <w:rPr>
        <w:rFonts w:hint="default"/>
        <w:lang w:val="en-US" w:eastAsia="zh-CN" w:bidi="ar-SA"/>
      </w:rPr>
    </w:lvl>
    <w:lvl w:ilvl="6">
      <w:start w:val="0"/>
      <w:numFmt w:val="bullet"/>
      <w:lvlText w:val="•"/>
      <w:lvlJc w:val="left"/>
      <w:pPr>
        <w:ind w:left="5843" w:hanging="603"/>
      </w:pPr>
      <w:rPr>
        <w:rFonts w:hint="default"/>
        <w:lang w:val="en-US" w:eastAsia="zh-CN" w:bidi="ar-SA"/>
      </w:rPr>
    </w:lvl>
    <w:lvl w:ilvl="7">
      <w:start w:val="0"/>
      <w:numFmt w:val="bullet"/>
      <w:lvlText w:val="•"/>
      <w:lvlJc w:val="left"/>
      <w:pPr>
        <w:ind w:left="6774" w:hanging="603"/>
      </w:pPr>
      <w:rPr>
        <w:rFonts w:hint="default"/>
        <w:lang w:val="en-US" w:eastAsia="zh-CN" w:bidi="ar-SA"/>
      </w:rPr>
    </w:lvl>
    <w:lvl w:ilvl="8">
      <w:start w:val="0"/>
      <w:numFmt w:val="bullet"/>
      <w:lvlText w:val="•"/>
      <w:lvlJc w:val="left"/>
      <w:pPr>
        <w:ind w:left="7704" w:hanging="603"/>
      </w:pPr>
      <w:rPr>
        <w:rFonts w:hint="default"/>
        <w:lang w:val="en-US" w:eastAsia="zh-CN" w:bidi="ar-SA"/>
      </w:rPr>
    </w:lvl>
  </w:abstractNum>
  <w:abstractNum w:abstractNumId="14">
    <w:nsid w:val="5E39E793"/>
    <w:multiLevelType w:val="hybridMultilevel"/>
    <w:tmpl w:val="00000000"/>
    <w:lvl w:ilvl="0">
      <w:start w:val="1"/>
      <w:numFmt w:val="decimal"/>
      <w:lvlText w:val="（%1）"/>
      <w:lvlJc w:val="left"/>
      <w:pPr>
        <w:ind w:left="858" w:hanging="601"/>
        <w:jc w:val="left"/>
      </w:pPr>
      <w:rPr>
        <w:rFonts w:ascii="宋体" w:eastAsia="宋体" w:hAnsi="宋体" w:cs="宋体" w:hint="default"/>
        <w:spacing w:val="-120"/>
        <w:w w:val="100"/>
        <w:sz w:val="22"/>
        <w:szCs w:val="22"/>
        <w:lang w:val="en-US" w:eastAsia="zh-CN" w:bidi="ar-SA"/>
      </w:rPr>
    </w:lvl>
    <w:lvl w:ilvl="1">
      <w:start w:val="1"/>
      <w:numFmt w:val="decimal"/>
      <w:lvlText w:val="（%2）"/>
      <w:lvlJc w:val="left"/>
      <w:pPr>
        <w:ind w:left="257" w:hanging="601"/>
        <w:jc w:val="right"/>
      </w:pPr>
      <w:rPr>
        <w:rFonts w:ascii="宋体" w:eastAsia="宋体" w:hAnsi="宋体" w:cs="宋体" w:hint="default"/>
        <w:spacing w:val="-30"/>
        <w:w w:val="100"/>
        <w:sz w:val="22"/>
        <w:szCs w:val="22"/>
        <w:lang w:val="en-US" w:eastAsia="zh-CN" w:bidi="ar-SA"/>
      </w:rPr>
    </w:lvl>
    <w:lvl w:ilvl="2">
      <w:start w:val="0"/>
      <w:numFmt w:val="bullet"/>
      <w:lvlText w:val="•"/>
      <w:lvlJc w:val="left"/>
      <w:pPr>
        <w:ind w:left="1827" w:hanging="601"/>
      </w:pPr>
      <w:rPr>
        <w:rFonts w:hint="default"/>
        <w:lang w:val="en-US" w:eastAsia="zh-CN" w:bidi="ar-SA"/>
      </w:rPr>
    </w:lvl>
    <w:lvl w:ilvl="3">
      <w:start w:val="0"/>
      <w:numFmt w:val="bullet"/>
      <w:lvlText w:val="•"/>
      <w:lvlJc w:val="left"/>
      <w:pPr>
        <w:ind w:left="2794" w:hanging="601"/>
      </w:pPr>
      <w:rPr>
        <w:rFonts w:hint="default"/>
        <w:lang w:val="en-US" w:eastAsia="zh-CN" w:bidi="ar-SA"/>
      </w:rPr>
    </w:lvl>
    <w:lvl w:ilvl="4">
      <w:start w:val="0"/>
      <w:numFmt w:val="bullet"/>
      <w:lvlText w:val="•"/>
      <w:lvlJc w:val="left"/>
      <w:pPr>
        <w:ind w:left="3762" w:hanging="601"/>
      </w:pPr>
      <w:rPr>
        <w:rFonts w:hint="default"/>
        <w:lang w:val="en-US" w:eastAsia="zh-CN" w:bidi="ar-SA"/>
      </w:rPr>
    </w:lvl>
    <w:lvl w:ilvl="5">
      <w:start w:val="0"/>
      <w:numFmt w:val="bullet"/>
      <w:lvlText w:val="•"/>
      <w:lvlJc w:val="left"/>
      <w:pPr>
        <w:ind w:left="4729" w:hanging="601"/>
      </w:pPr>
      <w:rPr>
        <w:rFonts w:hint="default"/>
        <w:lang w:val="en-US" w:eastAsia="zh-CN" w:bidi="ar-SA"/>
      </w:rPr>
    </w:lvl>
    <w:lvl w:ilvl="6">
      <w:start w:val="0"/>
      <w:numFmt w:val="bullet"/>
      <w:lvlText w:val="•"/>
      <w:lvlJc w:val="left"/>
      <w:pPr>
        <w:ind w:left="5696" w:hanging="601"/>
      </w:pPr>
      <w:rPr>
        <w:rFonts w:hint="default"/>
        <w:lang w:val="en-US" w:eastAsia="zh-CN" w:bidi="ar-SA"/>
      </w:rPr>
    </w:lvl>
    <w:lvl w:ilvl="7">
      <w:start w:val="0"/>
      <w:numFmt w:val="bullet"/>
      <w:lvlText w:val="•"/>
      <w:lvlJc w:val="left"/>
      <w:pPr>
        <w:ind w:left="6664" w:hanging="601"/>
      </w:pPr>
      <w:rPr>
        <w:rFonts w:hint="default"/>
        <w:lang w:val="en-US" w:eastAsia="zh-CN" w:bidi="ar-SA"/>
      </w:rPr>
    </w:lvl>
    <w:lvl w:ilvl="8">
      <w:start w:val="0"/>
      <w:numFmt w:val="bullet"/>
      <w:lvlText w:val="•"/>
      <w:lvlJc w:val="left"/>
      <w:pPr>
        <w:ind w:left="7631" w:hanging="601"/>
      </w:pPr>
      <w:rPr>
        <w:rFonts w:hint="default"/>
        <w:lang w:val="en-US" w:eastAsia="zh-CN" w:bidi="ar-SA"/>
      </w:rPr>
    </w:lvl>
  </w:abstractNum>
  <w:abstractNum w:abstractNumId="15">
    <w:nsid w:val="5E6E98C0"/>
    <w:multiLevelType w:val="hybridMultilevel"/>
    <w:tmpl w:val="00000000"/>
    <w:lvl w:ilvl="0">
      <w:start w:val="1"/>
      <w:numFmt w:val="lowerLetter"/>
      <w:lvlText w:val="%1."/>
      <w:lvlJc w:val="left"/>
      <w:pPr>
        <w:ind w:left="618" w:hanging="361"/>
        <w:jc w:val="right"/>
      </w:pPr>
      <w:rPr>
        <w:rFonts w:ascii="宋体" w:eastAsia="宋体" w:hAnsi="宋体" w:cs="宋体" w:hint="default"/>
        <w:w w:val="100"/>
        <w:sz w:val="22"/>
        <w:szCs w:val="22"/>
        <w:lang w:val="en-US" w:eastAsia="zh-CN" w:bidi="ar-SA"/>
      </w:rPr>
    </w:lvl>
    <w:lvl w:ilvl="1">
      <w:start w:val="0"/>
      <w:numFmt w:val="bullet"/>
      <w:lvlText w:val="•"/>
      <w:lvlJc w:val="left"/>
      <w:pPr>
        <w:ind w:left="1514" w:hanging="361"/>
      </w:pPr>
      <w:rPr>
        <w:rFonts w:hint="default"/>
        <w:lang w:val="en-US" w:eastAsia="zh-CN" w:bidi="ar-SA"/>
      </w:rPr>
    </w:lvl>
    <w:lvl w:ilvl="2">
      <w:start w:val="0"/>
      <w:numFmt w:val="bullet"/>
      <w:lvlText w:val="•"/>
      <w:lvlJc w:val="left"/>
      <w:pPr>
        <w:ind w:left="2409" w:hanging="361"/>
      </w:pPr>
      <w:rPr>
        <w:rFonts w:hint="default"/>
        <w:lang w:val="en-US" w:eastAsia="zh-CN" w:bidi="ar-SA"/>
      </w:rPr>
    </w:lvl>
    <w:lvl w:ilvl="3">
      <w:start w:val="0"/>
      <w:numFmt w:val="bullet"/>
      <w:lvlText w:val="•"/>
      <w:lvlJc w:val="left"/>
      <w:pPr>
        <w:ind w:left="3303" w:hanging="361"/>
      </w:pPr>
      <w:rPr>
        <w:rFonts w:hint="default"/>
        <w:lang w:val="en-US" w:eastAsia="zh-CN" w:bidi="ar-SA"/>
      </w:rPr>
    </w:lvl>
    <w:lvl w:ilvl="4">
      <w:start w:val="0"/>
      <w:numFmt w:val="bullet"/>
      <w:lvlText w:val="•"/>
      <w:lvlJc w:val="left"/>
      <w:pPr>
        <w:ind w:left="4198" w:hanging="361"/>
      </w:pPr>
      <w:rPr>
        <w:rFonts w:hint="default"/>
        <w:lang w:val="en-US" w:eastAsia="zh-CN" w:bidi="ar-SA"/>
      </w:rPr>
    </w:lvl>
    <w:lvl w:ilvl="5">
      <w:start w:val="0"/>
      <w:numFmt w:val="bullet"/>
      <w:lvlText w:val="•"/>
      <w:lvlJc w:val="left"/>
      <w:pPr>
        <w:ind w:left="5093" w:hanging="361"/>
      </w:pPr>
      <w:rPr>
        <w:rFonts w:hint="default"/>
        <w:lang w:val="en-US" w:eastAsia="zh-CN" w:bidi="ar-SA"/>
      </w:rPr>
    </w:lvl>
    <w:lvl w:ilvl="6">
      <w:start w:val="0"/>
      <w:numFmt w:val="bullet"/>
      <w:lvlText w:val="•"/>
      <w:lvlJc w:val="left"/>
      <w:pPr>
        <w:ind w:left="5987" w:hanging="361"/>
      </w:pPr>
      <w:rPr>
        <w:rFonts w:hint="default"/>
        <w:lang w:val="en-US" w:eastAsia="zh-CN" w:bidi="ar-SA"/>
      </w:rPr>
    </w:lvl>
    <w:lvl w:ilvl="7">
      <w:start w:val="0"/>
      <w:numFmt w:val="bullet"/>
      <w:lvlText w:val="•"/>
      <w:lvlJc w:val="left"/>
      <w:pPr>
        <w:ind w:left="6882" w:hanging="361"/>
      </w:pPr>
      <w:rPr>
        <w:rFonts w:hint="default"/>
        <w:lang w:val="en-US" w:eastAsia="zh-CN" w:bidi="ar-SA"/>
      </w:rPr>
    </w:lvl>
    <w:lvl w:ilvl="8">
      <w:start w:val="0"/>
      <w:numFmt w:val="bullet"/>
      <w:lvlText w:val="•"/>
      <w:lvlJc w:val="left"/>
      <w:pPr>
        <w:ind w:left="7776" w:hanging="361"/>
      </w:pPr>
      <w:rPr>
        <w:rFonts w:hint="default"/>
        <w:lang w:val="en-US" w:eastAsia="zh-CN" w:bidi="ar-SA"/>
      </w:rPr>
    </w:lvl>
  </w:abstractNum>
  <w:abstractNum w:abstractNumId="16">
    <w:nsid w:val="60843F3E"/>
    <w:multiLevelType w:val="hybridMultilevel"/>
    <w:tmpl w:val="00000000"/>
    <w:lvl w:ilvl="0">
      <w:start w:val="1"/>
      <w:numFmt w:val="decimal"/>
      <w:lvlText w:val="%1."/>
      <w:lvlJc w:val="left"/>
      <w:pPr>
        <w:ind w:left="257" w:hanging="241"/>
        <w:jc w:val="left"/>
      </w:pPr>
      <w:rPr>
        <w:rFonts w:ascii="宋体" w:eastAsia="宋体" w:hAnsi="宋体" w:cs="宋体" w:hint="default"/>
        <w:w w:val="100"/>
        <w:sz w:val="22"/>
        <w:szCs w:val="22"/>
        <w:lang w:val="en-US" w:eastAsia="zh-CN" w:bidi="ar-SA"/>
      </w:rPr>
    </w:lvl>
    <w:lvl w:ilvl="1">
      <w:start w:val="1"/>
      <w:numFmt w:val="decimal"/>
      <w:lvlText w:val="%2."/>
      <w:lvlJc w:val="left"/>
      <w:pPr>
        <w:ind w:left="1098" w:hanging="241"/>
        <w:jc w:val="left"/>
      </w:pPr>
      <w:rPr>
        <w:rFonts w:ascii="宋体" w:eastAsia="宋体" w:hAnsi="宋体" w:cs="宋体" w:hint="default"/>
        <w:w w:val="100"/>
        <w:sz w:val="22"/>
        <w:szCs w:val="22"/>
        <w:lang w:val="en-US" w:eastAsia="zh-CN" w:bidi="ar-SA"/>
      </w:rPr>
    </w:lvl>
    <w:lvl w:ilvl="2">
      <w:start w:val="0"/>
      <w:numFmt w:val="bullet"/>
      <w:lvlText w:val="•"/>
      <w:lvlJc w:val="left"/>
      <w:pPr>
        <w:ind w:left="2040" w:hanging="241"/>
      </w:pPr>
      <w:rPr>
        <w:rFonts w:hint="default"/>
        <w:lang w:val="en-US" w:eastAsia="zh-CN" w:bidi="ar-SA"/>
      </w:rPr>
    </w:lvl>
    <w:lvl w:ilvl="3">
      <w:start w:val="0"/>
      <w:numFmt w:val="bullet"/>
      <w:lvlText w:val="•"/>
      <w:lvlJc w:val="left"/>
      <w:pPr>
        <w:ind w:left="2981" w:hanging="241"/>
      </w:pPr>
      <w:rPr>
        <w:rFonts w:hint="default"/>
        <w:lang w:val="en-US" w:eastAsia="zh-CN" w:bidi="ar-SA"/>
      </w:rPr>
    </w:lvl>
    <w:lvl w:ilvl="4">
      <w:start w:val="0"/>
      <w:numFmt w:val="bullet"/>
      <w:lvlText w:val="•"/>
      <w:lvlJc w:val="left"/>
      <w:pPr>
        <w:ind w:left="3922" w:hanging="241"/>
      </w:pPr>
      <w:rPr>
        <w:rFonts w:hint="default"/>
        <w:lang w:val="en-US" w:eastAsia="zh-CN" w:bidi="ar-SA"/>
      </w:rPr>
    </w:lvl>
    <w:lvl w:ilvl="5">
      <w:start w:val="0"/>
      <w:numFmt w:val="bullet"/>
      <w:lvlText w:val="•"/>
      <w:lvlJc w:val="left"/>
      <w:pPr>
        <w:ind w:left="4862" w:hanging="241"/>
      </w:pPr>
      <w:rPr>
        <w:rFonts w:hint="default"/>
        <w:lang w:val="en-US" w:eastAsia="zh-CN" w:bidi="ar-SA"/>
      </w:rPr>
    </w:lvl>
    <w:lvl w:ilvl="6">
      <w:start w:val="0"/>
      <w:numFmt w:val="bullet"/>
      <w:lvlText w:val="•"/>
      <w:lvlJc w:val="left"/>
      <w:pPr>
        <w:ind w:left="5803" w:hanging="241"/>
      </w:pPr>
      <w:rPr>
        <w:rFonts w:hint="default"/>
        <w:lang w:val="en-US" w:eastAsia="zh-CN" w:bidi="ar-SA"/>
      </w:rPr>
    </w:lvl>
    <w:lvl w:ilvl="7">
      <w:start w:val="0"/>
      <w:numFmt w:val="bullet"/>
      <w:lvlText w:val="•"/>
      <w:lvlJc w:val="left"/>
      <w:pPr>
        <w:ind w:left="6744" w:hanging="241"/>
      </w:pPr>
      <w:rPr>
        <w:rFonts w:hint="default"/>
        <w:lang w:val="en-US" w:eastAsia="zh-CN" w:bidi="ar-SA"/>
      </w:rPr>
    </w:lvl>
    <w:lvl w:ilvl="8">
      <w:start w:val="0"/>
      <w:numFmt w:val="bullet"/>
      <w:lvlText w:val="•"/>
      <w:lvlJc w:val="left"/>
      <w:pPr>
        <w:ind w:left="7684" w:hanging="241"/>
      </w:pPr>
      <w:rPr>
        <w:rFonts w:hint="default"/>
        <w:lang w:val="en-US" w:eastAsia="zh-CN" w:bidi="ar-SA"/>
      </w:rPr>
    </w:lvl>
  </w:abstractNum>
  <w:abstractNum w:abstractNumId="17">
    <w:nsid w:val="631BBFE4"/>
    <w:multiLevelType w:val="hybridMultilevel"/>
    <w:tmpl w:val="00000000"/>
    <w:lvl w:ilvl="0">
      <w:start w:val="1"/>
      <w:numFmt w:val="decimal"/>
      <w:lvlText w:val="%1）"/>
      <w:lvlJc w:val="left"/>
      <w:pPr>
        <w:ind w:left="257" w:hanging="361"/>
        <w:jc w:val="left"/>
      </w:pPr>
      <w:rPr>
        <w:rFonts w:ascii="宋体" w:eastAsia="宋体" w:hAnsi="宋体" w:cs="宋体" w:hint="default"/>
        <w:w w:val="100"/>
        <w:sz w:val="22"/>
        <w:szCs w:val="22"/>
        <w:lang w:val="en-US" w:eastAsia="zh-CN" w:bidi="ar-SA"/>
      </w:rPr>
    </w:lvl>
    <w:lvl w:ilvl="1">
      <w:start w:val="0"/>
      <w:numFmt w:val="bullet"/>
      <w:lvlText w:val="•"/>
      <w:lvlJc w:val="left"/>
      <w:pPr>
        <w:ind w:left="1190" w:hanging="361"/>
      </w:pPr>
      <w:rPr>
        <w:rFonts w:hint="default"/>
        <w:lang w:val="en-US" w:eastAsia="zh-CN" w:bidi="ar-SA"/>
      </w:rPr>
    </w:lvl>
    <w:lvl w:ilvl="2">
      <w:start w:val="0"/>
      <w:numFmt w:val="bullet"/>
      <w:lvlText w:val="•"/>
      <w:lvlJc w:val="left"/>
      <w:pPr>
        <w:ind w:left="2121" w:hanging="361"/>
      </w:pPr>
      <w:rPr>
        <w:rFonts w:hint="default"/>
        <w:lang w:val="en-US" w:eastAsia="zh-CN" w:bidi="ar-SA"/>
      </w:rPr>
    </w:lvl>
    <w:lvl w:ilvl="3">
      <w:start w:val="0"/>
      <w:numFmt w:val="bullet"/>
      <w:lvlText w:val="•"/>
      <w:lvlJc w:val="left"/>
      <w:pPr>
        <w:ind w:left="3051" w:hanging="361"/>
      </w:pPr>
      <w:rPr>
        <w:rFonts w:hint="default"/>
        <w:lang w:val="en-US" w:eastAsia="zh-CN" w:bidi="ar-SA"/>
      </w:rPr>
    </w:lvl>
    <w:lvl w:ilvl="4">
      <w:start w:val="0"/>
      <w:numFmt w:val="bullet"/>
      <w:lvlText w:val="•"/>
      <w:lvlJc w:val="left"/>
      <w:pPr>
        <w:ind w:left="3982" w:hanging="361"/>
      </w:pPr>
      <w:rPr>
        <w:rFonts w:hint="default"/>
        <w:lang w:val="en-US" w:eastAsia="zh-CN" w:bidi="ar-SA"/>
      </w:rPr>
    </w:lvl>
    <w:lvl w:ilvl="5">
      <w:start w:val="0"/>
      <w:numFmt w:val="bullet"/>
      <w:lvlText w:val="•"/>
      <w:lvlJc w:val="left"/>
      <w:pPr>
        <w:ind w:left="4913" w:hanging="361"/>
      </w:pPr>
      <w:rPr>
        <w:rFonts w:hint="default"/>
        <w:lang w:val="en-US" w:eastAsia="zh-CN" w:bidi="ar-SA"/>
      </w:rPr>
    </w:lvl>
    <w:lvl w:ilvl="6">
      <w:start w:val="0"/>
      <w:numFmt w:val="bullet"/>
      <w:lvlText w:val="•"/>
      <w:lvlJc w:val="left"/>
      <w:pPr>
        <w:ind w:left="5843" w:hanging="361"/>
      </w:pPr>
      <w:rPr>
        <w:rFonts w:hint="default"/>
        <w:lang w:val="en-US" w:eastAsia="zh-CN" w:bidi="ar-SA"/>
      </w:rPr>
    </w:lvl>
    <w:lvl w:ilvl="7">
      <w:start w:val="0"/>
      <w:numFmt w:val="bullet"/>
      <w:lvlText w:val="•"/>
      <w:lvlJc w:val="left"/>
      <w:pPr>
        <w:ind w:left="6774" w:hanging="361"/>
      </w:pPr>
      <w:rPr>
        <w:rFonts w:hint="default"/>
        <w:lang w:val="en-US" w:eastAsia="zh-CN" w:bidi="ar-SA"/>
      </w:rPr>
    </w:lvl>
    <w:lvl w:ilvl="8">
      <w:start w:val="0"/>
      <w:numFmt w:val="bullet"/>
      <w:lvlText w:val="•"/>
      <w:lvlJc w:val="left"/>
      <w:pPr>
        <w:ind w:left="7704" w:hanging="361"/>
      </w:pPr>
      <w:rPr>
        <w:rFonts w:hint="default"/>
        <w:lang w:val="en-US" w:eastAsia="zh-CN" w:bidi="ar-SA"/>
      </w:rPr>
    </w:lvl>
  </w:abstractNum>
  <w:abstractNum w:abstractNumId="18">
    <w:nsid w:val="691C0709"/>
    <w:multiLevelType w:val="hybridMultilevel"/>
    <w:tmpl w:val="00000000"/>
    <w:lvl w:ilvl="0">
      <w:start w:val="1"/>
      <w:numFmt w:val="decimal"/>
      <w:lvlText w:val="%1."/>
      <w:lvlJc w:val="left"/>
      <w:pPr>
        <w:ind w:left="498" w:hanging="241"/>
        <w:jc w:val="left"/>
      </w:pPr>
      <w:rPr>
        <w:rFonts w:ascii="Microsoft JhengHei" w:eastAsia="Microsoft JhengHei" w:hAnsi="Microsoft JhengHei" w:cs="Microsoft JhengHei" w:hint="default"/>
        <w:b/>
        <w:bCs/>
        <w:w w:val="117"/>
        <w:sz w:val="22"/>
        <w:szCs w:val="22"/>
        <w:lang w:val="en-US" w:eastAsia="zh-CN" w:bidi="ar-SA"/>
      </w:rPr>
    </w:lvl>
    <w:lvl w:ilvl="1">
      <w:start w:val="1"/>
      <w:numFmt w:val="decimal"/>
      <w:lvlText w:val="（%2）"/>
      <w:lvlJc w:val="left"/>
      <w:pPr>
        <w:ind w:left="257" w:hanging="603"/>
        <w:jc w:val="right"/>
      </w:pPr>
      <w:rPr>
        <w:rFonts w:ascii="宋体" w:eastAsia="宋体" w:hAnsi="宋体" w:cs="宋体" w:hint="default"/>
        <w:w w:val="100"/>
        <w:sz w:val="22"/>
        <w:szCs w:val="22"/>
        <w:lang w:val="en-US" w:eastAsia="zh-CN" w:bidi="ar-SA"/>
      </w:rPr>
    </w:lvl>
    <w:lvl w:ilvl="2">
      <w:start w:val="0"/>
      <w:numFmt w:val="bullet"/>
      <w:lvlText w:val="•"/>
      <w:lvlJc w:val="left"/>
      <w:pPr>
        <w:ind w:left="1507" w:hanging="603"/>
      </w:pPr>
      <w:rPr>
        <w:rFonts w:hint="default"/>
        <w:lang w:val="en-US" w:eastAsia="zh-CN" w:bidi="ar-SA"/>
      </w:rPr>
    </w:lvl>
    <w:lvl w:ilvl="3">
      <w:start w:val="0"/>
      <w:numFmt w:val="bullet"/>
      <w:lvlText w:val="•"/>
      <w:lvlJc w:val="left"/>
      <w:pPr>
        <w:ind w:left="2514" w:hanging="603"/>
      </w:pPr>
      <w:rPr>
        <w:rFonts w:hint="default"/>
        <w:lang w:val="en-US" w:eastAsia="zh-CN" w:bidi="ar-SA"/>
      </w:rPr>
    </w:lvl>
    <w:lvl w:ilvl="4">
      <w:start w:val="0"/>
      <w:numFmt w:val="bullet"/>
      <w:lvlText w:val="•"/>
      <w:lvlJc w:val="left"/>
      <w:pPr>
        <w:ind w:left="3522" w:hanging="603"/>
      </w:pPr>
      <w:rPr>
        <w:rFonts w:hint="default"/>
        <w:lang w:val="en-US" w:eastAsia="zh-CN" w:bidi="ar-SA"/>
      </w:rPr>
    </w:lvl>
    <w:lvl w:ilvl="5">
      <w:start w:val="0"/>
      <w:numFmt w:val="bullet"/>
      <w:lvlText w:val="•"/>
      <w:lvlJc w:val="left"/>
      <w:pPr>
        <w:ind w:left="4529" w:hanging="603"/>
      </w:pPr>
      <w:rPr>
        <w:rFonts w:hint="default"/>
        <w:lang w:val="en-US" w:eastAsia="zh-CN" w:bidi="ar-SA"/>
      </w:rPr>
    </w:lvl>
    <w:lvl w:ilvl="6">
      <w:start w:val="0"/>
      <w:numFmt w:val="bullet"/>
      <w:lvlText w:val="•"/>
      <w:lvlJc w:val="left"/>
      <w:pPr>
        <w:ind w:left="5536" w:hanging="603"/>
      </w:pPr>
      <w:rPr>
        <w:rFonts w:hint="default"/>
        <w:lang w:val="en-US" w:eastAsia="zh-CN" w:bidi="ar-SA"/>
      </w:rPr>
    </w:lvl>
    <w:lvl w:ilvl="7">
      <w:start w:val="0"/>
      <w:numFmt w:val="bullet"/>
      <w:lvlText w:val="•"/>
      <w:lvlJc w:val="left"/>
      <w:pPr>
        <w:ind w:left="6544" w:hanging="603"/>
      </w:pPr>
      <w:rPr>
        <w:rFonts w:hint="default"/>
        <w:lang w:val="en-US" w:eastAsia="zh-CN" w:bidi="ar-SA"/>
      </w:rPr>
    </w:lvl>
    <w:lvl w:ilvl="8">
      <w:start w:val="0"/>
      <w:numFmt w:val="bullet"/>
      <w:lvlText w:val="•"/>
      <w:lvlJc w:val="left"/>
      <w:pPr>
        <w:ind w:left="7551" w:hanging="603"/>
      </w:pPr>
      <w:rPr>
        <w:rFonts w:hint="default"/>
        <w:lang w:val="en-US" w:eastAsia="zh-CN" w:bidi="ar-SA"/>
      </w:rPr>
    </w:lvl>
  </w:abstractNum>
  <w:abstractNum w:abstractNumId="19">
    <w:nsid w:val="71E9D425"/>
    <w:multiLevelType w:val="hybridMultilevel"/>
    <w:tmpl w:val="00000000"/>
    <w:lvl w:ilvl="0">
      <w:start w:val="2"/>
      <w:numFmt w:val="decimal"/>
      <w:lvlText w:val="%1）"/>
      <w:lvlJc w:val="left"/>
      <w:pPr>
        <w:ind w:left="1098" w:hanging="361"/>
        <w:jc w:val="left"/>
      </w:pPr>
      <w:rPr>
        <w:rFonts w:ascii="宋体" w:eastAsia="宋体" w:hAnsi="宋体" w:cs="宋体" w:hint="default"/>
        <w:w w:val="100"/>
        <w:sz w:val="22"/>
        <w:szCs w:val="22"/>
        <w:lang w:val="en-US" w:eastAsia="zh-CN" w:bidi="ar-SA"/>
      </w:rPr>
    </w:lvl>
    <w:lvl w:ilvl="1">
      <w:start w:val="0"/>
      <w:numFmt w:val="bullet"/>
      <w:lvlText w:val="•"/>
      <w:lvlJc w:val="left"/>
      <w:pPr>
        <w:ind w:left="1946" w:hanging="361"/>
      </w:pPr>
      <w:rPr>
        <w:rFonts w:hint="default"/>
        <w:lang w:val="en-US" w:eastAsia="zh-CN" w:bidi="ar-SA"/>
      </w:rPr>
    </w:lvl>
    <w:lvl w:ilvl="2">
      <w:start w:val="0"/>
      <w:numFmt w:val="bullet"/>
      <w:lvlText w:val="•"/>
      <w:lvlJc w:val="left"/>
      <w:pPr>
        <w:ind w:left="2793" w:hanging="361"/>
      </w:pPr>
      <w:rPr>
        <w:rFonts w:hint="default"/>
        <w:lang w:val="en-US" w:eastAsia="zh-CN" w:bidi="ar-SA"/>
      </w:rPr>
    </w:lvl>
    <w:lvl w:ilvl="3">
      <w:start w:val="0"/>
      <w:numFmt w:val="bullet"/>
      <w:lvlText w:val="•"/>
      <w:lvlJc w:val="left"/>
      <w:pPr>
        <w:ind w:left="3639" w:hanging="361"/>
      </w:pPr>
      <w:rPr>
        <w:rFonts w:hint="default"/>
        <w:lang w:val="en-US" w:eastAsia="zh-CN" w:bidi="ar-SA"/>
      </w:rPr>
    </w:lvl>
    <w:lvl w:ilvl="4">
      <w:start w:val="0"/>
      <w:numFmt w:val="bullet"/>
      <w:lvlText w:val="•"/>
      <w:lvlJc w:val="left"/>
      <w:pPr>
        <w:ind w:left="4486" w:hanging="361"/>
      </w:pPr>
      <w:rPr>
        <w:rFonts w:hint="default"/>
        <w:lang w:val="en-US" w:eastAsia="zh-CN" w:bidi="ar-SA"/>
      </w:rPr>
    </w:lvl>
    <w:lvl w:ilvl="5">
      <w:start w:val="0"/>
      <w:numFmt w:val="bullet"/>
      <w:lvlText w:val="•"/>
      <w:lvlJc w:val="left"/>
      <w:pPr>
        <w:ind w:left="5333" w:hanging="361"/>
      </w:pPr>
      <w:rPr>
        <w:rFonts w:hint="default"/>
        <w:lang w:val="en-US" w:eastAsia="zh-CN" w:bidi="ar-SA"/>
      </w:rPr>
    </w:lvl>
    <w:lvl w:ilvl="6">
      <w:start w:val="0"/>
      <w:numFmt w:val="bullet"/>
      <w:lvlText w:val="•"/>
      <w:lvlJc w:val="left"/>
      <w:pPr>
        <w:ind w:left="6179" w:hanging="361"/>
      </w:pPr>
      <w:rPr>
        <w:rFonts w:hint="default"/>
        <w:lang w:val="en-US" w:eastAsia="zh-CN" w:bidi="ar-SA"/>
      </w:rPr>
    </w:lvl>
    <w:lvl w:ilvl="7">
      <w:start w:val="0"/>
      <w:numFmt w:val="bullet"/>
      <w:lvlText w:val="•"/>
      <w:lvlJc w:val="left"/>
      <w:pPr>
        <w:ind w:left="7026" w:hanging="361"/>
      </w:pPr>
      <w:rPr>
        <w:rFonts w:hint="default"/>
        <w:lang w:val="en-US" w:eastAsia="zh-CN" w:bidi="ar-SA"/>
      </w:rPr>
    </w:lvl>
    <w:lvl w:ilvl="8">
      <w:start w:val="0"/>
      <w:numFmt w:val="bullet"/>
      <w:lvlText w:val="•"/>
      <w:lvlJc w:val="left"/>
      <w:pPr>
        <w:ind w:left="7872" w:hanging="361"/>
      </w:pPr>
      <w:rPr>
        <w:rFonts w:hint="default"/>
        <w:lang w:val="en-US" w:eastAsia="zh-CN" w:bidi="ar-SA"/>
      </w:rPr>
    </w:lvl>
  </w:abstractNum>
  <w:abstractNum w:abstractNumId="20">
    <w:nsid w:val="790B6B50"/>
    <w:multiLevelType w:val="hybridMultilevel"/>
    <w:tmpl w:val="00000000"/>
    <w:lvl w:ilvl="0">
      <w:start w:val="1"/>
      <w:numFmt w:val="decimal"/>
      <w:lvlText w:val="（%1）"/>
      <w:lvlJc w:val="left"/>
      <w:pPr>
        <w:ind w:left="1218" w:hanging="601"/>
        <w:jc w:val="left"/>
      </w:pPr>
      <w:rPr>
        <w:rFonts w:ascii="宋体" w:eastAsia="宋体" w:hAnsi="宋体" w:cs="宋体" w:hint="default"/>
        <w:spacing w:val="-120"/>
        <w:w w:val="100"/>
        <w:sz w:val="22"/>
        <w:szCs w:val="22"/>
        <w:lang w:val="en-US" w:eastAsia="zh-CN" w:bidi="ar-SA"/>
      </w:rPr>
    </w:lvl>
    <w:lvl w:ilvl="1">
      <w:start w:val="0"/>
      <w:numFmt w:val="bullet"/>
      <w:lvlText w:val="•"/>
      <w:lvlJc w:val="left"/>
      <w:pPr>
        <w:ind w:left="1220" w:hanging="601"/>
      </w:pPr>
      <w:rPr>
        <w:rFonts w:hint="default"/>
        <w:lang w:val="en-US" w:eastAsia="zh-CN" w:bidi="ar-SA"/>
      </w:rPr>
    </w:lvl>
    <w:lvl w:ilvl="2">
      <w:start w:val="0"/>
      <w:numFmt w:val="bullet"/>
      <w:lvlText w:val="•"/>
      <w:lvlJc w:val="left"/>
      <w:pPr>
        <w:ind w:left="2147" w:hanging="601"/>
      </w:pPr>
      <w:rPr>
        <w:rFonts w:hint="default"/>
        <w:lang w:val="en-US" w:eastAsia="zh-CN" w:bidi="ar-SA"/>
      </w:rPr>
    </w:lvl>
    <w:lvl w:ilvl="3">
      <w:start w:val="0"/>
      <w:numFmt w:val="bullet"/>
      <w:lvlText w:val="•"/>
      <w:lvlJc w:val="left"/>
      <w:pPr>
        <w:ind w:left="3074" w:hanging="601"/>
      </w:pPr>
      <w:rPr>
        <w:rFonts w:hint="default"/>
        <w:lang w:val="en-US" w:eastAsia="zh-CN" w:bidi="ar-SA"/>
      </w:rPr>
    </w:lvl>
    <w:lvl w:ilvl="4">
      <w:start w:val="0"/>
      <w:numFmt w:val="bullet"/>
      <w:lvlText w:val="•"/>
      <w:lvlJc w:val="left"/>
      <w:pPr>
        <w:ind w:left="4002" w:hanging="601"/>
      </w:pPr>
      <w:rPr>
        <w:rFonts w:hint="default"/>
        <w:lang w:val="en-US" w:eastAsia="zh-CN" w:bidi="ar-SA"/>
      </w:rPr>
    </w:lvl>
    <w:lvl w:ilvl="5">
      <w:start w:val="0"/>
      <w:numFmt w:val="bullet"/>
      <w:lvlText w:val="•"/>
      <w:lvlJc w:val="left"/>
      <w:pPr>
        <w:ind w:left="4929" w:hanging="601"/>
      </w:pPr>
      <w:rPr>
        <w:rFonts w:hint="default"/>
        <w:lang w:val="en-US" w:eastAsia="zh-CN" w:bidi="ar-SA"/>
      </w:rPr>
    </w:lvl>
    <w:lvl w:ilvl="6">
      <w:start w:val="0"/>
      <w:numFmt w:val="bullet"/>
      <w:lvlText w:val="•"/>
      <w:lvlJc w:val="left"/>
      <w:pPr>
        <w:ind w:left="5856" w:hanging="601"/>
      </w:pPr>
      <w:rPr>
        <w:rFonts w:hint="default"/>
        <w:lang w:val="en-US" w:eastAsia="zh-CN" w:bidi="ar-SA"/>
      </w:rPr>
    </w:lvl>
    <w:lvl w:ilvl="7">
      <w:start w:val="0"/>
      <w:numFmt w:val="bullet"/>
      <w:lvlText w:val="•"/>
      <w:lvlJc w:val="left"/>
      <w:pPr>
        <w:ind w:left="6784" w:hanging="601"/>
      </w:pPr>
      <w:rPr>
        <w:rFonts w:hint="default"/>
        <w:lang w:val="en-US" w:eastAsia="zh-CN" w:bidi="ar-SA"/>
      </w:rPr>
    </w:lvl>
    <w:lvl w:ilvl="8">
      <w:start w:val="0"/>
      <w:numFmt w:val="bullet"/>
      <w:lvlText w:val="•"/>
      <w:lvlJc w:val="left"/>
      <w:pPr>
        <w:ind w:left="7711" w:hanging="601"/>
      </w:pPr>
      <w:rPr>
        <w:rFonts w:hint="default"/>
        <w:lang w:val="en-US" w:eastAsia="zh-CN" w:bidi="ar-SA"/>
      </w:rPr>
    </w:lvl>
  </w:abstractNum>
  <w:abstractNum w:abstractNumId="21">
    <w:nsid w:val="7E7C1000"/>
    <w:multiLevelType w:val="hybridMultilevel"/>
    <w:tmpl w:val="00000000"/>
    <w:lvl w:ilvl="0">
      <w:start w:val="1"/>
      <w:numFmt w:val="decimal"/>
      <w:lvlText w:val="（%1）"/>
      <w:lvlJc w:val="left"/>
      <w:pPr>
        <w:ind w:left="257" w:hanging="606"/>
        <w:jc w:val="left"/>
      </w:pPr>
      <w:rPr>
        <w:rFonts w:ascii="宋体" w:eastAsia="宋体" w:hAnsi="宋体" w:cs="宋体" w:hint="default"/>
        <w:spacing w:val="0"/>
        <w:w w:val="100"/>
        <w:sz w:val="22"/>
        <w:szCs w:val="22"/>
        <w:lang w:val="en-US" w:eastAsia="zh-CN" w:bidi="ar-SA"/>
      </w:rPr>
    </w:lvl>
    <w:lvl w:ilvl="1">
      <w:start w:val="0"/>
      <w:numFmt w:val="bullet"/>
      <w:lvlText w:val="•"/>
      <w:lvlJc w:val="left"/>
      <w:pPr>
        <w:ind w:left="1190" w:hanging="606"/>
      </w:pPr>
      <w:rPr>
        <w:rFonts w:hint="default"/>
        <w:lang w:val="en-US" w:eastAsia="zh-CN" w:bidi="ar-SA"/>
      </w:rPr>
    </w:lvl>
    <w:lvl w:ilvl="2">
      <w:start w:val="0"/>
      <w:numFmt w:val="bullet"/>
      <w:lvlText w:val="•"/>
      <w:lvlJc w:val="left"/>
      <w:pPr>
        <w:ind w:left="2121" w:hanging="606"/>
      </w:pPr>
      <w:rPr>
        <w:rFonts w:hint="default"/>
        <w:lang w:val="en-US" w:eastAsia="zh-CN" w:bidi="ar-SA"/>
      </w:rPr>
    </w:lvl>
    <w:lvl w:ilvl="3">
      <w:start w:val="0"/>
      <w:numFmt w:val="bullet"/>
      <w:lvlText w:val="•"/>
      <w:lvlJc w:val="left"/>
      <w:pPr>
        <w:ind w:left="3051" w:hanging="606"/>
      </w:pPr>
      <w:rPr>
        <w:rFonts w:hint="default"/>
        <w:lang w:val="en-US" w:eastAsia="zh-CN" w:bidi="ar-SA"/>
      </w:rPr>
    </w:lvl>
    <w:lvl w:ilvl="4">
      <w:start w:val="0"/>
      <w:numFmt w:val="bullet"/>
      <w:lvlText w:val="•"/>
      <w:lvlJc w:val="left"/>
      <w:pPr>
        <w:ind w:left="3982" w:hanging="606"/>
      </w:pPr>
      <w:rPr>
        <w:rFonts w:hint="default"/>
        <w:lang w:val="en-US" w:eastAsia="zh-CN" w:bidi="ar-SA"/>
      </w:rPr>
    </w:lvl>
    <w:lvl w:ilvl="5">
      <w:start w:val="0"/>
      <w:numFmt w:val="bullet"/>
      <w:lvlText w:val="•"/>
      <w:lvlJc w:val="left"/>
      <w:pPr>
        <w:ind w:left="4913" w:hanging="606"/>
      </w:pPr>
      <w:rPr>
        <w:rFonts w:hint="default"/>
        <w:lang w:val="en-US" w:eastAsia="zh-CN" w:bidi="ar-SA"/>
      </w:rPr>
    </w:lvl>
    <w:lvl w:ilvl="6">
      <w:start w:val="0"/>
      <w:numFmt w:val="bullet"/>
      <w:lvlText w:val="•"/>
      <w:lvlJc w:val="left"/>
      <w:pPr>
        <w:ind w:left="5843" w:hanging="606"/>
      </w:pPr>
      <w:rPr>
        <w:rFonts w:hint="default"/>
        <w:lang w:val="en-US" w:eastAsia="zh-CN" w:bidi="ar-SA"/>
      </w:rPr>
    </w:lvl>
    <w:lvl w:ilvl="7">
      <w:start w:val="0"/>
      <w:numFmt w:val="bullet"/>
      <w:lvlText w:val="•"/>
      <w:lvlJc w:val="left"/>
      <w:pPr>
        <w:ind w:left="6774" w:hanging="606"/>
      </w:pPr>
      <w:rPr>
        <w:rFonts w:hint="default"/>
        <w:lang w:val="en-US" w:eastAsia="zh-CN" w:bidi="ar-SA"/>
      </w:rPr>
    </w:lvl>
    <w:lvl w:ilvl="8">
      <w:start w:val="0"/>
      <w:numFmt w:val="bullet"/>
      <w:lvlText w:val="•"/>
      <w:lvlJc w:val="left"/>
      <w:pPr>
        <w:ind w:left="7704" w:hanging="606"/>
      </w:pPr>
      <w:rPr>
        <w:rFonts w:hint="default"/>
        <w:lang w:val="en-US" w:eastAsia="zh-CN" w:bidi="ar-SA"/>
      </w:rPr>
    </w:lvl>
  </w:abstractNum>
  <w:num w:numId="1">
    <w:abstractNumId w:val="6"/>
  </w:num>
  <w:num w:numId="2">
    <w:abstractNumId w:val="3"/>
  </w:num>
  <w:num w:numId="3">
    <w:abstractNumId w:val="4"/>
  </w:num>
  <w:num w:numId="4">
    <w:abstractNumId w:val="16"/>
  </w:num>
  <w:num w:numId="5">
    <w:abstractNumId w:val="18"/>
  </w:num>
  <w:num w:numId="6">
    <w:abstractNumId w:val="1"/>
  </w:num>
  <w:num w:numId="7">
    <w:abstractNumId w:val="9"/>
  </w:num>
  <w:num w:numId="8">
    <w:abstractNumId w:val="13"/>
  </w:num>
  <w:num w:numId="9">
    <w:abstractNumId w:val="14"/>
  </w:num>
  <w:num w:numId="10">
    <w:abstractNumId w:val="0"/>
  </w:num>
  <w:num w:numId="11">
    <w:abstractNumId w:val="2"/>
  </w:num>
  <w:num w:numId="12">
    <w:abstractNumId w:val="12"/>
  </w:num>
  <w:num w:numId="13">
    <w:abstractNumId w:val="8"/>
  </w:num>
  <w:num w:numId="14">
    <w:abstractNumId w:val="5"/>
  </w:num>
  <w:num w:numId="15">
    <w:abstractNumId w:val="15"/>
  </w:num>
  <w:num w:numId="16">
    <w:abstractNumId w:val="11"/>
  </w:num>
  <w:num w:numId="17">
    <w:abstractNumId w:val="19"/>
  </w:num>
  <w:num w:numId="18">
    <w:abstractNumId w:val="17"/>
  </w:num>
  <w:num w:numId="19">
    <w:abstractNumId w:val="21"/>
  </w:num>
  <w:num w:numId="20">
    <w:abstractNumId w:val="10"/>
  </w:num>
  <w:num w:numId="21">
    <w:abstractNumId w:val="20"/>
  </w:num>
  <w:num w:numId="2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ind w:left="256"/>
      <w:outlineLvl w:val="0"/>
    </w:pPr>
    <w:rPr>
      <w:rFonts w:ascii="Microsoft JhengHei" w:eastAsia="Microsoft JhengHei" w:hAnsi="Microsoft JhengHei" w:cs="Microsoft JhengHei"/>
      <w:b/>
      <w:bCs/>
      <w:sz w:val="72"/>
      <w:szCs w:val="72"/>
      <w:lang w:val="en-US" w:eastAsia="zh-CN" w:bidi="ar-SA"/>
    </w:rPr>
  </w:style>
  <w:style w:type="paragraph" w:styleId="Heading2">
    <w:name w:val="heading 2"/>
    <w:basedOn w:val="Normal"/>
    <w:uiPriority w:val="1"/>
    <w:qFormat/>
    <w:pPr>
      <w:ind w:left="892"/>
      <w:outlineLvl w:val="1"/>
    </w:pPr>
    <w:rPr>
      <w:rFonts w:ascii="Microsoft JhengHei" w:eastAsia="Microsoft JhengHei" w:hAnsi="Microsoft JhengHei" w:cs="Microsoft JhengHei"/>
      <w:b/>
      <w:bCs/>
      <w:sz w:val="32"/>
      <w:szCs w:val="32"/>
      <w:lang w:val="en-US" w:eastAsia="zh-CN" w:bidi="ar-SA"/>
    </w:rPr>
  </w:style>
  <w:style w:type="paragraph" w:styleId="Heading3">
    <w:name w:val="heading 3"/>
    <w:basedOn w:val="Normal"/>
    <w:uiPriority w:val="1"/>
    <w:qFormat/>
    <w:pPr>
      <w:ind w:left="2045"/>
      <w:outlineLvl w:val="2"/>
    </w:pPr>
    <w:rPr>
      <w:rFonts w:ascii="Microsoft JhengHei" w:eastAsia="Microsoft JhengHei" w:hAnsi="Microsoft JhengHei" w:cs="Microsoft JhengHei"/>
      <w:b/>
      <w:bCs/>
      <w:sz w:val="30"/>
      <w:szCs w:val="30"/>
      <w:lang w:val="en-US" w:eastAsia="zh-CN" w:bidi="ar-SA"/>
    </w:rPr>
  </w:style>
  <w:style w:type="paragraph" w:styleId="Heading4">
    <w:name w:val="heading 4"/>
    <w:basedOn w:val="Normal"/>
    <w:uiPriority w:val="1"/>
    <w:qFormat/>
    <w:pPr>
      <w:spacing w:line="455" w:lineRule="exact"/>
      <w:ind w:left="256"/>
      <w:outlineLvl w:val="3"/>
    </w:pPr>
    <w:rPr>
      <w:rFonts w:ascii="Microsoft JhengHei" w:eastAsia="Microsoft JhengHei" w:hAnsi="Microsoft JhengHei" w:cs="Microsoft JhengHei"/>
      <w:b/>
      <w:bCs/>
      <w:sz w:val="28"/>
      <w:szCs w:val="28"/>
      <w:lang w:val="en-US" w:eastAsia="zh-CN" w:bidi="ar-SA"/>
    </w:rPr>
  </w:style>
  <w:style w:type="paragraph" w:styleId="Heading5">
    <w:name w:val="heading 5"/>
    <w:basedOn w:val="Normal"/>
    <w:uiPriority w:val="1"/>
    <w:qFormat/>
    <w:pPr>
      <w:spacing w:line="353" w:lineRule="exact"/>
      <w:ind w:left="256"/>
      <w:outlineLvl w:val="4"/>
    </w:pPr>
    <w:rPr>
      <w:rFonts w:ascii="Microsoft JhengHei" w:eastAsia="Microsoft JhengHei" w:hAnsi="Microsoft JhengHei" w:cs="Microsoft JhengHei"/>
      <w:b/>
      <w:bCs/>
      <w:sz w:val="24"/>
      <w:szCs w:val="24"/>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256"/>
    </w:pPr>
    <w:rPr>
      <w:rFonts w:ascii="宋体" w:eastAsia="宋体" w:hAnsi="宋体" w:cs="宋体"/>
      <w:sz w:val="24"/>
      <w:szCs w:val="24"/>
      <w:lang w:val="en-US" w:eastAsia="zh-CN" w:bidi="ar-SA"/>
    </w:rPr>
  </w:style>
  <w:style w:type="paragraph" w:styleId="ListParagraph">
    <w:name w:val="List Paragraph"/>
    <w:basedOn w:val="Normal"/>
    <w:uiPriority w:val="1"/>
    <w:qFormat/>
    <w:pPr>
      <w:ind w:left="256" w:hanging="602"/>
    </w:pPr>
    <w:rPr>
      <w:rFonts w:ascii="宋体" w:eastAsia="宋体" w:hAnsi="宋体" w:cs="宋体"/>
      <w:lang w:val="en-US" w:eastAsia="zh-CN" w:bidi="ar-SA"/>
    </w:rPr>
  </w:style>
  <w:style w:type="paragraph" w:customStyle="1" w:styleId="TableParagraph">
    <w:name w:val="Table Paragraph"/>
    <w:basedOn w:val="Normal"/>
    <w:uiPriority w:val="1"/>
    <w:qFormat/>
    <w:pPr>
      <w:ind w:left="108"/>
    </w:pPr>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yperlink" Target="https://d.book118.com/278001054053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2024-01-16T17:16:37Z</dcterms:created>
  <dcterms:modified xsi:type="dcterms:W3CDTF">2024-01-16T17:16:37Z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2012-04-17T00:00:00Z</vt:filetime>
  </property>
  <property fmtid="{D5CDD505-2E9C-101B-9397-08002B2CF9AE}" pid="3" name="Creator">
    <vt:lpwstr>Microsoft Office Word</vt:lpwstr>
  </property>
  <property fmtid="{D5CDD505-2E9C-101B-9397-08002B2CF9AE}" pid="4" name="LastSaved">
    <vt:filetime>2024-01-16T00:00:00Z</vt:filetime>
  </property>
</Properties>
</file>