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873C36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C1C3E26"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F17DE88"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1C106F0" w14:textId="77777777">
                          <w:pPr>
                            <w:pStyle w:val="NoSpacing"/>
                            <w:jc w:val="right"/>
                            <w:rPr>
                              <w:color w:val="595959" w:themeColor="text1" w:themeTint="A6"/>
                              <w:sz w:val="32"/>
                              <w:szCs w:val="32"/>
                            </w:rPr>
                          </w:pPr>
                          <w:sdt>
                            <w:sdtPr>
                              <w:rPr>
                                <w:color w:val="595959" w:themeColor="text1" w:themeTint="A6"/>
                                <w:sz w:val="32"/>
                                <w:szCs w:val="32"/>
                              </w:rPr>
                              <w:alias w:val="摘要"/>
                              <w:id w:val="190748187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38581308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1F1B917"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1565A9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128663666"/>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6C8E171"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289420C"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6B7A52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E474DAB"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07B48B3"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4A0E1F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B0A23B0"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07F81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FC6874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E410D67"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0AC1B5D"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5A2645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1EF9E12"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08FD64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91C556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F055B09"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B824EF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11BF7B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8FA810C"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D3555DF"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22BFB71"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C59F710"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03375092"/>
        <w:docPartObj>
          <w:docPartGallery w:val="Table of Contents"/>
          <w:docPartUnique/>
        </w:docPartObj>
      </w:sdtPr>
      <w:sdtEndPr>
        <w:rPr>
          <w:b/>
          <w:bCs/>
        </w:rPr>
      </w:sdtEndPr>
      <w:sdtContent>
        <w:p w:rsidR="00483551" w:rsidRPr="00913CD1" w:rsidP="00457322" w14:paraId="226818E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E90F62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A40A0B1"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C6194AB"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691535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036132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58AB3DC"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522EB31"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7A5A2B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85F7615"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141E14A"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76CAFAC"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F9C208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398494A"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4404D7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1E9715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3AD70D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FCED355"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C8E149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1B87484"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C5AC45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12C30E1"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0558456"/>
        <w:docPartObj>
          <w:docPartGallery w:val="Table of Contents"/>
          <w:docPartUnique/>
        </w:docPartObj>
      </w:sdtPr>
      <w:sdtEndPr>
        <w:rPr>
          <w:b/>
          <w:bCs/>
        </w:rPr>
      </w:sdtEndPr>
      <w:sdtContent>
        <w:p w:rsidR="00483551" w:rsidRPr="00913CD1" w:rsidP="00457322" w14:paraId="375BDC57"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A20BCB6"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4F47A6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2092EB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552062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6C23685"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3B262F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D8A43C4"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C5680FC"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D9F01A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80FA07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A8CAB0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18B3B8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576DAFF"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BBC2A4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CAE9DC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1E735FC"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E0EA6A4"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31BADD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7E997F4"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7774CF8"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6D0C46C"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93068808"/>
        <w:docPartObj>
          <w:docPartGallery w:val="Table of Contents"/>
          <w:docPartUnique/>
        </w:docPartObj>
      </w:sdtPr>
      <w:sdtEndPr>
        <w:rPr>
          <w:b/>
          <w:bCs/>
        </w:rPr>
      </w:sdtEndPr>
      <w:sdtContent>
        <w:p w:rsidR="00483551" w:rsidRPr="00913CD1" w:rsidP="00457322" w14:paraId="720C4683"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BFA0347"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15CA604"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A59BE8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FEED0B4"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7C961E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3BCE26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047932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4E5A01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83BEA5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D9B320D"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5DBFA2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318BDC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7354EAF"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318962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144EBF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C1D83D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35723E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108035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AB69E8" w14:paraId="7B751EEE" w14:textId="1535EE57">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轮毂轴承项目可行性分析报告编制的目的在于通过对项目的全面评估，确定该项目在技术、经济、市场、资源、环境等方面的可行性和合理性，为投资决策提供科学依据。其意义在于：</w:t>
      </w:r>
      <w:r>
        <w:rPr>
          <w:rFonts w:ascii="仿宋" w:eastAsia="仿宋" w:hAnsi="仿宋"/>
          <w:sz w:val="28"/>
        </w:rPr>
        <w:br/>
        <w:t xml:space="preserve">    1.</w:t>
      </w:r>
      <w:r>
        <w:rPr>
          <w:rFonts w:ascii="仿宋" w:eastAsia="仿宋" w:hAnsi="仿宋"/>
          <w:sz w:val="28"/>
        </w:rPr>
        <w:t>指导投资决策：通过可行性分析，可以判断项目是否符合市场需求，是否具有经济合理性和技术先进性，从而为投资决策提供明确的指导。</w:t>
      </w:r>
      <w:r>
        <w:rPr>
          <w:rFonts w:ascii="仿宋" w:eastAsia="仿宋" w:hAnsi="仿宋"/>
          <w:sz w:val="28"/>
        </w:rPr>
        <w:br/>
        <w:t xml:space="preserve">    2.</w:t>
      </w:r>
      <w:r>
        <w:rPr>
          <w:rFonts w:ascii="仿宋" w:eastAsia="仿宋" w:hAnsi="仿宋"/>
          <w:sz w:val="28"/>
        </w:rPr>
        <w:t>优化资源配置：可行性分析有助于识别项目的潜在风险和问题，并提出相应的解决方案，确保项目在有限的资源条件下实现最优配置。</w:t>
      </w:r>
      <w:r>
        <w:rPr>
          <w:rFonts w:ascii="仿宋" w:eastAsia="仿宋" w:hAnsi="仿宋"/>
          <w:sz w:val="28"/>
        </w:rPr>
        <w:br/>
        <w:t xml:space="preserve">    3.</w:t>
      </w:r>
      <w:r>
        <w:rPr>
          <w:rFonts w:ascii="仿宋" w:eastAsia="仿宋" w:hAnsi="仿宋"/>
          <w:sz w:val="28"/>
        </w:rPr>
        <w:t>控制项目成本：通过对项目成本进行详细估算，可行性分析可以帮助投资者控制项目预算，避免成本超支，提高项目的经济效率。</w:t>
      </w:r>
      <w:r>
        <w:rPr>
          <w:rFonts w:ascii="仿宋" w:eastAsia="仿宋" w:hAnsi="仿宋"/>
          <w:sz w:val="28"/>
        </w:rPr>
        <w:br/>
        <w:t xml:space="preserve">    4.</w:t>
      </w:r>
      <w:r>
        <w:rPr>
          <w:rFonts w:ascii="仿宋" w:eastAsia="仿宋" w:hAnsi="仿宋"/>
          <w:sz w:val="28"/>
        </w:rPr>
        <w:t>提高项目成功率：通过深入的市场调研和竞争分析，可行性分析可以提高项目对市场变化的适应性，降低项目失败的风险。</w:t>
      </w:r>
      <w:r>
        <w:rPr>
          <w:rFonts w:ascii="仿宋" w:eastAsia="仿宋" w:hAnsi="仿宋"/>
          <w:sz w:val="28"/>
        </w:rPr>
        <w:br/>
        <w:t xml:space="preserve">    5.</w:t>
      </w:r>
      <w:r>
        <w:rPr>
          <w:rFonts w:ascii="仿宋" w:eastAsia="仿宋" w:hAnsi="仿宋"/>
          <w:sz w:val="28"/>
        </w:rPr>
        <w:t>满足相关法律法规要求：可行性分析需要确保项目符合国家相关的产业政策、环保政策和土地政策等，从而避免项目在实施过程中可能遇到的政策风险。</w:t>
      </w:r>
      <w:r>
        <w:rPr>
          <w:rFonts w:ascii="仿宋" w:eastAsia="仿宋" w:hAnsi="仿宋"/>
          <w:sz w:val="28"/>
        </w:rPr>
        <w:br/>
        <w:t xml:space="preserve">    6.</w:t>
      </w:r>
    </w:p>
    <w:p w:rsidR="00AB69E8" w14:textId="1535EE57">
      <w:pPr>
        <w:ind w:firstLine="561"/>
      </w:pPr>
      <w:r>
        <w:rPr>
          <w:rFonts w:ascii="仿宋" w:eastAsia="仿宋" w:hAnsi="仿宋"/>
          <w:sz w:val="28"/>
        </w:rPr>
        <w:t>吸引投资和合作：一份详细可行性的分析报告可以增加投资者对项目的信心，有助于吸引更多的投资和合作伙伴，为项目的顺利实施提供资金和资源保障。</w:t>
      </w:r>
      <w:r>
        <w:rPr>
          <w:rFonts w:ascii="仿宋" w:eastAsia="仿宋" w:hAnsi="仿宋"/>
          <w:sz w:val="28"/>
        </w:rPr>
        <w:br/>
        <w:t xml:space="preserve">    7.</w:t>
      </w:r>
      <w:r>
        <w:rPr>
          <w:rFonts w:ascii="仿宋" w:eastAsia="仿宋" w:hAnsi="仿宋"/>
          <w:sz w:val="28"/>
        </w:rPr>
        <w:t>制定项目计划：基于可行性分析的结果，可以制定出更加科学合理的项目实施计划，包括项目进度、质量控制、风险管理等，确保项目按时按质完成。</w:t>
      </w:r>
      <w:r>
        <w:rPr>
          <w:rFonts w:ascii="仿宋" w:eastAsia="仿宋" w:hAnsi="仿宋"/>
          <w:sz w:val="28"/>
        </w:rPr>
        <w:br/>
        <w:t xml:space="preserve">    8.</w:t>
      </w:r>
      <w:r>
        <w:rPr>
          <w:rFonts w:ascii="仿宋" w:eastAsia="仿宋" w:hAnsi="仿宋"/>
          <w:sz w:val="28"/>
        </w:rPr>
        <w:t>持续改进和优化：通过定期更新和修订可行性分析报告，可以及时反映项目进展和市场变化，为项目未来的调整和优化提供参考。</w:t>
      </w:r>
      <w:r>
        <w:rPr>
          <w:rFonts w:ascii="仿宋" w:eastAsia="仿宋" w:hAnsi="仿宋"/>
          <w:sz w:val="28"/>
        </w:rPr>
        <w:br/>
      </w:r>
      <w:r>
        <w:rPr>
          <w:rFonts w:ascii="仿宋" w:eastAsia="仿宋" w:hAnsi="仿宋"/>
          <w:sz w:val="28"/>
        </w:rPr>
        <w:t>综上所述，轮毂轴承项目可行性分析报告的编制对于项目的成功实施具有至关重要的作用，它不仅为投资决策提供了科学依据，也为项目的长期发展和持续优化奠定了坚实的基础。</w:t>
      </w:r>
    </w:p>
    <w:p w:rsidR="009D1637" w:rsidRPr="00913CD1" w:rsidP="00457322" w14:paraId="57309A1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E94CB3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D44A272"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D18C25C"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9E52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6107F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20A1F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95F3DA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5CE60A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95FC1A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995510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05345B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5A5C60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3AB113A"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4C09C4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C37870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9445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DAD20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5B92DA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C1933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DDA0C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11496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DE5DA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60F22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D9F2B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E5D89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57EB0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项目建设。</w:t>
      </w:r>
    </w:p>
    <w:p w:rsidR="009D1637" w:rsidRPr="00913CD1" w:rsidP="00457322" w14:paraId="68447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w:t>
      </w:r>
    </w:p>
    <w:p w:rsidR="009D1637" w:rsidRPr="00913CD1" w:rsidP="00457322" w14:paraId="265BC3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966FA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EB668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6D260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FCAA6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C5C48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B656B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CDE01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轮毂轴承产品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BDF524B"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轮毂轴承</w:t>
      </w:r>
      <w:r w:rsidRPr="00913CD1">
        <w:rPr>
          <w:rFonts w:ascii="仿宋" w:eastAsia="仿宋" w:hAnsi="仿宋"/>
        </w:rPr>
        <w:t>项目绪论</w:t>
      </w:r>
      <w:bookmarkEnd w:id="4"/>
    </w:p>
    <w:p w:rsidR="009D1637" w:rsidRPr="00913CD1" w:rsidP="00457322" w14:paraId="0164DD4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轮毂轴承</w:t>
      </w:r>
      <w:r w:rsidRPr="00913CD1">
        <w:rPr>
          <w:rFonts w:ascii="仿宋" w:eastAsia="仿宋" w:hAnsi="仿宋"/>
        </w:rPr>
        <w:t>项目名称及建设性质</w:t>
      </w:r>
      <w:bookmarkEnd w:id="5"/>
    </w:p>
    <w:p w:rsidR="009D1637" w:rsidRPr="00913CD1" w:rsidP="00457322" w14:paraId="158941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项目名称</w:t>
      </w:r>
    </w:p>
    <w:p w:rsidR="009D1637" w:rsidRPr="00913CD1" w:rsidP="00457322" w14:paraId="4D996C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w:t>
      </w:r>
    </w:p>
    <w:p w:rsidR="009D1637" w:rsidRPr="00913CD1" w:rsidP="00457322" w14:paraId="11ECE2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项目建设性质</w:t>
      </w:r>
    </w:p>
    <w:p w:rsidR="009D1637" w:rsidRPr="00913CD1" w:rsidP="00457322" w14:paraId="47AE40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轮毂轴承</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2DB184D"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轮毂轴承</w:t>
      </w:r>
      <w:r w:rsidRPr="00913CD1">
        <w:rPr>
          <w:rFonts w:ascii="仿宋" w:eastAsia="仿宋" w:hAnsi="仿宋"/>
        </w:rPr>
        <w:t>项目承办单位</w:t>
      </w:r>
      <w:bookmarkEnd w:id="6"/>
    </w:p>
    <w:p w:rsidR="009D1637" w:rsidRPr="00913CD1" w:rsidP="00457322" w14:paraId="2A3FE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项目实施主体</w:t>
      </w:r>
    </w:p>
    <w:p w:rsidR="009D1637" w:rsidRPr="00913CD1" w:rsidP="00457322" w14:paraId="70A446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92CB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44461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项目信息。</w:t>
      </w:r>
    </w:p>
    <w:p w:rsidR="009D1637" w:rsidRPr="00913CD1" w:rsidP="00457322" w14:paraId="7E652F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AE0E31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073EA33"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9EC9D5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55DD5E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BE4901C"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轮毂轴承</w:t>
      </w:r>
      <w:r w:rsidRPr="00913CD1">
        <w:rPr>
          <w:rFonts w:ascii="仿宋" w:eastAsia="仿宋" w:hAnsi="仿宋"/>
        </w:rPr>
        <w:t>项目定位及建设理由</w:t>
      </w:r>
      <w:bookmarkEnd w:id="7"/>
    </w:p>
    <w:p w:rsidR="00AB69E8" w14:paraId="7A793FD6" w14:textId="3E3D84C6">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在轮毂轴承项目可行性分析报告中，项目定位及建设理由应明确阐述项目的目标市场、产品或服务特点、竞争优势以及预期的社会经济效益。具体内容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市场定位：明确目标市场，分析市场容量、增长潜力和主要竞争对手，说明项目产品或服务如何满足市场需求空白或提升市场竞争力。</w:t>
      </w:r>
      <w:r>
        <w:rPr>
          <w:rFonts w:ascii="仿宋" w:eastAsia="仿宋" w:hAnsi="仿宋"/>
          <w:sz w:val="28"/>
        </w:rPr>
        <w:br/>
        <w:t xml:space="preserve">    2.</w:t>
      </w:r>
      <w:r>
        <w:rPr>
          <w:rFonts w:ascii="仿宋" w:eastAsia="仿宋" w:hAnsi="仿宋"/>
          <w:sz w:val="28"/>
        </w:rPr>
        <w:t>产品或服务特点：详细描述产品或服务的创新性、性能优势、质量标准以及任何相关的专利或认证情况。</w:t>
      </w:r>
      <w:r>
        <w:rPr>
          <w:rFonts w:ascii="仿宋" w:eastAsia="仿宋" w:hAnsi="仿宋"/>
          <w:sz w:val="28"/>
        </w:rPr>
        <w:br/>
        <w:t xml:space="preserve">    3.</w:t>
      </w:r>
      <w:r>
        <w:rPr>
          <w:rFonts w:ascii="仿宋" w:eastAsia="仿宋" w:hAnsi="仿宋"/>
          <w:sz w:val="28"/>
        </w:rPr>
        <w:t>竞争优势：分析项目的成本优势、技术领先性、品牌影响力、营销策略等，如何使项目在市场中脱颖而出。</w:t>
      </w:r>
      <w:r>
        <w:rPr>
          <w:rFonts w:ascii="仿宋" w:eastAsia="仿宋" w:hAnsi="仿宋"/>
          <w:sz w:val="28"/>
        </w:rPr>
        <w:br/>
        <w:t xml:space="preserve">    4.</w:t>
      </w:r>
    </w:p>
    <w:p w:rsidR="00AB69E8" w14:textId="3E3D84C6">
      <w:pPr>
        <w:ind w:firstLine="561"/>
      </w:pPr>
      <w:r>
        <w:rPr>
          <w:rFonts w:ascii="仿宋" w:eastAsia="仿宋" w:hAnsi="仿宋"/>
          <w:sz w:val="28"/>
        </w:rPr>
        <w:t>生产能力与技术：评估项目的生产能力、技术水平、设备先进性以及供应链管理能力，确保项目能够满足市场需求。</w:t>
      </w:r>
      <w:r>
        <w:rPr>
          <w:rFonts w:ascii="仿宋" w:eastAsia="仿宋" w:hAnsi="仿宋"/>
          <w:sz w:val="28"/>
        </w:rPr>
        <w:br/>
        <w:t xml:space="preserve">    5.</w:t>
      </w:r>
      <w:r>
        <w:rPr>
          <w:rFonts w:ascii="仿宋" w:eastAsia="仿宋" w:hAnsi="仿宋"/>
          <w:sz w:val="28"/>
        </w:rPr>
        <w:t>经济可行性：提供详细的财务分析，包括投资回报率、净现值、内部收益率等指标，证明项目在经济上是可行的。</w:t>
      </w:r>
      <w:r>
        <w:rPr>
          <w:rFonts w:ascii="仿宋" w:eastAsia="仿宋" w:hAnsi="仿宋"/>
          <w:sz w:val="28"/>
        </w:rPr>
        <w:br/>
        <w:t xml:space="preserve">    6.</w:t>
      </w:r>
      <w:r>
        <w:rPr>
          <w:rFonts w:ascii="仿宋" w:eastAsia="仿宋" w:hAnsi="仿宋"/>
          <w:sz w:val="28"/>
        </w:rPr>
        <w:t>社会效益：论述项目对当地就业、税收、技术进步以及产业升级的贡献，说明项目如何促进区域经济发展和社会进步。</w:t>
      </w:r>
      <w:r>
        <w:rPr>
          <w:rFonts w:ascii="仿宋" w:eastAsia="仿宋" w:hAnsi="仿宋"/>
          <w:sz w:val="28"/>
        </w:rPr>
        <w:br/>
        <w:t xml:space="preserve">    7.</w:t>
      </w:r>
      <w:r>
        <w:rPr>
          <w:rFonts w:ascii="仿宋" w:eastAsia="仿宋" w:hAnsi="仿宋"/>
          <w:sz w:val="28"/>
        </w:rPr>
        <w:t>环境影响：评估项目对环境的影响，包括资源消耗、污染排放等，并提出相应的环保措施和可持续发展策略。</w:t>
      </w:r>
      <w:r>
        <w:rPr>
          <w:rFonts w:ascii="仿宋" w:eastAsia="仿宋" w:hAnsi="仿宋"/>
          <w:sz w:val="28"/>
        </w:rPr>
        <w:br/>
        <w:t xml:space="preserve">    8.</w:t>
      </w:r>
      <w:r>
        <w:rPr>
          <w:rFonts w:ascii="仿宋" w:eastAsia="仿宋" w:hAnsi="仿宋"/>
          <w:sz w:val="28"/>
        </w:rPr>
        <w:t>风险分析：识别并评估项目可能面临的市场风险、技术风险、财务风险等，提出风险管理措施。</w:t>
      </w:r>
      <w:r>
        <w:rPr>
          <w:rFonts w:ascii="仿宋" w:eastAsia="仿宋" w:hAnsi="仿宋"/>
          <w:sz w:val="28"/>
        </w:rPr>
        <w:br/>
        <w:t xml:space="preserve">    9.</w:t>
      </w:r>
      <w:r>
        <w:rPr>
          <w:rFonts w:ascii="仿宋" w:eastAsia="仿宋" w:hAnsi="仿宋"/>
          <w:sz w:val="28"/>
        </w:rPr>
        <w:t>项目进度计划：概述项目的实施计划，包括关键里程碑、阶段目标和预计完成时间表。</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结论与建议：总结项目的可行性，并提出相应的建议，以优化项目设计或实施策略。</w:t>
      </w:r>
      <w:r>
        <w:rPr>
          <w:rFonts w:ascii="仿宋" w:eastAsia="仿宋" w:hAnsi="仿宋"/>
          <w:sz w:val="28"/>
        </w:rPr>
        <w:br/>
      </w:r>
      <w:r>
        <w:rPr>
          <w:rFonts w:ascii="仿宋" w:eastAsia="仿宋" w:hAnsi="仿宋"/>
          <w:sz w:val="28"/>
        </w:rPr>
        <w:t>通过上述内容的综合分析，项目定位及建设理由应清晰地展示项目的市场价值、技术优势和社会经济效益，为项目的顺利推进提供充分的论证和支持。</w:t>
      </w:r>
    </w:p>
    <w:p w:rsidR="009D1637" w:rsidRPr="00913CD1" w:rsidP="00457322" w14:paraId="1892E164"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5DD7B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CD7532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B9E232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CB8B35D"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轮毂轴承</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4C5E93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轮毂轴承</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790316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轮毂轴承</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1C326A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6AE11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ED7F2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D7952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25C9A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项目功能、盈利性等</w:t>
      </w:r>
    </w:p>
    <w:p w:rsidR="007D3AEE" w:rsidRPr="00913CD1" w:rsidP="00457322" w14:paraId="55A13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52066B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7122E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F97C67A"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轮毂轴承</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项目建设的可行性和效益的合理性。</w:t>
      </w:r>
    </w:p>
    <w:p w:rsidR="009D1637" w:rsidRPr="00913CD1" w:rsidP="00457322" w14:paraId="3CA60A8A"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轮毂轴承</w:t>
      </w:r>
      <w:r w:rsidRPr="00913CD1">
        <w:rPr>
          <w:rFonts w:ascii="仿宋" w:eastAsia="仿宋" w:hAnsi="仿宋"/>
        </w:rPr>
        <w:t>项目建设选址</w:t>
      </w:r>
      <w:bookmarkEnd w:id="9"/>
    </w:p>
    <w:p w:rsidR="009D1637" w:rsidRPr="00913CD1" w:rsidP="00457322" w14:paraId="48EF30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项目选址及规划</w:t>
      </w:r>
    </w:p>
    <w:p w:rsidR="009D1637" w:rsidRPr="00913CD1" w:rsidP="00457322" w14:paraId="1B1B7C4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项目的建设。</w:t>
      </w:r>
    </w:p>
    <w:p w:rsidR="009D1637" w:rsidRPr="00913CD1" w:rsidP="00457322" w14:paraId="087B15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项目背景及选址理由</w:t>
      </w:r>
    </w:p>
    <w:p w:rsidR="009D1637" w:rsidRPr="00913CD1" w:rsidP="00457322" w14:paraId="74E8E6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项目背景</w:t>
      </w:r>
    </w:p>
    <w:p w:rsidR="00AB69E8" w14:paraId="25DF6CFB" w14:textId="609BE11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轮毂轴承项目背景分析：</w:t>
      </w:r>
      <w:r>
        <w:rPr>
          <w:rFonts w:ascii="仿宋" w:eastAsia="仿宋" w:hAnsi="仿宋"/>
          <w:sz w:val="28"/>
        </w:rPr>
        <w:br/>
      </w:r>
      <w:r>
        <w:rPr>
          <w:rFonts w:ascii="仿宋" w:eastAsia="仿宋" w:hAnsi="仿宋"/>
          <w:sz w:val="28"/>
        </w:rPr>
        <w:t>随着全球汽车市场的不断扩大和汽车技术的快速发展，对高品质、高性能轮毂轴承的需求日益增长。本项目旨在通过引进先进的生产技术和管理理念，建立一条现代化轮毂轴承生产线，以满足国内外市场的需求。项目背景主要包括以下几个方面：</w:t>
      </w:r>
      <w:r>
        <w:rPr>
          <w:rFonts w:ascii="仿宋" w:eastAsia="仿宋" w:hAnsi="仿宋"/>
          <w:sz w:val="28"/>
        </w:rPr>
        <w:br/>
        <w:t xml:space="preserve">    1.</w:t>
      </w:r>
      <w:r>
        <w:rPr>
          <w:rFonts w:ascii="仿宋" w:eastAsia="仿宋" w:hAnsi="仿宋"/>
          <w:sz w:val="28"/>
        </w:rPr>
        <w:t>市场分析：全球汽车产量持续增长，尤其是新兴市场国家，对汽车零部件的需求旺盛，尤其是高质量的轮毂轴承。</w:t>
      </w:r>
      <w:r>
        <w:rPr>
          <w:rFonts w:ascii="仿宋" w:eastAsia="仿宋" w:hAnsi="仿宋"/>
          <w:sz w:val="28"/>
        </w:rPr>
        <w:br/>
        <w:t xml:space="preserve">    2.</w:t>
      </w:r>
      <w:r>
        <w:rPr>
          <w:rFonts w:ascii="仿宋" w:eastAsia="仿宋" w:hAnsi="仿宋"/>
          <w:sz w:val="28"/>
        </w:rPr>
        <w:t>技术发展：轮毂轴承技术不断进步，新材料、新工艺的应用使得轮毂轴承的性能不断提升，同时对生产企业的技术要求也越来越高。</w:t>
      </w:r>
      <w:r>
        <w:rPr>
          <w:rFonts w:ascii="仿宋" w:eastAsia="仿宋" w:hAnsi="仿宋"/>
          <w:sz w:val="28"/>
        </w:rPr>
        <w:br/>
        <w:t xml:space="preserve">    3.</w:t>
      </w:r>
      <w:r>
        <w:rPr>
          <w:rFonts w:ascii="仿宋" w:eastAsia="仿宋" w:hAnsi="仿宋"/>
          <w:sz w:val="28"/>
        </w:rPr>
        <w:t>政策环境：许多国家和地区都出台了支持汽车产业发展的政策，为本项目的实施提供了良好的政策环境。</w:t>
      </w:r>
    </w:p>
    <w:p w:rsidR="00AB69E8" w14:textId="609BE11C">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竞争格局：目前轮毂轴承市场集中度较高，主要被几家大型企业所占据，但同时也存在一定的市场机遇，尤其是对于能够提供高品质产品的企业。</w:t>
      </w:r>
      <w:r>
        <w:rPr>
          <w:rFonts w:ascii="仿宋" w:eastAsia="仿宋" w:hAnsi="仿宋"/>
          <w:sz w:val="28"/>
        </w:rPr>
        <w:br/>
        <w:t xml:space="preserve">    5.</w:t>
      </w:r>
      <w:r>
        <w:rPr>
          <w:rFonts w:ascii="仿宋" w:eastAsia="仿宋" w:hAnsi="仿宋"/>
          <w:sz w:val="28"/>
        </w:rPr>
        <w:t>供应链管理：轮毂轴承的生产需要稳定的原材料供应和高效的物流体系，本项目将建立完善的供应链管理体系，确保原材料的及时供应和产品的快速交付。</w:t>
      </w:r>
      <w:r>
        <w:rPr>
          <w:rFonts w:ascii="仿宋" w:eastAsia="仿宋" w:hAnsi="仿宋"/>
          <w:sz w:val="28"/>
        </w:rPr>
        <w:br/>
        <w:t xml:space="preserve">    6.</w:t>
      </w:r>
      <w:r>
        <w:rPr>
          <w:rFonts w:ascii="仿宋" w:eastAsia="仿宋" w:hAnsi="仿宋"/>
          <w:sz w:val="28"/>
        </w:rPr>
        <w:t>经济效益：通过对成本效益分析、投资回报率评估和敏感性分析，项目预期能够实现良好的经济效益。</w:t>
      </w:r>
      <w:r>
        <w:rPr>
          <w:rFonts w:ascii="仿宋" w:eastAsia="仿宋" w:hAnsi="仿宋"/>
          <w:sz w:val="28"/>
        </w:rPr>
        <w:br/>
      </w:r>
      <w:r>
        <w:rPr>
          <w:rFonts w:ascii="仿宋" w:eastAsia="仿宋" w:hAnsi="仿宋"/>
          <w:sz w:val="28"/>
        </w:rPr>
        <w:t>综上所述，轮毂轴承项目具有广阔的市场前景和经济效益，通过合理的市场策略、先进的技术应用和高效的供应链管理，项目有望在激烈的市场竞争中占据一席之地。</w:t>
      </w:r>
    </w:p>
    <w:p w:rsidR="009D1637" w:rsidRPr="00913CD1" w:rsidP="00457322" w14:paraId="0764A0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A775E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06D9D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项目的发展和扩张。</w:t>
      </w:r>
    </w:p>
    <w:p w:rsidR="009D1637" w:rsidRPr="00913CD1" w:rsidP="00457322" w14:paraId="5836F9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项目的可迗性。</w:t>
      </w:r>
    </w:p>
    <w:p w:rsidR="009D1637" w:rsidRPr="00913CD1" w:rsidP="00457322" w14:paraId="50049A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项目建设提供了良好基础条件。</w:t>
      </w:r>
    </w:p>
    <w:p w:rsidR="009D1637" w:rsidRPr="00913CD1" w:rsidP="00457322" w14:paraId="5BAA546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项目规模和扩展的需要。</w:t>
      </w:r>
    </w:p>
    <w:p w:rsidR="009D1637" w:rsidRPr="00913CD1" w:rsidP="00457322" w14:paraId="30743E25"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轮毂轴承</w:t>
      </w:r>
      <w:r w:rsidRPr="00913CD1">
        <w:rPr>
          <w:rFonts w:ascii="仿宋" w:eastAsia="仿宋" w:hAnsi="仿宋"/>
        </w:rPr>
        <w:t>项目生产规模</w:t>
      </w:r>
      <w:bookmarkEnd w:id="10"/>
    </w:p>
    <w:p w:rsidR="009D1637" w:rsidRPr="00913CD1" w:rsidP="00457322" w14:paraId="7680E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9F7648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2D86A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38174A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865AD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项目实施过程中，对环境的影响降到最低。</w:t>
      </w:r>
    </w:p>
    <w:p w:rsidR="009D1637" w:rsidRPr="00913CD1" w:rsidP="00457322" w14:paraId="3FC55C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1890E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1ED4B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788EA0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轮毂轴承</w:t>
      </w:r>
      <w:r w:rsidRPr="00913CD1">
        <w:rPr>
          <w:rFonts w:ascii="仿宋" w:eastAsia="仿宋" w:hAnsi="仿宋"/>
        </w:rPr>
        <w:t>项目总投资及资金构成</w:t>
      </w:r>
      <w:bookmarkEnd w:id="13"/>
    </w:p>
    <w:p w:rsidR="009D1637" w:rsidRPr="00913CD1" w:rsidP="00457322" w14:paraId="7A86BC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的生产能力。</w:t>
      </w:r>
    </w:p>
    <w:p w:rsidR="009D1637" w:rsidRPr="00913CD1" w:rsidP="00457322" w14:paraId="1DEAF5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项目总投资</w:t>
      </w:r>
    </w:p>
    <w:p w:rsidR="009D1637" w:rsidRPr="00913CD1" w:rsidP="00457322" w14:paraId="59E0E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3F80D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E2CAB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2BCEA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4729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AED8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5A5D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6565C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项目的顺利建设奠定了财务基础。</w:t>
      </w:r>
    </w:p>
    <w:p w:rsidR="009D1637" w:rsidRPr="00913CD1" w:rsidP="00457322" w14:paraId="2A1FBFDB"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F0FEB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0D52C7A"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轮毂轴承</w:t>
      </w:r>
      <w:r w:rsidRPr="00913CD1">
        <w:rPr>
          <w:rFonts w:ascii="仿宋" w:eastAsia="仿宋" w:hAnsi="仿宋"/>
        </w:rPr>
        <w:t>项目预期经济效益规划目标</w:t>
      </w:r>
      <w:bookmarkEnd w:id="15"/>
    </w:p>
    <w:p w:rsidR="009D1637" w:rsidRPr="00913CD1" w:rsidP="00457322" w14:paraId="4D180F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项目的盈利能力和市场竞争力。</w:t>
      </w:r>
    </w:p>
    <w:p w:rsidR="009D1637" w:rsidRPr="00913CD1" w:rsidP="00457322" w14:paraId="2F1675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项目具有较高的投资价值和发展潜力。</w:t>
      </w:r>
    </w:p>
    <w:p w:rsidR="009D1637" w:rsidRPr="00913CD1" w:rsidP="00457322" w14:paraId="0BB66D8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09372A8"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轮毂轴承</w:t>
      </w:r>
      <w:r w:rsidRPr="00913CD1">
        <w:rPr>
          <w:rFonts w:ascii="仿宋" w:eastAsia="仿宋" w:hAnsi="仿宋"/>
        </w:rPr>
        <w:t>项目建设进度规划</w:t>
      </w:r>
      <w:bookmarkEnd w:id="16"/>
    </w:p>
    <w:p w:rsidR="009D1637" w:rsidRPr="00913CD1" w:rsidP="00457322" w14:paraId="63A288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项目的顺利进行和按时完成。</w:t>
      </w:r>
    </w:p>
    <w:p w:rsidR="009D1637" w:rsidRPr="00913CD1" w:rsidP="00457322" w14:paraId="6D68C3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项目的质量和进度。</w:t>
      </w:r>
    </w:p>
    <w:p w:rsidR="009D1637" w:rsidRPr="00913CD1" w:rsidP="00457322" w14:paraId="671C0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9FF52E2"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轮毂轴承</w:t>
      </w:r>
      <w:r w:rsidRPr="00913CD1">
        <w:rPr>
          <w:rFonts w:ascii="仿宋" w:eastAsia="仿宋" w:hAnsi="仿宋"/>
        </w:rPr>
        <w:t>项目综合评价</w:t>
      </w:r>
      <w:bookmarkEnd w:id="17"/>
    </w:p>
    <w:p w:rsidR="00BF6395" w:rsidRPr="00913CD1" w:rsidP="00457322" w14:paraId="131B73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轮毂轴承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F3584A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轮毂轴承项目的投资回报率稳定且可观。根据市场调查和预测，轮毂轴承市场需求持续增长，具有良好的市场前景和发展空间。我们的投资方向紧密结合国家产业政策和市场需求，为投资者创造可观的投资收益。</w:t>
      </w:r>
    </w:p>
    <w:p w:rsidR="00BF6395" w:rsidRPr="00913CD1" w:rsidP="00457322" w14:paraId="632F52C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轮毂轴承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986D6F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在技术方案设计方面，我们注重方案的优化和效益的提升。通过科学合理的设计，实现轮毂轴承</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生产流程的高效化和产品的优质化。我们将采用先进的生产工艺和技术，提高生产效率，降低生产成本。同时，我们还将加强产品研发和创新，不断推出具有竞争力的新产品，满足轮毂轴承</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4F25AB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此外，轮毂轴承项目的建设将带来显著的就业机会和社会效益。项目的实施将促进当地经济的发展，提升当地民众的生活水平。我们将积极履行社会责任，关注环境保护和可持续发展，为社会做出积极贡献。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08ED7C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综上所述，本期轮毂轴承项目具备技术和经济的可行性，具有良好的市场前景和发展空间。我们将充分发挥自身优势，抓住市场机遇，为投资者创造丰厚的投资回报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2F9AB9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F388AB6"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72E2D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188E9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C72A3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4F82538"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EB8B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E7E8B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7C39E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6A015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6715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450C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92098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28BFD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F976C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F328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0CC89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1BC4AFA"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F954A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D4EC6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轮毂轴承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21B6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轮毂轴承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FDCF0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轮毂轴承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A0DAA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96262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E5913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A50A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37E79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轮毂轴承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60720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A7A814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8BE1F4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0C330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项目的顺利进行和迗成目标。</w:t>
      </w:r>
    </w:p>
    <w:p w:rsidR="009D1637" w:rsidRPr="00913CD1" w:rsidP="00457322" w14:paraId="3B39B6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021702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DD92E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FE1D7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60507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A069F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B2584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9562D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A12E0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1383F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5E877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23782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69540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6D5D2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3F622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497256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5581C4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E61AF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4999F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47976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2BC10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3E08EA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8CEAE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C0C70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43B5D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480F8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2D050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CB4AC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A517E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36564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3D8B0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AEA1A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1FD62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0C1B8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2D246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7DCF7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317D6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48B42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D808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6C01E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35429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ECBE7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F7D50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590A1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87DA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729A1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3180E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CFF08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F047C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A234F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7B39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F42D2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1A53D2E"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B28DE8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轮毂轴承</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9EEE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E16D0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C5151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69E1F8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轮毂轴承</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B2C81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57E02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E2D0A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0E8F4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3FB1A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341A4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86073AF"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3742CFC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929B88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0998F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E27D2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8D1CE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53FEA4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AECBA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6B983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5F3C8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46104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8FF9F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1A061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0C7EE7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轮毂轴承</w:t>
      </w:r>
      <w:r w:rsidRPr="00913CD1">
        <w:rPr>
          <w:rFonts w:ascii="仿宋" w:eastAsia="仿宋" w:hAnsi="仿宋"/>
        </w:rPr>
        <w:t>项目技术工艺分析</w:t>
      </w:r>
      <w:bookmarkEnd w:id="28"/>
    </w:p>
    <w:p w:rsidR="009D1637" w:rsidRPr="00913CD1" w:rsidP="00457322" w14:paraId="01143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0544D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D2958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62E8E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32D16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3B4AE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5A83D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25A8A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68204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4ED2B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99DC585"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轮毂轴承项目</w:t>
      </w:r>
      <w:r w:rsidRPr="00913CD1">
        <w:rPr>
          <w:rFonts w:ascii="仿宋" w:eastAsia="仿宋" w:hAnsi="仿宋"/>
        </w:rPr>
        <w:t>质量管理</w:t>
      </w:r>
      <w:bookmarkEnd w:id="29"/>
    </w:p>
    <w:p w:rsidR="009D1637" w:rsidRPr="00913CD1" w:rsidP="00457322" w14:paraId="74AF62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075AD5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2BA8B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99772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201D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B16C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30ECF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A4E3E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6BBF9C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轮毂轴承项目</w:t>
      </w:r>
      <w:r w:rsidRPr="00913CD1">
        <w:rPr>
          <w:rFonts w:ascii="仿宋" w:eastAsia="仿宋" w:hAnsi="仿宋"/>
        </w:rPr>
        <w:t>设备选型方案</w:t>
      </w:r>
      <w:bookmarkEnd w:id="30"/>
    </w:p>
    <w:p w:rsidR="009D1637" w:rsidRPr="00913CD1" w:rsidP="00457322" w14:paraId="646A7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3B48F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0E646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D203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929B4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0046D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4EF19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3C166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项目的高效运行和产品质量的稳定提升。</w:t>
      </w:r>
    </w:p>
    <w:p w:rsidR="009D1637" w:rsidRPr="00913CD1" w:rsidP="00457322" w14:paraId="7D990166"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1D7B22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ADB0F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0E455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2A28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14F46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94D4F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5DEEA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3DC3B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2E8E6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BEF34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2BB849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ED9FE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BF7F6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2BB98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轮毂轴承</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1E3E4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轮毂轴承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EC2AF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https://d.book118.com/278002124023006034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B1089D1" w14:textId="77777777">
    <w:pPr>
      <w:pStyle w:val="Footer"/>
      <w:jc w:val="center"/>
    </w:pPr>
  </w:p>
  <w:p w:rsidR="008D6901" w14:paraId="6483E4A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EA270E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68D373B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4379045"/>
      <w:docPartObj>
        <w:docPartGallery w:val="Page Numbers (Bottom of Page)"/>
        <w:docPartUnique/>
      </w:docPartObj>
    </w:sdtPr>
    <w:sdtContent>
      <w:sdt>
        <w:sdtPr>
          <w:id w:val="1190959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6004663"/>
      <w:docPartObj>
        <w:docPartGallery w:val="Page Numbers (Bottom of Page)"/>
        <w:docPartUnique/>
      </w:docPartObj>
    </w:sdtPr>
    <w:sdtContent>
      <w:sdt>
        <w:sdtPr>
          <w:id w:val="18686946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5129410"/>
      <w:docPartObj>
        <w:docPartGallery w:val="Page Numbers (Bottom of Page)"/>
        <w:docPartUnique/>
      </w:docPartObj>
    </w:sdtPr>
    <w:sdtContent>
      <w:sdt>
        <w:sdtPr>
          <w:id w:val="21215552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2491995"/>
      <w:docPartObj>
        <w:docPartGallery w:val="Page Numbers (Bottom of Page)"/>
        <w:docPartUnique/>
      </w:docPartObj>
    </w:sdtPr>
    <w:sdtContent>
      <w:sdt>
        <w:sdtPr>
          <w:id w:val="9695733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7597805"/>
      <w:docPartObj>
        <w:docPartGallery w:val="Page Numbers (Bottom of Page)"/>
        <w:docPartUnique/>
      </w:docPartObj>
    </w:sdtPr>
    <w:sdtContent>
      <w:sdt>
        <w:sdtPr>
          <w:id w:val="16428641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120349"/>
      <w:docPartObj>
        <w:docPartGallery w:val="Page Numbers (Bottom of Page)"/>
        <w:docPartUnique/>
      </w:docPartObj>
    </w:sdtPr>
    <w:sdtContent>
      <w:sdt>
        <w:sdtPr>
          <w:id w:val="1937760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1859305"/>
      <w:docPartObj>
        <w:docPartGallery w:val="Page Numbers (Bottom of Page)"/>
        <w:docPartUnique/>
      </w:docPartObj>
    </w:sdtPr>
    <w:sdtContent>
      <w:sdt>
        <w:sdtPr>
          <w:id w:val="1309052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8138050"/>
      <w:docPartObj>
        <w:docPartGallery w:val="Page Numbers (Bottom of Page)"/>
        <w:docPartUnique/>
      </w:docPartObj>
    </w:sdtPr>
    <w:sdtContent>
      <w:sdt>
        <w:sdtPr>
          <w:id w:val="3145234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2884044"/>
      <w:docPartObj>
        <w:docPartGallery w:val="Page Numbers (Bottom of Page)"/>
        <w:docPartUnique/>
      </w:docPartObj>
    </w:sdtPr>
    <w:sdtContent>
      <w:sdt>
        <w:sdtPr>
          <w:id w:val="549595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3870040"/>
      <w:docPartObj>
        <w:docPartGallery w:val="Page Numbers (Bottom of Page)"/>
        <w:docPartUnique/>
      </w:docPartObj>
    </w:sdtPr>
    <w:sdtContent>
      <w:sdt>
        <w:sdtPr>
          <w:id w:val="147346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2387377"/>
      <w:docPartObj>
        <w:docPartGallery w:val="Page Numbers (Bottom of Page)"/>
        <w:docPartUnique/>
      </w:docPartObj>
    </w:sdtPr>
    <w:sdtContent>
      <w:sdt>
        <w:sdtPr>
          <w:id w:val="20072256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6420856"/>
      <w:docPartObj>
        <w:docPartGallery w:val="Page Numbers (Bottom of Page)"/>
        <w:docPartUnique/>
      </w:docPartObj>
    </w:sdtPr>
    <w:sdtContent>
      <w:sdt>
        <w:sdtPr>
          <w:id w:val="11570070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7054587"/>
      <w:docPartObj>
        <w:docPartGallery w:val="Page Numbers (Bottom of Page)"/>
        <w:docPartUnique/>
      </w:docPartObj>
    </w:sdtPr>
    <w:sdtContent>
      <w:sdt>
        <w:sdtPr>
          <w:id w:val="9837632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6038189"/>
      <w:docPartObj>
        <w:docPartGallery w:val="Page Numbers (Bottom of Page)"/>
        <w:docPartUnique/>
      </w:docPartObj>
    </w:sdtPr>
    <w:sdtContent>
      <w:sdt>
        <w:sdtPr>
          <w:id w:val="20894483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310754"/>
      <w:docPartObj>
        <w:docPartGallery w:val="Page Numbers (Bottom of Page)"/>
        <w:docPartUnique/>
      </w:docPartObj>
    </w:sdtPr>
    <w:sdtContent>
      <w:sdt>
        <w:sdtPr>
          <w:id w:val="4716464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0973562"/>
      <w:docPartObj>
        <w:docPartGallery w:val="Page Numbers (Bottom of Page)"/>
        <w:docPartUnique/>
      </w:docPartObj>
    </w:sdtPr>
    <w:sdtContent>
      <w:sdt>
        <w:sdtPr>
          <w:id w:val="448613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9777426"/>
      <w:docPartObj>
        <w:docPartGallery w:val="Page Numbers (Bottom of Page)"/>
        <w:docPartUnique/>
      </w:docPartObj>
    </w:sdtPr>
    <w:sdtContent>
      <w:sdt>
        <w:sdtPr>
          <w:id w:val="14462030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268994"/>
      <w:docPartObj>
        <w:docPartGallery w:val="Page Numbers (Bottom of Page)"/>
        <w:docPartUnique/>
      </w:docPartObj>
    </w:sdtPr>
    <w:sdtContent>
      <w:sdt>
        <w:sdtPr>
          <w:id w:val="7230360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3143474"/>
      <w:docPartObj>
        <w:docPartGallery w:val="Page Numbers (Bottom of Page)"/>
        <w:docPartUnique/>
      </w:docPartObj>
    </w:sdtPr>
    <w:sdtContent>
      <w:sdt>
        <w:sdtPr>
          <w:id w:val="21138485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5430530"/>
      <w:docPartObj>
        <w:docPartGallery w:val="Page Numbers (Bottom of Page)"/>
        <w:docPartUnique/>
      </w:docPartObj>
    </w:sdtPr>
    <w:sdtContent>
      <w:sdt>
        <w:sdtPr>
          <w:id w:val="151014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717030"/>
      <w:docPartObj>
        <w:docPartGallery w:val="Page Numbers (Bottom of Page)"/>
        <w:docPartUnique/>
      </w:docPartObj>
    </w:sdtPr>
    <w:sdtContent>
      <w:sdt>
        <w:sdtPr>
          <w:id w:val="3942617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7635465"/>
      <w:docPartObj>
        <w:docPartGallery w:val="Page Numbers (Bottom of Page)"/>
        <w:docPartUnique/>
      </w:docPartObj>
    </w:sdtPr>
    <w:sdtContent>
      <w:sdt>
        <w:sdtPr>
          <w:id w:val="16193816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8016022"/>
      <w:docPartObj>
        <w:docPartGallery w:val="Page Numbers (Bottom of Page)"/>
        <w:docPartUnique/>
      </w:docPartObj>
    </w:sdtPr>
    <w:sdtContent>
      <w:sdt>
        <w:sdtPr>
          <w:id w:val="16575935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1740696"/>
      <w:docPartObj>
        <w:docPartGallery w:val="Page Numbers (Bottom of Page)"/>
        <w:docPartUnique/>
      </w:docPartObj>
    </w:sdtPr>
    <w:sdtContent>
      <w:sdt>
        <w:sdtPr>
          <w:id w:val="946569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1193919"/>
      <w:docPartObj>
        <w:docPartGallery w:val="Page Numbers (Bottom of Page)"/>
        <w:docPartUnique/>
      </w:docPartObj>
    </w:sdtPr>
    <w:sdtContent>
      <w:sdt>
        <w:sdtPr>
          <w:id w:val="1839347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734491"/>
      <w:docPartObj>
        <w:docPartGallery w:val="Page Numbers (Bottom of Page)"/>
        <w:docPartUnique/>
      </w:docPartObj>
    </w:sdtPr>
    <w:sdtContent>
      <w:sdt>
        <w:sdtPr>
          <w:id w:val="17692721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5553620"/>
      <w:docPartObj>
        <w:docPartGallery w:val="Page Numbers (Bottom of Page)"/>
        <w:docPartUnique/>
      </w:docPartObj>
    </w:sdtPr>
    <w:sdtContent>
      <w:sdt>
        <w:sdtPr>
          <w:id w:val="14206888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2480892"/>
      <w:docPartObj>
        <w:docPartGallery w:val="Page Numbers (Bottom of Page)"/>
        <w:docPartUnique/>
      </w:docPartObj>
    </w:sdtPr>
    <w:sdtContent>
      <w:sdt>
        <w:sdtPr>
          <w:id w:val="21197851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645341"/>
      <w:docPartObj>
        <w:docPartGallery w:val="Page Numbers (Bottom of Page)"/>
        <w:docPartUnique/>
      </w:docPartObj>
    </w:sdtPr>
    <w:sdtContent>
      <w:sdt>
        <w:sdtPr>
          <w:id w:val="10802399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349DBAD" w14:textId="77777777">
    <w:pPr>
      <w:pStyle w:val="Header"/>
      <w:pBdr>
        <w:bottom w:val="single" w:sz="4" w:space="1" w:color="auto"/>
      </w:pBdr>
      <w:jc w:val="right"/>
    </w:pPr>
    <w:r>
      <w:t>2024年轮毂轴承项目可行性分析报告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2024年轮毂轴承项目可行性分析报告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2024年轮毂轴承项目可行性分析报告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2024年轮毂轴承项目可行性分析报告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2024年轮毂轴承项目可行性分析报告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7DA487A" w14:textId="77777777">
    <w:pPr>
      <w:pStyle w:val="Header"/>
      <w:pBdr>
        <w:bottom w:val="single" w:sz="4" w:space="1" w:color="auto"/>
      </w:pBdr>
      <w:jc w:val="right"/>
      <w:rPr>
        <w:sz w:val="24"/>
        <w:szCs w:val="24"/>
      </w:rPr>
    </w:pPr>
    <w:r>
      <w:t>2024年轮毂轴承项目可行性分析报告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2024年轮毂轴承项目可行性分析报告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7E7D10"/>
    <w:rsid w:val="008579E8"/>
    <w:rsid w:val="00860407"/>
    <w:rsid w:val="008756CF"/>
    <w:rsid w:val="00891E17"/>
    <w:rsid w:val="008D6901"/>
    <w:rsid w:val="00913CD1"/>
    <w:rsid w:val="009B770C"/>
    <w:rsid w:val="009C492D"/>
    <w:rsid w:val="009D1637"/>
    <w:rsid w:val="00A42E8B"/>
    <w:rsid w:val="00AB69E8"/>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B15A59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78002124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7182</Words>
  <Characters>40941</Characters>
  <Application>Microsoft Office Word</Application>
  <DocSecurity>0</DocSecurity>
  <Lines>341</Lines>
  <Paragraphs>96</Paragraphs>
  <ScaleCrop>false</ScaleCrop>
  <Company/>
  <LinksUpToDate>false</LinksUpToDate>
  <CharactersWithSpaces>48027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2024-02-02T04:16:00Z</dcterms:modified>
</cp:coreProperties>
</file>