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4" w:firstLine="68"/>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1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7"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43.020</w:t>
      </w:r>
    </w:p>
    <w:p>
      <w:pPr>
        <w:spacing w:before="0" w:after="0" w:line="313" w:lineRule="exact"/>
        <w:ind w:left="544" w:firstLine="68"/>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C</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68</w:t>
      </w:r>
    </w:p>
    <w:p>
      <w:pPr>
        <w:spacing w:before="0" w:after="0" w:line="899" w:lineRule="exact"/>
        <w:ind w:left="544" w:firstLine="7732"/>
        <w:jc w:val="left"/>
      </w:pPr>
      <w:r>
        <w:rPr>
          <w:rFonts w:ascii="Times New Roman" w:hAnsi="Times New Roman" w:cs="Times New Roman"/>
          <w:b/>
          <w:color w:val="000000"/>
          <w:spacing w:val="0"/>
          <w:w w:val="159"/>
          <w:position w:val="0"/>
          <w:sz w:val="96"/>
          <w:u w:val="none"/>
        </w:rPr>
        <w:t>34</w:t>
      </w:r>
    </w:p>
    <w:p>
      <w:pPr>
        <w:spacing w:before="0" w:after="0" w:line="240" w:lineRule="exact"/>
        <w:ind w:left="544" w:firstLine="7732"/>
      </w:pPr>
    </w:p>
    <w:p>
      <w:pPr>
        <w:tabs>
          <w:tab w:val="left" w:pos="2071"/>
          <w:tab w:val="left" w:pos="3598"/>
          <w:tab w:val="left" w:pos="5125"/>
          <w:tab w:val="left" w:pos="6651"/>
          <w:tab w:val="left" w:pos="8178"/>
          <w:tab w:val="left" w:pos="9705"/>
        </w:tabs>
        <w:spacing w:before="0" w:after="0" w:line="561" w:lineRule="exact"/>
        <w:ind w:left="544" w:firstLine="0"/>
        <w:jc w:val="left"/>
      </w:pPr>
      <w:r>
        <w:rPr>
          <w:rFonts w:ascii="黑体" w:eastAsia="黑体" w:hAnsi="黑体" w:cs="黑体"/>
          <w:color w:val="000000"/>
          <w:spacing w:val="-1"/>
          <w:w w:val="100"/>
          <w:position w:val="0"/>
          <w:sz w:val="48"/>
          <w:u w:val="none"/>
        </w:rPr>
        <w:t>安</w:t>
      </w:r>
      <w:r>
        <w:rPr>
          <w:rFonts w:cs="Calibri"/>
          <w:color w:val="000000"/>
          <w:spacing w:val="0"/>
          <w:w w:val="100"/>
          <w:u w:val="none"/>
        </w:rPr>
        <w:tab/>
      </w:r>
      <w:r>
        <w:rPr>
          <w:rFonts w:ascii="黑体" w:eastAsia="黑体" w:hAnsi="黑体" w:cs="黑体"/>
          <w:color w:val="000000"/>
          <w:spacing w:val="-1"/>
          <w:w w:val="100"/>
          <w:position w:val="0"/>
          <w:sz w:val="48"/>
          <w:u w:val="none"/>
        </w:rPr>
        <w:t>徽</w:t>
      </w:r>
      <w:r>
        <w:rPr>
          <w:rFonts w:cs="Calibri"/>
          <w:color w:val="000000"/>
          <w:spacing w:val="6684783"/>
          <w:w w:val="100"/>
          <w:u w:val="none"/>
        </w:rPr>
        <w:tab/>
      </w:r>
      <w:r>
        <w:rPr>
          <w:rFonts w:ascii="黑体" w:eastAsia="黑体" w:hAnsi="黑体" w:cs="黑体"/>
          <w:color w:val="000000"/>
          <w:spacing w:val="-1"/>
          <w:w w:val="100"/>
          <w:position w:val="0"/>
          <w:sz w:val="48"/>
          <w:u w:val="none"/>
        </w:rPr>
        <w:t>省</w:t>
      </w:r>
      <w:r>
        <w:rPr>
          <w:rFonts w:cs="Calibri"/>
          <w:color w:val="000000"/>
          <w:spacing w:val="310753096"/>
          <w:w w:val="100"/>
          <w:u w:val="none"/>
        </w:rPr>
        <w:tab/>
      </w:r>
      <w:r>
        <w:rPr>
          <w:rFonts w:ascii="黑体" w:eastAsia="黑体" w:hAnsi="黑体" w:cs="黑体"/>
          <w:color w:val="000000"/>
          <w:spacing w:val="-1"/>
          <w:w w:val="100"/>
          <w:position w:val="0"/>
          <w:sz w:val="48"/>
          <w:u w:val="none"/>
        </w:rPr>
        <w:t>地</w:t>
      </w:r>
      <w:r>
        <w:rPr>
          <w:rFonts w:cs="Calibri"/>
          <w:color w:val="000000"/>
          <w:spacing w:val="310755844"/>
          <w:w w:val="100"/>
          <w:u w:val="none"/>
        </w:rPr>
        <w:tab/>
      </w:r>
      <w:r>
        <w:rPr>
          <w:rFonts w:ascii="黑体" w:eastAsia="黑体" w:hAnsi="黑体" w:cs="黑体"/>
          <w:color w:val="000000"/>
          <w:spacing w:val="-1"/>
          <w:w w:val="100"/>
          <w:position w:val="0"/>
          <w:sz w:val="48"/>
          <w:u w:val="none"/>
        </w:rPr>
        <w:t>方</w:t>
      </w:r>
      <w:r>
        <w:rPr>
          <w:rFonts w:cs="Calibri"/>
          <w:color w:val="000000"/>
          <w:spacing w:val="6619245"/>
          <w:w w:val="100"/>
          <w:u w:val="none"/>
        </w:rPr>
        <w:tab/>
      </w:r>
      <w:r>
        <w:rPr>
          <w:rFonts w:ascii="黑体" w:eastAsia="黑体" w:hAnsi="黑体" w:cs="黑体"/>
          <w:color w:val="000000"/>
          <w:spacing w:val="-1"/>
          <w:w w:val="100"/>
          <w:position w:val="0"/>
          <w:sz w:val="48"/>
          <w:u w:val="none"/>
        </w:rPr>
        <w:t>标</w:t>
      </w:r>
      <w:r>
        <w:rPr>
          <w:rFonts w:cs="Calibri"/>
          <w:color w:val="000000"/>
          <w:spacing w:val="48"/>
          <w:w w:val="100"/>
          <w:u w:val="none"/>
        </w:rPr>
        <w:tab/>
      </w:r>
      <w:r>
        <w:rPr>
          <w:rFonts w:ascii="黑体" w:eastAsia="黑体" w:hAnsi="黑体" w:cs="黑体"/>
          <w:color w:val="000000"/>
          <w:spacing w:val="-1"/>
          <w:w w:val="100"/>
          <w:position w:val="0"/>
          <w:sz w:val="48"/>
          <w:u w:val="none"/>
        </w:rPr>
        <w:t>准</w:t>
      </w:r>
    </w:p>
    <w:p>
      <w:pPr>
        <w:spacing w:before="0" w:after="0" w:line="447" w:lineRule="exact"/>
        <w:ind w:left="544" w:firstLine="0"/>
      </w:pPr>
    </w:p>
    <w:p>
      <w:pPr>
        <w:spacing w:before="0" w:after="0" w:line="281" w:lineRule="exact"/>
        <w:ind w:left="544" w:firstLine="7091"/>
        <w:jc w:val="left"/>
      </w:pPr>
      <w:r>
        <w:rPr>
          <w:rFonts w:ascii="黑体" w:hAnsi="黑体" w:cs="黑体"/>
          <w:color w:val="000000"/>
          <w:spacing w:val="0"/>
          <w:w w:val="100"/>
          <w:position w:val="0"/>
          <w:sz w:val="28"/>
          <w:u w:val="none"/>
        </w:rPr>
        <w:t>DB34/T</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1716—2022</w:t>
      </w:r>
    </w:p>
    <w:p>
      <w:pPr>
        <w:spacing w:before="0" w:after="0" w:line="326" w:lineRule="exact"/>
        <w:ind w:left="544" w:firstLine="7266"/>
        <w:jc w:val="left"/>
      </w:pPr>
      <w:r>
        <w:rPr>
          <w:rFonts w:ascii="黑体" w:eastAsia="黑体" w:hAnsi="黑体" w:cs="黑体"/>
          <w:color w:val="000000"/>
          <w:spacing w:val="0"/>
          <w:w w:val="100"/>
          <w:position w:val="0"/>
          <w:sz w:val="21"/>
          <w:u w:val="none"/>
        </w:rPr>
        <w:t>代替</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DB34/T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1716-2012</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0" w:lineRule="exact"/>
        <w:ind w:left="544" w:firstLine="7266"/>
      </w:pPr>
    </w:p>
    <w:p>
      <w:pPr>
        <w:spacing w:before="0" w:after="0" w:line="246" w:lineRule="exact"/>
        <w:ind w:left="544" w:firstLine="7266"/>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1838" w:firstLine="0"/>
        <w:jc w:val="left"/>
      </w:pPr>
      <w:r>
        <w:rPr>
          <w:rFonts w:ascii="黑体" w:eastAsia="黑体" w:hAnsi="黑体" w:cs="黑体"/>
          <w:color w:val="000000"/>
          <w:spacing w:val="0"/>
          <w:w w:val="100"/>
          <w:position w:val="0"/>
          <w:sz w:val="52"/>
          <w:u w:val="none"/>
        </w:rPr>
        <w:t>防爆叉车定期（首次）检验规程</w:t>
      </w:r>
    </w:p>
    <w:p>
      <w:pPr>
        <w:spacing w:before="0" w:after="0" w:line="240" w:lineRule="exact"/>
        <w:ind w:left="1838" w:firstLine="0"/>
      </w:pPr>
    </w:p>
    <w:p>
      <w:pPr>
        <w:spacing w:before="0" w:after="0" w:line="240" w:lineRule="exact"/>
        <w:ind w:left="1838" w:firstLine="0"/>
      </w:pPr>
    </w:p>
    <w:p>
      <w:pPr>
        <w:spacing w:before="0" w:after="0" w:line="302" w:lineRule="exact"/>
        <w:ind w:left="1838" w:firstLine="310"/>
        <w:jc w:val="left"/>
      </w:pPr>
      <w:r>
        <w:rPr>
          <w:rFonts w:ascii="Times New Roman" w:hAnsi="Times New Roman" w:cs="Times New Roman"/>
          <w:color w:val="000000"/>
          <w:spacing w:val="0"/>
          <w:w w:val="100"/>
          <w:position w:val="0"/>
          <w:sz w:val="28"/>
          <w:u w:val="none"/>
        </w:rPr>
        <w:t>Rules</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periodical</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inspection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the</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explosion-proof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truck</w:t>
      </w: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240" w:lineRule="exact"/>
        <w:ind w:left="1838" w:firstLine="310"/>
      </w:pPr>
    </w:p>
    <w:p>
      <w:pPr>
        <w:spacing w:before="0" w:after="0" w:line="395" w:lineRule="exact"/>
        <w:ind w:left="1838" w:firstLine="310"/>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2022 - 10 - 26</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16843009"/>
          <w:w w:val="100"/>
          <w:u w:val="single"/>
        </w:rPr>
        <w:tab/>
      </w:r>
      <w:r>
        <w:rPr>
          <w:rFonts w:ascii="黑体" w:hAnsi="黑体" w:cs="黑体"/>
          <w:color w:val="000000"/>
          <w:spacing w:val="-20"/>
          <w:w w:val="100"/>
          <w:position w:val="0"/>
          <w:sz w:val="28"/>
          <w:u w:val="single"/>
        </w:rPr>
        <w:t>2022 - 11 - 26</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0" w:lineRule="exact"/>
        <w:ind w:left="660" w:firstLine="2631"/>
        <w:jc w:val="left"/>
      </w:pPr>
      <w:r>
        <w:rPr>
          <w:rFonts w:ascii="黑体" w:eastAsia="黑体" w:hAnsi="黑体" w:cs="黑体"/>
          <w:color w:val="000000"/>
          <w:spacing w:val="0"/>
          <w:w w:val="100"/>
          <w:position w:val="0"/>
          <w:sz w:val="28"/>
          <w:u w:val="none"/>
        </w:rPr>
        <w:t>安徽省市场监督管理局</w:t>
      </w:r>
      <w:r>
        <w:rPr>
          <w:rFonts w:cs="Calibri"/>
          <w:color w:val="000000"/>
          <w:spacing w:val="6"/>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347" w:lineRule="exact"/>
        <w:sectPr>
          <w:type w:val="continuous"/>
          <w:pgSz w:w="11906" w:h="16839"/>
          <w:pgMar w:top="1101" w:right="708" w:bottom="861" w:left="1068"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bookmarkStart w:id="3" w:name="_GoBack"/>
      <w:bookmarkEnd w:id="3"/>
    </w:p>
    <w:p>
      <w:pPr>
        <w:widowControl/>
        <w:jc w:val="left"/>
        <w:sectPr>
          <w:type w:val="nextPage"/>
          <w:pgSz w:w="11906" w:h="16839"/>
          <w:pgMar w:top="1101" w:right="708" w:bottom="861" w:left="1068" w:header="0" w:footer="0" w:gutter="0"/>
          <w:pgNumType w:start="7"/>
          <w:cols w:num="1" w:space="720"/>
          <w:titlePg w:val="0"/>
          <w:docGrid w:type="lines" w:linePitch="312" w:charSpace="0"/>
        </w:sectPr>
      </w:pPr>
    </w:p>
    <w:p>
      <w:pPr>
        <w:spacing w:before="0" w:after="0" w:line="211" w:lineRule="exact"/>
        <w:ind w:left="351" w:firstLine="7571"/>
        <w:jc w:val="left"/>
      </w:pPr>
      <w:r>
        <w:pict>
          <v:shape id="imagerId9" o:spid="_x0000_s1027" type="#_x0000_t75" style="width:17pt;height:10pt;margin-top:298pt;margin-left:81pt;mso-height-relative:page;mso-position-horizontal-relative:page;mso-position-vertical-relative:page;mso-width-relative:page;position:absolute;z-index:-251656192" coordsize="21600,21600" filled="f">
            <v:imagedata r:id="rId6" o:title=""/>
            <o:lock v:ext="edit" aspectratio="t"/>
          </v:shape>
        </w:pict>
      </w:r>
      <w:r>
        <w:pict>
          <v:shape id="imagerId10" o:spid="_x0000_s1028" type="#_x0000_t75" style="width:17pt;height:10pt;margin-top:313pt;margin-left:81pt;mso-height-relative:page;mso-position-horizontal-relative:page;mso-position-vertical-relative:page;mso-width-relative:page;position:absolute;z-index:-251655168" coordsize="21600,21600" filled="f">
            <v:imagedata r:id="rId7" o:title=""/>
            <o:lock v:ext="edit" aspectratio="t"/>
          </v:shape>
        </w:pict>
      </w:r>
      <w:r>
        <w:pict>
          <v:shape id="imagerId11" o:spid="_x0000_s1029" type="#_x0000_t75" style="width:17pt;height:10pt;margin-top:328pt;margin-left:81pt;mso-height-relative:page;mso-position-horizontal-relative:page;mso-position-vertical-relative:page;mso-width-relative:page;position:absolute;z-index:-251654144" coordsize="21600,21600" filled="f">
            <v:imagedata r:id="rId8" o:title=""/>
            <o:lock v:ext="edit" aspectratio="t"/>
          </v:shape>
        </w:pict>
      </w:r>
      <w:r>
        <w:pict>
          <v:shape id="imagerId12" o:spid="_x0000_s1030" type="#_x0000_t75" style="width:17pt;height:10pt;margin-top:343pt;margin-left:81pt;mso-height-relative:page;mso-position-horizontal-relative:page;mso-position-vertical-relative:page;mso-width-relative:page;position:absolute;z-index:-251653120" coordsize="21600,21600" filled="f">
            <v:imagedata r:id="rId9" o:title=""/>
            <o:lock v:ext="edit" aspectratio="t"/>
          </v:shape>
        </w:pict>
      </w:r>
      <w:r>
        <w:pict>
          <v:shape id="imagerId13" o:spid="_x0000_s1031" type="#_x0000_t75" style="width:17pt;height:10pt;margin-top:358pt;margin-left:81pt;mso-height-relative:page;mso-position-horizontal-relative:page;mso-position-vertical-relative:page;mso-width-relative:page;position:absolute;z-index:-251652096" coordsize="21600,21600" filled="f">
            <v:imagedata r:id="rId10" o:title=""/>
            <o:lock v:ext="edit" aspectratio="t"/>
          </v:shape>
        </w:pict>
      </w:r>
      <w:r>
        <w:pict>
          <v:shape id="imagerId14" o:spid="_x0000_s1032" type="#_x0000_t75" style="width:17pt;height:10pt;margin-top:373pt;margin-left:81pt;mso-height-relative:page;mso-position-horizontal-relative:page;mso-position-vertical-relative:page;mso-width-relative:page;position:absolute;z-index:-251651072" coordsize="21600,21600" filled="f">
            <v:imagedata r:id="rId11" o:title=""/>
            <o:lock v:ext="edit" aspectratio="t"/>
          </v:shape>
        </w:pict>
      </w:r>
      <w:r>
        <w:pict>
          <v:shape id="imagerId15" o:spid="_x0000_s1033" type="#_x0000_t75" style="width:17pt;height:10pt;margin-top:388pt;margin-left:81pt;mso-height-relative:page;mso-position-horizontal-relative:page;mso-position-vertical-relative:page;mso-width-relative:page;position:absolute;z-index:-251650048" coordsize="21600,21600" filled="f">
            <v:imagedata r:id="rId12" o:title=""/>
            <o:lock v:ext="edit" aspectratio="t"/>
          </v:shape>
        </w:pict>
      </w:r>
      <w:r>
        <w:pict>
          <v:shape id="imagerId16" o:spid="_x0000_s1034" type="#_x0000_t75" style="width:17pt;height:10pt;margin-top:403pt;margin-left:81pt;mso-height-relative:page;mso-position-horizontal-relative:page;mso-position-vertical-relative:page;mso-width-relative:page;position:absolute;z-index:-251649024" coordsize="21600,21600" filled="f">
            <v:imagedata r:id="rId13" o:title=""/>
            <o:lock v:ext="edit" aspectratio="t"/>
          </v:shape>
        </w:pict>
      </w:r>
      <w:r>
        <w:pict>
          <v:shape id="imagerId17" o:spid="_x0000_s1035" type="#_x0000_t75" style="width:17pt;height:10pt;margin-top:418pt;margin-left:81pt;mso-height-relative:page;mso-position-horizontal-relative:page;mso-position-vertical-relative:page;mso-width-relative:page;position:absolute;z-index:-251648000" coordsize="21600,21600" filled="f">
            <v:imagedata r:id="rId14" o:title=""/>
            <o:lock v:ext="edit" aspectratio="t"/>
          </v:shape>
        </w:pict>
      </w:r>
      <w:r>
        <w:pict>
          <v:shape id="imagerId18" o:spid="_x0000_s1036" type="#_x0000_t75" style="width:22pt;height:10pt;margin-top:433pt;margin-left:81pt;mso-height-relative:page;mso-position-horizontal-relative:page;mso-position-vertical-relative:page;mso-width-relative:page;position:absolute;z-index:-251646976" coordsize="21600,21600" filled="f">
            <v:imagedata r:id="rId15" o:title=""/>
            <o:lock v:ext="edit" aspectratio="t"/>
          </v:shape>
        </w:pict>
      </w:r>
      <w:r>
        <w:pict>
          <v:shape id="imagerId19" o:spid="_x0000_s1037" type="#_x0000_t75" style="width:22pt;height:10pt;margin-top:448pt;margin-left:81pt;mso-height-relative:page;mso-position-horizontal-relative:page;mso-position-vertical-relative:page;mso-width-relative:page;position:absolute;z-index:-251645952" coordsize="21600,21600" filled="f">
            <v:imagedata r:id="rId16" o:title=""/>
            <o:lock v:ext="edit" aspectratio="t"/>
          </v:shape>
        </w:pict>
      </w:r>
      <w:r>
        <w:pict>
          <v:shape id="imagerId20" o:spid="_x0000_s1038" type="#_x0000_t75" style="width:22pt;height:10pt;margin-top:463pt;margin-left:81pt;mso-height-relative:page;mso-position-horizontal-relative:page;mso-position-vertical-relative:page;mso-width-relative:page;position:absolute;z-index:-251644928" coordsize="21600,21600" filled="f">
            <v:imagedata r:id="rId17" o:title=""/>
            <o:lock v:ext="edit" aspectratio="t"/>
          </v:shape>
        </w:pict>
      </w:r>
      <w:r>
        <w:pict>
          <v:shape id="imagerId21" o:spid="_x0000_s1039" type="#_x0000_t75" style="width:22pt;height:10pt;margin-top:478pt;margin-left:81pt;mso-height-relative:page;mso-position-horizontal-relative:page;mso-position-vertical-relative:page;mso-width-relative:page;position:absolute;z-index:-251643904" coordsize="21600,21600" filled="f">
            <v:imagedata r:id="rId18" o:title=""/>
            <o:lock v:ext="edit" aspectratio="t"/>
          </v:shape>
        </w:pict>
      </w:r>
      <w:r>
        <w:pict>
          <v:shape id="imagerId22" o:spid="_x0000_s1040" type="#_x0000_t75" style="width:22pt;height:10pt;margin-top:493pt;margin-left:81pt;mso-height-relative:page;mso-position-horizontal-relative:page;mso-position-vertical-relative:page;mso-width-relative:page;position:absolute;z-index:-251642880" coordsize="21600,21600" filled="f">
            <v:imagedata r:id="rId19" o:title=""/>
            <o:lock v:ext="edit" aspectratio="t"/>
          </v:shape>
        </w:pict>
      </w:r>
      <w:r>
        <w:pict>
          <v:shape id="imagerId23" o:spid="_x0000_s1041" type="#_x0000_t75" style="width:22pt;height:10pt;margin-top:508pt;margin-left:81pt;mso-height-relative:page;mso-position-horizontal-relative:page;mso-position-vertical-relative:page;mso-width-relative:page;position:absolute;z-index:-251641856" coordsize="21600,21600" filled="f">
            <v:imagedata r:id="rId20" o:title=""/>
            <o:lock v:ext="edit" aspectratio="t"/>
          </v:shape>
        </w:pict>
      </w:r>
      <w:r>
        <w:pict>
          <v:shape id="imagerId24" o:spid="_x0000_s1042" type="#_x0000_t75" style="width:22pt;height:10pt;margin-top:523pt;margin-left:81pt;mso-height-relative:page;mso-position-horizontal-relative:page;mso-position-vertical-relative:page;mso-width-relative:page;position:absolute;z-index:-251640832" coordsize="21600,21600" filled="f">
            <v:imagedata r:id="rId21" o:title=""/>
            <o:lock v:ext="edit" aspectratio="t"/>
          </v:shape>
        </w:pict>
      </w:r>
      <w:r>
        <w:pict>
          <v:shape id="imagerId25" o:spid="_x0000_s1043" type="#_x0000_t75" style="width:22pt;height:10pt;margin-top:538pt;margin-left:81pt;mso-height-relative:page;mso-position-horizontal-relative:page;mso-position-vertical-relative:page;mso-width-relative:page;position:absolute;z-index:-251639808" coordsize="21600,21600" filled="f">
            <v:imagedata r:id="rId22"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5"/>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tabs>
          <w:tab w:val="left" w:pos="9484"/>
        </w:tabs>
        <w:spacing w:before="0" w:after="0" w:line="251"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7"/>
        </w:tabs>
        <w:spacing w:before="0" w:after="0" w:line="399" w:lineRule="exact"/>
        <w:ind w:left="351" w:firstLine="0"/>
        <w:jc w:val="left"/>
      </w:pPr>
      <w:hyperlink w:anchor="9" w:history="1">
        <w:r>
          <w:rPr>
            <w:rStyle w:val="Hyperlink"/>
            <w:rFonts w:ascii="宋体" w:hAnsi="宋体" w:cs="宋体"/>
            <w:color w:val="000000"/>
            <w:spacing w:val="0"/>
            <w:w w:val="100"/>
            <w:position w:val="0"/>
            <w:sz w:val="21"/>
            <w:u w:val="none"/>
          </w:rPr>
          <w:t>5</w:t>
        </w:r>
      </w:hyperlink>
      <w:r>
        <w:rPr>
          <w:rFonts w:cs="Calibri"/>
          <w:w w:val="100"/>
        </w:rPr>
        <w:tab/>
      </w:r>
      <w:hyperlink w:anchor="9" w:history="1">
        <w:r>
          <w:rPr>
            <w:rStyle w:val="Hyperlink"/>
            <w:rFonts w:ascii="宋体" w:hAnsi="宋体" w:cs="宋体"/>
            <w:color w:val="000000"/>
            <w:spacing w:val="-1"/>
            <w:w w:val="100"/>
            <w:position w:val="0"/>
            <w:sz w:val="21"/>
            <w:u w:val="none"/>
          </w:rPr>
          <w:t>检验检测项目、技术要求</w:t>
        </w:r>
      </w:hyperlink>
      <w:r>
        <w:rPr>
          <w:rFonts w:ascii="Calibri" w:hAnsi="Calibri" w:cs="Calibri"/>
          <w:color w:val="000000"/>
          <w:spacing w:val="25"/>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5</w:t>
        </w:r>
      </w:hyperlink>
    </w:p>
    <w:p>
      <w:pPr>
        <w:tabs>
          <w:tab w:val="left" w:pos="9590"/>
        </w:tabs>
        <w:spacing w:before="0" w:after="0" w:line="319" w:lineRule="exact"/>
        <w:ind w:left="351" w:firstLine="737"/>
        <w:jc w:val="left"/>
      </w:pPr>
      <w:hyperlink w:anchor="9" w:history="1">
        <w:r>
          <w:rPr>
            <w:rStyle w:val="Hyperlink"/>
            <w:rFonts w:ascii="宋体" w:eastAsia="宋体" w:hAnsi="宋体" w:cs="宋体"/>
            <w:color w:val="000000"/>
            <w:spacing w:val="0"/>
            <w:w w:val="100"/>
            <w:position w:val="0"/>
            <w:sz w:val="21"/>
            <w:u w:val="none"/>
          </w:rPr>
          <w:t>资料核查</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5</w:t>
        </w:r>
      </w:hyperlink>
    </w:p>
    <w:p>
      <w:pPr>
        <w:tabs>
          <w:tab w:val="left" w:pos="9590"/>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结构型式</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5</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主要参数测量</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整车外观检查</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铭牌和安全警示标志检查</w:t>
        </w:r>
      </w:hyperlink>
      <w:r>
        <w:rPr>
          <w:rFonts w:ascii="Calibri" w:hAnsi="Calibri" w:cs="Calibri"/>
          <w:color w:val="000000"/>
          <w:spacing w:val="0"/>
          <w:w w:val="157"/>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动力系统检查</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传动系统检查</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6</w:t>
        </w:r>
      </w:hyperlink>
    </w:p>
    <w:p>
      <w:pPr>
        <w:tabs>
          <w:tab w:val="left" w:pos="9590"/>
        </w:tabs>
        <w:spacing w:before="0" w:after="0" w:line="300" w:lineRule="exact"/>
        <w:ind w:left="351" w:firstLine="737"/>
        <w:jc w:val="left"/>
      </w:pPr>
      <w:hyperlink w:anchor="11" w:history="1">
        <w:r>
          <w:rPr>
            <w:rStyle w:val="Hyperlink"/>
            <w:rFonts w:ascii="宋体" w:eastAsia="宋体" w:hAnsi="宋体" w:cs="宋体"/>
            <w:color w:val="000000"/>
            <w:spacing w:val="0"/>
            <w:w w:val="100"/>
            <w:position w:val="0"/>
            <w:sz w:val="21"/>
            <w:u w:val="none"/>
          </w:rPr>
          <w:t>行驶系统检查</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00" w:lineRule="exact"/>
        <w:ind w:left="351" w:firstLine="737"/>
        <w:jc w:val="left"/>
      </w:pPr>
      <w:hyperlink w:anchor="11" w:history="1">
        <w:r>
          <w:rPr>
            <w:rStyle w:val="Hyperlink"/>
            <w:rFonts w:ascii="宋体" w:eastAsia="宋体" w:hAnsi="宋体" w:cs="宋体"/>
            <w:color w:val="000000"/>
            <w:spacing w:val="0"/>
            <w:w w:val="100"/>
            <w:position w:val="0"/>
            <w:sz w:val="21"/>
            <w:u w:val="none"/>
          </w:rPr>
          <w:t>转向与操纵系统检查</w:t>
        </w:r>
      </w:hyperlink>
      <w:r>
        <w:rPr>
          <w:rFonts w:ascii="Calibri" w:hAnsi="Calibri" w:cs="Calibri"/>
          <w:color w:val="000000"/>
          <w:spacing w:val="23"/>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00" w:lineRule="exact"/>
        <w:ind w:left="351" w:firstLine="842"/>
        <w:jc w:val="left"/>
      </w:pPr>
      <w:hyperlink w:anchor="11" w:history="1">
        <w:r>
          <w:rPr>
            <w:rStyle w:val="Hyperlink"/>
            <w:rFonts w:ascii="宋体" w:eastAsia="宋体" w:hAnsi="宋体" w:cs="宋体"/>
            <w:color w:val="000000"/>
            <w:spacing w:val="0"/>
            <w:w w:val="100"/>
            <w:position w:val="0"/>
            <w:sz w:val="21"/>
            <w:u w:val="none"/>
          </w:rPr>
          <w:t>液压系统检查</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00" w:lineRule="exact"/>
        <w:ind w:left="351" w:firstLine="842"/>
        <w:jc w:val="left"/>
      </w:pPr>
      <w:hyperlink w:anchor="11" w:history="1">
        <w:r>
          <w:rPr>
            <w:rStyle w:val="Hyperlink"/>
            <w:rFonts w:ascii="宋体" w:eastAsia="宋体" w:hAnsi="宋体" w:cs="宋体"/>
            <w:color w:val="000000"/>
            <w:spacing w:val="0"/>
            <w:w w:val="100"/>
            <w:position w:val="0"/>
            <w:sz w:val="21"/>
            <w:u w:val="none"/>
          </w:rPr>
          <w:t>制动系统检查</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00" w:lineRule="exact"/>
        <w:ind w:left="351" w:firstLine="842"/>
        <w:jc w:val="left"/>
      </w:pPr>
      <w:hyperlink w:anchor="11" w:history="1">
        <w:r>
          <w:rPr>
            <w:rStyle w:val="Hyperlink"/>
            <w:rFonts w:ascii="宋体" w:eastAsia="宋体" w:hAnsi="宋体" w:cs="宋体"/>
            <w:color w:val="000000"/>
            <w:spacing w:val="0"/>
            <w:w w:val="100"/>
            <w:position w:val="0"/>
            <w:sz w:val="21"/>
            <w:u w:val="none"/>
          </w:rPr>
          <w:t>电气和控制系统检查</w:t>
        </w:r>
      </w:hyperlink>
      <w:r>
        <w:rPr>
          <w:rFonts w:ascii="Calibri" w:hAnsi="Calibri" w:cs="Calibri"/>
          <w:color w:val="000000"/>
          <w:spacing w:val="23"/>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9590"/>
        </w:tabs>
        <w:spacing w:before="0" w:after="0" w:line="300" w:lineRule="exact"/>
        <w:ind w:left="351" w:firstLine="842"/>
        <w:jc w:val="left"/>
      </w:pPr>
      <w:hyperlink w:anchor="12" w:history="1">
        <w:r>
          <w:rPr>
            <w:rStyle w:val="Hyperlink"/>
            <w:rFonts w:ascii="宋体" w:eastAsia="宋体" w:hAnsi="宋体" w:cs="宋体"/>
            <w:color w:val="000000"/>
            <w:spacing w:val="0"/>
            <w:w w:val="100"/>
            <w:position w:val="0"/>
            <w:sz w:val="21"/>
            <w:u w:val="none"/>
          </w:rPr>
          <w:t>工作装置检查</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590"/>
        </w:tabs>
        <w:spacing w:before="0" w:after="0" w:line="300" w:lineRule="exact"/>
        <w:ind w:left="351" w:firstLine="842"/>
        <w:jc w:val="left"/>
      </w:pPr>
      <w:hyperlink w:anchor="12" w:history="1">
        <w:r>
          <w:rPr>
            <w:rStyle w:val="Hyperlink"/>
            <w:rFonts w:ascii="宋体" w:hAnsi="宋体" w:cs="宋体"/>
            <w:color w:val="000000"/>
            <w:spacing w:val="0"/>
            <w:w w:val="100"/>
            <w:position w:val="0"/>
            <w:sz w:val="21"/>
            <w:u w:val="none"/>
          </w:rPr>
          <w:t>防爆电器、部件检查</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590"/>
        </w:tabs>
        <w:spacing w:before="0" w:after="0" w:line="300" w:lineRule="exact"/>
        <w:ind w:left="351" w:firstLine="842"/>
        <w:jc w:val="left"/>
      </w:pPr>
      <w:hyperlink w:anchor="13" w:history="1">
        <w:r>
          <w:rPr>
            <w:rStyle w:val="Hyperlink"/>
            <w:rFonts w:ascii="宋体" w:eastAsia="宋体" w:hAnsi="宋体" w:cs="宋体"/>
            <w:color w:val="000000"/>
            <w:spacing w:val="0"/>
            <w:w w:val="100"/>
            <w:position w:val="0"/>
            <w:sz w:val="21"/>
            <w:u w:val="none"/>
          </w:rPr>
          <w:t>安全保护与防护装置检查</w:t>
        </w:r>
      </w:hyperlink>
      <w:r>
        <w:rPr>
          <w:rFonts w:ascii="Calibri" w:hAnsi="Calibri" w:cs="Calibri"/>
          <w:color w:val="000000"/>
          <w:spacing w:val="23"/>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9</w:t>
        </w:r>
      </w:hyperlink>
    </w:p>
    <w:p>
      <w:pPr>
        <w:tabs>
          <w:tab w:val="left" w:pos="9484"/>
        </w:tabs>
        <w:spacing w:before="0" w:after="0" w:line="300" w:lineRule="exact"/>
        <w:ind w:left="351" w:firstLine="842"/>
        <w:jc w:val="left"/>
      </w:pPr>
      <w:hyperlink w:anchor="14" w:history="1">
        <w:r>
          <w:rPr>
            <w:rStyle w:val="Hyperlink"/>
            <w:rFonts w:ascii="宋体" w:eastAsia="宋体" w:hAnsi="宋体" w:cs="宋体"/>
            <w:color w:val="000000"/>
            <w:spacing w:val="0"/>
            <w:w w:val="100"/>
            <w:position w:val="0"/>
            <w:sz w:val="21"/>
            <w:u w:val="none"/>
          </w:rPr>
          <w:t>作业环境</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10</w:t>
        </w:r>
      </w:hyperlink>
    </w:p>
    <w:p>
      <w:pPr>
        <w:tabs>
          <w:tab w:val="left" w:pos="9484"/>
        </w:tabs>
        <w:spacing w:before="0" w:after="0" w:line="300" w:lineRule="exact"/>
        <w:ind w:left="351" w:firstLine="842"/>
        <w:jc w:val="left"/>
      </w:pPr>
      <w:hyperlink w:anchor="14" w:history="1">
        <w:r>
          <w:rPr>
            <w:rStyle w:val="Hyperlink"/>
            <w:rFonts w:ascii="宋体" w:eastAsia="宋体" w:hAnsi="宋体" w:cs="宋体"/>
            <w:color w:val="000000"/>
            <w:spacing w:val="0"/>
            <w:w w:val="100"/>
            <w:position w:val="0"/>
            <w:sz w:val="21"/>
            <w:u w:val="none"/>
          </w:rPr>
          <w:t>性能试验</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10</w:t>
        </w:r>
      </w:hyperlink>
    </w:p>
    <w:p>
      <w:pPr>
        <w:tabs>
          <w:tab w:val="left" w:pos="2189"/>
        </w:tabs>
        <w:spacing w:before="0" w:after="0" w:line="382" w:lineRule="exact"/>
        <w:ind w:left="351" w:firstLine="0"/>
        <w:jc w:val="left"/>
      </w:pPr>
      <w:hyperlink w:anchor="1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A</w:t>
        </w:r>
      </w:hyperlink>
      <w:hyperlink w:anchor="15"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5" w:history="1">
        <w:r>
          <w:rPr>
            <w:rStyle w:val="Hyperlink"/>
            <w:rFonts w:ascii="宋体" w:eastAsia="宋体" w:hAnsi="宋体" w:cs="宋体"/>
            <w:color w:val="000000"/>
            <w:spacing w:val="0"/>
            <w:w w:val="100"/>
            <w:position w:val="0"/>
            <w:sz w:val="21"/>
            <w:u w:val="none"/>
          </w:rPr>
          <w:t>防爆叉车检验必备仪器设备表</w:t>
        </w:r>
      </w:hyperlink>
      <w:r>
        <w:rPr>
          <w:rFonts w:ascii="Calibri" w:hAnsi="Calibri" w:cs="Calibri"/>
          <w:color w:val="000000"/>
          <w:spacing w:val="-19"/>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11</w:t>
        </w:r>
      </w:hyperlink>
    </w:p>
    <w:p>
      <w:pPr>
        <w:tabs>
          <w:tab w:val="left" w:pos="2189"/>
        </w:tabs>
        <w:spacing w:before="0" w:after="0" w:line="401" w:lineRule="exact"/>
        <w:ind w:left="351"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B</w:t>
        </w:r>
      </w:hyperlink>
      <w:hyperlink w:anchor="16"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6" w:history="1">
        <w:r>
          <w:rPr>
            <w:rStyle w:val="Hyperlink"/>
            <w:rFonts w:ascii="宋体" w:eastAsia="宋体" w:hAnsi="宋体" w:cs="宋体"/>
            <w:color w:val="000000"/>
            <w:spacing w:val="0"/>
            <w:w w:val="100"/>
            <w:position w:val="0"/>
            <w:sz w:val="21"/>
            <w:u w:val="none"/>
          </w:rPr>
          <w:t>防爆电气选型及一般规定</w:t>
        </w:r>
      </w:hyperlink>
      <w:r>
        <w:rPr>
          <w:rFonts w:ascii="Calibri" w:hAnsi="Calibri" w:cs="Calibri"/>
          <w:color w:val="000000"/>
          <w:spacing w:val="-21"/>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12</w:t>
        </w:r>
      </w:hyperlink>
    </w:p>
    <w:p>
      <w:pPr>
        <w:tabs>
          <w:tab w:val="left" w:pos="9388"/>
        </w:tabs>
        <w:spacing w:before="0" w:after="0" w:line="319" w:lineRule="exact"/>
        <w:ind w:left="351" w:firstLine="211"/>
        <w:jc w:val="left"/>
      </w:pPr>
      <w:hyperlink w:anchor="16" w:history="1">
        <w:r>
          <w:rPr>
            <w:rStyle w:val="Hyperlink"/>
            <w:rFonts w:ascii="宋体" w:hAnsi="宋体" w:cs="宋体"/>
            <w:color w:val="000000"/>
            <w:spacing w:val="0"/>
            <w:w w:val="100"/>
            <w:position w:val="0"/>
            <w:sz w:val="21"/>
            <w:u w:val="none"/>
          </w:rPr>
          <w:t>B.1</w:t>
        </w:r>
      </w:hyperlink>
      <w:r>
        <w:rPr>
          <w:rFonts w:ascii="Calibri" w:hAnsi="Calibri" w:cs="Calibri"/>
          <w:color w:val="000000"/>
          <w:spacing w:val="0"/>
          <w:w w:val="384"/>
          <w:sz w:val="24"/>
          <w:u w:val="none"/>
        </w:rPr>
        <w:t> </w:t>
      </w:r>
      <w:hyperlink w:anchor="16" w:history="1">
        <w:r>
          <w:rPr>
            <w:rStyle w:val="Hyperlink"/>
            <w:rFonts w:ascii="宋体" w:eastAsia="宋体" w:hAnsi="宋体" w:cs="宋体"/>
            <w:color w:val="000000"/>
            <w:spacing w:val="0"/>
            <w:w w:val="100"/>
            <w:position w:val="0"/>
            <w:sz w:val="21"/>
            <w:u w:val="none"/>
          </w:rPr>
          <w:t>原则要求</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6" w:history="1">
        <w:r>
          <w:rPr>
            <w:rStyle w:val="Hyperlink"/>
            <w:rFonts w:ascii="宋体" w:hAnsi="宋体" w:cs="宋体"/>
            <w:color w:val="000000"/>
            <w:spacing w:val="0"/>
            <w:w w:val="100"/>
            <w:position w:val="0"/>
            <w:sz w:val="21"/>
            <w:u w:val="none"/>
          </w:rPr>
          <w:t>12</w:t>
        </w:r>
      </w:hyperlink>
    </w:p>
    <w:p>
      <w:pPr>
        <w:tabs>
          <w:tab w:val="left" w:pos="9387"/>
        </w:tabs>
        <w:spacing w:before="0" w:after="0" w:line="300" w:lineRule="exact"/>
        <w:ind w:left="351" w:firstLine="211"/>
        <w:jc w:val="left"/>
      </w:pPr>
      <w:hyperlink w:anchor="16" w:history="1">
        <w:r>
          <w:rPr>
            <w:rStyle w:val="Hyperlink"/>
            <w:rFonts w:ascii="宋体" w:hAnsi="宋体" w:cs="宋体"/>
            <w:color w:val="000000"/>
            <w:spacing w:val="0"/>
            <w:w w:val="100"/>
            <w:position w:val="0"/>
            <w:sz w:val="21"/>
            <w:u w:val="none"/>
          </w:rPr>
          <w:t>B.2</w:t>
        </w:r>
      </w:hyperlink>
      <w:r>
        <w:rPr>
          <w:rFonts w:ascii="Calibri" w:hAnsi="Calibri" w:cs="Calibri"/>
          <w:color w:val="000000"/>
          <w:spacing w:val="0"/>
          <w:w w:val="384"/>
          <w:sz w:val="24"/>
          <w:u w:val="none"/>
        </w:rPr>
        <w:t> </w:t>
      </w:r>
      <w:hyperlink w:anchor="16" w:history="1">
        <w:r>
          <w:rPr>
            <w:rStyle w:val="Hyperlink"/>
            <w:rFonts w:ascii="宋体" w:eastAsia="宋体" w:hAnsi="宋体" w:cs="宋体"/>
            <w:color w:val="000000"/>
            <w:spacing w:val="0"/>
            <w:w w:val="100"/>
            <w:position w:val="0"/>
            <w:sz w:val="21"/>
            <w:u w:val="none"/>
          </w:rPr>
          <w:t>爆炸性气体环境用电气设备选型</w:t>
        </w:r>
      </w:hyperlink>
      <w:r>
        <w:rPr>
          <w:rFonts w:ascii="Calibri" w:hAnsi="Calibri" w:cs="Calibri"/>
          <w:color w:val="000000"/>
          <w:spacing w:val="0"/>
          <w:w w:val="162"/>
          <w:sz w:val="21"/>
          <w:u w:val="none"/>
        </w:rPr>
        <w:t> </w:t>
      </w:r>
      <w:hyperlink w:anchor="16" w:history="1">
        <w:r>
          <w:rPr>
            <w:rStyle w:val="Hyperlink"/>
            <w:rFonts w:ascii="宋体" w:hAnsi="宋体" w:cs="宋体"/>
            <w:color w:val="000000"/>
            <w:spacing w:val="0"/>
            <w:w w:val="100"/>
            <w:position w:val="0"/>
            <w:sz w:val="21"/>
            <w:u w:val="none"/>
          </w:rPr>
          <w:t>..................................................</w:t>
        </w:r>
      </w:hyperlink>
      <w:r>
        <w:rPr>
          <w:rFonts w:cs="Calibri"/>
          <w:spacing w:val="16843009"/>
          <w:w w:val="100"/>
        </w:rPr>
        <w:tab/>
      </w:r>
      <w:r>
        <w:rPr>
          <w:rFonts w:ascii="Calibri" w:hAnsi="Calibri" w:cs="Calibri"/>
          <w:color w:val="000000"/>
          <w:spacing w:val="0"/>
          <w:w w:val="178"/>
          <w:sz w:val="24"/>
          <w:u w:val="none"/>
        </w:rPr>
        <w:t> </w:t>
      </w:r>
      <w:hyperlink w:anchor="16" w:history="1">
        <w:r>
          <w:rPr>
            <w:rStyle w:val="Hyperlink"/>
            <w:rFonts w:ascii="宋体" w:hAnsi="宋体" w:cs="宋体"/>
            <w:color w:val="000000"/>
            <w:spacing w:val="0"/>
            <w:w w:val="100"/>
            <w:position w:val="0"/>
            <w:sz w:val="21"/>
            <w:u w:val="none"/>
          </w:rPr>
          <w:t>12</w:t>
        </w:r>
      </w:hyperlink>
    </w:p>
    <w:p>
      <w:pPr>
        <w:tabs>
          <w:tab w:val="left" w:pos="9387"/>
        </w:tabs>
        <w:spacing w:before="0" w:after="0" w:line="300" w:lineRule="exact"/>
        <w:ind w:left="351" w:firstLine="211"/>
        <w:jc w:val="left"/>
      </w:pPr>
      <w:hyperlink w:anchor="17" w:history="1">
        <w:r>
          <w:rPr>
            <w:rStyle w:val="Hyperlink"/>
            <w:rFonts w:ascii="宋体" w:hAnsi="宋体" w:cs="宋体"/>
            <w:color w:val="000000"/>
            <w:spacing w:val="0"/>
            <w:w w:val="100"/>
            <w:position w:val="0"/>
            <w:sz w:val="21"/>
            <w:u w:val="none"/>
          </w:rPr>
          <w:t>B.3</w:t>
        </w:r>
      </w:hyperlink>
      <w:r>
        <w:rPr>
          <w:rFonts w:ascii="Calibri" w:hAnsi="Calibri" w:cs="Calibri"/>
          <w:color w:val="000000"/>
          <w:spacing w:val="0"/>
          <w:w w:val="384"/>
          <w:sz w:val="24"/>
          <w:u w:val="none"/>
        </w:rPr>
        <w:t> </w:t>
      </w:r>
      <w:hyperlink w:anchor="17" w:history="1">
        <w:r>
          <w:rPr>
            <w:rStyle w:val="Hyperlink"/>
            <w:rFonts w:ascii="宋体" w:eastAsia="宋体" w:hAnsi="宋体" w:cs="宋体"/>
            <w:color w:val="000000"/>
            <w:spacing w:val="0"/>
            <w:w w:val="100"/>
            <w:position w:val="0"/>
            <w:sz w:val="21"/>
            <w:u w:val="none"/>
          </w:rPr>
          <w:t>可燃性粉尘环境用电气设备的选型</w:t>
        </w:r>
      </w:hyperlink>
      <w:r>
        <w:rPr>
          <w:rFonts w:ascii="Calibri" w:hAnsi="Calibri" w:cs="Calibri"/>
          <w:color w:val="000000"/>
          <w:spacing w:val="0"/>
          <w:w w:val="167"/>
          <w:sz w:val="21"/>
          <w:u w:val="none"/>
        </w:rPr>
        <w:t> </w:t>
      </w:r>
      <w:hyperlink w:anchor="1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7" w:history="1">
        <w:r>
          <w:rPr>
            <w:rStyle w:val="Hyperlink"/>
            <w:rFonts w:ascii="宋体" w:hAnsi="宋体" w:cs="宋体"/>
            <w:color w:val="000000"/>
            <w:spacing w:val="0"/>
            <w:w w:val="100"/>
            <w:position w:val="0"/>
            <w:sz w:val="21"/>
            <w:u w:val="none"/>
          </w:rPr>
          <w:t>13</w:t>
        </w:r>
      </w:hyperlink>
    </w:p>
    <w:p>
      <w:pPr>
        <w:tabs>
          <w:tab w:val="left" w:pos="9388"/>
        </w:tabs>
        <w:spacing w:before="0" w:after="0" w:line="300" w:lineRule="exact"/>
        <w:ind w:left="351" w:firstLine="211"/>
        <w:jc w:val="left"/>
      </w:pPr>
      <w:hyperlink w:anchor="17" w:history="1">
        <w:r>
          <w:rPr>
            <w:rStyle w:val="Hyperlink"/>
            <w:rFonts w:ascii="宋体" w:hAnsi="宋体" w:cs="宋体"/>
            <w:color w:val="000000"/>
            <w:spacing w:val="0"/>
            <w:w w:val="100"/>
            <w:position w:val="0"/>
            <w:sz w:val="21"/>
            <w:u w:val="none"/>
          </w:rPr>
          <w:t>B.4</w:t>
        </w:r>
      </w:hyperlink>
      <w:r>
        <w:rPr>
          <w:rFonts w:ascii="Calibri" w:hAnsi="Calibri" w:cs="Calibri"/>
          <w:color w:val="000000"/>
          <w:spacing w:val="0"/>
          <w:w w:val="384"/>
          <w:sz w:val="24"/>
          <w:u w:val="none"/>
        </w:rPr>
        <w:t> </w:t>
      </w:r>
      <w:hyperlink w:anchor="1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76"/>
          <w:sz w:val="24"/>
          <w:u w:val="none"/>
        </w:rPr>
        <w:t> </w:t>
      </w:r>
      <w:hyperlink w:anchor="17" w:history="1">
        <w:r>
          <w:rPr>
            <w:rStyle w:val="Hyperlink"/>
            <w:rFonts w:ascii="宋体" w:hAnsi="宋体" w:cs="宋体"/>
            <w:color w:val="000000"/>
            <w:spacing w:val="0"/>
            <w:w w:val="100"/>
            <w:position w:val="0"/>
            <w:sz w:val="21"/>
            <w:u w:val="none"/>
          </w:rPr>
          <w:t>13</w:t>
        </w:r>
      </w:hyperlink>
    </w:p>
    <w:p>
      <w:pPr>
        <w:tabs>
          <w:tab w:val="left" w:pos="2189"/>
        </w:tabs>
        <w:spacing w:before="0" w:after="0" w:line="380" w:lineRule="exact"/>
        <w:ind w:left="351"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C</w:t>
        </w:r>
      </w:hyperlink>
      <w:hyperlink w:anchor="19"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9" w:history="1">
        <w:r>
          <w:rPr>
            <w:rStyle w:val="Hyperlink"/>
            <w:rFonts w:ascii="宋体" w:eastAsia="宋体" w:hAnsi="宋体" w:cs="宋体"/>
            <w:color w:val="000000"/>
            <w:spacing w:val="0"/>
            <w:w w:val="100"/>
            <w:position w:val="0"/>
            <w:sz w:val="21"/>
            <w:u w:val="none"/>
          </w:rPr>
          <w:t>防爆叉车定期（首次）检验报告</w:t>
        </w:r>
      </w:hyperlink>
      <w:r>
        <w:rPr>
          <w:rFonts w:ascii="Calibri" w:hAnsi="Calibri" w:cs="Calibri"/>
          <w:color w:val="000000"/>
          <w:spacing w:val="-17"/>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15</w:t>
        </w:r>
      </w:hyperlink>
    </w:p>
    <w:p>
      <w:pPr>
        <w:widowControl/>
        <w:jc w:val="left"/>
        <w:sectPr>
          <w:type w:val="continuous"/>
          <w:pgSz w:w="11906" w:h="16839"/>
          <w:pgMar w:top="1101" w:right="708" w:bottom="861" w:left="1068" w:header="0" w:footer="0" w:gutter="0"/>
          <w:pgNumType w:start="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66" w:lineRule="exact"/>
        <w:ind w:left="351" w:firstLine="0"/>
      </w:pPr>
    </w:p>
    <w:p>
      <w:pPr>
        <w:widowControl/>
        <w:jc w:val="left"/>
        <w:sectPr>
          <w:type w:val="continuous"/>
          <w:pgSz w:w="11906" w:h="16839"/>
          <w:pgMar w:top="1101" w:right="708" w:bottom="861" w:left="1068" w:header="0" w:footer="0" w:gutter="0"/>
          <w:pgNumType w:start="9"/>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08" w:bottom="861" w:left="1068" w:header="0" w:footer="0" w:gutter="0"/>
          <w:pgNumType w:start="10"/>
          <w:cols w:num="1" w:space="708" w:equalWidth="0">
            <w:col w:w="10130" w:space="0"/>
          </w:cols>
          <w:docGrid w:type="lines" w:linePitch="312" w:charSpace="0"/>
        </w:sectPr>
      </w:pPr>
    </w:p>
    <w:p>
      <w:pPr>
        <w:spacing w:before="0" w:after="0" w:line="347" w:lineRule="exact"/>
      </w:pPr>
      <w:bookmarkStart w:id="4" w:name="4"/>
      <w:bookmarkEnd w:id="4"/>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WS_polygon7" o:spid="_x0000_s1044" type="#_x0000_t12" style="width:470.6pt;height:26pt;margin-top:102.25pt;margin-left:55.2pt;mso-height-relative:page;mso-position-horizontal-relative:page;mso-position-vertical-relative:page;mso-width-relative:page;position:absolute;z-index:-251638784" coordsize="21600,21600" fillcolor="white" stroked="f">
            <v:stroke joinstyle="miter"/>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433" w:lineRule="exact"/>
        <w:ind w:left="60" w:firstLine="0"/>
      </w:pPr>
    </w:p>
    <w:p>
      <w:pPr>
        <w:tabs>
          <w:tab w:val="left" w:pos="5267"/>
        </w:tabs>
        <w:spacing w:before="0" w:after="0" w:line="319"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tabs>
          <w:tab w:val="left" w:pos="4947"/>
        </w:tabs>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16843009"/>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hAnsi="宋体" w:cs="宋体"/>
          <w:color w:val="000000"/>
          <w:spacing w:val="-3"/>
          <w:w w:val="100"/>
          <w:position w:val="0"/>
          <w:sz w:val="21"/>
          <w:u w:val="none"/>
        </w:rPr>
        <w:t>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eastAsia="宋体" w:hAnsi="宋体" w:cs="宋体"/>
          <w:color w:val="000000"/>
          <w:spacing w:val="0"/>
          <w:w w:val="100"/>
          <w:position w:val="0"/>
          <w:sz w:val="21"/>
          <w:u w:val="none"/>
        </w:rPr>
        <w:t>本文件代替</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DB34/T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1716-2012</w:t>
      </w:r>
      <w:r>
        <w:rPr>
          <w:rFonts w:ascii="宋体" w:hAnsi="宋体" w:cs="宋体"/>
          <w:color w:val="000000"/>
          <w:spacing w:val="-2"/>
          <w:w w:val="100"/>
          <w:position w:val="0"/>
          <w:sz w:val="21"/>
          <w:u w:val="none"/>
        </w:rPr>
        <w:t>《防爆场（厂）内机动车辆监督检验规程》，与</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DB34/T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1716-2012</w:t>
      </w:r>
    </w:p>
    <w:p>
      <w:pPr>
        <w:spacing w:before="0" w:after="0" w:line="312" w:lineRule="exact"/>
        <w:ind w:left="60" w:firstLine="0"/>
        <w:jc w:val="left"/>
      </w:pPr>
      <w:r>
        <w:rPr>
          <w:rFonts w:ascii="宋体" w:eastAsia="宋体" w:hAnsi="宋体" w:cs="宋体"/>
          <w:color w:val="000000"/>
          <w:spacing w:val="0"/>
          <w:w w:val="100"/>
          <w:position w:val="0"/>
          <w:sz w:val="21"/>
          <w:u w:val="none"/>
        </w:rPr>
        <w:t>相比，除结构调整和编辑性修改外，主要技术变化如下：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文件标题修改为《防爆叉车定期（首次）检验规程》；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更改了范围（见第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章，见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版的第</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章）；</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更改了“术语和定义”，增加了术语英文译名（见第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章，见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版的第</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章）；</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3.9.1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区、3.9.4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区（见</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2012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版的第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章）；</w:t>
      </w:r>
    </w:p>
    <w:p>
      <w:pPr>
        <w:spacing w:before="0" w:after="0" w:line="313"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更改了“一般规定”，更改了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4.7</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4.8</w:t>
      </w:r>
      <w:r>
        <w:rPr>
          <w:rFonts w:ascii="宋体" w:hAnsi="宋体" w:cs="宋体"/>
          <w:color w:val="000000"/>
          <w:spacing w:val="0"/>
          <w:w w:val="100"/>
          <w:position w:val="0"/>
          <w:sz w:val="21"/>
          <w:u w:val="none"/>
        </w:rPr>
        <w:t>、4.9、4.10、4.11、4.12</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的有关内容（见第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章，见</w:t>
      </w:r>
    </w:p>
    <w:p>
      <w:pPr>
        <w:spacing w:before="0" w:after="0" w:line="312" w:lineRule="exact"/>
        <w:ind w:left="60" w:firstLine="852"/>
        <w:jc w:val="left"/>
      </w:pPr>
      <w:r>
        <w:rPr>
          <w:rFonts w:ascii="宋体" w:hAnsi="宋体" w:cs="宋体"/>
          <w:color w:val="000000"/>
          <w:spacing w:val="0"/>
          <w:w w:val="100"/>
          <w:position w:val="0"/>
          <w:sz w:val="21"/>
          <w:u w:val="none"/>
        </w:rPr>
        <w:t>2012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版的第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章）；</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更改了“检验检测内容、技术要求”，更改了</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5.1、5.2、5.3、</w:t>
      </w:r>
      <w:r>
        <w:rPr>
          <w:rFonts w:ascii="宋体" w:hAnsi="宋体" w:cs="宋体"/>
          <w:color w:val="000000"/>
          <w:spacing w:val="-1"/>
          <w:w w:val="100"/>
          <w:position w:val="0"/>
          <w:sz w:val="21"/>
          <w:u w:val="none"/>
        </w:rPr>
        <w:t>5.4</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5.5</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5.6</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5.7</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5.8</w:t>
      </w:r>
      <w:r>
        <w:rPr>
          <w:rFonts w:ascii="宋体" w:hAnsi="宋体" w:cs="宋体"/>
          <w:color w:val="000000"/>
          <w:spacing w:val="0"/>
          <w:w w:val="100"/>
          <w:position w:val="0"/>
          <w:sz w:val="21"/>
          <w:u w:val="none"/>
        </w:rPr>
        <w:t>、</w:t>
      </w:r>
    </w:p>
    <w:p>
      <w:pPr>
        <w:spacing w:before="0" w:after="0" w:line="312" w:lineRule="exact"/>
        <w:ind w:left="60" w:firstLine="852"/>
        <w:jc w:val="left"/>
      </w:pPr>
      <w:r>
        <w:rPr>
          <w:rFonts w:ascii="宋体" w:hAnsi="宋体" w:cs="宋体"/>
          <w:color w:val="000000"/>
          <w:spacing w:val="0"/>
          <w:w w:val="100"/>
          <w:position w:val="0"/>
          <w:sz w:val="21"/>
          <w:u w:val="none"/>
        </w:rPr>
        <w:t>5.9、5.10、5.11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的有关内容（见第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章，见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版的第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章）；</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增加了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5.12、5.13、5.14、5.15、5.16、5.17</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的有关内容（见第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章）；</w:t>
      </w:r>
    </w:p>
    <w:p>
      <w:pPr>
        <w:spacing w:before="0" w:after="0" w:line="312" w:lineRule="exact"/>
        <w:ind w:left="60"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更改了防爆叉车定期（首次）检验报告（见附录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版的附录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w:t>
      </w:r>
      <w:r>
        <w:rPr>
          <w:rFonts w:ascii="宋体" w:hAnsi="宋体" w:cs="宋体"/>
          <w:color w:val="000000"/>
          <w:spacing w:val="-1"/>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本文件由安徽省特种设备检测院提出。</w:t>
      </w:r>
    </w:p>
    <w:p>
      <w:pPr>
        <w:spacing w:before="0" w:after="0" w:line="312" w:lineRule="exact"/>
        <w:ind w:left="60" w:firstLine="420"/>
        <w:jc w:val="left"/>
      </w:pPr>
      <w:r>
        <w:rPr>
          <w:rFonts w:ascii="宋体" w:hAnsi="宋体" w:cs="宋体"/>
          <w:color w:val="000000"/>
          <w:spacing w:val="0"/>
          <w:w w:val="100"/>
          <w:position w:val="0"/>
          <w:sz w:val="21"/>
          <w:u w:val="none"/>
        </w:rPr>
        <w:t>本文件由安徽省市场监督管理局归口。</w:t>
      </w:r>
    </w:p>
    <w:p>
      <w:pPr>
        <w:spacing w:before="0" w:after="0" w:line="312" w:lineRule="exact"/>
        <w:ind w:left="60" w:firstLine="420"/>
        <w:jc w:val="left"/>
      </w:pPr>
      <w:r>
        <w:rPr>
          <w:rFonts w:ascii="宋体" w:hAnsi="宋体" w:cs="宋体"/>
          <w:color w:val="000000"/>
          <w:spacing w:val="0"/>
          <w:w w:val="100"/>
          <w:position w:val="0"/>
          <w:sz w:val="21"/>
          <w:u w:val="none"/>
        </w:rPr>
        <w:t>本文件起草单位：安徽省特种设备检测院、蚌埠市特种设备监督检验中心。</w:t>
      </w:r>
    </w:p>
    <w:p>
      <w:pPr>
        <w:spacing w:before="0" w:after="0" w:line="312" w:lineRule="exact"/>
        <w:ind w:left="60" w:firstLine="420"/>
        <w:jc w:val="left"/>
      </w:pPr>
      <w:r>
        <w:rPr>
          <w:rFonts w:ascii="宋体" w:hAnsi="宋体" w:cs="宋体"/>
          <w:color w:val="000000"/>
          <w:spacing w:val="-3"/>
          <w:w w:val="100"/>
          <w:position w:val="0"/>
          <w:sz w:val="21"/>
          <w:u w:val="none"/>
        </w:rPr>
        <w:t>本文件主要起草人：王伏满、李卫清、刘丰、刘洋、黄欣明、管国伟、黄浩、许路夷、周未央、张</w:t>
      </w:r>
    </w:p>
    <w:p>
      <w:pPr>
        <w:spacing w:before="0" w:after="0" w:line="312" w:lineRule="exact"/>
        <w:ind w:left="60" w:firstLine="0"/>
        <w:jc w:val="left"/>
      </w:pPr>
      <w:r>
        <w:rPr>
          <w:rFonts w:ascii="宋体" w:hAnsi="宋体" w:cs="宋体"/>
          <w:color w:val="000000"/>
          <w:spacing w:val="0"/>
          <w:w w:val="100"/>
          <w:position w:val="0"/>
          <w:sz w:val="21"/>
          <w:u w:val="none"/>
        </w:rPr>
        <w:t>旻飞、马钰。</w:t>
      </w:r>
    </w:p>
    <w:p>
      <w:pPr>
        <w:spacing w:before="0" w:after="0" w:line="312" w:lineRule="exact"/>
        <w:ind w:left="60" w:firstLine="420"/>
        <w:jc w:val="left"/>
      </w:pPr>
      <w:r>
        <w:rPr>
          <w:rFonts w:ascii="宋体" w:eastAsia="宋体" w:hAnsi="宋体" w:cs="宋体"/>
          <w:color w:val="000000"/>
          <w:spacing w:val="0"/>
          <w:w w:val="100"/>
          <w:position w:val="0"/>
          <w:sz w:val="21"/>
          <w:u w:val="none"/>
        </w:rPr>
        <w:t>本文件及其所代替文件的历次版本发布情况为：</w:t>
      </w:r>
    </w:p>
    <w:p>
      <w:pPr>
        <w:spacing w:before="0" w:after="0" w:line="312" w:lineRule="exact"/>
        <w:ind w:left="60" w:firstLine="420"/>
        <w:jc w:val="left"/>
      </w:pPr>
      <w:r>
        <w:rPr>
          <w:rFonts w:ascii="宋体" w:hAnsi="宋体" w:cs="宋体"/>
          <w:color w:val="000000"/>
          <w:spacing w:val="0"/>
          <w:w w:val="100"/>
          <w:position w:val="0"/>
          <w:sz w:val="21"/>
          <w:u w:val="none"/>
        </w:rPr>
        <w:t>——2012</w:t>
      </w:r>
      <w:r>
        <w:rPr>
          <w:rFonts w:ascii="宋体" w:eastAsia="宋体" w:hAnsi="宋体" w:cs="宋体"/>
          <w:color w:val="000000"/>
          <w:spacing w:val="0"/>
          <w:w w:val="100"/>
          <w:position w:val="0"/>
          <w:sz w:val="21"/>
          <w:u w:val="none"/>
        </w:rPr>
        <w:t>年首次发布为</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DB34/T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1716-2012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2022年第一次修订。</w:t>
      </w:r>
    </w:p>
    <w:p>
      <w:pPr>
        <w:widowControl/>
        <w:jc w:val="left"/>
        <w:sectPr>
          <w:type w:val="continuous"/>
          <w:pgSz w:w="11906" w:h="16838"/>
          <w:pgMar w:top="1101" w:right="713" w:bottom="861" w:left="1073" w:header="0" w:footer="0" w:gutter="0"/>
          <w:pgNumType w:start="12"/>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71" w:lineRule="exact"/>
        <w:ind w:left="60" w:firstLine="42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1" w:space="0"/>
          </w:cols>
          <w:docGrid w:type="lines" w:linePitch="312" w:charSpace="0"/>
        </w:sectPr>
      </w:pPr>
    </w:p>
    <w:p>
      <w:pPr>
        <w:spacing w:before="0" w:after="0" w:line="240" w:lineRule="exact"/>
      </w:pPr>
      <w:bookmarkStart w:id="5" w:name="5"/>
      <w:bookmarkEnd w:id="5"/>
    </w:p>
    <w:p>
      <w:pPr>
        <w:spacing w:before="0" w:after="0" w:line="319" w:lineRule="exact"/>
        <w:ind w:left="456" w:firstLine="7571"/>
        <w:jc w:val="left"/>
      </w:pPr>
      <w:r>
        <w:pict>
          <v:shape id="imagerId134" o:spid="_x0000_s1045" type="#_x0000_t75" style="width:16pt;height:10pt;margin-top:639pt;margin-left:70pt;mso-height-relative:page;mso-position-horizontal-relative:page;mso-position-vertical-relative:page;mso-width-relative:page;position:absolute;z-index:-251637760" coordsize="21600,21600" filled="f">
            <v:imagedata r:id="rId23" o:title=""/>
            <o:lock v:ext="edit" aspectratio="t"/>
          </v:shape>
        </w:pict>
      </w:r>
      <w:r>
        <w:pict>
          <v:shape id="imagerId135" o:spid="_x0000_s1046" type="#_x0000_t75" style="width:17pt;height:10pt;margin-top:702pt;margin-left:70pt;mso-height-relative:page;mso-position-horizontal-relative:page;mso-position-vertical-relative:page;mso-width-relative:page;position:absolute;z-index:-251636736" coordsize="21600,21600" filled="f">
            <v:imagedata r:id="rId24"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56" w:firstLine="7571"/>
      </w:pPr>
    </w:p>
    <w:p>
      <w:pPr>
        <w:spacing w:before="0" w:after="0" w:line="438" w:lineRule="exact"/>
        <w:ind w:left="456" w:firstLine="2436"/>
        <w:jc w:val="left"/>
      </w:pPr>
      <w:r>
        <w:rPr>
          <w:rFonts w:ascii="黑体" w:eastAsia="黑体" w:hAnsi="黑体" w:cs="黑体"/>
          <w:color w:val="000000"/>
          <w:spacing w:val="-1"/>
          <w:w w:val="100"/>
          <w:position w:val="0"/>
          <w:sz w:val="32"/>
          <w:u w:val="none"/>
        </w:rPr>
        <w:t>防爆叉车定期（首次）检验规程</w:t>
      </w:r>
    </w:p>
    <w:p>
      <w:pPr>
        <w:spacing w:before="0" w:after="0" w:line="240" w:lineRule="exact"/>
        <w:ind w:left="456" w:firstLine="2436"/>
      </w:pPr>
    </w:p>
    <w:p>
      <w:pPr>
        <w:spacing w:before="0" w:after="0" w:line="240" w:lineRule="exact"/>
        <w:ind w:left="456" w:firstLine="2436"/>
      </w:pPr>
    </w:p>
    <w:p>
      <w:pPr>
        <w:spacing w:before="0" w:after="0" w:line="240" w:lineRule="exact"/>
        <w:ind w:left="456" w:firstLine="2436"/>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本文件规定了叉车定期（首次）检验的一般规定、检验检测内容、技术要求。</w:t>
      </w:r>
    </w:p>
    <w:p>
      <w:pPr>
        <w:spacing w:before="0" w:after="0" w:line="312" w:lineRule="exact"/>
        <w:ind w:left="456" w:firstLine="420"/>
        <w:jc w:val="left"/>
      </w:pPr>
      <w:r>
        <w:rPr>
          <w:rFonts w:ascii="宋体" w:hAnsi="宋体" w:cs="宋体"/>
          <w:color w:val="000000"/>
          <w:spacing w:val="-3"/>
          <w:w w:val="100"/>
          <w:position w:val="0"/>
          <w:sz w:val="21"/>
          <w:u w:val="none"/>
        </w:rPr>
        <w:t>本文件适用于Ⅱ类爆炸性混合气体、蒸气环境和Ⅲ类爆炸性粉尘、纤维环境用且纳入《特种设备目</w:t>
      </w:r>
    </w:p>
    <w:p>
      <w:pPr>
        <w:spacing w:before="0" w:after="0" w:line="312" w:lineRule="exact"/>
        <w:ind w:left="456" w:firstLine="0"/>
        <w:jc w:val="left"/>
      </w:pPr>
      <w:r>
        <w:rPr>
          <w:rFonts w:ascii="宋体" w:hAnsi="宋体" w:cs="宋体"/>
          <w:color w:val="000000"/>
          <w:spacing w:val="0"/>
          <w:w w:val="100"/>
          <w:position w:val="0"/>
          <w:sz w:val="21"/>
          <w:u w:val="none"/>
        </w:rPr>
        <w:t>录》的防爆叉车定期（首次）检验。</w:t>
      </w:r>
    </w:p>
    <w:p>
      <w:pPr>
        <w:spacing w:before="0" w:after="0" w:line="312" w:lineRule="exact"/>
        <w:ind w:left="456" w:firstLine="420"/>
        <w:jc w:val="left"/>
      </w:pPr>
      <w:r>
        <w:rPr>
          <w:rFonts w:ascii="宋体" w:hAnsi="宋体" w:cs="宋体"/>
          <w:color w:val="000000"/>
          <w:spacing w:val="0"/>
          <w:w w:val="100"/>
          <w:position w:val="0"/>
          <w:sz w:val="21"/>
          <w:u w:val="none"/>
        </w:rPr>
        <w:t>本文件不适用煤矿井下和炸药粉尘环境用防爆叉车的检验。</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5"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873"/>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10827.1-2014</w:t>
      </w:r>
      <w:r>
        <w:rPr>
          <w:rFonts w:cs="Calibri"/>
          <w:spacing w:val="-1"/>
          <w:w w:val="100"/>
        </w:rPr>
        <w:tab/>
      </w:r>
      <w:r>
        <w:rPr>
          <w:rFonts w:ascii="宋体" w:eastAsia="宋体" w:hAnsi="宋体" w:cs="宋体"/>
          <w:color w:val="000000"/>
          <w:spacing w:val="0"/>
          <w:w w:val="100"/>
          <w:position w:val="0"/>
          <w:sz w:val="21"/>
          <w:u w:val="none"/>
        </w:rPr>
        <w:t>工业车辆</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安全要求和验证</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15322.1</w:t>
      </w:r>
      <w:r>
        <w:rPr>
          <w:rFonts w:cs="Calibri"/>
          <w:spacing w:val="0"/>
          <w:w w:val="100"/>
        </w:rPr>
        <w:tab/>
      </w:r>
      <w:r>
        <w:rPr>
          <w:rFonts w:ascii="宋体" w:eastAsia="宋体" w:hAnsi="宋体" w:cs="宋体"/>
          <w:color w:val="000000"/>
          <w:spacing w:val="0"/>
          <w:w w:val="100"/>
          <w:position w:val="0"/>
          <w:sz w:val="21"/>
          <w:u w:val="none"/>
        </w:rPr>
        <w:t>可燃气体探测器</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1"/>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工业及商业用途点型可燃气体探测器</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15577</w:t>
      </w:r>
      <w:r>
        <w:rPr>
          <w:rFonts w:cs="Calibri"/>
          <w:spacing w:val="0"/>
          <w:w w:val="100"/>
        </w:rPr>
        <w:tab/>
      </w:r>
      <w:r>
        <w:rPr>
          <w:rFonts w:ascii="宋体" w:eastAsia="宋体" w:hAnsi="宋体" w:cs="宋体"/>
          <w:color w:val="000000"/>
          <w:spacing w:val="0"/>
          <w:w w:val="100"/>
          <w:position w:val="0"/>
          <w:sz w:val="21"/>
          <w:u w:val="none"/>
        </w:rPr>
        <w:t>粉尘防爆安全规程</w:t>
      </w:r>
    </w:p>
    <w:p>
      <w:pPr>
        <w:tabs>
          <w:tab w:val="left" w:pos="2873"/>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16855.1-2008</w:t>
      </w:r>
      <w:r>
        <w:rPr>
          <w:rFonts w:cs="Calibri"/>
          <w:spacing w:val="0"/>
          <w:w w:val="100"/>
        </w:rPr>
        <w:tab/>
      </w:r>
      <w:r>
        <w:rPr>
          <w:rFonts w:ascii="宋体" w:eastAsia="宋体" w:hAnsi="宋体" w:cs="宋体"/>
          <w:color w:val="000000"/>
          <w:spacing w:val="0"/>
          <w:w w:val="100"/>
          <w:position w:val="0"/>
          <w:sz w:val="21"/>
          <w:u w:val="none"/>
        </w:rPr>
        <w:t>机械安全</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控制系统安全相关部件</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设计通则</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16178</w:t>
      </w:r>
      <w:r>
        <w:rPr>
          <w:rFonts w:cs="Calibri"/>
          <w:spacing w:val="0"/>
          <w:w w:val="100"/>
        </w:rPr>
        <w:tab/>
      </w:r>
      <w:r>
        <w:rPr>
          <w:rFonts w:ascii="宋体" w:eastAsia="宋体" w:hAnsi="宋体" w:cs="宋体"/>
          <w:color w:val="000000"/>
          <w:spacing w:val="0"/>
          <w:w w:val="100"/>
          <w:position w:val="0"/>
          <w:sz w:val="21"/>
          <w:u w:val="none"/>
        </w:rPr>
        <w:t>场（厂）内机动车辆安全检验技术要求</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19854</w:t>
      </w:r>
      <w:r>
        <w:rPr>
          <w:rFonts w:cs="Calibri"/>
          <w:spacing w:val="0"/>
          <w:w w:val="100"/>
        </w:rPr>
        <w:tab/>
      </w:r>
      <w:r>
        <w:rPr>
          <w:rFonts w:ascii="宋体" w:eastAsia="宋体" w:hAnsi="宋体" w:cs="宋体"/>
          <w:color w:val="000000"/>
          <w:spacing w:val="0"/>
          <w:w w:val="100"/>
          <w:position w:val="0"/>
          <w:sz w:val="21"/>
          <w:u w:val="none"/>
        </w:rPr>
        <w:t>爆炸性环境用工业车辆防爆技术通则</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26562</w:t>
      </w:r>
      <w:r>
        <w:rPr>
          <w:rFonts w:cs="Calibri"/>
          <w:spacing w:val="0"/>
          <w:w w:val="100"/>
        </w:rPr>
        <w:tab/>
      </w:r>
      <w:r>
        <w:rPr>
          <w:rFonts w:ascii="宋体" w:eastAsia="宋体" w:hAnsi="宋体" w:cs="宋体"/>
          <w:color w:val="000000"/>
          <w:spacing w:val="0"/>
          <w:w w:val="100"/>
          <w:position w:val="0"/>
          <w:sz w:val="21"/>
          <w:u w:val="none"/>
        </w:rPr>
        <w:t>自行式坐驾工业车辆踏板的结构与布置</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踏板的结构与布置原则</w:t>
      </w:r>
    </w:p>
    <w:p>
      <w:pPr>
        <w:tabs>
          <w:tab w:val="left" w:pos="2347"/>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26950.1</w:t>
      </w:r>
      <w:r>
        <w:rPr>
          <w:rFonts w:cs="Calibri"/>
          <w:spacing w:val="0"/>
          <w:w w:val="100"/>
        </w:rPr>
        <w:tab/>
      </w:r>
      <w:r>
        <w:rPr>
          <w:rFonts w:ascii="宋体" w:eastAsia="宋体" w:hAnsi="宋体" w:cs="宋体"/>
          <w:color w:val="000000"/>
          <w:spacing w:val="0"/>
          <w:w w:val="100"/>
          <w:position w:val="0"/>
          <w:sz w:val="21"/>
          <w:u w:val="none"/>
        </w:rPr>
        <w:t>防爆工业车辆</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1"/>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蓄电池工业车辆</w:t>
      </w:r>
    </w:p>
    <w:p>
      <w:pPr>
        <w:tabs>
          <w:tab w:val="left" w:pos="2347"/>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26950.2</w:t>
      </w:r>
      <w:r>
        <w:rPr>
          <w:rFonts w:cs="Calibri"/>
          <w:spacing w:val="0"/>
          <w:w w:val="100"/>
        </w:rPr>
        <w:tab/>
      </w:r>
      <w:r>
        <w:rPr>
          <w:rFonts w:ascii="宋体" w:eastAsia="宋体" w:hAnsi="宋体" w:cs="宋体"/>
          <w:color w:val="000000"/>
          <w:spacing w:val="0"/>
          <w:w w:val="100"/>
          <w:position w:val="0"/>
          <w:sz w:val="21"/>
          <w:u w:val="none"/>
        </w:rPr>
        <w:t>防爆工业车辆</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1"/>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内燃工业车辆</w:t>
      </w:r>
    </w:p>
    <w:p>
      <w:pPr>
        <w:tabs>
          <w:tab w:val="left" w:pos="2242"/>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3836.1</w:t>
      </w:r>
      <w:r>
        <w:rPr>
          <w:rFonts w:cs="Calibri"/>
          <w:spacing w:val="-1"/>
          <w:w w:val="100"/>
        </w:rPr>
        <w:tab/>
      </w:r>
      <w:r>
        <w:rPr>
          <w:rFonts w:ascii="宋体" w:eastAsia="宋体" w:hAnsi="宋体" w:cs="宋体"/>
          <w:color w:val="000000"/>
          <w:spacing w:val="0"/>
          <w:w w:val="100"/>
          <w:position w:val="0"/>
          <w:sz w:val="21"/>
          <w:u w:val="none"/>
        </w:rPr>
        <w:t>爆炸性环境用防爆电气设备</w:t>
      </w:r>
    </w:p>
    <w:p>
      <w:pPr>
        <w:tabs>
          <w:tab w:val="left" w:pos="1822"/>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4387</w:t>
      </w:r>
      <w:r>
        <w:rPr>
          <w:rFonts w:cs="Calibri"/>
          <w:spacing w:val="4"/>
          <w:w w:val="100"/>
        </w:rPr>
        <w:tab/>
      </w:r>
      <w:r>
        <w:rPr>
          <w:rFonts w:ascii="宋体" w:hAnsi="宋体" w:cs="宋体"/>
          <w:color w:val="000000"/>
          <w:spacing w:val="0"/>
          <w:w w:val="100"/>
          <w:position w:val="0"/>
          <w:sz w:val="21"/>
          <w:u w:val="none"/>
        </w:rPr>
        <w:t>工厂企业厂内铁路、道路运输安全规程</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50058</w:t>
      </w:r>
      <w:r>
        <w:rPr>
          <w:rFonts w:cs="Calibri"/>
          <w:spacing w:val="0"/>
          <w:w w:val="100"/>
        </w:rPr>
        <w:tab/>
      </w:r>
      <w:r>
        <w:rPr>
          <w:rFonts w:ascii="宋体" w:eastAsia="宋体" w:hAnsi="宋体" w:cs="宋体"/>
          <w:color w:val="000000"/>
          <w:spacing w:val="0"/>
          <w:w w:val="100"/>
          <w:position w:val="0"/>
          <w:sz w:val="21"/>
          <w:u w:val="none"/>
        </w:rPr>
        <w:t>爆炸危险环境电力装置设计规范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50257</w:t>
      </w:r>
      <w:r>
        <w:rPr>
          <w:rFonts w:cs="Calibri"/>
          <w:spacing w:val="0"/>
          <w:w w:val="100"/>
        </w:rPr>
        <w:tab/>
      </w:r>
      <w:r>
        <w:rPr>
          <w:rFonts w:ascii="宋体" w:eastAsia="宋体" w:hAnsi="宋体" w:cs="宋体"/>
          <w:color w:val="000000"/>
          <w:spacing w:val="0"/>
          <w:w w:val="100"/>
          <w:position w:val="0"/>
          <w:sz w:val="21"/>
          <w:u w:val="none"/>
        </w:rPr>
        <w:t>电气装置安装工程</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爆炸和火灾危险环境电气装置施工及验收规范</w:t>
      </w:r>
    </w:p>
    <w:p>
      <w:pPr>
        <w:tabs>
          <w:tab w:val="left" w:pos="1822"/>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7258</w:t>
      </w:r>
      <w:r>
        <w:rPr>
          <w:rFonts w:cs="Calibri"/>
          <w:spacing w:val="0"/>
          <w:w w:val="100"/>
        </w:rPr>
        <w:tab/>
      </w:r>
      <w:r>
        <w:rPr>
          <w:rFonts w:ascii="宋体" w:eastAsia="宋体" w:hAnsi="宋体" w:cs="宋体"/>
          <w:color w:val="000000"/>
          <w:spacing w:val="0"/>
          <w:w w:val="100"/>
          <w:position w:val="0"/>
          <w:sz w:val="21"/>
          <w:u w:val="none"/>
        </w:rPr>
        <w:t>机动车运行安全技术条件</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TSG</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N001</w:t>
      </w:r>
      <w:r>
        <w:rPr>
          <w:rFonts w:cs="Calibri"/>
          <w:spacing w:val="0"/>
          <w:w w:val="100"/>
        </w:rPr>
        <w:tab/>
      </w:r>
      <w:r>
        <w:rPr>
          <w:rFonts w:ascii="宋体" w:eastAsia="宋体" w:hAnsi="宋体" w:cs="宋体"/>
          <w:color w:val="000000"/>
          <w:spacing w:val="0"/>
          <w:w w:val="100"/>
          <w:position w:val="0"/>
          <w:sz w:val="21"/>
          <w:u w:val="none"/>
        </w:rPr>
        <w:t>场</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厂</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内专用机动车辆安全技术监察规程</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385" w:lineRule="exact"/>
        <w:ind w:left="456" w:firstLine="420"/>
        <w:jc w:val="left"/>
      </w:pPr>
      <w:r>
        <w:rPr>
          <w:rFonts w:ascii="黑体" w:eastAsia="黑体" w:hAnsi="黑体" w:cs="黑体"/>
          <w:color w:val="000000"/>
          <w:spacing w:val="0"/>
          <w:w w:val="100"/>
          <w:position w:val="0"/>
          <w:sz w:val="21"/>
          <w:u w:val="none"/>
        </w:rPr>
        <w:t>爆炸性环境</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potentially</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explosive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atmosphere</w:t>
      </w:r>
    </w:p>
    <w:p>
      <w:pPr>
        <w:spacing w:before="0" w:after="0" w:line="312" w:lineRule="exact"/>
        <w:ind w:left="456" w:firstLine="420"/>
        <w:jc w:val="left"/>
      </w:pPr>
      <w:r>
        <w:rPr>
          <w:rFonts w:ascii="宋体" w:hAnsi="宋体" w:cs="宋体"/>
          <w:color w:val="000000"/>
          <w:spacing w:val="-3"/>
          <w:w w:val="100"/>
          <w:position w:val="0"/>
          <w:sz w:val="21"/>
          <w:u w:val="none"/>
        </w:rPr>
        <w:t>在大气条件下，可燃物质以气体、蒸气、粉尘、纤维、或飞絮的形式与空气形成的混合物，被点燃</w:t>
      </w:r>
    </w:p>
    <w:p>
      <w:pPr>
        <w:spacing w:before="0" w:after="0" w:line="312" w:lineRule="exact"/>
        <w:ind w:left="456" w:firstLine="0"/>
        <w:jc w:val="left"/>
      </w:pPr>
      <w:r>
        <w:rPr>
          <w:rFonts w:ascii="宋体" w:hAnsi="宋体" w:cs="宋体"/>
          <w:color w:val="000000"/>
          <w:spacing w:val="0"/>
          <w:w w:val="100"/>
          <w:position w:val="0"/>
          <w:sz w:val="21"/>
          <w:u w:val="none"/>
        </w:rPr>
        <w:t>后，能够燃烧并自行传播的环境。</w:t>
      </w:r>
    </w:p>
    <w:p>
      <w:pPr>
        <w:spacing w:before="0" w:after="0" w:line="240" w:lineRule="exact"/>
        <w:ind w:left="456" w:firstLine="0"/>
      </w:pPr>
    </w:p>
    <w:p>
      <w:pPr>
        <w:tabs>
          <w:tab w:val="left" w:pos="2347"/>
        </w:tabs>
        <w:spacing w:before="0" w:after="0" w:line="384" w:lineRule="exact"/>
        <w:ind w:left="456" w:firstLine="420"/>
        <w:jc w:val="left"/>
      </w:pPr>
      <w:r>
        <w:rPr>
          <w:rFonts w:ascii="黑体" w:eastAsia="黑体" w:hAnsi="黑体" w:cs="黑体"/>
          <w:color w:val="000000"/>
          <w:spacing w:val="0"/>
          <w:w w:val="100"/>
          <w:position w:val="0"/>
          <w:sz w:val="21"/>
          <w:u w:val="none"/>
        </w:rPr>
        <w:t>爆炸性混合物</w:t>
      </w:r>
      <w:r>
        <w:rPr>
          <w:rFonts w:cs="Calibri"/>
          <w:spacing w:val="0"/>
          <w:w w:val="100"/>
        </w:rPr>
        <w:tab/>
      </w:r>
      <w:r>
        <w:rPr>
          <w:rFonts w:ascii="黑体" w:hAnsi="黑体" w:cs="黑体"/>
          <w:color w:val="000000"/>
          <w:spacing w:val="0"/>
          <w:w w:val="100"/>
          <w:position w:val="0"/>
          <w:sz w:val="21"/>
          <w:u w:val="none"/>
        </w:rPr>
        <w:t>explosive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mixture</w:t>
      </w:r>
    </w:p>
    <w:p>
      <w:pPr>
        <w:spacing w:before="0" w:after="0" w:line="312" w:lineRule="exact"/>
        <w:ind w:left="456" w:firstLine="420"/>
        <w:jc w:val="left"/>
      </w:pPr>
      <w:r>
        <w:rPr>
          <w:rFonts w:ascii="宋体" w:hAnsi="宋体" w:cs="宋体"/>
          <w:color w:val="000000"/>
          <w:spacing w:val="-3"/>
          <w:w w:val="100"/>
          <w:position w:val="0"/>
          <w:sz w:val="21"/>
          <w:u w:val="none"/>
        </w:rPr>
        <w:t>在大气条件下，气体、蒸汽、薄雾、粉尘或纤维状的易燃物质与空气混合物，点燃后，燃烧将在整</w:t>
      </w:r>
    </w:p>
    <w:p>
      <w:pPr>
        <w:spacing w:before="0" w:after="0" w:line="312" w:lineRule="exact"/>
        <w:ind w:left="456" w:firstLine="0"/>
        <w:jc w:val="left"/>
      </w:pPr>
      <w:r>
        <w:rPr>
          <w:rFonts w:ascii="宋体" w:hAnsi="宋体" w:cs="宋体"/>
          <w:color w:val="000000"/>
          <w:spacing w:val="0"/>
          <w:w w:val="100"/>
          <w:position w:val="0"/>
          <w:sz w:val="21"/>
          <w:u w:val="none"/>
        </w:rPr>
        <w:t>个范围内传播的混合物。</w:t>
      </w:r>
    </w:p>
    <w:p>
      <w:pPr>
        <w:spacing w:before="0" w:after="0" w:line="240" w:lineRule="exact"/>
        <w:ind w:left="456" w:firstLine="0"/>
      </w:pPr>
    </w:p>
    <w:p>
      <w:pPr>
        <w:spacing w:before="0" w:after="0" w:line="260" w:lineRule="exact"/>
        <w:ind w:left="456" w:firstLine="9038"/>
        <w:jc w:val="left"/>
        <w:sectPr>
          <w:type w:val="continuous"/>
          <w:pgSz w:w="11906" w:h="16839"/>
          <w:pgMar w:top="1101" w:right="603" w:bottom="861" w:left="963"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19" w:lineRule="exact"/>
        <w:ind w:left="60" w:firstLine="0"/>
        <w:jc w:val="left"/>
      </w:pPr>
      <w:r>
        <w:pict>
          <v:shape id="imagerId136" o:spid="_x0000_s1047" type="#_x0000_t75" style="width:17pt;height:10pt;margin-top:99pt;margin-left:56pt;mso-height-relative:page;mso-position-horizontal-relative:page;mso-position-vertical-relative:page;mso-width-relative:page;position:absolute;z-index:-251635712" coordsize="21600,21600" filled="f">
            <v:imagedata r:id="rId25" o:title=""/>
            <o:lock v:ext="edit" aspectratio="t"/>
          </v:shape>
        </w:pict>
      </w:r>
      <w:r>
        <w:pict>
          <v:shape id="imagerId137" o:spid="_x0000_s1048" type="#_x0000_t75" style="width:18pt;height:9pt;margin-top:162pt;margin-left:56pt;mso-height-relative:page;mso-position-horizontal-relative:page;mso-position-vertical-relative:page;mso-width-relative:page;position:absolute;z-index:-251634688" coordsize="21600,21600" filled="f">
            <v:imagedata r:id="rId26" o:title=""/>
            <o:lock v:ext="edit" aspectratio="t"/>
          </v:shape>
        </w:pict>
      </w:r>
      <w:r>
        <w:pict>
          <v:shape id="imagerId138" o:spid="_x0000_s1049" type="#_x0000_t75" style="width:17pt;height:10pt;margin-top:224pt;margin-left:56pt;mso-height-relative:page;mso-position-horizontal-relative:page;mso-position-vertical-relative:page;mso-width-relative:page;position:absolute;z-index:-251633664" coordsize="21600,21600" filled="f">
            <v:imagedata r:id="rId27" o:title=""/>
            <o:lock v:ext="edit" aspectratio="t"/>
          </v:shape>
        </w:pict>
      </w:r>
      <w:r>
        <w:pict>
          <v:shape id="imagerId139" o:spid="_x0000_s1050" type="#_x0000_t75" style="width:17pt;height:10pt;margin-top:271pt;margin-left:56pt;mso-height-relative:page;mso-position-horizontal-relative:page;mso-position-vertical-relative:page;mso-width-relative:page;position:absolute;z-index:-251632640" coordsize="21600,21600" filled="f">
            <v:imagedata r:id="rId28" o:title=""/>
            <o:lock v:ext="edit" aspectratio="t"/>
          </v:shape>
        </w:pict>
      </w:r>
      <w:r>
        <w:pict>
          <v:shape id="imagerId140" o:spid="_x0000_s1051" type="#_x0000_t75" style="width:17pt;height:10pt;margin-top:333pt;margin-left:56pt;mso-height-relative:page;mso-position-horizontal-relative:page;mso-position-vertical-relative:page;mso-width-relative:page;position:absolute;z-index:-251631616" coordsize="21600,21600" filled="f">
            <v:imagedata r:id="rId29" o:title=""/>
            <o:lock v:ext="edit" aspectratio="t"/>
          </v:shape>
        </w:pict>
      </w:r>
      <w:r>
        <w:pict>
          <v:shape id="imagerId141" o:spid="_x0000_s1052" type="#_x0000_t75" style="width:17pt;height:10pt;margin-top:380pt;margin-left:56pt;mso-height-relative:page;mso-position-horizontal-relative:page;mso-position-vertical-relative:page;mso-width-relative:page;position:absolute;z-index:-251630592" coordsize="21600,21600" filled="f">
            <v:imagedata r:id="rId30" o:title=""/>
            <o:lock v:ext="edit" aspectratio="t"/>
          </v:shape>
        </w:pict>
      </w:r>
      <w:r>
        <w:pict>
          <v:shape id="imagerId142" o:spid="_x0000_s1053" type="#_x0000_t75" style="width:17pt;height:9pt;margin-top:443pt;margin-left:56pt;mso-height-relative:page;mso-position-horizontal-relative:page;mso-position-vertical-relative:page;mso-width-relative:page;position:absolute;z-index:-251629568" coordsize="21600,21600" filled="f">
            <v:imagedata r:id="rId31"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240" w:lineRule="exact"/>
        <w:ind w:left="60" w:firstLine="0"/>
      </w:pPr>
    </w:p>
    <w:p>
      <w:pPr>
        <w:spacing w:before="0" w:after="0" w:line="363" w:lineRule="exact"/>
        <w:ind w:left="60" w:firstLine="420"/>
        <w:jc w:val="left"/>
      </w:pPr>
      <w:r>
        <w:rPr>
          <w:rFonts w:ascii="黑体" w:eastAsia="黑体" w:hAnsi="黑体" w:cs="黑体"/>
          <w:color w:val="000000"/>
          <w:spacing w:val="0"/>
          <w:w w:val="100"/>
          <w:position w:val="0"/>
          <w:sz w:val="21"/>
          <w:u w:val="none"/>
        </w:rPr>
        <w:t>爆炸性气体环境</w:t>
      </w:r>
      <w:r>
        <w:rPr>
          <w:rFonts w:ascii="Calibri" w:hAnsi="Calibri" w:cs="Calibri"/>
          <w:color w:val="000000"/>
          <w:spacing w:val="0"/>
          <w:w w:val="216"/>
          <w:sz w:val="21"/>
          <w:u w:val="none"/>
        </w:rPr>
        <w:t> </w:t>
      </w:r>
      <w:r>
        <w:rPr>
          <w:rFonts w:ascii="黑体" w:hAnsi="黑体" w:cs="黑体"/>
          <w:color w:val="000000"/>
          <w:spacing w:val="-1"/>
          <w:w w:val="100"/>
          <w:position w:val="0"/>
          <w:sz w:val="21"/>
          <w:u w:val="none"/>
        </w:rPr>
        <w:t>explosive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gas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atmosphere</w:t>
      </w:r>
    </w:p>
    <w:p>
      <w:pPr>
        <w:spacing w:before="0" w:after="0" w:line="312" w:lineRule="exact"/>
        <w:ind w:left="60" w:firstLine="420"/>
        <w:jc w:val="left"/>
      </w:pPr>
      <w:r>
        <w:rPr>
          <w:rFonts w:ascii="宋体" w:eastAsia="宋体" w:hAnsi="宋体" w:cs="宋体"/>
          <w:color w:val="000000"/>
          <w:spacing w:val="-3"/>
          <w:w w:val="100"/>
          <w:position w:val="0"/>
          <w:sz w:val="21"/>
          <w:u w:val="none"/>
        </w:rPr>
        <w:t>在大气条件下，可燃物质以气体或蒸汽的形式与空气形成的混合物被点燃后，能够燃烧并自行传播</w:t>
      </w:r>
    </w:p>
    <w:p>
      <w:pPr>
        <w:spacing w:before="0" w:after="0" w:line="312" w:lineRule="exact"/>
        <w:ind w:left="60" w:firstLine="0"/>
        <w:jc w:val="left"/>
      </w:pPr>
      <w:r>
        <w:rPr>
          <w:rFonts w:ascii="宋体" w:hAnsi="宋体" w:cs="宋体"/>
          <w:color w:val="000000"/>
          <w:spacing w:val="0"/>
          <w:w w:val="100"/>
          <w:position w:val="0"/>
          <w:sz w:val="21"/>
          <w:u w:val="none"/>
        </w:rPr>
        <w:t>的环境。</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爆炸性粉尘环境</w:t>
      </w:r>
      <w:r>
        <w:rPr>
          <w:rFonts w:ascii="Calibri" w:hAnsi="Calibri" w:cs="Calibri"/>
          <w:color w:val="000000"/>
          <w:spacing w:val="0"/>
          <w:w w:val="216"/>
          <w:sz w:val="21"/>
          <w:u w:val="none"/>
        </w:rPr>
        <w:t> </w:t>
      </w:r>
      <w:r>
        <w:rPr>
          <w:rFonts w:ascii="黑体" w:hAnsi="黑体" w:cs="黑体"/>
          <w:color w:val="000000"/>
          <w:spacing w:val="-1"/>
          <w:w w:val="100"/>
          <w:position w:val="0"/>
          <w:sz w:val="21"/>
          <w:u w:val="none"/>
        </w:rPr>
        <w:t>explosive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dust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atmosphere</w:t>
      </w:r>
    </w:p>
    <w:p>
      <w:pPr>
        <w:spacing w:before="0" w:after="0" w:line="312" w:lineRule="exact"/>
        <w:ind w:left="60" w:firstLine="420"/>
        <w:jc w:val="left"/>
      </w:pPr>
      <w:r>
        <w:rPr>
          <w:rFonts w:ascii="宋体" w:hAnsi="宋体" w:cs="宋体"/>
          <w:color w:val="000000"/>
          <w:spacing w:val="-3"/>
          <w:w w:val="100"/>
          <w:position w:val="0"/>
          <w:sz w:val="21"/>
          <w:u w:val="none"/>
        </w:rPr>
        <w:t>在大气条件下，可燃物质以粉尘、纤维、或飞絮的形式与空气形成的混合物，被点燃后，能够燃烧</w:t>
      </w:r>
    </w:p>
    <w:p>
      <w:pPr>
        <w:spacing w:before="0" w:after="0" w:line="312" w:lineRule="exact"/>
        <w:ind w:left="60" w:firstLine="0"/>
        <w:jc w:val="left"/>
      </w:pPr>
      <w:r>
        <w:rPr>
          <w:rFonts w:ascii="宋体" w:hAnsi="宋体" w:cs="宋体"/>
          <w:color w:val="000000"/>
          <w:spacing w:val="0"/>
          <w:w w:val="100"/>
          <w:position w:val="0"/>
          <w:sz w:val="21"/>
          <w:u w:val="none"/>
        </w:rPr>
        <w:t>并自行传播的环境。</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可燃性粉尘</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flammable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dust</w:t>
      </w:r>
    </w:p>
    <w:p>
      <w:pPr>
        <w:spacing w:before="0" w:after="0" w:line="312" w:lineRule="exact"/>
        <w:ind w:left="60" w:firstLine="420"/>
        <w:jc w:val="left"/>
      </w:pPr>
      <w:r>
        <w:rPr>
          <w:rFonts w:ascii="宋体" w:hAnsi="宋体" w:cs="宋体"/>
          <w:color w:val="000000"/>
          <w:spacing w:val="0"/>
          <w:w w:val="100"/>
          <w:position w:val="0"/>
          <w:sz w:val="21"/>
          <w:u w:val="none"/>
        </w:rPr>
        <w:t>与空气混合后可能燃烧或闷燃、在常温常压下与空气形成爆炸性混合物的粉尘。</w:t>
      </w:r>
    </w:p>
    <w:p>
      <w:pPr>
        <w:spacing w:before="0" w:after="0" w:line="240" w:lineRule="exact"/>
        <w:ind w:left="60" w:firstLine="420"/>
      </w:pPr>
    </w:p>
    <w:p>
      <w:pPr>
        <w:spacing w:before="0" w:after="0" w:line="385" w:lineRule="exact"/>
        <w:ind w:left="60" w:firstLine="420"/>
        <w:jc w:val="left"/>
      </w:pPr>
      <w:r>
        <w:rPr>
          <w:rFonts w:ascii="黑体" w:eastAsia="黑体" w:hAnsi="黑体" w:cs="黑体"/>
          <w:color w:val="000000"/>
          <w:spacing w:val="0"/>
          <w:w w:val="100"/>
          <w:position w:val="0"/>
          <w:sz w:val="21"/>
          <w:u w:val="none"/>
        </w:rPr>
        <w:t>最高表面温度</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maximum</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surface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temperature</w:t>
      </w:r>
    </w:p>
    <w:p>
      <w:pPr>
        <w:spacing w:before="0" w:after="0" w:line="312" w:lineRule="exact"/>
        <w:ind w:left="60" w:firstLine="420"/>
        <w:jc w:val="left"/>
      </w:pPr>
      <w:r>
        <w:rPr>
          <w:rFonts w:ascii="宋体" w:eastAsia="宋体" w:hAnsi="宋体" w:cs="宋体"/>
          <w:color w:val="000000"/>
          <w:spacing w:val="-3"/>
          <w:w w:val="100"/>
          <w:position w:val="0"/>
          <w:sz w:val="21"/>
          <w:u w:val="none"/>
        </w:rPr>
        <w:t>设备在容许范围内的最不利条件下运行时，暴露于爆炸性混合物的任何表面的任何部分，不可能引</w:t>
      </w:r>
    </w:p>
    <w:p>
      <w:pPr>
        <w:spacing w:before="0" w:after="0" w:line="312" w:lineRule="exact"/>
        <w:ind w:left="60" w:firstLine="0"/>
        <w:jc w:val="left"/>
      </w:pPr>
      <w:r>
        <w:rPr>
          <w:rFonts w:ascii="宋体" w:hAnsi="宋体" w:cs="宋体"/>
          <w:color w:val="000000"/>
          <w:spacing w:val="0"/>
          <w:w w:val="100"/>
          <w:position w:val="0"/>
          <w:sz w:val="21"/>
          <w:u w:val="none"/>
        </w:rPr>
        <w:t>燃设备周围爆炸性混合物的最高温度。</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0"/>
          <w:w w:val="100"/>
          <w:position w:val="0"/>
          <w:sz w:val="21"/>
          <w:u w:val="none"/>
        </w:rPr>
        <w:t>温度组别</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temperature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class</w:t>
      </w:r>
    </w:p>
    <w:p>
      <w:pPr>
        <w:spacing w:before="0" w:after="0" w:line="312" w:lineRule="exact"/>
        <w:ind w:left="60" w:firstLine="420"/>
        <w:jc w:val="left"/>
      </w:pPr>
      <w:r>
        <w:rPr>
          <w:rFonts w:ascii="宋体" w:hAnsi="宋体" w:cs="宋体"/>
          <w:color w:val="000000"/>
          <w:spacing w:val="0"/>
          <w:w w:val="100"/>
          <w:position w:val="0"/>
          <w:sz w:val="21"/>
          <w:u w:val="none"/>
        </w:rPr>
        <w:t>按电气设备最高表面温度划分的组别。</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0"/>
          <w:w w:val="100"/>
          <w:position w:val="0"/>
          <w:sz w:val="21"/>
          <w:u w:val="none"/>
        </w:rPr>
        <w:t>危险场所</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hazardous</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area</w:t>
      </w:r>
    </w:p>
    <w:p>
      <w:pPr>
        <w:spacing w:before="0" w:after="0" w:line="312" w:lineRule="exact"/>
        <w:ind w:left="60" w:firstLine="420"/>
        <w:jc w:val="left"/>
      </w:pPr>
      <w:r>
        <w:rPr>
          <w:rFonts w:ascii="宋体" w:hAnsi="宋体" w:cs="宋体"/>
          <w:color w:val="000000"/>
          <w:spacing w:val="1"/>
          <w:w w:val="100"/>
          <w:position w:val="0"/>
          <w:sz w:val="21"/>
          <w:u w:val="none"/>
        </w:rPr>
        <w:t>爆炸性气体环境出现的或预期可能出现的数量达到足以要求对电气设备的结构、安装和使用采取</w:t>
      </w:r>
    </w:p>
    <w:p>
      <w:pPr>
        <w:spacing w:before="0" w:after="0" w:line="312" w:lineRule="exact"/>
        <w:ind w:left="60" w:firstLine="0"/>
        <w:jc w:val="left"/>
      </w:pPr>
      <w:r>
        <w:rPr>
          <w:rFonts w:ascii="宋体" w:hAnsi="宋体" w:cs="宋体"/>
          <w:color w:val="000000"/>
          <w:spacing w:val="0"/>
          <w:w w:val="100"/>
          <w:position w:val="0"/>
          <w:sz w:val="21"/>
          <w:u w:val="none"/>
        </w:rPr>
        <w:t>专门预防措施的场所。</w:t>
      </w:r>
    </w:p>
    <w:p>
      <w:pPr>
        <w:spacing w:before="0" w:after="0" w:line="312" w:lineRule="exact"/>
        <w:ind w:left="60" w:firstLine="526"/>
        <w:jc w:val="left"/>
      </w:pPr>
      <w:r>
        <w:rPr>
          <w:rFonts w:ascii="黑体" w:eastAsia="黑体" w:hAnsi="黑体" w:cs="黑体"/>
          <w:color w:val="000000"/>
          <w:spacing w:val="0"/>
          <w:w w:val="100"/>
          <w:position w:val="0"/>
          <w:sz w:val="21"/>
          <w:u w:val="none"/>
        </w:rPr>
        <w:t>区域分类</w:t>
      </w:r>
    </w:p>
    <w:p>
      <w:pPr>
        <w:spacing w:before="0" w:after="0" w:line="312" w:lineRule="exact"/>
        <w:ind w:left="60" w:firstLine="0"/>
        <w:jc w:val="left"/>
      </w:pPr>
      <w:r>
        <w:rPr>
          <w:rFonts w:ascii="黑体" w:hAnsi="黑体" w:cs="黑体"/>
          <w:color w:val="000000"/>
          <w:spacing w:val="0"/>
          <w:w w:val="100"/>
          <w:position w:val="0"/>
          <w:sz w:val="21"/>
          <w:u w:val="none"/>
        </w:rPr>
        <w:t>3.9.1</w:t>
      </w:r>
    </w:p>
    <w:p>
      <w:pPr>
        <w:spacing w:before="0" w:after="0" w:line="312" w:lineRule="exact"/>
        <w:ind w:left="60" w:firstLine="420"/>
        <w:jc w:val="left"/>
      </w:pPr>
      <w:r>
        <w:rPr>
          <w:rFonts w:ascii="黑体" w:eastAsia="黑体" w:hAnsi="黑体" w:cs="黑体"/>
          <w:color w:val="000000"/>
          <w:spacing w:val="0"/>
          <w:w w:val="100"/>
          <w:position w:val="0"/>
          <w:sz w:val="21"/>
          <w:u w:val="none"/>
        </w:rPr>
        <w:t>区域</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zones</w:t>
      </w:r>
    </w:p>
    <w:p>
      <w:pPr>
        <w:spacing w:before="0" w:after="0" w:line="312" w:lineRule="exact"/>
        <w:ind w:left="60" w:firstLine="420"/>
        <w:jc w:val="left"/>
      </w:pPr>
      <w:r>
        <w:rPr>
          <w:rFonts w:ascii="宋体" w:eastAsia="宋体" w:hAnsi="宋体" w:cs="宋体"/>
          <w:color w:val="000000"/>
          <w:spacing w:val="0"/>
          <w:w w:val="100"/>
          <w:position w:val="0"/>
          <w:sz w:val="21"/>
          <w:u w:val="none"/>
        </w:rPr>
        <w:t>根据爆炸性气体环境出现的频率和持续时间对爆炸性气体环境危险场所分为</w:t>
      </w:r>
      <w:r>
        <w:rPr>
          <w:rFonts w:ascii="宋体" w:hAnsi="宋体" w:cs="宋体"/>
          <w:color w:val="000000"/>
          <w:spacing w:val="0"/>
          <w:w w:val="100"/>
          <w:position w:val="0"/>
          <w:sz w:val="21"/>
          <w:u w:val="none"/>
        </w:rPr>
        <w:t>1区、2</w:t>
      </w:r>
      <w:r>
        <w:rPr>
          <w:rFonts w:ascii="宋体" w:eastAsia="宋体" w:hAnsi="宋体" w:cs="宋体"/>
          <w:color w:val="000000"/>
          <w:spacing w:val="-7"/>
          <w:w w:val="100"/>
          <w:position w:val="0"/>
          <w:sz w:val="21"/>
          <w:u w:val="none"/>
        </w:rPr>
        <w:t>区；根据可燃性</w:t>
      </w:r>
    </w:p>
    <w:p>
      <w:pPr>
        <w:spacing w:before="0" w:after="0" w:line="312" w:lineRule="exact"/>
        <w:ind w:left="60" w:firstLine="0"/>
        <w:jc w:val="left"/>
      </w:pPr>
      <w:r>
        <w:rPr>
          <w:rFonts w:ascii="宋体" w:eastAsia="宋体" w:hAnsi="宋体" w:cs="宋体"/>
          <w:color w:val="000000"/>
          <w:spacing w:val="0"/>
          <w:w w:val="100"/>
          <w:position w:val="0"/>
          <w:sz w:val="21"/>
          <w:u w:val="none"/>
        </w:rPr>
        <w:t>粉尘与空气混合物出现的频率和持续时间及粉尘厚度对爆炸尘环境危险场所分为</w:t>
      </w:r>
      <w:r>
        <w:rPr>
          <w:rFonts w:ascii="宋体" w:hAnsi="宋体" w:cs="宋体"/>
          <w:color w:val="000000"/>
          <w:spacing w:val="0"/>
          <w:w w:val="100"/>
          <w:position w:val="0"/>
          <w:sz w:val="21"/>
          <w:u w:val="none"/>
        </w:rPr>
        <w:t>21区、22</w:t>
      </w:r>
      <w:r>
        <w:rPr>
          <w:rFonts w:ascii="宋体" w:hAnsi="宋体" w:cs="宋体"/>
          <w:color w:val="000000"/>
          <w:spacing w:val="-1"/>
          <w:w w:val="100"/>
          <w:position w:val="0"/>
          <w:sz w:val="21"/>
          <w:u w:val="none"/>
        </w:rPr>
        <w:t>区。</w:t>
      </w:r>
    </w:p>
    <w:p>
      <w:pPr>
        <w:spacing w:before="0" w:after="0" w:line="312" w:lineRule="exact"/>
        <w:ind w:left="60" w:firstLine="0"/>
        <w:jc w:val="left"/>
      </w:pPr>
      <w:r>
        <w:rPr>
          <w:rFonts w:ascii="黑体" w:hAnsi="黑体" w:cs="黑体"/>
          <w:color w:val="000000"/>
          <w:spacing w:val="0"/>
          <w:w w:val="100"/>
          <w:position w:val="0"/>
          <w:sz w:val="21"/>
          <w:u w:val="none"/>
        </w:rPr>
        <w:t>3.9.2</w:t>
      </w:r>
    </w:p>
    <w:p>
      <w:pPr>
        <w:spacing w:before="0" w:after="0" w:line="312" w:lineRule="exact"/>
        <w:ind w:left="60" w:firstLine="420"/>
        <w:jc w:val="left"/>
      </w:pPr>
      <w:r>
        <w:rPr>
          <w:rFonts w:ascii="黑体" w:hAnsi="黑体" w:cs="黑体"/>
          <w:color w:val="000000"/>
          <w:spacing w:val="0"/>
          <w:w w:val="100"/>
          <w:position w:val="0"/>
          <w:sz w:val="21"/>
          <w:u w:val="none"/>
        </w:rPr>
        <w:t>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区</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zone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w:t>
      </w:r>
    </w:p>
    <w:p>
      <w:pPr>
        <w:spacing w:before="0" w:after="0" w:line="312" w:lineRule="exact"/>
        <w:ind w:left="60" w:firstLine="420"/>
        <w:jc w:val="left"/>
      </w:pPr>
      <w:r>
        <w:rPr>
          <w:rFonts w:ascii="宋体" w:hAnsi="宋体" w:cs="宋体"/>
          <w:color w:val="000000"/>
          <w:spacing w:val="0"/>
          <w:w w:val="100"/>
          <w:position w:val="0"/>
          <w:sz w:val="21"/>
          <w:u w:val="none"/>
        </w:rPr>
        <w:t>在正常运行时，可能出现爆炸性气体环境的场所。</w:t>
      </w:r>
    </w:p>
    <w:p>
      <w:pPr>
        <w:spacing w:before="0" w:after="0" w:line="312" w:lineRule="exact"/>
        <w:ind w:left="60" w:firstLine="0"/>
        <w:jc w:val="left"/>
      </w:pPr>
      <w:r>
        <w:rPr>
          <w:rFonts w:ascii="黑体" w:hAnsi="黑体" w:cs="黑体"/>
          <w:color w:val="000000"/>
          <w:spacing w:val="0"/>
          <w:w w:val="100"/>
          <w:position w:val="0"/>
          <w:sz w:val="21"/>
          <w:u w:val="none"/>
        </w:rPr>
        <w:t>3.9.3</w:t>
      </w:r>
    </w:p>
    <w:p>
      <w:pPr>
        <w:spacing w:before="0" w:after="0" w:line="312" w:lineRule="exact"/>
        <w:ind w:left="60" w:firstLine="420"/>
        <w:jc w:val="left"/>
      </w:pPr>
      <w:r>
        <w:rPr>
          <w:rFonts w:ascii="黑体" w:hAnsi="黑体" w:cs="黑体"/>
          <w:color w:val="000000"/>
          <w:spacing w:val="0"/>
          <w:w w:val="100"/>
          <w:position w:val="0"/>
          <w:sz w:val="21"/>
          <w:u w:val="none"/>
        </w:rPr>
        <w:t>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区</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zone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w:t>
      </w:r>
    </w:p>
    <w:p>
      <w:pPr>
        <w:spacing w:before="0" w:after="0" w:line="312" w:lineRule="exact"/>
        <w:ind w:left="60" w:firstLine="420"/>
        <w:jc w:val="left"/>
      </w:pPr>
      <w:r>
        <w:rPr>
          <w:rFonts w:ascii="宋体" w:hAnsi="宋体" w:cs="宋体"/>
          <w:color w:val="000000"/>
          <w:spacing w:val="0"/>
          <w:w w:val="100"/>
          <w:position w:val="0"/>
          <w:sz w:val="21"/>
          <w:u w:val="none"/>
        </w:rPr>
        <w:t>在正常运行时，不可能出现爆炸性气体环境。如果出现也是偶尔发生并且仅是短时间存在的场所。</w:t>
      </w:r>
    </w:p>
    <w:p>
      <w:pPr>
        <w:spacing w:before="0" w:after="0" w:line="312" w:lineRule="exact"/>
        <w:ind w:left="60" w:firstLine="0"/>
        <w:jc w:val="left"/>
      </w:pPr>
      <w:r>
        <w:rPr>
          <w:rFonts w:ascii="黑体" w:hAnsi="黑体" w:cs="黑体"/>
          <w:color w:val="000000"/>
          <w:spacing w:val="0"/>
          <w:w w:val="100"/>
          <w:position w:val="0"/>
          <w:sz w:val="21"/>
          <w:u w:val="none"/>
        </w:rPr>
        <w:t>3.9.4</w:t>
      </w:r>
    </w:p>
    <w:p>
      <w:pPr>
        <w:spacing w:before="0" w:after="0" w:line="312" w:lineRule="exact"/>
        <w:ind w:left="60" w:firstLine="420"/>
        <w:jc w:val="left"/>
      </w:pPr>
      <w:r>
        <w:rPr>
          <w:rFonts w:ascii="黑体" w:hAnsi="黑体" w:cs="黑体"/>
          <w:color w:val="000000"/>
          <w:spacing w:val="0"/>
          <w:w w:val="100"/>
          <w:position w:val="0"/>
          <w:sz w:val="21"/>
          <w:u w:val="none"/>
        </w:rPr>
        <w:t>21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区</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zone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w:t>
      </w:r>
    </w:p>
    <w:p>
      <w:pPr>
        <w:spacing w:before="0" w:after="0" w:line="312" w:lineRule="exact"/>
        <w:ind w:left="60" w:firstLine="420"/>
        <w:jc w:val="left"/>
      </w:pPr>
      <w:r>
        <w:rPr>
          <w:rFonts w:ascii="宋体" w:hAnsi="宋体" w:cs="宋体"/>
          <w:color w:val="000000"/>
          <w:spacing w:val="0"/>
          <w:w w:val="100"/>
          <w:position w:val="0"/>
          <w:sz w:val="21"/>
          <w:u w:val="none"/>
        </w:rPr>
        <w:t>在正常运行过程中，可能出现粉尘数量足以形成可燃性粉尘与空气的混合物的场所。该区域包括，</w:t>
      </w:r>
    </w:p>
    <w:p>
      <w:pPr>
        <w:spacing w:before="0" w:after="0" w:line="313" w:lineRule="exact"/>
        <w:ind w:left="60" w:firstLine="0"/>
        <w:jc w:val="left"/>
      </w:pPr>
      <w:r>
        <w:rPr>
          <w:rFonts w:ascii="宋体" w:hAnsi="宋体" w:cs="宋体"/>
          <w:color w:val="000000"/>
          <w:spacing w:val="1"/>
          <w:w w:val="100"/>
          <w:position w:val="0"/>
          <w:sz w:val="21"/>
          <w:u w:val="none"/>
        </w:rPr>
        <w:t>与充入或排放粉尘点直接相邻的场所、出现粉尘和正常操作情况下可能产生可燃浓度的可燃性粉尘与</w:t>
      </w:r>
    </w:p>
    <w:p>
      <w:pPr>
        <w:spacing w:before="0" w:after="0" w:line="312" w:lineRule="exact"/>
        <w:ind w:left="60" w:firstLine="0"/>
        <w:jc w:val="left"/>
      </w:pPr>
      <w:r>
        <w:rPr>
          <w:rFonts w:ascii="宋体" w:hAnsi="宋体" w:cs="宋体"/>
          <w:color w:val="000000"/>
          <w:spacing w:val="0"/>
          <w:w w:val="100"/>
          <w:position w:val="0"/>
          <w:sz w:val="21"/>
          <w:u w:val="none"/>
        </w:rPr>
        <w:t>空气的混合场所。</w:t>
      </w:r>
    </w:p>
    <w:p>
      <w:pPr>
        <w:spacing w:before="0" w:after="0" w:line="312" w:lineRule="exact"/>
        <w:ind w:left="60" w:firstLine="0"/>
        <w:jc w:val="left"/>
      </w:pPr>
      <w:r>
        <w:rPr>
          <w:rFonts w:ascii="黑体" w:hAnsi="黑体" w:cs="黑体"/>
          <w:color w:val="000000"/>
          <w:spacing w:val="0"/>
          <w:w w:val="100"/>
          <w:position w:val="0"/>
          <w:sz w:val="21"/>
          <w:u w:val="none"/>
        </w:rPr>
        <w:t>3.9.5</w:t>
      </w:r>
    </w:p>
    <w:p>
      <w:pPr>
        <w:spacing w:before="0" w:after="0" w:line="312" w:lineRule="exact"/>
        <w:ind w:left="60" w:firstLine="420"/>
        <w:jc w:val="left"/>
      </w:pPr>
      <w:r>
        <w:rPr>
          <w:rFonts w:ascii="黑体" w:hAnsi="黑体" w:cs="黑体"/>
          <w:color w:val="000000"/>
          <w:spacing w:val="0"/>
          <w:w w:val="100"/>
          <w:position w:val="0"/>
          <w:sz w:val="21"/>
          <w:u w:val="none"/>
        </w:rPr>
        <w:t>22</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区</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zone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22</w:t>
      </w:r>
    </w:p>
    <w:p>
      <w:pPr>
        <w:spacing w:before="0" w:after="0" w:line="312" w:lineRule="exact"/>
        <w:ind w:left="60" w:firstLine="420"/>
        <w:jc w:val="left"/>
      </w:pPr>
      <w:r>
        <w:rPr>
          <w:rFonts w:ascii="宋体" w:hAnsi="宋体" w:cs="宋体"/>
          <w:color w:val="000000"/>
          <w:spacing w:val="-3"/>
          <w:w w:val="100"/>
          <w:position w:val="0"/>
          <w:sz w:val="21"/>
          <w:u w:val="none"/>
        </w:rPr>
        <w:t>在异常条件下，可燃性粉尘云偶尔出现并且只是短时间存在、或可燃性粉尘偶尔出现堆积或可能存</w:t>
      </w:r>
    </w:p>
    <w:p>
      <w:pPr>
        <w:spacing w:before="0" w:after="0" w:line="312" w:lineRule="exact"/>
        <w:ind w:left="60" w:firstLine="0"/>
        <w:jc w:val="left"/>
      </w:pPr>
      <w:r>
        <w:rPr>
          <w:rFonts w:ascii="宋体" w:hAnsi="宋体" w:cs="宋体"/>
          <w:color w:val="000000"/>
          <w:spacing w:val="-3"/>
          <w:w w:val="100"/>
          <w:position w:val="0"/>
          <w:sz w:val="21"/>
          <w:u w:val="none"/>
        </w:rPr>
        <w:t>在粉尘并且产生可燃粉尘空倔混合物的场所。如果不能保证排除可燃性粉尘堆积或粉尘层时，则应划分</w:t>
      </w:r>
    </w:p>
    <w:p>
      <w:pPr>
        <w:spacing w:before="0" w:after="0" w:line="312" w:lineRule="exact"/>
        <w:ind w:left="60" w:firstLine="0"/>
        <w:jc w:val="left"/>
      </w:pPr>
      <w:r>
        <w:rPr>
          <w:rFonts w:ascii="宋体" w:eastAsia="宋体" w:hAnsi="宋体" w:cs="宋体"/>
          <w:color w:val="000000"/>
          <w:spacing w:val="0"/>
          <w:w w:val="100"/>
          <w:position w:val="0"/>
          <w:sz w:val="21"/>
          <w:u w:val="none"/>
        </w:rPr>
        <w:t>为</w:t>
      </w:r>
      <w:r>
        <w:rPr>
          <w:rFonts w:ascii="宋体" w:hAnsi="宋体" w:cs="宋体"/>
          <w:color w:val="000000"/>
          <w:spacing w:val="0"/>
          <w:w w:val="100"/>
          <w:position w:val="0"/>
          <w:sz w:val="21"/>
          <w:u w:val="none"/>
        </w:rPr>
        <w:t>21</w:t>
      </w:r>
      <w:r>
        <w:rPr>
          <w:rFonts w:ascii="宋体" w:hAnsi="宋体" w:cs="宋体"/>
          <w:color w:val="000000"/>
          <w:spacing w:val="-1"/>
          <w:w w:val="100"/>
          <w:position w:val="0"/>
          <w:sz w:val="21"/>
          <w:u w:val="none"/>
        </w:rPr>
        <w:t>区。</w:t>
      </w:r>
    </w:p>
    <w:p>
      <w:pPr>
        <w:spacing w:before="0" w:after="0" w:line="382" w:lineRule="exact"/>
        <w:ind w:left="60" w:firstLine="197"/>
        <w:jc w:val="left"/>
        <w:sectPr>
          <w:type w:val="continuous"/>
          <w:pgSz w:w="11906" w:h="16838"/>
          <w:pgMar w:top="1101" w:right="713" w:bottom="861" w:left="1073" w:header="0" w:footer="0" w:gutter="0"/>
          <w:pgNumType w:start="16"/>
          <w:cols w:num="1" w:space="720"/>
        </w:sectPr>
      </w:pPr>
      <w:r>
        <w:rPr>
          <w:rFonts w:ascii="宋体" w:hAnsi="宋体" w:cs="宋体"/>
          <w:color w:val="000000"/>
          <w:spacing w:val="-1"/>
          <w:w w:val="100"/>
          <w:position w:val="0"/>
          <w:sz w:val="18"/>
          <w:u w:val="none"/>
        </w:rPr>
        <w:t>2</w:t>
      </w:r>
    </w:p>
    <w:p>
      <w:pPr>
        <w:spacing w:before="0" w:after="0" w:line="347" w:lineRule="exact"/>
      </w:pPr>
      <w:bookmarkStart w:id="7" w:name="7"/>
      <w:bookmarkEnd w:id="7"/>
    </w:p>
    <w:p>
      <w:pPr>
        <w:widowControl/>
        <w:jc w:val="left"/>
        <w:sectPr>
          <w:type w:val="continuous"/>
          <w:pgSz w:w="11906" w:h="16839"/>
          <w:pgMar w:top="1101" w:right="708" w:bottom="861" w:left="1068" w:header="0" w:footer="0" w:gutter="0"/>
          <w:pgNumType w:start="17"/>
          <w:cols w:num="1" w:space="720"/>
          <w:docGrid w:type="lines" w:linePitch="312" w:charSpace="0"/>
        </w:sectPr>
      </w:pPr>
    </w:p>
    <w:p>
      <w:pPr>
        <w:spacing w:before="0" w:after="0" w:line="211" w:lineRule="exact"/>
        <w:ind w:left="351" w:firstLine="7571"/>
        <w:jc w:val="left"/>
      </w:pPr>
      <w:r>
        <w:pict>
          <v:shape id="imagerId143" o:spid="_x0000_s1054" type="#_x0000_t75" style="width:23pt;height:10pt;margin-top:99pt;margin-left:70pt;mso-height-relative:page;mso-position-horizontal-relative:page;mso-position-vertical-relative:page;mso-width-relative:page;position:absolute;z-index:-251628544" coordsize="21600,21600" filled="f">
            <v:imagedata r:id="rId32" o:title=""/>
            <o:lock v:ext="edit" aspectratio="t"/>
          </v:shape>
        </w:pict>
      </w:r>
      <w:r>
        <w:pict>
          <v:shape id="imagerId144" o:spid="_x0000_s1055" type="#_x0000_t75" style="width:16pt;height:10pt;margin-top:411pt;margin-left:70pt;mso-height-relative:page;mso-position-horizontal-relative:page;mso-position-vertical-relative:page;mso-width-relative:page;position:absolute;z-index:-251627520" coordsize="21600,21600" filled="f">
            <v:imagedata r:id="rId33" o:title=""/>
            <o:lock v:ext="edit" aspectratio="t"/>
          </v:shape>
        </w:pict>
      </w:r>
      <w:r>
        <w:pict>
          <v:shape id="imagerId145" o:spid="_x0000_s1056" type="#_x0000_t75" style="width:17pt;height:9pt;margin-top:443pt;margin-left:70pt;mso-height-relative:page;mso-position-horizontal-relative:page;mso-position-vertical-relative:page;mso-width-relative:page;position:absolute;z-index:-251626496" coordsize="21600,21600" filled="f">
            <v:imagedata r:id="rId34" o:title=""/>
            <o:lock v:ext="edit" aspectratio="t"/>
          </v:shape>
        </w:pict>
      </w:r>
      <w:r>
        <w:pict>
          <v:shape id="imagerId146" o:spid="_x0000_s1057" type="#_x0000_t75" style="width:17pt;height:10pt;margin-top:458pt;margin-left:70pt;mso-height-relative:page;mso-position-horizontal-relative:page;mso-position-vertical-relative:page;mso-width-relative:page;position:absolute;z-index:-251625472" coordsize="21600,21600" filled="f">
            <v:imagedata r:id="rId35" o:title=""/>
            <o:lock v:ext="edit" aspectratio="t"/>
          </v:shape>
        </w:pict>
      </w:r>
      <w:r>
        <w:pict>
          <v:shape id="imagerId147" o:spid="_x0000_s1058" type="#_x0000_t75" style="width:18pt;height:9pt;margin-top:474pt;margin-left:70pt;mso-height-relative:page;mso-position-horizontal-relative:page;mso-position-vertical-relative:page;mso-width-relative:page;position:absolute;z-index:-251624448" coordsize="21600,21600" filled="f">
            <v:imagedata r:id="rId36" o:title=""/>
            <o:lock v:ext="edit" aspectratio="t"/>
          </v:shape>
        </w:pict>
      </w:r>
      <w:r>
        <w:pict>
          <v:shape id="imagerId148" o:spid="_x0000_s1059" type="#_x0000_t75" style="width:17pt;height:10pt;margin-top:489pt;margin-left:70pt;mso-height-relative:page;mso-position-horizontal-relative:page;mso-position-vertical-relative:page;mso-width-relative:page;position:absolute;z-index:-251623424" coordsize="21600,21600" filled="f">
            <v:imagedata r:id="rId37"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351" w:firstLine="7571"/>
      </w:pPr>
    </w:p>
    <w:p>
      <w:pPr>
        <w:spacing w:before="0" w:after="0" w:line="291" w:lineRule="exact"/>
        <w:ind w:left="351" w:firstLine="631"/>
        <w:jc w:val="left"/>
      </w:pPr>
      <w:r>
        <w:rPr>
          <w:rFonts w:ascii="黑体" w:eastAsia="黑体" w:hAnsi="黑体" w:cs="黑体"/>
          <w:color w:val="000000"/>
          <w:spacing w:val="0"/>
          <w:w w:val="100"/>
          <w:position w:val="0"/>
          <w:sz w:val="21"/>
          <w:u w:val="none"/>
        </w:rPr>
        <w:t>级别</w:t>
      </w:r>
    </w:p>
    <w:p>
      <w:pPr>
        <w:spacing w:before="0" w:after="0" w:line="312" w:lineRule="exact"/>
        <w:ind w:left="351" w:firstLine="0"/>
        <w:jc w:val="left"/>
      </w:pPr>
      <w:r>
        <w:rPr>
          <w:rFonts w:ascii="黑体" w:hAnsi="黑体" w:cs="黑体"/>
          <w:color w:val="000000"/>
          <w:spacing w:val="0"/>
          <w:w w:val="100"/>
          <w:position w:val="0"/>
          <w:sz w:val="21"/>
          <w:u w:val="none"/>
        </w:rPr>
        <w:t>3.10.1</w:t>
      </w:r>
    </w:p>
    <w:p>
      <w:pPr>
        <w:spacing w:before="0" w:after="0" w:line="312" w:lineRule="exact"/>
        <w:ind w:left="351" w:firstLine="420"/>
        <w:jc w:val="left"/>
      </w:pPr>
      <w:r>
        <w:rPr>
          <w:rFonts w:ascii="黑体" w:hAnsi="黑体" w:cs="黑体"/>
          <w:color w:val="000000"/>
          <w:spacing w:val="0"/>
          <w:w w:val="100"/>
          <w:position w:val="0"/>
          <w:sz w:val="21"/>
          <w:u w:val="none"/>
        </w:rPr>
        <w:t>Gc</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级车辆</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trucks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EPL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Gc</w:t>
      </w:r>
    </w:p>
    <w:p>
      <w:pPr>
        <w:spacing w:before="0" w:after="0" w:line="312" w:lineRule="exact"/>
        <w:ind w:left="351" w:firstLine="420"/>
        <w:jc w:val="left"/>
      </w:pPr>
      <w:r>
        <w:rPr>
          <w:rFonts w:ascii="宋体" w:eastAsia="宋体" w:hAnsi="宋体" w:cs="宋体"/>
          <w:color w:val="000000"/>
          <w:spacing w:val="0"/>
          <w:w w:val="100"/>
          <w:position w:val="0"/>
          <w:sz w:val="21"/>
          <w:u w:val="none"/>
        </w:rPr>
        <w:t>用于潜在爆炸性气体环境中</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区的车辆，它具有的防爆措施，在正常运行工况下能保持所需的防爆</w:t>
      </w:r>
    </w:p>
    <w:p>
      <w:pPr>
        <w:spacing w:before="0" w:after="0" w:line="312" w:lineRule="exact"/>
        <w:ind w:left="351" w:firstLine="0"/>
        <w:jc w:val="left"/>
      </w:pPr>
      <w:r>
        <w:rPr>
          <w:rFonts w:ascii="宋体" w:hAnsi="宋体" w:cs="宋体"/>
          <w:color w:val="000000"/>
          <w:spacing w:val="0"/>
          <w:w w:val="100"/>
          <w:position w:val="0"/>
          <w:sz w:val="21"/>
          <w:u w:val="none"/>
        </w:rPr>
        <w:t>水平。</w:t>
      </w:r>
    </w:p>
    <w:p>
      <w:pPr>
        <w:spacing w:before="0" w:after="0" w:line="312" w:lineRule="exact"/>
        <w:ind w:left="351" w:firstLine="0"/>
        <w:jc w:val="left"/>
      </w:pPr>
      <w:r>
        <w:rPr>
          <w:rFonts w:ascii="黑体" w:hAnsi="黑体" w:cs="黑体"/>
          <w:color w:val="000000"/>
          <w:spacing w:val="0"/>
          <w:w w:val="100"/>
          <w:position w:val="0"/>
          <w:sz w:val="21"/>
          <w:u w:val="none"/>
        </w:rPr>
        <w:t>3.10.2</w:t>
      </w:r>
    </w:p>
    <w:p>
      <w:pPr>
        <w:tabs>
          <w:tab w:val="left" w:pos="1874"/>
        </w:tabs>
        <w:spacing w:before="0" w:after="0" w:line="312" w:lineRule="exact"/>
        <w:ind w:left="351" w:firstLine="420"/>
        <w:jc w:val="left"/>
      </w:pPr>
      <w:r>
        <w:rPr>
          <w:rFonts w:ascii="黑体" w:hAnsi="黑体" w:cs="黑体"/>
          <w:color w:val="000000"/>
          <w:spacing w:val="0"/>
          <w:w w:val="100"/>
          <w:position w:val="0"/>
          <w:sz w:val="21"/>
          <w:u w:val="none"/>
        </w:rPr>
        <w:t>Gb</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级车辆</w:t>
      </w:r>
      <w:r>
        <w:rPr>
          <w:rFonts w:cs="Calibri"/>
          <w:spacing w:val="0"/>
          <w:w w:val="100"/>
        </w:rPr>
        <w:tab/>
      </w:r>
      <w:r>
        <w:rPr>
          <w:rFonts w:ascii="黑体" w:hAnsi="黑体" w:cs="黑体"/>
          <w:color w:val="000000"/>
          <w:spacing w:val="0"/>
          <w:w w:val="100"/>
          <w:position w:val="0"/>
          <w:sz w:val="21"/>
          <w:u w:val="none"/>
        </w:rPr>
        <w:t>trucks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EPL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Gb</w:t>
      </w:r>
    </w:p>
    <w:p>
      <w:pPr>
        <w:spacing w:before="0" w:after="0" w:line="312" w:lineRule="exact"/>
        <w:ind w:left="351" w:firstLine="420"/>
        <w:jc w:val="left"/>
      </w:pPr>
      <w:r>
        <w:rPr>
          <w:rFonts w:ascii="宋体" w:eastAsia="宋体" w:hAnsi="宋体" w:cs="宋体"/>
          <w:color w:val="000000"/>
          <w:spacing w:val="0"/>
          <w:w w:val="100"/>
          <w:position w:val="0"/>
          <w:sz w:val="21"/>
          <w:u w:val="none"/>
        </w:rPr>
        <w:t>用于潜在爆炸性气体环境中</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区的车辆，它所具有的防爆措施，在正常运行工况下和即使在本身发</w:t>
      </w:r>
    </w:p>
    <w:p>
      <w:pPr>
        <w:spacing w:before="0" w:after="0" w:line="312" w:lineRule="exact"/>
        <w:ind w:left="351" w:firstLine="0"/>
        <w:jc w:val="left"/>
      </w:pPr>
      <w:r>
        <w:rPr>
          <w:rFonts w:ascii="宋体" w:hAnsi="宋体" w:cs="宋体"/>
          <w:color w:val="000000"/>
          <w:spacing w:val="0"/>
          <w:w w:val="100"/>
          <w:position w:val="0"/>
          <w:sz w:val="21"/>
          <w:u w:val="none"/>
        </w:rPr>
        <w:t>生可预见故障时都能保持所需的防爆水平。</w:t>
      </w:r>
    </w:p>
    <w:p>
      <w:pPr>
        <w:spacing w:before="0" w:after="0" w:line="312" w:lineRule="exact"/>
        <w:ind w:left="351" w:firstLine="0"/>
        <w:jc w:val="left"/>
      </w:pPr>
      <w:r>
        <w:rPr>
          <w:rFonts w:ascii="黑体" w:hAnsi="黑体" w:cs="黑体"/>
          <w:color w:val="000000"/>
          <w:spacing w:val="0"/>
          <w:w w:val="100"/>
          <w:position w:val="0"/>
          <w:sz w:val="21"/>
          <w:u w:val="none"/>
        </w:rPr>
        <w:t>3.10.3</w:t>
      </w:r>
    </w:p>
    <w:p>
      <w:pPr>
        <w:spacing w:before="0" w:after="0" w:line="312" w:lineRule="exact"/>
        <w:ind w:left="351" w:firstLine="420"/>
        <w:jc w:val="left"/>
      </w:pPr>
      <w:r>
        <w:rPr>
          <w:rFonts w:ascii="黑体" w:hAnsi="黑体" w:cs="黑体"/>
          <w:color w:val="000000"/>
          <w:spacing w:val="0"/>
          <w:w w:val="100"/>
          <w:position w:val="0"/>
          <w:sz w:val="21"/>
          <w:u w:val="none"/>
        </w:rPr>
        <w:t>Dc</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级车辆</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trucks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EPL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Dc</w:t>
      </w:r>
    </w:p>
    <w:p>
      <w:pPr>
        <w:spacing w:before="0" w:after="0" w:line="312" w:lineRule="exact"/>
        <w:ind w:left="351" w:firstLine="420"/>
        <w:jc w:val="left"/>
      </w:pPr>
      <w:r>
        <w:rPr>
          <w:rFonts w:ascii="宋体" w:eastAsia="宋体" w:hAnsi="宋体" w:cs="宋体"/>
          <w:color w:val="000000"/>
          <w:spacing w:val="0"/>
          <w:w w:val="100"/>
          <w:position w:val="0"/>
          <w:sz w:val="21"/>
          <w:u w:val="none"/>
        </w:rPr>
        <w:t>用于潜在爆炸粉尘性环境中</w:t>
      </w:r>
      <w:r>
        <w:rPr>
          <w:rFonts w:ascii="宋体" w:hAnsi="宋体" w:cs="宋体"/>
          <w:color w:val="000000"/>
          <w:spacing w:val="0"/>
          <w:w w:val="100"/>
          <w:position w:val="0"/>
          <w:sz w:val="21"/>
          <w:u w:val="none"/>
        </w:rPr>
        <w:t>22</w:t>
      </w:r>
      <w:r>
        <w:rPr>
          <w:rFonts w:ascii="宋体" w:eastAsia="宋体" w:hAnsi="宋体" w:cs="宋体"/>
          <w:color w:val="000000"/>
          <w:spacing w:val="-4"/>
          <w:w w:val="100"/>
          <w:position w:val="0"/>
          <w:sz w:val="21"/>
          <w:u w:val="none"/>
        </w:rPr>
        <w:t>区的车辆，它所具有的防爆措施，在正常运行工况下能保持所需的防</w:t>
      </w:r>
    </w:p>
    <w:p>
      <w:pPr>
        <w:spacing w:before="0" w:after="0" w:line="313" w:lineRule="exact"/>
        <w:ind w:left="351" w:firstLine="0"/>
        <w:jc w:val="left"/>
      </w:pPr>
      <w:r>
        <w:rPr>
          <w:rFonts w:ascii="宋体" w:hAnsi="宋体" w:cs="宋体"/>
          <w:color w:val="000000"/>
          <w:spacing w:val="0"/>
          <w:w w:val="100"/>
          <w:position w:val="0"/>
          <w:sz w:val="21"/>
          <w:u w:val="none"/>
        </w:rPr>
        <w:t>爆水平。</w:t>
      </w:r>
    </w:p>
    <w:p>
      <w:pPr>
        <w:spacing w:before="0" w:after="0" w:line="312" w:lineRule="exact"/>
        <w:ind w:left="351" w:firstLine="0"/>
        <w:jc w:val="left"/>
      </w:pPr>
      <w:r>
        <w:rPr>
          <w:rFonts w:ascii="黑体" w:hAnsi="黑体" w:cs="黑体"/>
          <w:color w:val="000000"/>
          <w:spacing w:val="0"/>
          <w:w w:val="100"/>
          <w:position w:val="0"/>
          <w:sz w:val="21"/>
          <w:u w:val="none"/>
        </w:rPr>
        <w:t>3.10.4</w:t>
      </w:r>
    </w:p>
    <w:p>
      <w:pPr>
        <w:spacing w:before="0" w:after="0" w:line="312" w:lineRule="exact"/>
        <w:ind w:left="351" w:firstLine="420"/>
        <w:jc w:val="left"/>
      </w:pPr>
      <w:r>
        <w:rPr>
          <w:rFonts w:ascii="黑体" w:hAnsi="黑体" w:cs="黑体"/>
          <w:color w:val="000000"/>
          <w:spacing w:val="0"/>
          <w:w w:val="100"/>
          <w:position w:val="0"/>
          <w:sz w:val="21"/>
          <w:u w:val="none"/>
        </w:rPr>
        <w:t>Db</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级车辆</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trucks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EPL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Dc</w:t>
      </w:r>
    </w:p>
    <w:p>
      <w:pPr>
        <w:spacing w:before="0" w:after="0" w:line="312" w:lineRule="exact"/>
        <w:ind w:left="351" w:firstLine="420"/>
        <w:jc w:val="left"/>
      </w:pPr>
      <w:r>
        <w:rPr>
          <w:rFonts w:ascii="宋体" w:eastAsia="宋体" w:hAnsi="宋体" w:cs="宋体"/>
          <w:color w:val="000000"/>
          <w:spacing w:val="0"/>
          <w:w w:val="100"/>
          <w:position w:val="0"/>
          <w:sz w:val="21"/>
          <w:u w:val="none"/>
        </w:rPr>
        <w:t>用于潜在爆炸性粉尘环境中</w:t>
      </w:r>
      <w:r>
        <w:rPr>
          <w:rFonts w:ascii="宋体" w:hAnsi="宋体" w:cs="宋体"/>
          <w:color w:val="000000"/>
          <w:spacing w:val="0"/>
          <w:w w:val="100"/>
          <w:position w:val="0"/>
          <w:sz w:val="21"/>
          <w:u w:val="none"/>
        </w:rPr>
        <w:t>21</w:t>
      </w:r>
      <w:r>
        <w:rPr>
          <w:rFonts w:ascii="宋体" w:eastAsia="宋体" w:hAnsi="宋体" w:cs="宋体"/>
          <w:color w:val="000000"/>
          <w:spacing w:val="-4"/>
          <w:w w:val="100"/>
          <w:position w:val="0"/>
          <w:sz w:val="21"/>
          <w:u w:val="none"/>
        </w:rPr>
        <w:t>区的车辆，它所具有的防爆措施，在正常运行工况下和即使在本身发</w:t>
      </w:r>
    </w:p>
    <w:p>
      <w:pPr>
        <w:spacing w:before="0" w:after="0" w:line="312" w:lineRule="exact"/>
        <w:ind w:left="351" w:firstLine="0"/>
        <w:jc w:val="left"/>
      </w:pPr>
      <w:r>
        <w:rPr>
          <w:rFonts w:ascii="宋体" w:hAnsi="宋体" w:cs="宋体"/>
          <w:color w:val="000000"/>
          <w:spacing w:val="0"/>
          <w:w w:val="100"/>
          <w:position w:val="0"/>
          <w:sz w:val="21"/>
          <w:u w:val="none"/>
        </w:rPr>
        <w:t>生可预见故障时都能保持所需的防爆水平。</w:t>
      </w:r>
    </w:p>
    <w:p>
      <w:pPr>
        <w:spacing w:before="0" w:after="0" w:line="240" w:lineRule="exact"/>
        <w:ind w:left="351" w:firstLine="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351" w:firstLine="0"/>
      </w:pPr>
    </w:p>
    <w:p>
      <w:pPr>
        <w:spacing w:before="0" w:after="0" w:line="384" w:lineRule="exact"/>
        <w:ind w:left="351" w:firstLine="526"/>
        <w:jc w:val="left"/>
      </w:pPr>
      <w:r>
        <w:rPr>
          <w:rFonts w:ascii="宋体" w:eastAsia="宋体" w:hAnsi="宋体" w:cs="宋体"/>
          <w:color w:val="000000"/>
          <w:spacing w:val="0"/>
          <w:w w:val="100"/>
          <w:position w:val="0"/>
          <w:sz w:val="21"/>
          <w:u w:val="none"/>
        </w:rPr>
        <w:t>检验必须至少有两名取得场（厂）内机动车辆检验资格并经过培训具备防爆知识的人员实施现场</w:t>
      </w:r>
    </w:p>
    <w:p>
      <w:pPr>
        <w:spacing w:before="0" w:after="0" w:line="312" w:lineRule="exact"/>
        <w:ind w:left="351" w:firstLine="0"/>
        <w:jc w:val="left"/>
      </w:pPr>
      <w:r>
        <w:rPr>
          <w:rFonts w:ascii="宋体" w:hAnsi="宋体" w:cs="宋体"/>
          <w:color w:val="000000"/>
          <w:spacing w:val="0"/>
          <w:w w:val="100"/>
          <w:position w:val="0"/>
          <w:sz w:val="21"/>
          <w:u w:val="none"/>
        </w:rPr>
        <w:t>检验。</w:t>
      </w:r>
    </w:p>
    <w:p>
      <w:pPr>
        <w:spacing w:before="0" w:after="0" w:line="312" w:lineRule="exact"/>
        <w:ind w:left="351" w:firstLine="526"/>
        <w:jc w:val="left"/>
      </w:pPr>
      <w:r>
        <w:rPr>
          <w:rFonts w:ascii="宋体" w:hAnsi="宋体" w:cs="宋体"/>
          <w:color w:val="000000"/>
          <w:spacing w:val="0"/>
          <w:w w:val="100"/>
          <w:position w:val="0"/>
          <w:sz w:val="21"/>
          <w:u w:val="none"/>
        </w:rPr>
        <w:t>检验现场必须确定一名安全负责人，对现场安全负责。</w:t>
      </w:r>
    </w:p>
    <w:p>
      <w:pPr>
        <w:spacing w:before="0" w:after="0" w:line="312" w:lineRule="exact"/>
        <w:ind w:left="351" w:firstLine="526"/>
        <w:jc w:val="left"/>
      </w:pPr>
      <w:r>
        <w:rPr>
          <w:rFonts w:ascii="宋体" w:hAnsi="宋体" w:cs="宋体"/>
          <w:color w:val="000000"/>
          <w:spacing w:val="0"/>
          <w:w w:val="100"/>
          <w:position w:val="0"/>
          <w:sz w:val="21"/>
          <w:u w:val="none"/>
        </w:rPr>
        <w:t>检验机构应取得相应的检验资质并依据本标准制定检验方案。</w:t>
      </w:r>
    </w:p>
    <w:p>
      <w:pPr>
        <w:spacing w:before="0" w:after="0" w:line="312" w:lineRule="exact"/>
        <w:ind w:left="351" w:firstLine="526"/>
        <w:jc w:val="left"/>
      </w:pPr>
      <w:r>
        <w:rPr>
          <w:rFonts w:ascii="宋体" w:hAnsi="宋体" w:cs="宋体"/>
          <w:color w:val="000000"/>
          <w:spacing w:val="0"/>
          <w:w w:val="100"/>
          <w:position w:val="0"/>
          <w:sz w:val="21"/>
          <w:u w:val="none"/>
        </w:rPr>
        <w:t>检验前，使用单位应做好相关准备工作。</w:t>
      </w:r>
    </w:p>
    <w:p>
      <w:pPr>
        <w:spacing w:before="0" w:after="0" w:line="312" w:lineRule="exact"/>
        <w:ind w:left="351" w:firstLine="526"/>
        <w:jc w:val="left"/>
      </w:pPr>
      <w:r>
        <w:rPr>
          <w:rFonts w:ascii="宋体" w:eastAsia="宋体" w:hAnsi="宋体" w:cs="宋体"/>
          <w:color w:val="000000"/>
          <w:spacing w:val="0"/>
          <w:w w:val="100"/>
          <w:position w:val="0"/>
          <w:sz w:val="21"/>
          <w:u w:val="none"/>
        </w:rPr>
        <w:t>防爆叉车检验的基本要求和工作程序按图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进行。</w:t>
      </w:r>
    </w:p>
    <w:p>
      <w:pPr>
        <w:widowControl/>
        <w:jc w:val="left"/>
        <w:sectPr>
          <w:type w:val="continuous"/>
          <w:pgSz w:w="11906" w:h="16839"/>
          <w:pgMar w:top="1101" w:right="708" w:bottom="861" w:left="1068" w:header="0" w:footer="0" w:gutter="0"/>
          <w:pgNumType w:start="18"/>
          <w:cols w:num="1" w:space="708" w:equalWidth="0">
            <w:col w:w="10130" w:space="0"/>
          </w:cols>
          <w:docGrid w:type="lines" w:linePitch="312" w:charSpace="0"/>
        </w:sectPr>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240" w:lineRule="exact"/>
        <w:ind w:left="351" w:firstLine="526"/>
      </w:pPr>
    </w:p>
    <w:p>
      <w:pPr>
        <w:spacing w:before="0" w:after="0" w:line="467" w:lineRule="exact"/>
        <w:ind w:left="351" w:firstLine="526"/>
      </w:pPr>
    </w:p>
    <w:p>
      <w:pPr>
        <w:widowControl/>
        <w:jc w:val="left"/>
        <w:sectPr>
          <w:type w:val="continuous"/>
          <w:pgSz w:w="11906" w:h="16839"/>
          <w:pgMar w:top="1101" w:right="708" w:bottom="861" w:left="1068" w:header="0" w:footer="0" w:gutter="0"/>
          <w:pgNumType w:start="19"/>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08" w:bottom="861" w:left="1068" w:header="0" w:footer="0" w:gutter="0"/>
          <w:pgNumType w:start="20"/>
          <w:cols w:num="1" w:space="708" w:equalWidth="0">
            <w:col w:w="10130" w:space="0"/>
          </w:cols>
          <w:docGrid w:type="lines" w:linePitch="312" w:charSpace="0"/>
        </w:sectPr>
      </w:pPr>
    </w:p>
    <w:p>
      <w:pPr>
        <w:spacing w:before="0" w:after="0" w:line="347" w:lineRule="exact"/>
      </w:pPr>
      <w:bookmarkStart w:id="8" w:name="8"/>
      <w:bookmarkEnd w:id="8"/>
    </w:p>
    <w:p>
      <w:pPr>
        <w:widowControl/>
        <w:jc w:val="left"/>
        <w:sectPr>
          <w:type w:val="continuous"/>
          <w:pgSz w:w="11906" w:h="16838"/>
          <w:pgMar w:top="1101" w:right="713" w:bottom="861" w:left="1073" w:header="0" w:footer="0" w:gutter="0"/>
          <w:pgNumType w:start="21"/>
          <w:cols w:num="1" w:space="720"/>
          <w:docGrid w:type="lines" w:linePitch="312" w:charSpace="0"/>
        </w:sectPr>
      </w:pPr>
    </w:p>
    <w:p>
      <w:pPr>
        <w:spacing w:before="0" w:after="0" w:line="211" w:lineRule="exact"/>
        <w:ind w:left="60" w:firstLine="0"/>
        <w:jc w:val="left"/>
      </w:pPr>
      <w:r>
        <w:pict>
          <v:shape id="imagerId149" o:spid="_x0000_s1060" type="#_x0000_t75" style="width:17pt;height:10pt;margin-top:645pt;margin-left:56pt;mso-height-relative:page;mso-position-horizontal-relative:page;mso-position-vertical-relative:page;mso-width-relative:page;position:absolute;z-index:-251622400" coordsize="21600,21600" filled="f">
            <v:imagedata r:id="rId38" o:title=""/>
            <o:lock v:ext="edit" aspectratio="t"/>
          </v:shape>
        </w:pict>
      </w:r>
      <w:r>
        <w:pict>
          <v:shape id="imagerId150" o:spid="_x0000_s1061" type="#_x0000_t75" style="width:17pt;height:10pt;margin-top:723pt;margin-left:56pt;mso-height-relative:page;mso-position-horizontal-relative:page;mso-position-vertical-relative:page;mso-width-relative:page;position:absolute;z-index:-251621376" coordsize="21600,21600" filled="f">
            <v:imagedata r:id="rId39" o:title=""/>
            <o:lock v:ext="edit" aspectratio="t"/>
          </v:shape>
        </w:pict>
      </w:r>
      <w:r>
        <w:pict>
          <v:shape id="imagerId151" o:spid="_x0000_s1062" type="#_x0000_t75" style="width:17pt;height:9pt;margin-top:755pt;margin-left:56pt;mso-height-relative:page;mso-position-horizontal-relative:page;mso-position-vertical-relative:page;mso-width-relative:page;position:absolute;z-index:-251620352" coordsize="21600,21600" filled="f">
            <v:imagedata r:id="rId40" o:title=""/>
            <o:lock v:ext="edit" aspectratio="t"/>
          </v:shape>
        </w:pict>
      </w:r>
      <w:r>
        <w:pict>
          <v:shape id="imagerId152" o:spid="_x0000_s1063" type="#_x0000_t75" style="width:399pt;height:505pt;margin-top:101pt;margin-left:91pt;mso-height-relative:page;mso-position-horizontal-relative:page;mso-position-vertical-relative:page;mso-width-relative:page;position:absolute;z-index:-251619328" coordsize="21600,21600" filled="f">
            <v:imagedata r:id="rId41"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22"/>
          <w:cols w:num="1" w:space="708" w:equalWidth="0">
            <w:col w:w="10121" w:space="0"/>
          </w:cols>
          <w:docGrid w:type="lines" w:linePitch="312" w:charSpace="0"/>
        </w:sectPr>
      </w:pPr>
    </w:p>
    <w:p>
      <w:pPr>
        <w:spacing w:before="0" w:after="0" w:line="240" w:lineRule="exact"/>
        <w:ind w:left="60" w:firstLine="0"/>
      </w:pPr>
    </w:p>
    <w:p>
      <w:pPr>
        <w:spacing w:before="0" w:after="0" w:line="368" w:lineRule="exact"/>
        <w:ind w:left="60" w:firstLine="0"/>
      </w:pPr>
    </w:p>
    <w:p>
      <w:pPr>
        <w:widowControl/>
        <w:jc w:val="left"/>
        <w:sectPr>
          <w:type w:val="continuous"/>
          <w:pgSz w:w="11906" w:h="16838"/>
          <w:pgMar w:top="1101" w:right="713" w:bottom="861" w:left="1073" w:header="0" w:footer="0" w:gutter="0"/>
          <w:pgNumType w:start="23"/>
          <w:cols w:num="1" w:space="720"/>
          <w:docGrid w:type="lines" w:linePitch="312" w:charSpace="0"/>
        </w:sectPr>
      </w:pPr>
    </w:p>
    <w:p>
      <w:pPr>
        <w:spacing w:before="0" w:after="0" w:line="178" w:lineRule="exact"/>
        <w:ind w:left="3452" w:firstLine="353"/>
        <w:jc w:val="left"/>
      </w:pPr>
      <w:r>
        <w:rPr>
          <w:rFonts w:ascii="宋体" w:eastAsia="宋体" w:hAnsi="宋体" w:cs="宋体"/>
          <w:color w:val="000000"/>
          <w:spacing w:val="0"/>
          <w:w w:val="135"/>
          <w:position w:val="0"/>
          <w:sz w:val="18"/>
          <w:u w:val="none"/>
        </w:rPr>
        <w:t>接受检验申请</w:t>
      </w:r>
    </w:p>
    <w:p>
      <w:pPr>
        <w:spacing w:before="0" w:after="0" w:line="240" w:lineRule="exact"/>
        <w:ind w:left="3452" w:firstLine="353"/>
      </w:pPr>
    </w:p>
    <w:p>
      <w:pPr>
        <w:spacing w:before="0" w:after="0" w:line="240" w:lineRule="exact"/>
        <w:ind w:left="3452" w:firstLine="353"/>
      </w:pPr>
    </w:p>
    <w:p>
      <w:pPr>
        <w:spacing w:before="0" w:after="0" w:line="246" w:lineRule="exact"/>
        <w:ind w:left="3452" w:firstLine="0"/>
        <w:jc w:val="left"/>
      </w:pPr>
      <w:r>
        <w:rPr>
          <w:rFonts w:ascii="宋体" w:eastAsia="宋体" w:hAnsi="宋体" w:cs="宋体"/>
          <w:color w:val="000000"/>
          <w:spacing w:val="0"/>
          <w:w w:val="135"/>
          <w:position w:val="0"/>
          <w:sz w:val="18"/>
          <w:u w:val="none"/>
        </w:rPr>
        <w:t>环境及有关资料确认</w:t>
      </w:r>
    </w:p>
    <w:p>
      <w:pPr>
        <w:widowControl/>
        <w:jc w:val="left"/>
        <w:sectPr>
          <w:type w:val="continuous"/>
          <w:pgSz w:w="11906" w:h="16838"/>
          <w:pgMar w:top="1101" w:right="713" w:bottom="861" w:left="1073" w:header="0" w:footer="0" w:gutter="0"/>
          <w:pgNumType w:start="24"/>
          <w:cols w:num="1" w:space="708" w:equalWidth="0">
            <w:col w:w="10121" w:space="0"/>
          </w:cols>
          <w:docGrid w:type="lines" w:linePitch="312" w:charSpace="0"/>
        </w:sectPr>
      </w:pPr>
    </w:p>
    <w:p>
      <w:pPr>
        <w:spacing w:before="0" w:after="0" w:line="364" w:lineRule="exact"/>
        <w:ind w:left="3452" w:firstLine="0"/>
      </w:pPr>
    </w:p>
    <w:p>
      <w:pPr>
        <w:widowControl/>
        <w:jc w:val="left"/>
        <w:sectPr>
          <w:type w:val="continuous"/>
          <w:pgSz w:w="11906" w:h="16838"/>
          <w:pgMar w:top="1101" w:right="713" w:bottom="861" w:left="1073" w:header="0" w:footer="0" w:gutter="0"/>
          <w:pgNumType w:start="25"/>
          <w:cols w:num="1" w:space="720"/>
          <w:docGrid w:type="lines" w:linePitch="312" w:charSpace="0"/>
        </w:sectPr>
      </w:pPr>
    </w:p>
    <w:p>
      <w:pPr>
        <w:spacing w:before="0" w:after="0" w:line="188" w:lineRule="exact"/>
        <w:ind w:left="1601" w:firstLine="0"/>
        <w:jc w:val="left"/>
      </w:pPr>
      <w:r>
        <w:rPr>
          <w:rFonts w:ascii="宋体" w:eastAsia="宋体" w:hAnsi="宋体" w:cs="宋体"/>
          <w:color w:val="000000"/>
          <w:spacing w:val="0"/>
          <w:w w:val="135"/>
          <w:position w:val="0"/>
          <w:sz w:val="18"/>
          <w:u w:val="none"/>
        </w:rPr>
        <w:t>爆炸性气体环境和粉尘环</w:t>
      </w:r>
    </w:p>
    <w:p>
      <w:pPr>
        <w:spacing w:before="0" w:after="0" w:line="338" w:lineRule="exact"/>
        <w:ind w:left="1601" w:firstLine="519"/>
        <w:jc w:val="left"/>
      </w:pPr>
      <w:r>
        <w:rPr>
          <w:rFonts w:ascii="宋体" w:eastAsia="宋体" w:hAnsi="宋体" w:cs="宋体"/>
          <w:color w:val="000000"/>
          <w:spacing w:val="0"/>
          <w:w w:val="135"/>
          <w:position w:val="0"/>
          <w:sz w:val="18"/>
          <w:u w:val="none"/>
        </w:rPr>
        <w:t>境区域的划分</w:t>
      </w:r>
    </w:p>
    <w:p>
      <w:pPr>
        <w:spacing w:before="0" w:after="0" w:line="178" w:lineRule="exact"/>
        <w:ind w:firstLine="0"/>
        <w:jc w:val="left"/>
      </w:pPr>
      <w:r>
        <w:br w:type="column"/>
      </w:r>
      <w:r>
        <w:rPr>
          <w:rFonts w:ascii="宋体" w:eastAsia="宋体" w:hAnsi="宋体" w:cs="宋体"/>
          <w:color w:val="000000"/>
          <w:spacing w:val="0"/>
          <w:w w:val="135"/>
          <w:position w:val="0"/>
          <w:sz w:val="18"/>
          <w:u w:val="none"/>
        </w:rPr>
        <w:t>爆炸性气体混合物和可燃粉</w:t>
      </w:r>
    </w:p>
    <w:p>
      <w:pPr>
        <w:spacing w:before="0" w:after="0" w:line="336" w:lineRule="exact"/>
        <w:ind w:firstLine="519"/>
        <w:jc w:val="left"/>
      </w:pPr>
      <w:r>
        <w:rPr>
          <w:rFonts w:ascii="宋体" w:eastAsia="宋体" w:hAnsi="宋体" w:cs="宋体"/>
          <w:color w:val="000000"/>
          <w:spacing w:val="0"/>
          <w:w w:val="135"/>
          <w:position w:val="0"/>
          <w:sz w:val="18"/>
          <w:u w:val="none"/>
        </w:rPr>
        <w:t>尘的分级和分组</w:t>
      </w:r>
    </w:p>
    <w:p>
      <w:pPr>
        <w:widowControl/>
        <w:jc w:val="left"/>
        <w:sectPr>
          <w:type w:val="continuous"/>
          <w:pgSz w:w="11906" w:h="16838"/>
          <w:pgMar w:top="1101" w:right="713" w:bottom="861" w:left="1073" w:header="0" w:footer="0" w:gutter="0"/>
          <w:pgNumType w:start="26"/>
          <w:cols w:num="2" w:space="708" w:equalWidth="0">
            <w:col w:w="4887" w:space="0"/>
            <w:col w:w="5233" w:space="0"/>
          </w:cols>
          <w:docGrid w:type="lines" w:linePitch="312" w:charSpace="0"/>
        </w:sectPr>
      </w:pPr>
    </w:p>
    <w:p>
      <w:pPr>
        <w:spacing w:before="0" w:after="0" w:line="362" w:lineRule="exact"/>
        <w:ind w:firstLine="519"/>
      </w:pPr>
    </w:p>
    <w:p>
      <w:pPr>
        <w:widowControl/>
        <w:jc w:val="left"/>
        <w:sectPr>
          <w:type w:val="continuous"/>
          <w:pgSz w:w="11906" w:h="16838"/>
          <w:pgMar w:top="1101" w:right="713" w:bottom="861" w:left="1073" w:header="0" w:footer="0" w:gutter="0"/>
          <w:pgNumType w:start="27"/>
          <w:cols w:num="1" w:space="720"/>
          <w:docGrid w:type="lines" w:linePitch="312" w:charSpace="0"/>
        </w:sectPr>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240" w:lineRule="exact"/>
        <w:ind w:firstLine="519"/>
      </w:pPr>
    </w:p>
    <w:p>
      <w:pPr>
        <w:spacing w:before="0" w:after="0" w:line="183" w:lineRule="exact"/>
        <w:ind w:left="925" w:firstLine="88"/>
        <w:jc w:val="left"/>
      </w:pPr>
      <w:r>
        <w:rPr>
          <w:rFonts w:ascii="宋体" w:eastAsia="宋体" w:hAnsi="宋体" w:cs="宋体"/>
          <w:color w:val="000000"/>
          <w:spacing w:val="0"/>
          <w:w w:val="135"/>
          <w:position w:val="0"/>
          <w:sz w:val="18"/>
          <w:u w:val="none"/>
        </w:rPr>
        <w:t>防爆电气设备的防</w:t>
      </w:r>
    </w:p>
    <w:p>
      <w:pPr>
        <w:spacing w:before="0" w:after="0" w:line="336" w:lineRule="exact"/>
        <w:ind w:left="925" w:firstLine="0"/>
        <w:jc w:val="left"/>
      </w:pPr>
      <w:r>
        <w:rPr>
          <w:rFonts w:ascii="宋体" w:hAnsi="宋体" w:cs="宋体"/>
          <w:color w:val="000000"/>
          <w:spacing w:val="0"/>
          <w:w w:val="133"/>
          <w:position w:val="0"/>
          <w:sz w:val="18"/>
          <w:u w:val="none"/>
        </w:rPr>
        <w:t>爆型式、级别和组别</w:t>
      </w:r>
    </w:p>
    <w:p>
      <w:pPr>
        <w:spacing w:before="0" w:after="0" w:line="178" w:lineRule="exact"/>
        <w:ind w:firstLine="275"/>
        <w:jc w:val="left"/>
      </w:pPr>
      <w:r>
        <w:br w:type="column"/>
      </w:r>
      <w:r>
        <w:rPr>
          <w:rFonts w:ascii="宋体" w:eastAsia="宋体" w:hAnsi="宋体" w:cs="宋体"/>
          <w:color w:val="000000"/>
          <w:spacing w:val="0"/>
          <w:w w:val="135"/>
          <w:position w:val="0"/>
          <w:sz w:val="18"/>
          <w:u w:val="none"/>
        </w:rPr>
        <w:t>制定检验检测方案</w:t>
      </w:r>
    </w:p>
    <w:p>
      <w:pPr>
        <w:spacing w:before="0" w:after="0" w:line="240" w:lineRule="exact"/>
        <w:ind w:firstLine="275"/>
      </w:pPr>
    </w:p>
    <w:p>
      <w:pPr>
        <w:spacing w:before="0" w:after="0" w:line="240" w:lineRule="exact"/>
        <w:ind w:firstLine="275"/>
      </w:pPr>
    </w:p>
    <w:p>
      <w:pPr>
        <w:spacing w:before="0" w:after="0" w:line="212" w:lineRule="exact"/>
        <w:ind w:firstLine="154"/>
        <w:jc w:val="left"/>
      </w:pPr>
      <w:r>
        <w:rPr>
          <w:rFonts w:ascii="宋体" w:hAnsi="宋体" w:cs="宋体"/>
          <w:color w:val="000000"/>
          <w:spacing w:val="0"/>
          <w:w w:val="135"/>
          <w:position w:val="0"/>
          <w:sz w:val="18"/>
          <w:u w:val="none"/>
        </w:rPr>
        <w:t>确认仪器、设备状况</w:t>
      </w:r>
    </w:p>
    <w:p>
      <w:pPr>
        <w:spacing w:before="0" w:after="0" w:line="240" w:lineRule="exact"/>
        <w:ind w:firstLine="154"/>
      </w:pPr>
    </w:p>
    <w:p>
      <w:pPr>
        <w:spacing w:before="0" w:after="0" w:line="240" w:lineRule="exact"/>
        <w:ind w:firstLine="154"/>
      </w:pPr>
    </w:p>
    <w:p>
      <w:pPr>
        <w:spacing w:before="0" w:after="0" w:line="266" w:lineRule="exact"/>
        <w:ind w:firstLine="55"/>
        <w:jc w:val="left"/>
      </w:pPr>
      <w:r>
        <w:rPr>
          <w:rFonts w:ascii="宋体" w:eastAsia="宋体" w:hAnsi="宋体" w:cs="宋体"/>
          <w:color w:val="000000"/>
          <w:spacing w:val="0"/>
          <w:w w:val="135"/>
          <w:position w:val="0"/>
          <w:sz w:val="18"/>
          <w:u w:val="none"/>
        </w:rPr>
        <w:t>现场检验检测条件确认</w:t>
      </w:r>
    </w:p>
    <w:p>
      <w:pPr>
        <w:spacing w:before="0" w:after="0" w:line="240" w:lineRule="exact"/>
        <w:ind w:firstLine="55"/>
      </w:pPr>
    </w:p>
    <w:p>
      <w:pPr>
        <w:spacing w:before="0" w:after="0" w:line="240" w:lineRule="exact"/>
        <w:ind w:firstLine="55"/>
      </w:pPr>
    </w:p>
    <w:p>
      <w:pPr>
        <w:spacing w:before="0" w:after="0" w:line="345" w:lineRule="exact"/>
        <w:ind w:firstLine="19"/>
        <w:jc w:val="left"/>
      </w:pPr>
      <w:r>
        <w:rPr>
          <w:rFonts w:ascii="宋体" w:eastAsia="宋体" w:hAnsi="宋体" w:cs="宋体"/>
          <w:color w:val="000000"/>
          <w:spacing w:val="0"/>
          <w:w w:val="135"/>
          <w:position w:val="0"/>
          <w:sz w:val="18"/>
          <w:u w:val="none"/>
        </w:rPr>
        <w:t>现场检验检测安全确认</w:t>
      </w:r>
    </w:p>
    <w:p>
      <w:pPr>
        <w:spacing w:before="0" w:after="0" w:line="240" w:lineRule="exact"/>
        <w:ind w:firstLine="19"/>
      </w:pPr>
    </w:p>
    <w:p>
      <w:pPr>
        <w:spacing w:before="0" w:after="0" w:line="240" w:lineRule="exact"/>
        <w:ind w:firstLine="19"/>
      </w:pPr>
    </w:p>
    <w:p>
      <w:pPr>
        <w:spacing w:before="0" w:after="0" w:line="297" w:lineRule="exact"/>
        <w:ind w:firstLine="481"/>
        <w:jc w:val="left"/>
      </w:pPr>
      <w:r>
        <w:rPr>
          <w:rFonts w:ascii="宋体" w:eastAsia="宋体" w:hAnsi="宋体" w:cs="宋体"/>
          <w:color w:val="000000"/>
          <w:spacing w:val="0"/>
          <w:w w:val="135"/>
          <w:position w:val="0"/>
          <w:sz w:val="18"/>
          <w:u w:val="none"/>
        </w:rPr>
        <w:t>现场检验检测</w:t>
      </w:r>
    </w:p>
    <w:p>
      <w:pPr>
        <w:spacing w:before="0" w:after="0" w:line="240" w:lineRule="exact"/>
        <w:ind w:firstLine="481"/>
      </w:pPr>
    </w:p>
    <w:p>
      <w:pPr>
        <w:spacing w:before="0" w:after="0" w:line="240" w:lineRule="exact"/>
        <w:ind w:firstLine="481"/>
      </w:pPr>
    </w:p>
    <w:p>
      <w:pPr>
        <w:spacing w:before="0" w:after="0" w:line="387" w:lineRule="exact"/>
        <w:ind w:firstLine="346"/>
        <w:jc w:val="left"/>
      </w:pPr>
      <w:r>
        <w:rPr>
          <w:rFonts w:ascii="宋体" w:eastAsia="宋体" w:hAnsi="宋体" w:cs="宋体"/>
          <w:color w:val="000000"/>
          <w:spacing w:val="0"/>
          <w:w w:val="135"/>
          <w:position w:val="0"/>
          <w:sz w:val="18"/>
          <w:u w:val="none"/>
        </w:rPr>
        <w:t>符合</w:t>
      </w:r>
      <w:r>
        <w:rPr>
          <w:rFonts w:ascii="Calibri" w:hAnsi="Calibri" w:cs="Calibri"/>
          <w:color w:val="000000"/>
          <w:spacing w:val="8"/>
          <w:w w:val="100"/>
          <w:sz w:val="18"/>
          <w:u w:val="none"/>
        </w:rPr>
        <w:t> </w:t>
      </w:r>
      <w:r>
        <w:rPr>
          <w:rFonts w:ascii="Calibri" w:hAnsi="Calibri" w:cs="Calibri"/>
          <w:color w:val="000000"/>
          <w:spacing w:val="16"/>
          <w:w w:val="117"/>
          <w:position w:val="0"/>
          <w:sz w:val="18"/>
          <w:u w:val="none"/>
        </w:rPr>
        <w:t>GB</w:t>
      </w:r>
      <w:r>
        <w:rPr>
          <w:rFonts w:ascii="Calibri" w:hAnsi="Calibri" w:cs="Calibri"/>
          <w:color w:val="000000"/>
          <w:spacing w:val="3"/>
          <w:w w:val="100"/>
          <w:sz w:val="18"/>
          <w:u w:val="none"/>
        </w:rPr>
        <w:t> </w:t>
      </w:r>
      <w:r>
        <w:rPr>
          <w:rFonts w:ascii="Calibri" w:hAnsi="Calibri" w:cs="Calibri"/>
          <w:color w:val="000000"/>
          <w:spacing w:val="12"/>
          <w:w w:val="117"/>
          <w:position w:val="0"/>
          <w:sz w:val="18"/>
          <w:u w:val="none"/>
        </w:rPr>
        <w:t>15577</w:t>
      </w:r>
      <w:r>
        <w:rPr>
          <w:rFonts w:ascii="宋体" w:hAnsi="宋体" w:cs="宋体"/>
          <w:color w:val="000000"/>
          <w:spacing w:val="0"/>
          <w:w w:val="135"/>
          <w:position w:val="0"/>
          <w:sz w:val="18"/>
          <w:u w:val="none"/>
        </w:rPr>
        <w:t>、</w:t>
      </w:r>
    </w:p>
    <w:p>
      <w:pPr>
        <w:spacing w:before="0" w:after="0" w:line="336" w:lineRule="exact"/>
        <w:ind w:firstLine="0"/>
        <w:jc w:val="left"/>
      </w:pPr>
      <w:r>
        <w:rPr>
          <w:rFonts w:ascii="Calibri" w:hAnsi="Calibri" w:cs="Calibri"/>
          <w:color w:val="000000"/>
          <w:spacing w:val="13"/>
          <w:w w:val="117"/>
          <w:position w:val="0"/>
          <w:sz w:val="18"/>
          <w:u w:val="none"/>
        </w:rPr>
        <w:t>GB19854</w:t>
      </w:r>
      <w:r>
        <w:rPr>
          <w:rFonts w:ascii="宋体" w:hAnsi="宋体" w:cs="宋体"/>
          <w:color w:val="000000"/>
          <w:spacing w:val="0"/>
          <w:w w:val="135"/>
          <w:position w:val="0"/>
          <w:sz w:val="18"/>
          <w:u w:val="none"/>
        </w:rPr>
        <w:t>、</w:t>
      </w:r>
      <w:r>
        <w:rPr>
          <w:rFonts w:ascii="Calibri" w:hAnsi="Calibri" w:cs="Calibri"/>
          <w:color w:val="000000"/>
          <w:spacing w:val="13"/>
          <w:w w:val="117"/>
          <w:position w:val="0"/>
          <w:sz w:val="18"/>
          <w:u w:val="none"/>
        </w:rPr>
        <w:t>GB/T</w:t>
      </w:r>
      <w:r>
        <w:rPr>
          <w:rFonts w:ascii="Calibri" w:hAnsi="Calibri" w:cs="Calibri"/>
          <w:color w:val="000000"/>
          <w:spacing w:val="5"/>
          <w:w w:val="100"/>
          <w:sz w:val="18"/>
          <w:u w:val="none"/>
        </w:rPr>
        <w:t> </w:t>
      </w:r>
      <w:r>
        <w:rPr>
          <w:rFonts w:ascii="Calibri" w:hAnsi="Calibri" w:cs="Calibri"/>
          <w:color w:val="000000"/>
          <w:spacing w:val="11"/>
          <w:w w:val="117"/>
          <w:position w:val="0"/>
          <w:sz w:val="18"/>
          <w:u w:val="none"/>
        </w:rPr>
        <w:t>26950.1</w:t>
      </w:r>
      <w:r>
        <w:rPr>
          <w:rFonts w:ascii="宋体" w:hAnsi="宋体" w:cs="宋体"/>
          <w:color w:val="000000"/>
          <w:spacing w:val="0"/>
          <w:w w:val="135"/>
          <w:position w:val="0"/>
          <w:sz w:val="18"/>
          <w:u w:val="none"/>
        </w:rPr>
        <w:t>、</w:t>
      </w:r>
    </w:p>
    <w:p>
      <w:pPr>
        <w:spacing w:before="0" w:after="0" w:line="338" w:lineRule="exact"/>
        <w:ind w:firstLine="197"/>
        <w:jc w:val="left"/>
      </w:pPr>
      <w:r>
        <w:rPr>
          <w:rFonts w:ascii="Calibri" w:hAnsi="Calibri" w:cs="Calibri"/>
          <w:color w:val="000000"/>
          <w:spacing w:val="13"/>
          <w:w w:val="117"/>
          <w:position w:val="0"/>
          <w:sz w:val="18"/>
          <w:u w:val="none"/>
        </w:rPr>
        <w:t>GB/T</w:t>
      </w:r>
      <w:r>
        <w:rPr>
          <w:rFonts w:ascii="Calibri" w:hAnsi="Calibri" w:cs="Calibri"/>
          <w:color w:val="000000"/>
          <w:spacing w:val="3"/>
          <w:w w:val="100"/>
          <w:sz w:val="18"/>
          <w:u w:val="none"/>
        </w:rPr>
        <w:t> </w:t>
      </w:r>
      <w:r>
        <w:rPr>
          <w:rFonts w:ascii="Calibri" w:hAnsi="Calibri" w:cs="Calibri"/>
          <w:color w:val="000000"/>
          <w:spacing w:val="11"/>
          <w:w w:val="117"/>
          <w:position w:val="0"/>
          <w:sz w:val="18"/>
          <w:u w:val="none"/>
        </w:rPr>
        <w:t>26950.2</w:t>
      </w:r>
      <w:r>
        <w:rPr>
          <w:rFonts w:ascii="宋体" w:hAnsi="宋体" w:cs="宋体"/>
          <w:color w:val="000000"/>
          <w:spacing w:val="0"/>
          <w:w w:val="135"/>
          <w:position w:val="0"/>
          <w:sz w:val="18"/>
          <w:u w:val="none"/>
        </w:rPr>
        <w:t>、</w:t>
      </w:r>
      <w:r>
        <w:rPr>
          <w:rFonts w:ascii="Calibri" w:hAnsi="Calibri" w:cs="Calibri"/>
          <w:color w:val="000000"/>
          <w:spacing w:val="13"/>
          <w:w w:val="117"/>
          <w:position w:val="0"/>
          <w:sz w:val="18"/>
          <w:u w:val="none"/>
        </w:rPr>
        <w:t>GB/T</w:t>
      </w:r>
    </w:p>
    <w:p>
      <w:pPr>
        <w:spacing w:before="0" w:after="0" w:line="338" w:lineRule="exact"/>
        <w:ind w:firstLine="64"/>
        <w:jc w:val="left"/>
      </w:pPr>
      <w:r>
        <w:rPr>
          <w:rFonts w:ascii="Calibri" w:hAnsi="Calibri" w:cs="Calibri"/>
          <w:color w:val="000000"/>
          <w:spacing w:val="12"/>
          <w:w w:val="117"/>
          <w:position w:val="0"/>
          <w:sz w:val="18"/>
          <w:u w:val="none"/>
        </w:rPr>
        <w:t>3836.1</w:t>
      </w:r>
      <w:r>
        <w:rPr>
          <w:rFonts w:ascii="宋体" w:hAnsi="宋体" w:cs="宋体"/>
          <w:color w:val="000000"/>
          <w:spacing w:val="0"/>
          <w:w w:val="135"/>
          <w:position w:val="0"/>
          <w:sz w:val="18"/>
          <w:u w:val="none"/>
        </w:rPr>
        <w:t>、</w:t>
      </w:r>
      <w:r>
        <w:rPr>
          <w:rFonts w:ascii="Calibri" w:hAnsi="Calibri" w:cs="Calibri"/>
          <w:color w:val="000000"/>
          <w:spacing w:val="15"/>
          <w:w w:val="117"/>
          <w:position w:val="0"/>
          <w:sz w:val="18"/>
          <w:u w:val="none"/>
        </w:rPr>
        <w:t>GB</w:t>
      </w:r>
      <w:r>
        <w:rPr>
          <w:rFonts w:ascii="Calibri" w:hAnsi="Calibri" w:cs="Calibri"/>
          <w:color w:val="000000"/>
          <w:spacing w:val="3"/>
          <w:w w:val="100"/>
          <w:sz w:val="18"/>
          <w:u w:val="none"/>
        </w:rPr>
        <w:t> </w:t>
      </w:r>
      <w:r>
        <w:rPr>
          <w:rFonts w:ascii="Calibri" w:hAnsi="Calibri" w:cs="Calibri"/>
          <w:color w:val="000000"/>
          <w:spacing w:val="13"/>
          <w:w w:val="117"/>
          <w:position w:val="0"/>
          <w:sz w:val="18"/>
          <w:u w:val="none"/>
        </w:rPr>
        <w:t>50058</w:t>
      </w:r>
      <w:r>
        <w:rPr>
          <w:rFonts w:ascii="宋体" w:hAnsi="宋体" w:cs="宋体"/>
          <w:color w:val="000000"/>
          <w:spacing w:val="0"/>
          <w:w w:val="135"/>
          <w:position w:val="0"/>
          <w:sz w:val="18"/>
          <w:u w:val="none"/>
        </w:rPr>
        <w:t>、</w:t>
      </w:r>
      <w:r>
        <w:rPr>
          <w:rFonts w:ascii="Calibri" w:hAnsi="Calibri" w:cs="Calibri"/>
          <w:color w:val="000000"/>
          <w:spacing w:val="16"/>
          <w:w w:val="117"/>
          <w:position w:val="0"/>
          <w:sz w:val="18"/>
          <w:u w:val="none"/>
        </w:rPr>
        <w:t>GB</w:t>
      </w:r>
    </w:p>
    <w:p>
      <w:pPr>
        <w:spacing w:before="0" w:after="0" w:line="240" w:lineRule="exact"/>
        <w:ind w:firstLine="64"/>
      </w:pPr>
      <w:r>
        <w:br w:type="column"/>
      </w: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240" w:lineRule="exact"/>
        <w:ind w:firstLine="64"/>
      </w:pPr>
    </w:p>
    <w:p>
      <w:pPr>
        <w:spacing w:before="0" w:after="0" w:line="414" w:lineRule="exact"/>
        <w:ind w:firstLine="0"/>
        <w:jc w:val="left"/>
      </w:pPr>
      <w:r>
        <w:rPr>
          <w:rFonts w:ascii="宋体" w:eastAsia="宋体" w:hAnsi="宋体" w:cs="宋体"/>
          <w:color w:val="000000"/>
          <w:spacing w:val="0"/>
          <w:w w:val="135"/>
          <w:position w:val="0"/>
          <w:sz w:val="18"/>
          <w:u w:val="none"/>
        </w:rPr>
        <w:t>符合</w:t>
      </w:r>
      <w:r>
        <w:rPr>
          <w:rFonts w:ascii="Calibri" w:hAnsi="Calibri" w:cs="Calibri"/>
          <w:color w:val="000000"/>
          <w:spacing w:val="8"/>
          <w:w w:val="100"/>
          <w:sz w:val="18"/>
          <w:u w:val="none"/>
        </w:rPr>
        <w:t> </w:t>
      </w:r>
      <w:r>
        <w:rPr>
          <w:rFonts w:ascii="Calibri" w:hAnsi="Calibri" w:cs="Calibri"/>
          <w:color w:val="000000"/>
          <w:spacing w:val="16"/>
          <w:w w:val="117"/>
          <w:position w:val="0"/>
          <w:sz w:val="18"/>
          <w:u w:val="none"/>
        </w:rPr>
        <w:t>GB</w:t>
      </w:r>
      <w:r>
        <w:rPr>
          <w:rFonts w:ascii="Calibri" w:hAnsi="Calibri" w:cs="Calibri"/>
          <w:color w:val="000000"/>
          <w:spacing w:val="3"/>
          <w:w w:val="100"/>
          <w:sz w:val="18"/>
          <w:u w:val="none"/>
        </w:rPr>
        <w:t> </w:t>
      </w:r>
      <w:r>
        <w:rPr>
          <w:rFonts w:ascii="Calibri" w:hAnsi="Calibri" w:cs="Calibri"/>
          <w:color w:val="000000"/>
          <w:spacing w:val="13"/>
          <w:w w:val="117"/>
          <w:position w:val="0"/>
          <w:sz w:val="18"/>
          <w:u w:val="none"/>
        </w:rPr>
        <w:t>16178</w:t>
      </w:r>
      <w:r>
        <w:rPr>
          <w:rFonts w:ascii="宋体" w:hAnsi="宋体" w:cs="宋体"/>
          <w:color w:val="000000"/>
          <w:spacing w:val="0"/>
          <w:w w:val="135"/>
          <w:position w:val="0"/>
          <w:sz w:val="18"/>
          <w:u w:val="none"/>
        </w:rPr>
        <w:t>、</w:t>
      </w:r>
      <w:r>
        <w:rPr>
          <w:rFonts w:ascii="Calibri" w:hAnsi="Calibri" w:cs="Calibri"/>
          <w:color w:val="000000"/>
          <w:spacing w:val="13"/>
          <w:w w:val="117"/>
          <w:position w:val="0"/>
          <w:sz w:val="18"/>
          <w:u w:val="none"/>
        </w:rPr>
        <w:t>GB/T</w:t>
      </w:r>
      <w:r>
        <w:rPr>
          <w:rFonts w:ascii="Calibri" w:hAnsi="Calibri" w:cs="Calibri"/>
          <w:color w:val="000000"/>
          <w:spacing w:val="3"/>
          <w:w w:val="100"/>
          <w:sz w:val="18"/>
          <w:u w:val="none"/>
        </w:rPr>
        <w:t> </w:t>
      </w:r>
      <w:r>
        <w:rPr>
          <w:rFonts w:ascii="Calibri" w:hAnsi="Calibri" w:cs="Calibri"/>
          <w:color w:val="000000"/>
          <w:spacing w:val="12"/>
          <w:w w:val="117"/>
          <w:position w:val="0"/>
          <w:sz w:val="18"/>
          <w:u w:val="none"/>
        </w:rPr>
        <w:t>26562</w:t>
      </w:r>
      <w:r>
        <w:rPr>
          <w:rFonts w:ascii="宋体" w:hAnsi="宋体" w:cs="宋体"/>
          <w:color w:val="000000"/>
          <w:spacing w:val="0"/>
          <w:w w:val="135"/>
          <w:position w:val="0"/>
          <w:sz w:val="18"/>
          <w:u w:val="none"/>
        </w:rPr>
        <w:t>、</w:t>
      </w:r>
    </w:p>
    <w:p>
      <w:pPr>
        <w:spacing w:before="0" w:after="0" w:line="338" w:lineRule="exact"/>
        <w:ind w:firstLine="0"/>
        <w:jc w:val="left"/>
      </w:pPr>
      <w:r>
        <w:rPr>
          <w:rFonts w:ascii="Calibri" w:hAnsi="Calibri" w:cs="Calibri"/>
          <w:color w:val="000000"/>
          <w:spacing w:val="16"/>
          <w:w w:val="117"/>
          <w:position w:val="0"/>
          <w:sz w:val="18"/>
          <w:u w:val="none"/>
        </w:rPr>
        <w:t>GB</w:t>
      </w:r>
      <w:r>
        <w:rPr>
          <w:rFonts w:ascii="Calibri" w:hAnsi="Calibri" w:cs="Calibri"/>
          <w:color w:val="000000"/>
          <w:spacing w:val="3"/>
          <w:w w:val="100"/>
          <w:sz w:val="18"/>
          <w:u w:val="none"/>
        </w:rPr>
        <w:t> </w:t>
      </w:r>
      <w:r>
        <w:rPr>
          <w:rFonts w:ascii="Calibri" w:hAnsi="Calibri" w:cs="Calibri"/>
          <w:color w:val="000000"/>
          <w:spacing w:val="12"/>
          <w:w w:val="117"/>
          <w:position w:val="0"/>
          <w:sz w:val="18"/>
          <w:u w:val="none"/>
        </w:rPr>
        <w:t>4387</w:t>
      </w:r>
      <w:r>
        <w:rPr>
          <w:rFonts w:ascii="宋体" w:hAnsi="宋体" w:cs="宋体"/>
          <w:color w:val="000000"/>
          <w:spacing w:val="0"/>
          <w:w w:val="135"/>
          <w:position w:val="0"/>
          <w:sz w:val="18"/>
          <w:u w:val="none"/>
        </w:rPr>
        <w:t>、</w:t>
      </w:r>
      <w:r>
        <w:rPr>
          <w:rFonts w:ascii="Calibri" w:hAnsi="Calibri" w:cs="Calibri"/>
          <w:color w:val="000000"/>
          <w:spacing w:val="16"/>
          <w:w w:val="117"/>
          <w:position w:val="0"/>
          <w:sz w:val="18"/>
          <w:u w:val="none"/>
        </w:rPr>
        <w:t>GB</w:t>
      </w:r>
      <w:r>
        <w:rPr>
          <w:rFonts w:ascii="Calibri" w:hAnsi="Calibri" w:cs="Calibri"/>
          <w:color w:val="000000"/>
          <w:spacing w:val="3"/>
          <w:w w:val="100"/>
          <w:sz w:val="18"/>
          <w:u w:val="none"/>
        </w:rPr>
        <w:t> </w:t>
      </w:r>
      <w:r>
        <w:rPr>
          <w:rFonts w:ascii="Calibri" w:hAnsi="Calibri" w:cs="Calibri"/>
          <w:color w:val="000000"/>
          <w:spacing w:val="13"/>
          <w:w w:val="117"/>
          <w:position w:val="0"/>
          <w:sz w:val="18"/>
          <w:u w:val="none"/>
        </w:rPr>
        <w:t>7258</w:t>
      </w:r>
      <w:r>
        <w:rPr>
          <w:rFonts w:ascii="宋体" w:hAnsi="宋体" w:cs="宋体"/>
          <w:color w:val="000000"/>
          <w:spacing w:val="0"/>
          <w:w w:val="135"/>
          <w:position w:val="0"/>
          <w:sz w:val="18"/>
          <w:u w:val="none"/>
        </w:rPr>
        <w:t>、</w:t>
      </w:r>
      <w:r>
        <w:rPr>
          <w:rFonts w:ascii="Calibri" w:hAnsi="Calibri" w:cs="Calibri"/>
          <w:color w:val="000000"/>
          <w:spacing w:val="13"/>
          <w:w w:val="117"/>
          <w:position w:val="0"/>
          <w:sz w:val="18"/>
          <w:u w:val="none"/>
        </w:rPr>
        <w:t>TSG</w:t>
      </w:r>
      <w:r>
        <w:rPr>
          <w:rFonts w:ascii="Calibri" w:hAnsi="Calibri" w:cs="Calibri"/>
          <w:color w:val="000000"/>
          <w:spacing w:val="4"/>
          <w:w w:val="100"/>
          <w:sz w:val="18"/>
          <w:u w:val="none"/>
        </w:rPr>
        <w:t> </w:t>
      </w:r>
      <w:r>
        <w:rPr>
          <w:rFonts w:ascii="Calibri" w:hAnsi="Calibri" w:cs="Calibri"/>
          <w:color w:val="000000"/>
          <w:spacing w:val="14"/>
          <w:w w:val="117"/>
          <w:position w:val="0"/>
          <w:sz w:val="18"/>
          <w:u w:val="none"/>
        </w:rPr>
        <w:t>N001</w:t>
      </w:r>
    </w:p>
    <w:p>
      <w:pPr>
        <w:spacing w:before="0" w:after="0" w:line="316" w:lineRule="exact"/>
        <w:ind w:firstLine="749"/>
        <w:jc w:val="left"/>
      </w:pPr>
      <w:r>
        <w:rPr>
          <w:rFonts w:ascii="宋体" w:eastAsia="宋体" w:hAnsi="宋体" w:cs="宋体"/>
          <w:color w:val="000000"/>
          <w:spacing w:val="0"/>
          <w:w w:val="135"/>
          <w:position w:val="0"/>
          <w:sz w:val="18"/>
          <w:u w:val="none"/>
        </w:rPr>
        <w:t>非防爆要求</w:t>
      </w:r>
    </w:p>
    <w:p>
      <w:pPr>
        <w:widowControl/>
        <w:jc w:val="left"/>
        <w:sectPr>
          <w:type w:val="continuous"/>
          <w:pgSz w:w="11906" w:h="16838"/>
          <w:pgMar w:top="1101" w:right="713" w:bottom="861" w:left="1073" w:header="0" w:footer="0" w:gutter="0"/>
          <w:pgNumType w:start="28"/>
          <w:cols w:num="3" w:space="708" w:equalWidth="0">
            <w:col w:w="3340" w:space="0"/>
            <w:col w:w="2664" w:space="0"/>
            <w:col w:w="4116" w:space="0"/>
          </w:cols>
          <w:docGrid w:type="lines" w:linePitch="312" w:charSpace="0"/>
        </w:sectPr>
      </w:pPr>
    </w:p>
    <w:p>
      <w:pPr>
        <w:spacing w:before="0" w:after="0" w:line="138" w:lineRule="exact"/>
        <w:ind w:firstLine="749"/>
      </w:pPr>
    </w:p>
    <w:p>
      <w:pPr>
        <w:widowControl/>
        <w:jc w:val="left"/>
        <w:sectPr>
          <w:type w:val="continuous"/>
          <w:pgSz w:w="11906" w:h="16838"/>
          <w:pgMar w:top="1101" w:right="713" w:bottom="861" w:left="1073" w:header="0" w:footer="0" w:gutter="0"/>
          <w:pgNumType w:start="29"/>
          <w:cols w:num="1" w:space="720"/>
          <w:docGrid w:type="lines" w:linePitch="312" w:charSpace="0"/>
        </w:sectPr>
      </w:pPr>
    </w:p>
    <w:p>
      <w:pPr>
        <w:spacing w:before="0" w:after="0" w:line="197" w:lineRule="exact"/>
        <w:ind w:left="60" w:firstLine="3669"/>
        <w:jc w:val="left"/>
      </w:pPr>
      <w:r>
        <w:rPr>
          <w:rFonts w:ascii="Calibri" w:hAnsi="Calibri" w:cs="Calibri"/>
          <w:color w:val="000000"/>
          <w:spacing w:val="13"/>
          <w:w w:val="117"/>
          <w:position w:val="0"/>
          <w:sz w:val="18"/>
          <w:u w:val="none"/>
        </w:rPr>
        <w:t>50257</w:t>
      </w:r>
      <w:r>
        <w:rPr>
          <w:rFonts w:ascii="Calibri" w:hAnsi="Calibri" w:cs="Calibri"/>
          <w:color w:val="000000"/>
          <w:spacing w:val="9"/>
          <w:w w:val="100"/>
          <w:sz w:val="18"/>
          <w:u w:val="none"/>
        </w:rPr>
        <w:t> </w:t>
      </w:r>
      <w:r>
        <w:rPr>
          <w:rFonts w:ascii="宋体" w:eastAsia="宋体" w:hAnsi="宋体" w:cs="宋体"/>
          <w:color w:val="000000"/>
          <w:spacing w:val="0"/>
          <w:w w:val="135"/>
          <w:position w:val="0"/>
          <w:sz w:val="18"/>
          <w:u w:val="none"/>
        </w:rPr>
        <w:t>防爆要求</w:t>
      </w:r>
    </w:p>
    <w:p>
      <w:pPr>
        <w:spacing w:before="0" w:after="0" w:line="240" w:lineRule="exact"/>
        <w:ind w:left="60" w:firstLine="3669"/>
      </w:pPr>
    </w:p>
    <w:p>
      <w:pPr>
        <w:spacing w:before="0" w:after="0" w:line="354" w:lineRule="exact"/>
        <w:ind w:left="60" w:firstLine="3435"/>
        <w:jc w:val="left"/>
      </w:pPr>
      <w:r>
        <w:rPr>
          <w:rFonts w:ascii="宋体" w:eastAsia="宋体" w:hAnsi="宋体" w:cs="宋体"/>
          <w:color w:val="000000"/>
          <w:spacing w:val="0"/>
          <w:w w:val="135"/>
          <w:position w:val="0"/>
          <w:sz w:val="18"/>
          <w:u w:val="none"/>
        </w:rPr>
        <w:t>检验检测记录与整理</w:t>
      </w:r>
    </w:p>
    <w:p>
      <w:pPr>
        <w:spacing w:before="0" w:after="0" w:line="240" w:lineRule="exact"/>
        <w:ind w:left="60" w:firstLine="3435"/>
      </w:pPr>
    </w:p>
    <w:p>
      <w:pPr>
        <w:spacing w:before="0" w:after="0" w:line="352" w:lineRule="exact"/>
        <w:ind w:left="60" w:firstLine="3333"/>
        <w:jc w:val="left"/>
      </w:pPr>
      <w:r>
        <w:rPr>
          <w:rFonts w:ascii="宋体" w:eastAsia="宋体" w:hAnsi="宋体" w:cs="宋体"/>
          <w:color w:val="000000"/>
          <w:spacing w:val="0"/>
          <w:w w:val="135"/>
          <w:position w:val="0"/>
          <w:sz w:val="18"/>
          <w:u w:val="none"/>
        </w:rPr>
        <w:t>检验结论或出具检验意</w:t>
      </w:r>
    </w:p>
    <w:p>
      <w:pPr>
        <w:spacing w:before="0" w:after="0" w:line="338" w:lineRule="exact"/>
        <w:ind w:left="60" w:firstLine="3954"/>
        <w:jc w:val="left"/>
      </w:pPr>
      <w:r>
        <w:rPr>
          <w:rFonts w:ascii="宋体" w:eastAsia="宋体" w:hAnsi="宋体" w:cs="宋体"/>
          <w:color w:val="000000"/>
          <w:spacing w:val="0"/>
          <w:w w:val="135"/>
          <w:position w:val="0"/>
          <w:sz w:val="18"/>
          <w:u w:val="none"/>
        </w:rPr>
        <w:t>见通知书</w:t>
      </w:r>
    </w:p>
    <w:p>
      <w:pPr>
        <w:spacing w:before="0" w:after="0" w:line="240" w:lineRule="exact"/>
        <w:ind w:left="60" w:firstLine="3954"/>
      </w:pPr>
    </w:p>
    <w:p>
      <w:pPr>
        <w:spacing w:before="0" w:after="0" w:line="359" w:lineRule="exact"/>
        <w:ind w:left="60" w:firstLine="3748"/>
        <w:jc w:val="left"/>
      </w:pPr>
      <w:r>
        <w:rPr>
          <w:rFonts w:ascii="宋体" w:eastAsia="宋体" w:hAnsi="宋体" w:cs="宋体"/>
          <w:color w:val="000000"/>
          <w:spacing w:val="0"/>
          <w:w w:val="135"/>
          <w:position w:val="0"/>
          <w:sz w:val="18"/>
          <w:u w:val="none"/>
        </w:rPr>
        <w:t>出具检验报告</w:t>
      </w:r>
    </w:p>
    <w:p>
      <w:pPr>
        <w:spacing w:before="0" w:after="0" w:line="240" w:lineRule="exact"/>
        <w:ind w:left="60" w:firstLine="3748"/>
      </w:pPr>
    </w:p>
    <w:p>
      <w:pPr>
        <w:tabs>
          <w:tab w:val="left" w:pos="4160"/>
        </w:tabs>
        <w:spacing w:before="0" w:after="0" w:line="425" w:lineRule="exact"/>
        <w:ind w:left="60" w:firstLine="3575"/>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检验检测工作流程</w:t>
      </w:r>
    </w:p>
    <w:p>
      <w:pPr>
        <w:spacing w:before="0" w:after="0" w:line="240" w:lineRule="exact"/>
        <w:ind w:left="60" w:firstLine="3575"/>
      </w:pPr>
    </w:p>
    <w:p>
      <w:pPr>
        <w:spacing w:before="0" w:after="0" w:line="228" w:lineRule="exact"/>
        <w:ind w:left="60" w:firstLine="526"/>
        <w:jc w:val="left"/>
      </w:pPr>
      <w:r>
        <w:rPr>
          <w:rFonts w:ascii="宋体" w:eastAsia="宋体" w:hAnsi="宋体" w:cs="宋体"/>
          <w:color w:val="000000"/>
          <w:spacing w:val="0"/>
          <w:w w:val="100"/>
          <w:position w:val="0"/>
          <w:sz w:val="21"/>
          <w:u w:val="none"/>
        </w:rPr>
        <w:t>环境及有关资料，应包括下列内容：</w:t>
      </w:r>
    </w:p>
    <w:p>
      <w:pPr>
        <w:spacing w:before="0" w:after="0" w:line="313"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防爆相关的资料：防爆区域等级划分图或说明资料，危险物质的化学名称或物理化学性能说明</w:t>
      </w:r>
    </w:p>
    <w:p>
      <w:pPr>
        <w:spacing w:before="0" w:after="0" w:line="312" w:lineRule="exact"/>
        <w:ind w:left="60" w:firstLine="852"/>
        <w:jc w:val="left"/>
      </w:pPr>
      <w:r>
        <w:rPr>
          <w:rFonts w:ascii="宋体" w:hAnsi="宋体" w:cs="宋体"/>
          <w:color w:val="000000"/>
          <w:spacing w:val="-3"/>
          <w:w w:val="100"/>
          <w:position w:val="0"/>
          <w:sz w:val="21"/>
          <w:u w:val="none"/>
        </w:rPr>
        <w:t>资料，整机防爆合格证，必要时提供制造许可证、型式试验报告、电气部分防爆合格证、机械</w:t>
      </w:r>
    </w:p>
    <w:p>
      <w:pPr>
        <w:spacing w:before="0" w:after="0" w:line="312" w:lineRule="exact"/>
        <w:ind w:left="60" w:firstLine="852"/>
        <w:jc w:val="left"/>
      </w:pPr>
      <w:r>
        <w:rPr>
          <w:rFonts w:ascii="宋体" w:hAnsi="宋体" w:cs="宋体"/>
          <w:color w:val="000000"/>
          <w:spacing w:val="-3"/>
          <w:w w:val="100"/>
          <w:position w:val="0"/>
          <w:sz w:val="21"/>
          <w:u w:val="none"/>
        </w:rPr>
        <w:t>部分无火花材质证明，产品合格证、电气原理图及使用说明书等整套随机资料以及使用资料；</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了解被检验场所环境和设备运行状况。</w:t>
      </w:r>
    </w:p>
    <w:p>
      <w:pPr>
        <w:spacing w:before="0" w:after="0" w:line="312" w:lineRule="exact"/>
        <w:ind w:left="60" w:firstLine="526"/>
        <w:jc w:val="left"/>
      </w:pPr>
      <w:r>
        <w:rPr>
          <w:rFonts w:ascii="宋体" w:hAnsi="宋体" w:cs="宋体"/>
          <w:color w:val="000000"/>
          <w:spacing w:val="0"/>
          <w:w w:val="100"/>
          <w:position w:val="0"/>
          <w:sz w:val="21"/>
          <w:u w:val="none"/>
        </w:rPr>
        <w:t>从事防爆叉车检验的仪器设备、计量器具和检测工具应当符合防爆现场环境和检验工作的要求并</w:t>
      </w:r>
    </w:p>
    <w:p>
      <w:pPr>
        <w:spacing w:before="0" w:after="0" w:line="312" w:lineRule="exact"/>
        <w:ind w:left="60" w:firstLine="0"/>
        <w:jc w:val="left"/>
      </w:pPr>
      <w:r>
        <w:rPr>
          <w:rFonts w:ascii="宋体" w:eastAsia="宋体" w:hAnsi="宋体" w:cs="宋体"/>
          <w:color w:val="000000"/>
          <w:spacing w:val="0"/>
          <w:w w:val="100"/>
          <w:position w:val="0"/>
          <w:sz w:val="21"/>
          <w:u w:val="none"/>
        </w:rPr>
        <w:t>在检定周期内，其配备的数量和精度应满足附录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spacing w:before="0" w:after="0" w:line="312" w:lineRule="exact"/>
        <w:ind w:left="60" w:firstLine="526"/>
        <w:jc w:val="left"/>
      </w:pPr>
      <w:r>
        <w:rPr>
          <w:rFonts w:ascii="宋体" w:eastAsia="宋体" w:hAnsi="宋体" w:cs="宋体"/>
          <w:color w:val="000000"/>
          <w:spacing w:val="0"/>
          <w:w w:val="100"/>
          <w:position w:val="0"/>
          <w:sz w:val="21"/>
          <w:u w:val="none"/>
        </w:rPr>
        <w:t>现场检验检测条件如下：</w:t>
      </w:r>
    </w:p>
    <w:p>
      <w:pPr>
        <w:spacing w:before="0" w:after="0" w:line="382" w:lineRule="exact"/>
        <w:ind w:left="60" w:firstLine="197"/>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30"/>
          <w:cols w:num="1" w:space="708" w:equalWidth="0">
            <w:col w:w="10121" w:space="0"/>
          </w:cols>
          <w:docGrid w:type="lines" w:linePitch="312" w:charSpace="0"/>
        </w:sectPr>
      </w:pPr>
    </w:p>
    <w:p>
      <w:pPr>
        <w:spacing w:before="0" w:after="0" w:line="240" w:lineRule="exact"/>
      </w:pPr>
      <w:bookmarkStart w:id="9" w:name="9"/>
      <w:bookmarkEnd w:id="9"/>
    </w:p>
    <w:p>
      <w:pPr>
        <w:spacing w:before="0" w:after="0" w:line="319" w:lineRule="exact"/>
        <w:ind w:left="456" w:firstLine="7571"/>
        <w:jc w:val="left"/>
      </w:pPr>
      <w:r>
        <w:pict>
          <v:shape id="imagerId153" o:spid="_x0000_s1064" type="#_x0000_t75" style="width:17pt;height:9pt;margin-top:131pt;margin-left:70pt;mso-height-relative:page;mso-position-horizontal-relative:page;mso-position-vertical-relative:page;mso-width-relative:page;position:absolute;z-index:-251618304" coordsize="21600,21600" filled="f">
            <v:imagedata r:id="rId42" o:title=""/>
            <o:lock v:ext="edit" aspectratio="t"/>
          </v:shape>
        </w:pict>
      </w:r>
      <w:r>
        <w:pict>
          <v:shape id="imagerId154" o:spid="_x0000_s1065" type="#_x0000_t75" style="width:23pt;height:10pt;margin-top:193pt;margin-left:70pt;mso-height-relative:page;mso-position-horizontal-relative:page;mso-position-vertical-relative:page;mso-width-relative:page;position:absolute;z-index:-251617280" coordsize="21600,21600" filled="f">
            <v:imagedata r:id="rId43" o:title=""/>
            <o:lock v:ext="edit" aspectratio="t"/>
          </v:shape>
        </w:pict>
      </w:r>
      <w:r>
        <w:pict>
          <v:shape id="imagerId155" o:spid="_x0000_s1066" type="#_x0000_t75" style="width:21pt;height:9pt;margin-top:287pt;margin-left:70pt;mso-height-relative:page;mso-position-horizontal-relative:page;mso-position-vertical-relative:page;mso-width-relative:page;position:absolute;z-index:-251616256" coordsize="21600,21600" filled="f">
            <v:imagedata r:id="rId44" o:title=""/>
            <o:lock v:ext="edit" aspectratio="t"/>
          </v:shape>
        </w:pict>
      </w:r>
      <w:r>
        <w:pict>
          <v:shape id="imagerId156" o:spid="_x0000_s1067" type="#_x0000_t75" style="width:23pt;height:9pt;margin-top:396pt;margin-left:70pt;mso-height-relative:page;mso-position-horizontal-relative:page;mso-position-vertical-relative:page;mso-width-relative:page;position:absolute;z-index:-251615232" coordsize="21600,21600" filled="f">
            <v:imagedata r:id="rId45" o:title=""/>
            <o:lock v:ext="edit" aspectratio="t"/>
          </v:shape>
        </w:pict>
      </w:r>
      <w:r>
        <w:pict>
          <v:shape id="imagerId157" o:spid="_x0000_s1068" type="#_x0000_t75" style="width:23pt;height:9pt;margin-top:443pt;margin-left:70pt;mso-height-relative:page;mso-position-horizontal-relative:page;mso-position-vertical-relative:page;mso-width-relative:page;position:absolute;z-index:-251614208" coordsize="21600,21600" filled="f">
            <v:imagedata r:id="rId46" o:title=""/>
            <o:lock v:ext="edit" aspectratio="t"/>
          </v:shape>
        </w:pict>
      </w:r>
      <w:r>
        <w:pict>
          <v:shape id="imagerId158" o:spid="_x0000_s1069" type="#_x0000_t75" style="width:16pt;height:10pt;margin-top:505pt;margin-left:70pt;mso-height-relative:page;mso-position-horizontal-relative:page;mso-position-vertical-relative:page;mso-width-relative:page;position:absolute;z-index:-251613184" coordsize="21600,21600" filled="f">
            <v:imagedata r:id="rId47" o:title=""/>
            <o:lock v:ext="edit" aspectratio="t"/>
          </v:shape>
        </w:pict>
      </w:r>
      <w:r>
        <w:pict>
          <v:shape id="imagerId159" o:spid="_x0000_s1070" type="#_x0000_t75" style="width:17pt;height:10pt;margin-top:731pt;margin-left:70pt;mso-height-relative:page;mso-position-horizontal-relative:page;mso-position-vertical-relative:page;mso-width-relative:page;position:absolute;z-index:-251612160" coordsize="21600,21600" filled="f">
            <v:imagedata r:id="rId48"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56" w:firstLine="7571"/>
      </w:pPr>
    </w:p>
    <w:p>
      <w:pPr>
        <w:spacing w:before="0" w:after="0" w:line="291"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露天防爆叉车检验应在无大雨、大雪的情况下进行；</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检验现场应清洁，不应有与检验无关的物品和设备，并应放置表明现场正在检验的警示牌。</w:t>
      </w:r>
    </w:p>
    <w:p>
      <w:pPr>
        <w:spacing w:before="0" w:after="0" w:line="312" w:lineRule="exact"/>
        <w:ind w:left="456" w:firstLine="526"/>
        <w:jc w:val="left"/>
      </w:pPr>
      <w:r>
        <w:rPr>
          <w:rFonts w:ascii="宋体" w:eastAsia="宋体" w:hAnsi="宋体" w:cs="宋体"/>
          <w:color w:val="000000"/>
          <w:spacing w:val="0"/>
          <w:w w:val="100"/>
          <w:position w:val="0"/>
          <w:sz w:val="21"/>
          <w:u w:val="none"/>
        </w:rPr>
        <w:t>现场检验检测安全要求如下：</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现场检验人员应穿戴防静电的个体防护用品，安全警示标志是否准备妥当，不得随身携带的可</w:t>
      </w:r>
    </w:p>
    <w:p>
      <w:pPr>
        <w:spacing w:before="0" w:after="0" w:line="312" w:lineRule="exact"/>
        <w:ind w:left="456" w:firstLine="852"/>
        <w:jc w:val="left"/>
      </w:pPr>
      <w:r>
        <w:rPr>
          <w:rFonts w:ascii="宋体" w:eastAsia="宋体" w:hAnsi="宋体" w:cs="宋体"/>
          <w:color w:val="000000"/>
          <w:spacing w:val="0"/>
          <w:w w:val="100"/>
          <w:position w:val="0"/>
          <w:sz w:val="21"/>
          <w:u w:val="none"/>
        </w:rPr>
        <w:t>能引起火源的物品；</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接受使用单位的安全技术交底，遵守使用单位的规章制度和操作规程。</w:t>
      </w:r>
    </w:p>
    <w:p>
      <w:pPr>
        <w:spacing w:before="0" w:after="0" w:line="312" w:lineRule="exact"/>
        <w:ind w:left="456" w:firstLine="631"/>
        <w:jc w:val="left"/>
      </w:pPr>
      <w:r>
        <w:rPr>
          <w:rFonts w:ascii="宋体" w:hAnsi="宋体" w:cs="宋体"/>
          <w:color w:val="000000"/>
          <w:spacing w:val="0"/>
          <w:w w:val="100"/>
          <w:position w:val="0"/>
          <w:sz w:val="21"/>
          <w:u w:val="none"/>
        </w:rPr>
        <w:t>记录整理和出具《特种设备检验意见通知书》，要求如下：</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现场检验检测的数据应记录在原始记录中，并应有检验和校核人员签字，检验原始记录应用钢</w:t>
      </w:r>
    </w:p>
    <w:p>
      <w:pPr>
        <w:spacing w:before="0" w:after="0" w:line="312" w:lineRule="exact"/>
        <w:ind w:left="456" w:firstLine="852"/>
        <w:jc w:val="left"/>
      </w:pPr>
      <w:r>
        <w:rPr>
          <w:rFonts w:ascii="宋体" w:hAnsi="宋体" w:cs="宋体"/>
          <w:color w:val="000000"/>
          <w:spacing w:val="-3"/>
          <w:w w:val="100"/>
          <w:position w:val="0"/>
          <w:sz w:val="21"/>
          <w:u w:val="none"/>
        </w:rPr>
        <w:t>笔或签字笔填写，字迹工整、清晰，严禁涂改；改错应采用杠改法，并应有修改人员签字和日</w:t>
      </w:r>
    </w:p>
    <w:p>
      <w:pPr>
        <w:spacing w:before="0" w:after="0" w:line="312" w:lineRule="exact"/>
        <w:ind w:left="456" w:firstLine="852"/>
        <w:jc w:val="left"/>
      </w:pPr>
      <w:r>
        <w:rPr>
          <w:rFonts w:ascii="宋体" w:eastAsia="宋体" w:hAnsi="宋体" w:cs="宋体"/>
          <w:color w:val="000000"/>
          <w:spacing w:val="0"/>
          <w:w w:val="100"/>
          <w:position w:val="0"/>
          <w:sz w:val="21"/>
          <w:u w:val="none"/>
        </w:rPr>
        <w:t>期；</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现场检验工作发现的问题，应出具《特种设备检验意见通知书》，并经使用单位的安全管理人</w:t>
      </w:r>
    </w:p>
    <w:p>
      <w:pPr>
        <w:spacing w:before="0" w:after="0" w:line="312" w:lineRule="exact"/>
        <w:ind w:left="456" w:firstLine="852"/>
        <w:jc w:val="left"/>
      </w:pPr>
      <w:r>
        <w:rPr>
          <w:rFonts w:ascii="宋体" w:hAnsi="宋体" w:cs="宋体"/>
          <w:color w:val="000000"/>
          <w:spacing w:val="0"/>
          <w:w w:val="100"/>
          <w:position w:val="0"/>
          <w:sz w:val="21"/>
          <w:u w:val="none"/>
        </w:rPr>
        <w:t>员或有关人员签字。</w:t>
      </w:r>
    </w:p>
    <w:p>
      <w:pPr>
        <w:spacing w:before="0" w:after="0" w:line="313" w:lineRule="exact"/>
        <w:ind w:left="456" w:firstLine="631"/>
        <w:jc w:val="left"/>
      </w:pPr>
      <w:r>
        <w:rPr>
          <w:rFonts w:ascii="宋体" w:eastAsia="宋体" w:hAnsi="宋体" w:cs="宋体"/>
          <w:color w:val="000000"/>
          <w:spacing w:val="0"/>
          <w:w w:val="100"/>
          <w:position w:val="0"/>
          <w:sz w:val="21"/>
          <w:u w:val="none"/>
        </w:rPr>
        <w:t>判定检验结论如下：</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检验项目全部合格，综合判定为“合格”；</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检验项目有不合格项，并且无法整改的，综合判定为“不合格”；</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检验项目有不合格项，可以通过整改达到要求的，允许进行整改，并且在双方商定的期限内完</w:t>
      </w:r>
    </w:p>
    <w:p>
      <w:pPr>
        <w:spacing w:before="0" w:after="0" w:line="312" w:lineRule="exact"/>
        <w:ind w:left="456" w:firstLine="852"/>
        <w:jc w:val="left"/>
      </w:pPr>
      <w:r>
        <w:rPr>
          <w:rFonts w:ascii="宋体" w:eastAsia="宋体" w:hAnsi="宋体" w:cs="宋体"/>
          <w:color w:val="000000"/>
          <w:spacing w:val="-3"/>
          <w:w w:val="100"/>
          <w:position w:val="0"/>
          <w:sz w:val="21"/>
          <w:u w:val="none"/>
        </w:rPr>
        <w:t>成；使用单位整改并且自检合格后，应当申请原检验机构到现场复检，复检时所有检验项目合</w:t>
      </w:r>
    </w:p>
    <w:p>
      <w:pPr>
        <w:spacing w:before="0" w:after="0" w:line="312" w:lineRule="exact"/>
        <w:ind w:left="456" w:firstLine="852"/>
        <w:jc w:val="left"/>
      </w:pPr>
      <w:r>
        <w:rPr>
          <w:rFonts w:ascii="宋体" w:hAnsi="宋体" w:cs="宋体"/>
          <w:color w:val="000000"/>
          <w:spacing w:val="-3"/>
          <w:w w:val="100"/>
          <w:position w:val="0"/>
          <w:sz w:val="21"/>
          <w:u w:val="none"/>
        </w:rPr>
        <w:t>格，综合判定为“复检合格”，复检时检验项目仍有不合格项，综合判定为“复检不合格”；</w:t>
      </w:r>
    </w:p>
    <w:p>
      <w:pPr>
        <w:spacing w:before="0" w:after="0" w:line="312" w:lineRule="exact"/>
        <w:ind w:left="456" w:firstLine="852"/>
        <w:jc w:val="left"/>
      </w:pPr>
      <w:r>
        <w:rPr>
          <w:rFonts w:ascii="宋体" w:hAnsi="宋体" w:cs="宋体"/>
          <w:color w:val="000000"/>
          <w:spacing w:val="0"/>
          <w:w w:val="100"/>
          <w:position w:val="0"/>
          <w:sz w:val="21"/>
          <w:u w:val="none"/>
        </w:rPr>
        <w:t>使用单位逾期未整改的，综合判定为“不合格”。</w:t>
      </w:r>
    </w:p>
    <w:p>
      <w:pPr>
        <w:spacing w:before="0" w:after="0" w:line="312" w:lineRule="exact"/>
        <w:ind w:left="456" w:firstLine="631"/>
        <w:jc w:val="left"/>
      </w:pPr>
      <w:r>
        <w:rPr>
          <w:rFonts w:ascii="宋体" w:eastAsia="宋体" w:hAnsi="宋体" w:cs="宋体"/>
          <w:color w:val="000000"/>
          <w:spacing w:val="0"/>
          <w:w w:val="100"/>
          <w:position w:val="0"/>
          <w:sz w:val="21"/>
          <w:u w:val="none"/>
        </w:rPr>
        <w:t>出具检验报告要求如下：</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现场检验完成后，应在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个工作日内出具检验报告；</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检验报告项目、内容和格式应符合附录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312" w:lineRule="exact"/>
        <w:ind w:left="456" w:firstLine="631"/>
        <w:jc w:val="left"/>
      </w:pPr>
      <w:r>
        <w:rPr>
          <w:rFonts w:ascii="宋体" w:eastAsia="宋体" w:hAnsi="宋体" w:cs="宋体"/>
          <w:color w:val="000000"/>
          <w:spacing w:val="0"/>
          <w:w w:val="100"/>
          <w:position w:val="0"/>
          <w:sz w:val="21"/>
          <w:u w:val="none"/>
        </w:rPr>
        <w:t>防爆叉车的检验周期一般为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年。</w:t>
      </w:r>
    </w:p>
    <w:p>
      <w:pPr>
        <w:spacing w:before="0" w:after="0" w:line="240" w:lineRule="exact"/>
        <w:ind w:left="456" w:firstLine="631"/>
      </w:pPr>
    </w:p>
    <w:p>
      <w:pPr>
        <w:tabs>
          <w:tab w:val="left" w:pos="770"/>
        </w:tabs>
        <w:spacing w:before="0" w:after="0" w:line="384" w:lineRule="exact"/>
        <w:ind w:left="456" w:firstLine="0"/>
        <w:jc w:val="left"/>
      </w:pPr>
      <w:r>
        <w:rPr>
          <w:rFonts w:ascii="黑体" w:hAnsi="黑体" w:cs="黑体"/>
          <w:color w:val="000000"/>
          <w:spacing w:val="0"/>
          <w:w w:val="100"/>
          <w:position w:val="0"/>
          <w:sz w:val="21"/>
          <w:u w:val="none"/>
        </w:rPr>
        <w:t>5</w:t>
      </w:r>
      <w:r>
        <w:rPr>
          <w:rFonts w:cs="Calibri"/>
          <w:spacing w:val="-1"/>
          <w:w w:val="100"/>
        </w:rPr>
        <w:tab/>
      </w:r>
      <w:r>
        <w:rPr>
          <w:rFonts w:ascii="黑体" w:hAnsi="黑体" w:cs="黑体"/>
          <w:color w:val="000000"/>
          <w:spacing w:val="0"/>
          <w:w w:val="100"/>
          <w:position w:val="0"/>
          <w:sz w:val="21"/>
          <w:u w:val="none"/>
        </w:rPr>
        <w:t>检验检测项目、技术要求</w:t>
      </w:r>
    </w:p>
    <w:p>
      <w:pPr>
        <w:spacing w:before="0" w:after="0" w:line="240" w:lineRule="exact"/>
        <w:ind w:left="456" w:firstLine="0"/>
      </w:pPr>
    </w:p>
    <w:p>
      <w:pPr>
        <w:spacing w:before="0" w:after="0" w:line="384" w:lineRule="exact"/>
        <w:ind w:left="456" w:firstLine="526"/>
        <w:jc w:val="left"/>
      </w:pPr>
      <w:r>
        <w:rPr>
          <w:rFonts w:ascii="黑体" w:eastAsia="黑体" w:hAnsi="黑体" w:cs="黑体"/>
          <w:color w:val="000000"/>
          <w:spacing w:val="0"/>
          <w:w w:val="100"/>
          <w:position w:val="0"/>
          <w:sz w:val="21"/>
          <w:u w:val="none"/>
        </w:rPr>
        <w:t>资料核查</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5.1.1</w:t>
      </w:r>
      <w:r>
        <w:rPr>
          <w:rFonts w:cs="Calibri"/>
          <w:spacing w:val="-3"/>
          <w:w w:val="100"/>
        </w:rPr>
        <w:tab/>
      </w:r>
      <w:r>
        <w:rPr>
          <w:rFonts w:ascii="黑体" w:eastAsia="黑体" w:hAnsi="黑体" w:cs="黑体"/>
          <w:color w:val="000000"/>
          <w:spacing w:val="0"/>
          <w:w w:val="100"/>
          <w:position w:val="0"/>
          <w:sz w:val="21"/>
          <w:u w:val="none"/>
        </w:rPr>
        <w:t>定期检验相关资料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查验上一个周期检验报告、使用登记证、日常使用状况记录、日常维护保养记录、运行故障和事故</w:t>
      </w:r>
    </w:p>
    <w:p>
      <w:pPr>
        <w:spacing w:before="0" w:after="0" w:line="312" w:lineRule="exact"/>
        <w:ind w:left="456" w:firstLine="0"/>
        <w:jc w:val="left"/>
      </w:pPr>
      <w:r>
        <w:rPr>
          <w:rFonts w:ascii="宋体" w:hAnsi="宋体" w:cs="宋体"/>
          <w:color w:val="000000"/>
          <w:spacing w:val="0"/>
          <w:w w:val="100"/>
          <w:position w:val="0"/>
          <w:sz w:val="21"/>
          <w:u w:val="none"/>
        </w:rPr>
        <w:t>记录等。</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首次检验相关资料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查验防爆叉车产品质量合格证明、使用维护保养说明、制造许可证、型式试验合格证、防爆合格证</w:t>
      </w:r>
    </w:p>
    <w:p>
      <w:pPr>
        <w:spacing w:before="0" w:after="0" w:line="312" w:lineRule="exact"/>
        <w:ind w:left="456" w:firstLine="0"/>
        <w:jc w:val="left"/>
      </w:pPr>
      <w:r>
        <w:rPr>
          <w:rFonts w:ascii="宋体" w:hAnsi="宋体" w:cs="宋体"/>
          <w:color w:val="000000"/>
          <w:spacing w:val="-3"/>
          <w:w w:val="100"/>
          <w:position w:val="0"/>
          <w:sz w:val="21"/>
          <w:u w:val="none"/>
        </w:rPr>
        <w:t>明文件（皮带、轮胎、电机、电控、蓄电池、灯具、开关、喇叭等部件的防爆证书及防爆标志；所有隔</w:t>
      </w:r>
    </w:p>
    <w:p>
      <w:pPr>
        <w:spacing w:before="0" w:after="0" w:line="312" w:lineRule="exact"/>
        <w:ind w:left="456" w:firstLine="0"/>
        <w:jc w:val="left"/>
      </w:pPr>
      <w:r>
        <w:rPr>
          <w:rFonts w:ascii="宋体" w:hAnsi="宋体" w:cs="宋体"/>
          <w:color w:val="000000"/>
          <w:spacing w:val="0"/>
          <w:w w:val="100"/>
          <w:position w:val="0"/>
          <w:sz w:val="21"/>
          <w:u w:val="none"/>
        </w:rPr>
        <w:t>爆罩的有效证书或试验报告及防爆标志）等，进口设备须有告知书。</w:t>
      </w:r>
    </w:p>
    <w:p>
      <w:pPr>
        <w:spacing w:before="0" w:after="0" w:line="240" w:lineRule="exact"/>
        <w:ind w:left="456" w:firstLine="0"/>
      </w:pPr>
    </w:p>
    <w:p>
      <w:pPr>
        <w:tabs>
          <w:tab w:val="left" w:pos="1190"/>
        </w:tabs>
        <w:spacing w:before="0" w:after="0" w:line="229" w:lineRule="exact"/>
        <w:ind w:left="456" w:firstLine="0"/>
        <w:jc w:val="left"/>
      </w:pPr>
      <w:r>
        <w:rPr>
          <w:rFonts w:ascii="黑体" w:hAnsi="黑体" w:cs="黑体"/>
          <w:color w:val="000000"/>
          <w:spacing w:val="0"/>
          <w:w w:val="100"/>
          <w:position w:val="0"/>
          <w:sz w:val="21"/>
          <w:u w:val="none"/>
        </w:rPr>
        <w:t>5.1.3</w:t>
      </w:r>
      <w:r>
        <w:rPr>
          <w:rFonts w:cs="Calibri"/>
          <w:spacing w:val="-3"/>
          <w:w w:val="100"/>
        </w:rPr>
        <w:tab/>
      </w:r>
      <w:r>
        <w:rPr>
          <w:rFonts w:ascii="黑体" w:eastAsia="黑体" w:hAnsi="黑体" w:cs="黑体"/>
          <w:color w:val="000000"/>
          <w:spacing w:val="0"/>
          <w:w w:val="100"/>
          <w:position w:val="0"/>
          <w:sz w:val="21"/>
          <w:u w:val="none"/>
        </w:rPr>
        <w:t>场车改造相关资料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2"/>
          <w:w w:val="100"/>
          <w:position w:val="0"/>
          <w:sz w:val="21"/>
          <w:u w:val="none"/>
        </w:rPr>
        <w:t>查验改造告知书、改造单位许可证</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包括上一周期检验报告</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、改造整机合格证明、特种设备制造许</w:t>
      </w:r>
    </w:p>
    <w:p>
      <w:pPr>
        <w:spacing w:before="0" w:after="0" w:line="312" w:lineRule="exact"/>
        <w:ind w:left="456" w:firstLine="0"/>
        <w:jc w:val="left"/>
      </w:pPr>
      <w:r>
        <w:rPr>
          <w:rFonts w:ascii="宋体" w:hAnsi="宋体" w:cs="宋体"/>
          <w:color w:val="000000"/>
          <w:spacing w:val="0"/>
          <w:w w:val="100"/>
          <w:position w:val="0"/>
          <w:sz w:val="21"/>
          <w:u w:val="none"/>
        </w:rPr>
        <w:t>可证（含许可明细）、型式试验文件。</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结构型式</w:t>
      </w:r>
    </w:p>
    <w:p>
      <w:pPr>
        <w:spacing w:before="0" w:after="0" w:line="240" w:lineRule="exact"/>
        <w:ind w:left="456" w:firstLine="526"/>
      </w:pPr>
    </w:p>
    <w:p>
      <w:pPr>
        <w:spacing w:before="0" w:after="0" w:line="228" w:lineRule="exact"/>
        <w:ind w:left="456" w:firstLine="420"/>
        <w:jc w:val="left"/>
      </w:pPr>
      <w:r>
        <w:rPr>
          <w:rFonts w:ascii="宋体" w:hAnsi="宋体" w:cs="宋体"/>
          <w:color w:val="000000"/>
          <w:spacing w:val="0"/>
          <w:w w:val="100"/>
          <w:position w:val="0"/>
          <w:sz w:val="21"/>
          <w:u w:val="none"/>
        </w:rPr>
        <w:t>车辆的结构型式应与型式试验报告或型式试验合格证相符合，整机主要配置应与出厂状态相符合。</w:t>
      </w:r>
    </w:p>
    <w:p>
      <w:pPr>
        <w:spacing w:before="0" w:after="0" w:line="382" w:lineRule="exact"/>
        <w:ind w:left="456" w:firstLine="9038"/>
        <w:jc w:val="left"/>
        <w:sectPr>
          <w:type w:val="continuous"/>
          <w:pgSz w:w="11906" w:h="16839"/>
          <w:pgMar w:top="1101" w:right="603" w:bottom="861" w:left="963" w:header="0" w:footer="0" w:gutter="0"/>
          <w:pgNumType w:start="31"/>
          <w:cols w:num="1" w:space="720"/>
        </w:sectPr>
      </w:pPr>
      <w:r>
        <w:rPr>
          <w:rFonts w:ascii="宋体" w:hAnsi="宋体" w:cs="宋体"/>
          <w:color w:val="000000"/>
          <w:spacing w:val="-1"/>
          <w:w w:val="100"/>
          <w:position w:val="0"/>
          <w:sz w:val="18"/>
          <w:u w:val="none"/>
        </w:rPr>
        <w:t>5</w:t>
      </w:r>
    </w:p>
    <w:p>
      <w:pPr>
        <w:spacing w:before="0" w:after="0" w:line="240" w:lineRule="exact"/>
      </w:pPr>
      <w:bookmarkStart w:id="10" w:name="10"/>
      <w:bookmarkEnd w:id="10"/>
    </w:p>
    <w:p>
      <w:pPr>
        <w:spacing w:before="0" w:after="0" w:line="319" w:lineRule="exact"/>
        <w:ind w:left="60" w:firstLine="0"/>
        <w:jc w:val="left"/>
      </w:pPr>
      <w:r>
        <w:pict>
          <v:shape id="imagerId160" o:spid="_x0000_s1071" type="#_x0000_t75" style="width:17pt;height:10pt;margin-top:99pt;margin-left:56pt;mso-height-relative:page;mso-position-horizontal-relative:page;mso-position-vertical-relative:page;mso-width-relative:page;position:absolute;z-index:-251611136" coordsize="21600,21600" filled="f">
            <v:imagedata r:id="rId49" o:title=""/>
            <o:lock v:ext="edit" aspectratio="t"/>
          </v:shape>
        </w:pict>
      </w:r>
      <w:r>
        <w:pict>
          <v:shape id="imagerId161" o:spid="_x0000_s1072" type="#_x0000_t75" style="width:18pt;height:10pt;margin-top:146pt;margin-left:56pt;mso-height-relative:page;mso-position-horizontal-relative:page;mso-position-vertical-relative:page;mso-width-relative:page;position:absolute;z-index:-251610112" coordsize="21600,21600" filled="f">
            <v:imagedata r:id="rId50" o:title=""/>
            <o:lock v:ext="edit" aspectratio="t"/>
          </v:shape>
        </w:pict>
      </w:r>
      <w:r>
        <w:pict>
          <v:shape id="imagerId162" o:spid="_x0000_s1073" type="#_x0000_t75" style="width:17pt;height:10pt;margin-top:318pt;margin-left:56pt;mso-height-relative:page;mso-position-horizontal-relative:page;mso-position-vertical-relative:page;mso-width-relative:page;position:absolute;z-index:-251609088" coordsize="21600,21600" filled="f">
            <v:imagedata r:id="rId51" o:title=""/>
            <o:lock v:ext="edit" aspectratio="t"/>
          </v:shape>
        </w:pict>
      </w:r>
      <w:r>
        <w:pict>
          <v:shape id="imagerId163" o:spid="_x0000_s1074" type="#_x0000_t75" style="width:17pt;height:10pt;margin-top:489pt;margin-left:56pt;mso-height-relative:page;mso-position-horizontal-relative:page;mso-position-vertical-relative:page;mso-width-relative:page;position:absolute;z-index:-251608064" coordsize="21600,21600" filled="f">
            <v:imagedata r:id="rId52" o:title=""/>
            <o:lock v:ext="edit" aspectratio="t"/>
          </v:shape>
        </w:pict>
      </w:r>
      <w:r>
        <w:pict>
          <v:shape id="imagerId164" o:spid="_x0000_s1075" type="#_x0000_t75" style="width:17pt;height:10pt;margin-top:661pt;margin-left:56pt;mso-height-relative:page;mso-position-horizontal-relative:page;mso-position-vertical-relative:page;mso-width-relative:page;position:absolute;z-index:-251607040" coordsize="21600,21600" filled="f">
            <v:imagedata r:id="rId53"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291" w:lineRule="exact"/>
        <w:ind w:left="60" w:firstLine="526"/>
        <w:jc w:val="left"/>
      </w:pPr>
      <w:r>
        <w:rPr>
          <w:rFonts w:ascii="黑体" w:eastAsia="黑体" w:hAnsi="黑体" w:cs="黑体"/>
          <w:color w:val="000000"/>
          <w:spacing w:val="0"/>
          <w:w w:val="100"/>
          <w:position w:val="0"/>
          <w:sz w:val="21"/>
          <w:u w:val="none"/>
        </w:rPr>
        <w:t>主要参数测量</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0"/>
          <w:w w:val="100"/>
          <w:position w:val="0"/>
          <w:sz w:val="21"/>
          <w:u w:val="none"/>
        </w:rPr>
        <w:t>主要参数至少包括额定起重量。</w:t>
      </w:r>
    </w:p>
    <w:p>
      <w:pPr>
        <w:spacing w:before="0" w:after="0" w:line="240" w:lineRule="exact"/>
        <w:ind w:left="60" w:firstLine="420"/>
      </w:pPr>
    </w:p>
    <w:p>
      <w:pPr>
        <w:spacing w:before="0" w:after="0" w:line="228" w:lineRule="exact"/>
        <w:ind w:left="60" w:firstLine="526"/>
        <w:jc w:val="left"/>
      </w:pPr>
      <w:r>
        <w:rPr>
          <w:rFonts w:ascii="黑体" w:eastAsia="黑体" w:hAnsi="黑体" w:cs="黑体"/>
          <w:color w:val="000000"/>
          <w:spacing w:val="0"/>
          <w:w w:val="100"/>
          <w:position w:val="0"/>
          <w:sz w:val="21"/>
          <w:u w:val="none"/>
        </w:rPr>
        <w:t>整车外观检查</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5.4.1</w:t>
      </w:r>
      <w:r>
        <w:rPr>
          <w:rFonts w:cs="Calibri"/>
          <w:spacing w:val="0"/>
          <w:w w:val="100"/>
        </w:rPr>
        <w:tab/>
      </w:r>
      <w:r>
        <w:rPr>
          <w:rFonts w:ascii="宋体" w:eastAsia="宋体" w:hAnsi="宋体" w:cs="宋体"/>
          <w:color w:val="000000"/>
          <w:spacing w:val="0"/>
          <w:w w:val="100"/>
          <w:position w:val="0"/>
          <w:sz w:val="21"/>
          <w:u w:val="none"/>
        </w:rPr>
        <w:t>防爆叉车应车容完整，各部件完好，连接紧固，无缺件；车辆车身周正，车身两侧不得有超出</w:t>
      </w:r>
    </w:p>
    <w:p>
      <w:pPr>
        <w:spacing w:before="0" w:after="0" w:line="312" w:lineRule="exact"/>
        <w:ind w:left="60" w:firstLine="0"/>
        <w:jc w:val="left"/>
      </w:pPr>
      <w:r>
        <w:rPr>
          <w:rFonts w:ascii="宋体" w:hAnsi="宋体" w:cs="宋体"/>
          <w:color w:val="000000"/>
          <w:spacing w:val="-3"/>
          <w:w w:val="100"/>
          <w:position w:val="0"/>
          <w:sz w:val="21"/>
          <w:u w:val="none"/>
        </w:rPr>
        <w:t>车身外廓的突出物（后视镜除外），车身蒙皮应平整，漆面整洁、颜色协调，不锈污；发动机、底盘易</w:t>
      </w:r>
    </w:p>
    <w:p>
      <w:pPr>
        <w:spacing w:before="0" w:after="0" w:line="312" w:lineRule="exact"/>
        <w:ind w:left="60" w:firstLine="0"/>
        <w:jc w:val="left"/>
      </w:pPr>
      <w:r>
        <w:rPr>
          <w:rFonts w:ascii="宋体" w:hAnsi="宋体" w:cs="宋体"/>
          <w:color w:val="000000"/>
          <w:spacing w:val="0"/>
          <w:w w:val="100"/>
          <w:position w:val="0"/>
          <w:sz w:val="21"/>
          <w:u w:val="none"/>
        </w:rPr>
        <w:t>见部位应具有永久清晰字样的编号；车辆根据需要应配备随车灭火器。</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5.4.2</w:t>
      </w:r>
      <w:r>
        <w:rPr>
          <w:rFonts w:cs="Calibri"/>
          <w:spacing w:val="0"/>
          <w:w w:val="100"/>
        </w:rPr>
        <w:tab/>
      </w:r>
      <w:r>
        <w:rPr>
          <w:rFonts w:ascii="宋体" w:hAnsi="宋体" w:cs="宋体"/>
          <w:color w:val="000000"/>
          <w:spacing w:val="0"/>
          <w:w w:val="100"/>
          <w:position w:val="0"/>
          <w:sz w:val="21"/>
          <w:u w:val="none"/>
        </w:rPr>
        <w:t>防爆叉车各种仪表根据相关标准设置的气压、机油压力、水温、燃油量、电压等防爆仪表应醒</w:t>
      </w:r>
    </w:p>
    <w:p>
      <w:pPr>
        <w:spacing w:before="0" w:after="0" w:line="312" w:lineRule="exact"/>
        <w:ind w:left="60" w:firstLine="0"/>
        <w:jc w:val="left"/>
      </w:pPr>
      <w:r>
        <w:rPr>
          <w:rFonts w:ascii="宋体" w:hAnsi="宋体" w:cs="宋体"/>
          <w:color w:val="000000"/>
          <w:spacing w:val="0"/>
          <w:w w:val="100"/>
          <w:position w:val="0"/>
          <w:sz w:val="21"/>
          <w:u w:val="none"/>
        </w:rPr>
        <w:t>目、灵敏、有效且应符合附录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防爆要求。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5.4.3</w:t>
      </w:r>
      <w:r>
        <w:rPr>
          <w:rFonts w:cs="Calibri"/>
          <w:spacing w:val="0"/>
          <w:w w:val="100"/>
        </w:rPr>
        <w:tab/>
      </w:r>
      <w:r>
        <w:rPr>
          <w:rFonts w:ascii="宋体" w:eastAsia="宋体" w:hAnsi="宋体" w:cs="宋体"/>
          <w:color w:val="000000"/>
          <w:spacing w:val="0"/>
          <w:w w:val="100"/>
          <w:position w:val="0"/>
          <w:sz w:val="21"/>
          <w:u w:val="none"/>
        </w:rPr>
        <w:t>装载运输危险品的车辆或行驶于危险场所的车辆，特殊安全要求装载运输危险品的车辆或行驶</w:t>
      </w:r>
    </w:p>
    <w:p>
      <w:pPr>
        <w:spacing w:before="0" w:after="0" w:line="312" w:lineRule="exact"/>
        <w:ind w:left="60" w:firstLine="0"/>
        <w:jc w:val="left"/>
      </w:pPr>
      <w:r>
        <w:rPr>
          <w:rFonts w:ascii="宋体" w:hAnsi="宋体" w:cs="宋体"/>
          <w:color w:val="000000"/>
          <w:spacing w:val="0"/>
          <w:w w:val="100"/>
          <w:position w:val="0"/>
          <w:sz w:val="21"/>
          <w:u w:val="none"/>
        </w:rPr>
        <w:t>于危险场所的车辆，特殊安全要求装载运输易燃易爆、剧毒等危险品的车辆或行使于危险场所的车辆，</w:t>
      </w:r>
    </w:p>
    <w:p>
      <w:pPr>
        <w:spacing w:before="0" w:after="0" w:line="313" w:lineRule="exact"/>
        <w:ind w:left="60" w:firstLine="0"/>
        <w:jc w:val="left"/>
      </w:pPr>
      <w:r>
        <w:rPr>
          <w:rFonts w:ascii="宋体" w:hAnsi="宋体" w:cs="宋体"/>
          <w:color w:val="000000"/>
          <w:spacing w:val="-3"/>
          <w:w w:val="100"/>
          <w:position w:val="0"/>
          <w:sz w:val="21"/>
          <w:u w:val="none"/>
        </w:rPr>
        <w:t>驾驶室内应安装警报器和指示灯，车体两侧及车后应喷涂“严禁烟火”或“注意危险”等字样，应符合</w:t>
      </w:r>
    </w:p>
    <w:p>
      <w:pPr>
        <w:spacing w:before="0" w:after="0" w:line="312" w:lineRule="exact"/>
        <w:ind w:left="60" w:firstLine="0"/>
        <w:jc w:val="left"/>
      </w:pPr>
      <w:r>
        <w:rPr>
          <w:rFonts w:ascii="宋体" w:hAnsi="宋体" w:cs="宋体"/>
          <w:color w:val="000000"/>
          <w:spacing w:val="0"/>
          <w:w w:val="100"/>
          <w:position w:val="0"/>
          <w:sz w:val="21"/>
          <w:u w:val="none"/>
        </w:rPr>
        <w:t>GB</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4387</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的有关要求，并查验相关合格证件。</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铭牌和安全警示标志检查</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5.5.1</w:t>
      </w:r>
      <w:r>
        <w:rPr>
          <w:rFonts w:cs="Calibri"/>
          <w:spacing w:val="0"/>
          <w:w w:val="100"/>
        </w:rPr>
        <w:tab/>
      </w:r>
      <w:r>
        <w:rPr>
          <w:rFonts w:ascii="宋体" w:hAnsi="宋体" w:cs="宋体"/>
          <w:color w:val="000000"/>
          <w:spacing w:val="0"/>
          <w:w w:val="100"/>
          <w:position w:val="0"/>
          <w:sz w:val="21"/>
          <w:u w:val="none"/>
        </w:rPr>
        <w:t>防爆叉车的铭牌、安全警示标志及其说明应当置于叉车的显著位置，叉车应悬挂车牌照，且不</w:t>
      </w:r>
    </w:p>
    <w:p>
      <w:pPr>
        <w:spacing w:before="0" w:after="0" w:line="312" w:lineRule="exact"/>
        <w:ind w:left="60" w:firstLine="0"/>
        <w:jc w:val="left"/>
      </w:pPr>
      <w:r>
        <w:rPr>
          <w:rFonts w:ascii="宋体" w:hAnsi="宋体" w:cs="宋体"/>
          <w:color w:val="000000"/>
          <w:spacing w:val="0"/>
          <w:w w:val="100"/>
          <w:position w:val="0"/>
          <w:sz w:val="21"/>
          <w:u w:val="none"/>
        </w:rPr>
        <w:t>应遮挡。</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5.5.2</w:t>
      </w:r>
      <w:r>
        <w:rPr>
          <w:rFonts w:cs="Calibri"/>
          <w:spacing w:val="0"/>
          <w:w w:val="100"/>
        </w:rPr>
        <w:tab/>
      </w:r>
      <w:r>
        <w:rPr>
          <w:rFonts w:ascii="宋体" w:hAnsi="宋体" w:cs="宋体"/>
          <w:color w:val="000000"/>
          <w:spacing w:val="-10"/>
          <w:w w:val="100"/>
          <w:position w:val="0"/>
          <w:sz w:val="21"/>
          <w:u w:val="none"/>
        </w:rPr>
        <w:t>防爆叉车的铭牌及警告牌内容至少包括制造单位名称、产品名称、型号、主参数（额度起重量）、</w:t>
      </w:r>
    </w:p>
    <w:p>
      <w:pPr>
        <w:spacing w:before="0" w:after="0" w:line="312" w:lineRule="exact"/>
        <w:ind w:left="60" w:firstLine="0"/>
        <w:jc w:val="left"/>
      </w:pPr>
      <w:r>
        <w:rPr>
          <w:rFonts w:ascii="宋体" w:hAnsi="宋体" w:cs="宋体"/>
          <w:color w:val="000000"/>
          <w:spacing w:val="-3"/>
          <w:w w:val="100"/>
          <w:position w:val="0"/>
          <w:sz w:val="21"/>
          <w:u w:val="none"/>
        </w:rPr>
        <w:t>产品编号、制造日期、许可证编号、特种设备代码等信息。在车辆的明显部位上应设置和车辆体积大小</w:t>
      </w:r>
    </w:p>
    <w:p>
      <w:pPr>
        <w:spacing w:before="0" w:after="0" w:line="312" w:lineRule="exact"/>
        <w:ind w:left="60" w:firstLine="0"/>
        <w:jc w:val="left"/>
      </w:pPr>
      <w:r>
        <w:rPr>
          <w:rFonts w:ascii="宋体" w:hAnsi="宋体" w:cs="宋体"/>
          <w:color w:val="000000"/>
          <w:spacing w:val="-2"/>
          <w:w w:val="100"/>
          <w:position w:val="0"/>
          <w:sz w:val="21"/>
          <w:u w:val="none"/>
        </w:rPr>
        <w:t>相适合的永久性的“</w:t>
      </w:r>
      <w:r>
        <w:rPr>
          <w:rFonts w:ascii="宋体" w:hAnsi="宋体" w:cs="宋体"/>
          <w:color w:val="000000"/>
          <w:spacing w:val="-1"/>
          <w:w w:val="100"/>
          <w:position w:val="0"/>
          <w:sz w:val="21"/>
          <w:u w:val="none"/>
        </w:rPr>
        <w:t>Ex</w:t>
      </w:r>
      <w:r>
        <w:rPr>
          <w:rFonts w:ascii="宋体" w:hAnsi="宋体" w:cs="宋体"/>
          <w:color w:val="000000"/>
          <w:spacing w:val="-3"/>
          <w:w w:val="100"/>
          <w:position w:val="0"/>
          <w:sz w:val="21"/>
          <w:u w:val="none"/>
        </w:rPr>
        <w:t>”标志，在铭牌中应当同时标注防爆等级等信息。同时，应当在铭牌上注明“本</w:t>
      </w:r>
    </w:p>
    <w:p>
      <w:pPr>
        <w:spacing w:before="0" w:after="0" w:line="312" w:lineRule="exact"/>
        <w:ind w:left="60" w:firstLine="0"/>
        <w:jc w:val="left"/>
      </w:pPr>
      <w:r>
        <w:rPr>
          <w:rFonts w:ascii="宋体" w:hAnsi="宋体" w:cs="宋体"/>
          <w:color w:val="000000"/>
          <w:spacing w:val="-5"/>
          <w:w w:val="100"/>
          <w:position w:val="0"/>
          <w:sz w:val="21"/>
          <w:u w:val="none"/>
        </w:rPr>
        <w:t>车仅限在工厂厂区使用”（标注应当醒目，采用黑体，字高不小于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5mm</w:t>
      </w:r>
      <w:r>
        <w:rPr>
          <w:rFonts w:ascii="宋体" w:hAnsi="宋体" w:cs="宋体"/>
          <w:color w:val="000000"/>
          <w:spacing w:val="-8"/>
          <w:w w:val="100"/>
          <w:position w:val="0"/>
          <w:sz w:val="21"/>
          <w:u w:val="none"/>
        </w:rPr>
        <w:t>）。警告牌应当标出“危险场所，</w:t>
      </w:r>
    </w:p>
    <w:p>
      <w:pPr>
        <w:spacing w:before="0" w:after="0" w:line="312" w:lineRule="exact"/>
        <w:ind w:left="60" w:firstLine="0"/>
        <w:jc w:val="left"/>
      </w:pPr>
      <w:r>
        <w:rPr>
          <w:rFonts w:ascii="宋体" w:hAnsi="宋体" w:cs="宋体"/>
          <w:color w:val="000000"/>
          <w:spacing w:val="0"/>
          <w:w w:val="100"/>
          <w:position w:val="0"/>
          <w:sz w:val="21"/>
          <w:u w:val="none"/>
        </w:rPr>
        <w:t>严禁打开！”字样。</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5.5.3</w:t>
      </w:r>
      <w:r>
        <w:rPr>
          <w:rFonts w:cs="Calibri"/>
          <w:spacing w:val="0"/>
          <w:w w:val="100"/>
        </w:rPr>
        <w:tab/>
      </w:r>
      <w:r>
        <w:rPr>
          <w:rFonts w:ascii="宋体" w:hAnsi="宋体" w:cs="宋体"/>
          <w:color w:val="000000"/>
          <w:spacing w:val="0"/>
          <w:w w:val="100"/>
          <w:position w:val="0"/>
          <w:sz w:val="21"/>
          <w:u w:val="none"/>
        </w:rPr>
        <w:t>改造的防爆叉车设备原铭牌不变，同时增加新的场车铭牌，表明改造单位、改造日期、许可证</w:t>
      </w:r>
    </w:p>
    <w:p>
      <w:pPr>
        <w:spacing w:before="0" w:after="0" w:line="312" w:lineRule="exact"/>
        <w:ind w:left="60" w:firstLine="0"/>
        <w:jc w:val="left"/>
      </w:pPr>
      <w:r>
        <w:rPr>
          <w:rFonts w:ascii="宋体" w:hAnsi="宋体" w:cs="宋体"/>
          <w:color w:val="000000"/>
          <w:spacing w:val="0"/>
          <w:w w:val="100"/>
          <w:position w:val="0"/>
          <w:sz w:val="21"/>
          <w:u w:val="none"/>
        </w:rPr>
        <w:t>编号及相关变化的信息。</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动力系统检查</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5.6.1</w:t>
      </w:r>
      <w:r>
        <w:rPr>
          <w:rFonts w:cs="Calibri"/>
          <w:spacing w:val="0"/>
          <w:w w:val="100"/>
        </w:rPr>
        <w:tab/>
      </w:r>
      <w:r>
        <w:rPr>
          <w:rFonts w:ascii="宋体" w:eastAsia="宋体" w:hAnsi="宋体" w:cs="宋体"/>
          <w:color w:val="000000"/>
          <w:spacing w:val="1"/>
          <w:w w:val="100"/>
          <w:position w:val="0"/>
          <w:sz w:val="21"/>
          <w:u w:val="none"/>
        </w:rPr>
        <w:t>内燃防爆叉车应当选用满足有关排放标准要求的发动机；发动机的安装应牢固可靠</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连接部位</w:t>
      </w:r>
    </w:p>
    <w:p>
      <w:pPr>
        <w:spacing w:before="0" w:after="0" w:line="312" w:lineRule="exact"/>
        <w:ind w:left="60" w:firstLine="0"/>
        <w:jc w:val="left"/>
      </w:pPr>
      <w:r>
        <w:rPr>
          <w:rFonts w:ascii="宋体" w:hAnsi="宋体" w:cs="宋体"/>
          <w:color w:val="000000"/>
          <w:spacing w:val="0"/>
          <w:w w:val="100"/>
          <w:position w:val="0"/>
          <w:sz w:val="21"/>
          <w:u w:val="none"/>
        </w:rPr>
        <w:t>无松动、脱落、损坏。</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5.6.2</w:t>
      </w:r>
      <w:r>
        <w:rPr>
          <w:rFonts w:cs="Calibri"/>
          <w:spacing w:val="0"/>
          <w:w w:val="100"/>
        </w:rPr>
        <w:tab/>
      </w:r>
      <w:r>
        <w:rPr>
          <w:rFonts w:ascii="宋体" w:hAnsi="宋体" w:cs="宋体"/>
          <w:color w:val="000000"/>
          <w:spacing w:val="0"/>
          <w:w w:val="100"/>
          <w:position w:val="0"/>
          <w:sz w:val="21"/>
          <w:u w:val="none"/>
        </w:rPr>
        <w:t>发动机动力性能良好，运转平稳，没有异响，能正常启动、熄火。</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5.6.3</w:t>
      </w:r>
      <w:r>
        <w:rPr>
          <w:rFonts w:cs="Calibri"/>
          <w:spacing w:val="0"/>
          <w:w w:val="100"/>
        </w:rPr>
        <w:tab/>
      </w:r>
      <w:r>
        <w:rPr>
          <w:rFonts w:ascii="宋体" w:eastAsia="宋体" w:hAnsi="宋体" w:cs="宋体"/>
          <w:color w:val="000000"/>
          <w:spacing w:val="0"/>
          <w:w w:val="100"/>
          <w:position w:val="0"/>
          <w:sz w:val="21"/>
          <w:u w:val="none"/>
        </w:rPr>
        <w:t>防爆电动机表面温度不应超过使用场所内爆炸性物质的最低引燃温度，外壳防尘应符合相应防</w:t>
      </w:r>
    </w:p>
    <w:p>
      <w:pPr>
        <w:spacing w:before="0" w:after="0" w:line="312" w:lineRule="exact"/>
        <w:ind w:left="60" w:firstLine="0"/>
        <w:jc w:val="left"/>
      </w:pPr>
      <w:r>
        <w:rPr>
          <w:rFonts w:ascii="宋体" w:hAnsi="宋体" w:cs="宋体"/>
          <w:color w:val="000000"/>
          <w:spacing w:val="0"/>
          <w:w w:val="100"/>
          <w:position w:val="0"/>
          <w:sz w:val="21"/>
          <w:u w:val="none"/>
        </w:rPr>
        <w:t>爆级别要求，运转应平稳无异响。</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5.6.4</w:t>
      </w:r>
      <w:r>
        <w:rPr>
          <w:rFonts w:cs="Calibri"/>
          <w:spacing w:val="-3"/>
          <w:w w:val="100"/>
        </w:rPr>
        <w:tab/>
      </w:r>
      <w:r>
        <w:rPr>
          <w:rFonts w:ascii="宋体" w:hAnsi="宋体" w:cs="宋体"/>
          <w:color w:val="000000"/>
          <w:spacing w:val="0"/>
          <w:w w:val="100"/>
          <w:position w:val="0"/>
          <w:sz w:val="21"/>
          <w:u w:val="none"/>
        </w:rPr>
        <w:t>点火系、燃料系、润滑系、冷却系应性能良好，工作正常，安装牢固；线路、管路无漏电、漏</w:t>
      </w:r>
    </w:p>
    <w:p>
      <w:pPr>
        <w:spacing w:before="0" w:after="0" w:line="312" w:lineRule="exact"/>
        <w:ind w:left="60" w:firstLine="0"/>
        <w:jc w:val="left"/>
      </w:pPr>
      <w:r>
        <w:rPr>
          <w:rFonts w:ascii="宋体" w:hAnsi="宋体" w:cs="宋体"/>
          <w:color w:val="000000"/>
          <w:spacing w:val="0"/>
          <w:w w:val="100"/>
          <w:position w:val="0"/>
          <w:sz w:val="21"/>
          <w:u w:val="none"/>
        </w:rPr>
        <w:t>水、漏油现象。冷却系统中能防止火花产生和静电积聚。</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5.6.5</w:t>
      </w:r>
      <w:r>
        <w:rPr>
          <w:rFonts w:cs="Calibri"/>
          <w:spacing w:val="0"/>
          <w:w w:val="100"/>
        </w:rPr>
        <w:tab/>
      </w:r>
      <w:r>
        <w:rPr>
          <w:rFonts w:ascii="宋体" w:hAnsi="宋体" w:cs="宋体"/>
          <w:color w:val="000000"/>
          <w:spacing w:val="0"/>
          <w:w w:val="100"/>
          <w:position w:val="0"/>
          <w:sz w:val="21"/>
          <w:u w:val="none"/>
        </w:rPr>
        <w:t>内燃防爆叉车排气系统中应装排气阻焰器，排气火花捕捉器。</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5.6.6</w:t>
      </w:r>
      <w:r>
        <w:rPr>
          <w:rFonts w:cs="Calibri"/>
          <w:spacing w:val="0"/>
          <w:w w:val="100"/>
        </w:rPr>
        <w:tab/>
      </w:r>
      <w:r>
        <w:rPr>
          <w:rFonts w:ascii="宋体" w:eastAsia="宋体" w:hAnsi="宋体" w:cs="宋体"/>
          <w:color w:val="000000"/>
          <w:spacing w:val="0"/>
          <w:w w:val="100"/>
          <w:position w:val="0"/>
          <w:sz w:val="21"/>
          <w:u w:val="none"/>
        </w:rPr>
        <w:t>起动系统应置于隔爆箱内部，隔爆面应符合附录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防爆要求。</w:t>
      </w:r>
    </w:p>
    <w:p>
      <w:pPr>
        <w:spacing w:before="0" w:after="0" w:line="240" w:lineRule="exact"/>
        <w:ind w:left="60" w:firstLine="0"/>
      </w:pPr>
    </w:p>
    <w:p>
      <w:pPr>
        <w:spacing w:before="0" w:after="0" w:line="229" w:lineRule="exact"/>
        <w:ind w:left="60" w:firstLine="526"/>
        <w:jc w:val="left"/>
      </w:pPr>
      <w:r>
        <w:rPr>
          <w:rFonts w:ascii="黑体" w:eastAsia="黑体" w:hAnsi="黑体" w:cs="黑体"/>
          <w:color w:val="000000"/>
          <w:spacing w:val="0"/>
          <w:w w:val="100"/>
          <w:position w:val="0"/>
          <w:sz w:val="21"/>
          <w:u w:val="none"/>
        </w:rPr>
        <w:t>传动系统检查</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5.7.1</w:t>
      </w:r>
      <w:r>
        <w:rPr>
          <w:rFonts w:cs="Calibri"/>
          <w:spacing w:val="0"/>
          <w:w w:val="100"/>
        </w:rPr>
        <w:tab/>
      </w:r>
      <w:r>
        <w:rPr>
          <w:rFonts w:ascii="宋体" w:hAnsi="宋体" w:cs="宋体"/>
          <w:color w:val="000000"/>
          <w:spacing w:val="0"/>
          <w:w w:val="100"/>
          <w:position w:val="0"/>
          <w:sz w:val="21"/>
          <w:u w:val="none"/>
        </w:rPr>
        <w:t>内燃防爆叉车液压离合器、变矩器、静压传动的油冷式离合器的表面温度不应超过车辆使用场</w:t>
      </w:r>
    </w:p>
    <w:p>
      <w:pPr>
        <w:spacing w:before="0" w:after="0" w:line="312" w:lineRule="exact"/>
        <w:ind w:left="60" w:firstLine="0"/>
        <w:jc w:val="left"/>
      </w:pPr>
      <w:r>
        <w:rPr>
          <w:rFonts w:ascii="宋体" w:hAnsi="宋体" w:cs="宋体"/>
          <w:color w:val="000000"/>
          <w:spacing w:val="0"/>
          <w:w w:val="100"/>
          <w:position w:val="0"/>
          <w:sz w:val="21"/>
          <w:u w:val="none"/>
        </w:rPr>
        <w:t>所内爆炸性物资的最低引燃温度；摩擦离合器应采用油浸保护或隔爆外壳保护。</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5.7.2</w:t>
      </w:r>
      <w:r>
        <w:rPr>
          <w:rFonts w:cs="Calibri"/>
          <w:spacing w:val="0"/>
          <w:w w:val="100"/>
        </w:rPr>
        <w:tab/>
      </w:r>
      <w:r>
        <w:rPr>
          <w:rFonts w:ascii="宋体" w:hAnsi="宋体" w:cs="宋体"/>
          <w:color w:val="000000"/>
          <w:spacing w:val="-3"/>
          <w:w w:val="100"/>
          <w:position w:val="0"/>
          <w:sz w:val="21"/>
          <w:u w:val="none"/>
        </w:rPr>
        <w:t>离合器分离彻底、结合平稳、工作时无异响、抖动和不正常打滑等现象；</w:t>
      </w:r>
      <w:r>
        <w:rPr>
          <w:rFonts w:ascii="Calibri" w:hAnsi="Calibri" w:cs="Calibri"/>
          <w:color w:val="000000"/>
          <w:spacing w:val="0"/>
          <w:w w:val="167"/>
          <w:sz w:val="21"/>
          <w:u w:val="none"/>
        </w:rPr>
        <w:t> </w:t>
      </w:r>
      <w:r>
        <w:rPr>
          <w:rFonts w:ascii="宋体" w:eastAsia="宋体" w:hAnsi="宋体" w:cs="宋体"/>
          <w:color w:val="000000"/>
          <w:spacing w:val="0"/>
          <w:w w:val="100"/>
          <w:position w:val="0"/>
          <w:sz w:val="21"/>
          <w:u w:val="none"/>
        </w:rPr>
        <w:t>离合器踏板的自由行</w:t>
      </w:r>
    </w:p>
    <w:p>
      <w:pPr>
        <w:spacing w:before="0" w:after="0" w:line="312" w:lineRule="exact"/>
        <w:ind w:left="60" w:firstLine="0"/>
        <w:jc w:val="left"/>
      </w:pPr>
      <w:r>
        <w:rPr>
          <w:rFonts w:ascii="宋体" w:hAnsi="宋体" w:cs="宋体"/>
          <w:color w:val="000000"/>
          <w:spacing w:val="0"/>
          <w:w w:val="100"/>
          <w:position w:val="0"/>
          <w:sz w:val="21"/>
          <w:u w:val="none"/>
        </w:rPr>
        <w:t>程离合器踏板的自由行程应符合原出厂的技术规定。</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5.7.3</w:t>
      </w:r>
      <w:r>
        <w:rPr>
          <w:rFonts w:cs="Calibri"/>
          <w:spacing w:val="0"/>
          <w:w w:val="100"/>
        </w:rPr>
        <w:tab/>
      </w:r>
      <w:r>
        <w:rPr>
          <w:rFonts w:ascii="宋体" w:hAnsi="宋体" w:cs="宋体"/>
          <w:color w:val="000000"/>
          <w:spacing w:val="0"/>
          <w:w w:val="100"/>
          <w:position w:val="0"/>
          <w:sz w:val="21"/>
          <w:u w:val="none"/>
        </w:rPr>
        <w:t>变矩器运行不应有异常声响，变速箱不应有自动跳档、串档现象，运行正常，倒档可靠。</w:t>
      </w:r>
    </w:p>
    <w:p>
      <w:pPr>
        <w:spacing w:before="0" w:after="0" w:line="240" w:lineRule="exact"/>
        <w:ind w:left="60" w:firstLine="0"/>
      </w:pPr>
    </w:p>
    <w:p>
      <w:pPr>
        <w:spacing w:before="0" w:after="0" w:line="298" w:lineRule="exact"/>
        <w:ind w:left="60" w:firstLine="197"/>
        <w:jc w:val="left"/>
        <w:sectPr>
          <w:type w:val="continuous"/>
          <w:pgSz w:w="11906" w:h="16838"/>
          <w:pgMar w:top="1101" w:right="713" w:bottom="861" w:left="1073" w:header="0" w:footer="0" w:gutter="0"/>
          <w:pgNumType w:start="32"/>
          <w:cols w:num="1" w:space="720"/>
        </w:sectPr>
      </w:pPr>
      <w:r>
        <w:rPr>
          <w:rFonts w:ascii="宋体" w:hAnsi="宋体" w:cs="宋体"/>
          <w:color w:val="000000"/>
          <w:spacing w:val="-1"/>
          <w:w w:val="100"/>
          <w:position w:val="0"/>
          <w:sz w:val="18"/>
          <w:u w:val="none"/>
        </w:rPr>
        <w:t>6</w:t>
      </w:r>
    </w:p>
    <w:p>
      <w:pPr>
        <w:spacing w:before="0" w:after="0" w:line="240" w:lineRule="exact"/>
      </w:pPr>
      <w:bookmarkStart w:id="11" w:name="11"/>
      <w:bookmarkEnd w:id="11"/>
    </w:p>
    <w:p>
      <w:pPr>
        <w:spacing w:before="0" w:after="0" w:line="319" w:lineRule="exact"/>
        <w:ind w:left="456" w:firstLine="7571"/>
        <w:jc w:val="left"/>
      </w:pPr>
      <w:r>
        <w:pict>
          <v:shape id="imagerId165" o:spid="_x0000_s1076" type="#_x0000_t75" style="width:17pt;height:10pt;margin-top:154pt;margin-left:70pt;mso-height-relative:page;mso-position-horizontal-relative:page;mso-position-vertical-relative:page;mso-width-relative:page;position:absolute;z-index:-251606016" coordsize="21600,21600" filled="f">
            <v:imagedata r:id="rId54" o:title=""/>
            <o:lock v:ext="edit" aspectratio="t"/>
          </v:shape>
        </w:pict>
      </w:r>
      <w:r>
        <w:pict>
          <v:shape id="imagerId166" o:spid="_x0000_s1077" type="#_x0000_t75" style="width:17pt;height:9pt;margin-top:326pt;margin-left:70pt;mso-height-relative:page;mso-position-horizontal-relative:page;mso-position-vertical-relative:page;mso-width-relative:page;position:absolute;z-index:-251604992" coordsize="21600,21600" filled="f">
            <v:imagedata r:id="rId55" o:title=""/>
            <o:lock v:ext="edit" aspectratio="t"/>
          </v:shape>
        </w:pict>
      </w:r>
      <w:r>
        <w:pict>
          <v:shape id="imagerId167" o:spid="_x0000_s1078" type="#_x0000_t75" style="width:23pt;height:10pt;margin-top:450pt;margin-left:70pt;mso-height-relative:page;mso-position-horizontal-relative:page;mso-position-vertical-relative:page;mso-width-relative:page;position:absolute;z-index:-251603968" coordsize="21600,21600" filled="f">
            <v:imagedata r:id="rId56" o:title=""/>
            <o:lock v:ext="edit" aspectratio="t"/>
          </v:shape>
        </w:pict>
      </w:r>
      <w:r>
        <w:pict>
          <v:shape id="imagerId168" o:spid="_x0000_s1079" type="#_x0000_t75" style="width:21pt;height:10pt;margin-top:606pt;margin-left:70pt;mso-height-relative:page;mso-position-horizontal-relative:page;mso-position-vertical-relative:page;mso-width-relative:page;position:absolute;z-index:-251602944" coordsize="21600,21600" filled="f">
            <v:imagedata r:id="rId57" o:title=""/>
            <o:lock v:ext="edit" aspectratio="t"/>
          </v:shape>
        </w:pict>
      </w:r>
      <w:r>
        <w:pict>
          <v:shape id="imagerId169" o:spid="_x0000_s1080" type="#_x0000_t75" style="width:23pt;height:10pt;margin-top:747pt;margin-left:70pt;mso-height-relative:page;mso-position-horizontal-relative:page;mso-position-vertical-relative:page;mso-width-relative:page;position:absolute;z-index:-251601920" coordsize="21600,21600" filled="f">
            <v:imagedata r:id="rId58" o:title=""/>
            <o:lock v:ext="edit" aspectratio="t"/>
          </v:shape>
        </w:pict>
      </w:r>
      <w:r>
        <w:rPr>
          <w:rFonts w:ascii="黑体" w:hAnsi="黑体" w:cs="黑体"/>
          <w:color w:val="000000"/>
          <w:spacing w:val="0"/>
          <w:w w:val="100"/>
          <w:position w:val="0"/>
          <w:sz w:val="21"/>
          <w:u w:val="none"/>
        </w:rPr>
        <w:t>DB34/T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1716</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56" w:firstLine="7571"/>
      </w:pPr>
    </w:p>
    <w:p>
      <w:pPr>
        <w:tabs>
          <w:tab w:val="left" w:pos="1190"/>
        </w:tabs>
        <w:spacing w:before="0" w:after="0" w:line="291" w:lineRule="exact"/>
        <w:ind w:left="456" w:firstLine="0"/>
        <w:jc w:val="left"/>
      </w:pPr>
      <w:r>
        <w:rPr>
          <w:rFonts w:ascii="黑体" w:hAnsi="黑体" w:cs="黑体"/>
          <w:color w:val="000000"/>
          <w:spacing w:val="0"/>
          <w:w w:val="100"/>
          <w:position w:val="0"/>
          <w:sz w:val="21"/>
          <w:u w:val="none"/>
        </w:rPr>
        <w:t>5.7.4</w:t>
      </w:r>
      <w:r>
        <w:rPr>
          <w:rFonts w:cs="Calibri"/>
          <w:spacing w:val="0"/>
          <w:w w:val="100"/>
        </w:rPr>
        <w:tab/>
      </w:r>
      <w:r>
        <w:rPr>
          <w:rFonts w:ascii="宋体" w:hAnsi="宋体" w:cs="宋体"/>
          <w:color w:val="000000"/>
          <w:spacing w:val="0"/>
          <w:w w:val="100"/>
          <w:position w:val="0"/>
          <w:sz w:val="21"/>
          <w:u w:val="none"/>
        </w:rPr>
        <w:t>传动系统其他零部件的连接合适、运转平稳，行使中无抖动、无异响。</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5.7.5</w:t>
      </w:r>
      <w:r>
        <w:rPr>
          <w:rFonts w:cs="Calibri"/>
          <w:spacing w:val="0"/>
          <w:w w:val="100"/>
        </w:rPr>
        <w:tab/>
      </w:r>
      <w:r>
        <w:rPr>
          <w:rFonts w:ascii="宋体" w:hAnsi="宋体" w:cs="宋体"/>
          <w:color w:val="000000"/>
          <w:spacing w:val="0"/>
          <w:w w:val="100"/>
          <w:position w:val="0"/>
          <w:sz w:val="21"/>
          <w:u w:val="none"/>
        </w:rPr>
        <w:t>液力传动车辆必须处于空挡位置时，才能启动发动机。</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5.7.6</w:t>
      </w:r>
      <w:r>
        <w:rPr>
          <w:rFonts w:cs="Calibri"/>
          <w:spacing w:val="0"/>
          <w:w w:val="100"/>
        </w:rPr>
        <w:tab/>
      </w:r>
      <w:r>
        <w:rPr>
          <w:rFonts w:ascii="宋体" w:hAnsi="宋体" w:cs="宋体"/>
          <w:color w:val="000000"/>
          <w:spacing w:val="0"/>
          <w:w w:val="100"/>
          <w:position w:val="0"/>
          <w:sz w:val="21"/>
          <w:u w:val="none"/>
        </w:rPr>
        <w:t>静压传动叉车只有处于制动状态时才能启动发动机。</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行驶系统检查</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5.8.1</w:t>
      </w:r>
      <w:r>
        <w:rPr>
          <w:rFonts w:cs="Calibri"/>
          <w:spacing w:val="0"/>
          <w:w w:val="100"/>
        </w:rPr>
        <w:tab/>
      </w:r>
      <w:r>
        <w:rPr>
          <w:rFonts w:ascii="宋体" w:hAnsi="宋体" w:cs="宋体"/>
          <w:color w:val="000000"/>
          <w:spacing w:val="0"/>
          <w:w w:val="100"/>
          <w:position w:val="0"/>
          <w:sz w:val="21"/>
          <w:u w:val="none"/>
        </w:rPr>
        <w:t>车架与前后桥无变形、裂纹，前后桥与车架的连接应紧固。</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5.8.2</w:t>
      </w:r>
      <w:r>
        <w:rPr>
          <w:rFonts w:cs="Calibri"/>
          <w:spacing w:val="0"/>
          <w:w w:val="100"/>
        </w:rPr>
        <w:tab/>
      </w:r>
      <w:r>
        <w:rPr>
          <w:rFonts w:ascii="宋体" w:eastAsia="宋体" w:hAnsi="宋体" w:cs="宋体"/>
          <w:color w:val="000000"/>
          <w:spacing w:val="0"/>
          <w:w w:val="100"/>
          <w:position w:val="0"/>
          <w:sz w:val="21"/>
          <w:u w:val="none"/>
        </w:rPr>
        <w:t>同一轴上的轮胎规格和花纹应当相同，轮胎规格符合设计要求，轮胎外表面应有导电标记；轮</w:t>
      </w:r>
    </w:p>
    <w:p>
      <w:pPr>
        <w:spacing w:before="0" w:after="0" w:line="312" w:lineRule="exact"/>
        <w:ind w:left="456" w:firstLine="0"/>
        <w:jc w:val="left"/>
      </w:pPr>
      <w:r>
        <w:rPr>
          <w:rFonts w:ascii="宋体" w:eastAsia="宋体" w:hAnsi="宋体" w:cs="宋体"/>
          <w:color w:val="000000"/>
          <w:spacing w:val="0"/>
          <w:w w:val="100"/>
          <w:position w:val="0"/>
          <w:sz w:val="21"/>
          <w:u w:val="none"/>
        </w:rPr>
        <w:t>胎气压和承受的负荷应不大于该轮胎的额定规定值；充气轮胎胎冠花纹深度不得小于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3.2mm,</w:t>
      </w:r>
      <w:r>
        <w:rPr>
          <w:rFonts w:ascii="宋体" w:eastAsia="宋体" w:hAnsi="宋体" w:cs="宋体"/>
          <w:color w:val="000000"/>
          <w:spacing w:val="0"/>
          <w:w w:val="100"/>
          <w:position w:val="0"/>
          <w:sz w:val="21"/>
          <w:u w:val="none"/>
        </w:rPr>
        <w:t>轮胎胎面</w:t>
      </w:r>
    </w:p>
    <w:p>
      <w:pPr>
        <w:spacing w:before="0" w:after="0" w:line="312" w:lineRule="exact"/>
        <w:ind w:left="456" w:firstLine="0"/>
        <w:jc w:val="left"/>
      </w:pPr>
      <w:r>
        <w:rPr>
          <w:rFonts w:ascii="宋体" w:eastAsia="宋体" w:hAnsi="宋体" w:cs="宋体"/>
          <w:color w:val="000000"/>
          <w:spacing w:val="0"/>
          <w:w w:val="100"/>
          <w:position w:val="0"/>
          <w:sz w:val="21"/>
          <w:u w:val="none"/>
        </w:rPr>
        <w:t>和胎壁不得有长度超过</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25mm</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深度足以暴露出轮胎帘布层的破裂和割伤；采用对开式轮辋并且装有充气</w:t>
      </w:r>
    </w:p>
    <w:p>
      <w:pPr>
        <w:spacing w:before="0" w:after="0" w:line="312" w:lineRule="exact"/>
        <w:ind w:left="456" w:firstLine="0"/>
        <w:jc w:val="left"/>
      </w:pPr>
      <w:r>
        <w:rPr>
          <w:rFonts w:ascii="宋体" w:hAnsi="宋体" w:cs="宋体"/>
          <w:color w:val="000000"/>
          <w:spacing w:val="0"/>
          <w:w w:val="100"/>
          <w:position w:val="0"/>
          <w:sz w:val="21"/>
          <w:u w:val="none"/>
        </w:rPr>
        <w:t>轮胎时，结构上应保证车轮从车上拆下后，方能松动轮辋螺栓。</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5.8.3</w:t>
      </w:r>
      <w:r>
        <w:rPr>
          <w:rFonts w:cs="Calibri"/>
          <w:spacing w:val="0"/>
          <w:w w:val="100"/>
        </w:rPr>
        <w:tab/>
      </w:r>
      <w:r>
        <w:rPr>
          <w:rFonts w:ascii="宋体" w:hAnsi="宋体" w:cs="宋体"/>
          <w:color w:val="000000"/>
          <w:spacing w:val="0"/>
          <w:w w:val="100"/>
          <w:position w:val="0"/>
          <w:sz w:val="21"/>
          <w:u w:val="none"/>
        </w:rPr>
        <w:t>Gb</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及</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Dc</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车辆轮胎表面电阻在相对湿度</w:t>
      </w:r>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50%</w:t>
      </w:r>
      <w:r>
        <w:rPr>
          <w:rFonts w:ascii="宋体" w:eastAsia="宋体" w:hAnsi="宋体" w:cs="宋体"/>
          <w:color w:val="000000"/>
          <w:spacing w:val="0"/>
          <w:w w:val="100"/>
          <w:position w:val="0"/>
          <w:sz w:val="21"/>
          <w:u w:val="none"/>
        </w:rPr>
        <w:t>时不应大于</w:t>
      </w:r>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1GΩ或者在相对湿度为</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30%</w:t>
      </w:r>
      <w:r>
        <w:rPr>
          <w:rFonts w:ascii="宋体" w:eastAsia="宋体" w:hAnsi="宋体" w:cs="宋体"/>
          <w:color w:val="000000"/>
          <w:spacing w:val="0"/>
          <w:w w:val="100"/>
          <w:position w:val="0"/>
          <w:sz w:val="21"/>
          <w:u w:val="none"/>
        </w:rPr>
        <w:t>时不应大于</w:t>
      </w:r>
    </w:p>
    <w:p>
      <w:pPr>
        <w:spacing w:before="0" w:after="0" w:line="312" w:lineRule="exact"/>
        <w:ind w:left="456" w:firstLine="0"/>
        <w:jc w:val="left"/>
      </w:pPr>
      <w:r>
        <w:rPr>
          <w:rFonts w:ascii="宋体" w:hAnsi="宋体" w:cs="宋体"/>
          <w:color w:val="000000"/>
          <w:spacing w:val="0"/>
          <w:w w:val="100"/>
          <w:position w:val="0"/>
          <w:sz w:val="21"/>
          <w:u w:val="none"/>
        </w:rPr>
        <w:t>110GΩ。轮胎作为车体接地使用时，轮胎应满足车辆接地电阻小于</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1M</w:t>
      </w:r>
      <w:r>
        <w:rPr>
          <w:rFonts w:ascii="宋体" w:hAnsi="宋体" w:cs="宋体"/>
          <w:color w:val="000000"/>
          <w:spacing w:val="0"/>
          <w:w w:val="100"/>
          <w:position w:val="0"/>
          <w:sz w:val="21"/>
          <w:u w:val="none"/>
        </w:rPr>
        <w:t>Ω的要求，车辆行驶速度小于或</w:t>
      </w:r>
    </w:p>
    <w:p>
      <w:pPr>
        <w:spacing w:before="0" w:after="0" w:line="313" w:lineRule="exact"/>
        <w:ind w:left="456" w:firstLine="0"/>
        <w:jc w:val="left"/>
      </w:pPr>
      <w:r>
        <w:rPr>
          <w:rFonts w:ascii="宋体" w:eastAsia="宋体" w:hAnsi="宋体" w:cs="宋体"/>
          <w:color w:val="000000"/>
          <w:spacing w:val="0"/>
          <w:w w:val="100"/>
          <w:position w:val="0"/>
          <w:sz w:val="21"/>
          <w:u w:val="none"/>
        </w:rPr>
        <w:t>等于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6km/h</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的不作要求。</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5.8.4</w:t>
      </w:r>
      <w:r>
        <w:rPr>
          <w:rFonts w:cs="Calibri"/>
          <w:spacing w:val="0"/>
          <w:w w:val="100"/>
        </w:rPr>
        <w:tab/>
      </w:r>
      <w:r>
        <w:rPr>
          <w:rFonts w:ascii="宋体" w:hAnsi="宋体" w:cs="宋体"/>
          <w:color w:val="000000"/>
          <w:spacing w:val="0"/>
          <w:w w:val="100"/>
          <w:position w:val="0"/>
          <w:sz w:val="21"/>
          <w:u w:val="none"/>
        </w:rPr>
        <w:t>轮辋完整性及安装轮辋应完整无损，螺栓、螺母应齐全紧固。</w:t>
      </w:r>
    </w:p>
    <w:p>
      <w:pPr>
        <w:spacing w:before="0" w:after="0" w:line="240" w:lineRule="exact"/>
        <w:ind w:left="456" w:firstLine="0"/>
      </w:pPr>
    </w:p>
    <w:p>
      <w:pPr>
        <w:spacing w:before="0" w:after="0" w:line="228" w:lineRule="exact"/>
        <w:ind w:left="456" w:firstLine="526"/>
        <w:jc w:val="left"/>
      </w:pPr>
      <w:r>
        <w:rPr>
          <w:rFonts w:ascii="黑体" w:eastAsia="黑体" w:hAnsi="黑体" w:cs="黑体"/>
          <w:color w:val="000000"/>
          <w:spacing w:val="0"/>
          <w:w w:val="100"/>
          <w:position w:val="0"/>
          <w:sz w:val="21"/>
          <w:u w:val="none"/>
        </w:rPr>
        <w:t>转向与操纵系统检查</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5.9.1</w:t>
      </w:r>
      <w:r>
        <w:rPr>
          <w:rFonts w:cs="Calibri"/>
          <w:spacing w:val="9"/>
          <w:w w:val="100"/>
        </w:rPr>
        <w:tab/>
      </w:r>
      <w:r>
        <w:rPr>
          <w:rFonts w:ascii="宋体" w:hAnsi="宋体" w:cs="宋体"/>
          <w:color w:val="000000"/>
          <w:spacing w:val="0"/>
          <w:w w:val="100"/>
          <w:position w:val="0"/>
          <w:sz w:val="21"/>
          <w:u w:val="none"/>
        </w:rPr>
        <w:t>转向性能转向系统应当转动灵活、操纵方便、无卡滞，在任意转向操作时不得与其他部件有干</w:t>
      </w:r>
    </w:p>
    <w:p>
      <w:pPr>
        <w:spacing w:before="0" w:after="0" w:line="312" w:lineRule="exact"/>
        <w:ind w:left="456" w:firstLine="0"/>
        <w:jc w:val="left"/>
      </w:pPr>
      <w:r>
        <w:rPr>
          <w:rFonts w:ascii="宋体" w:hAnsi="宋体" w:cs="宋体"/>
          <w:color w:val="000000"/>
          <w:spacing w:val="0"/>
          <w:w w:val="100"/>
          <w:position w:val="0"/>
          <w:sz w:val="21"/>
          <w:u w:val="none"/>
        </w:rPr>
        <w:t>涉。</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5.9.2</w:t>
      </w:r>
      <w:r>
        <w:rPr>
          <w:rFonts w:cs="Calibri"/>
          <w:spacing w:val="23"/>
          <w:w w:val="100"/>
        </w:rPr>
        <w:tab/>
      </w:r>
      <w:r>
        <w:rPr>
          <w:rFonts w:ascii="宋体" w:eastAsia="宋体" w:hAnsi="宋体" w:cs="宋体"/>
          <w:color w:val="000000"/>
          <w:spacing w:val="0"/>
          <w:w w:val="100"/>
          <w:position w:val="0"/>
          <w:sz w:val="21"/>
          <w:u w:val="none"/>
        </w:rPr>
        <w:t>操作转向控制装置向前运行时，顺时针转动方向盘或者对转向控制装置的等同操作时，应当使</w:t>
      </w:r>
    </w:p>
    <w:p>
      <w:pPr>
        <w:spacing w:before="0" w:after="0" w:line="312" w:lineRule="exact"/>
        <w:ind w:left="456" w:firstLine="0"/>
        <w:jc w:val="left"/>
      </w:pPr>
      <w:r>
        <w:rPr>
          <w:rFonts w:ascii="宋体" w:hAnsi="宋体" w:cs="宋体"/>
          <w:color w:val="000000"/>
          <w:spacing w:val="0"/>
          <w:w w:val="100"/>
          <w:position w:val="0"/>
          <w:sz w:val="21"/>
          <w:u w:val="none"/>
        </w:rPr>
        <w:t>叉车右转。控制装置的动作应当和叉车的运动方向保持一致，并且被限制在叉车的轮廓内。</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5.9.3</w:t>
      </w:r>
      <w:r>
        <w:rPr>
          <w:rFonts w:cs="Calibri"/>
          <w:spacing w:val="0"/>
          <w:w w:val="100"/>
        </w:rPr>
        <w:tab/>
      </w:r>
      <w:r>
        <w:rPr>
          <w:rFonts w:ascii="宋体" w:hAnsi="宋体" w:cs="宋体"/>
          <w:color w:val="000000"/>
          <w:spacing w:val="0"/>
          <w:w w:val="100"/>
          <w:position w:val="0"/>
          <w:sz w:val="21"/>
          <w:u w:val="none"/>
        </w:rPr>
        <w:t>转向机构状况转向装置中的转向节及臂，转向横、直拉杆及球销不允许有裂纹、损伤。横、直</w:t>
      </w:r>
    </w:p>
    <w:p>
      <w:pPr>
        <w:spacing w:before="0" w:after="0" w:line="312" w:lineRule="exact"/>
        <w:ind w:left="456" w:firstLine="0"/>
        <w:jc w:val="left"/>
      </w:pPr>
      <w:r>
        <w:rPr>
          <w:rFonts w:ascii="宋体" w:hAnsi="宋体" w:cs="宋体"/>
          <w:color w:val="000000"/>
          <w:spacing w:val="0"/>
          <w:w w:val="100"/>
          <w:position w:val="0"/>
          <w:sz w:val="21"/>
          <w:u w:val="none"/>
        </w:rPr>
        <w:t>拉杆不允许拼焊，并且球销不应当松旷，转向轮定位值符合设计规定。</w:t>
      </w:r>
    </w:p>
    <w:p>
      <w:pPr>
        <w:spacing w:before="0" w:after="0" w:line="240" w:lineRule="exact"/>
        <w:ind w:left="456" w:firstLine="0"/>
      </w:pPr>
    </w:p>
    <w:p>
      <w:pPr>
        <w:spacing w:before="0" w:after="0" w:line="228" w:lineRule="exact"/>
        <w:ind w:left="456" w:firstLine="631"/>
        <w:jc w:val="left"/>
      </w:pPr>
      <w:r>
        <w:rPr>
          <w:rFonts w:ascii="黑体" w:eastAsia="黑体" w:hAnsi="黑体" w:cs="黑体"/>
          <w:color w:val="000000"/>
          <w:spacing w:val="0"/>
          <w:w w:val="100"/>
          <w:position w:val="0"/>
          <w:sz w:val="21"/>
          <w:u w:val="none"/>
        </w:rPr>
        <w:t>液压系统检查</w:t>
      </w:r>
    </w:p>
    <w:p>
      <w:pPr>
        <w:spacing w:before="0" w:after="0" w:line="240" w:lineRule="exact"/>
        <w:ind w:left="456" w:firstLine="631"/>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5.10.1</w:t>
      </w:r>
      <w:r>
        <w:rPr>
          <w:rFonts w:cs="Calibri"/>
          <w:spacing w:val="0"/>
          <w:w w:val="100"/>
        </w:rPr>
        <w:tab/>
      </w:r>
      <w:r>
        <w:rPr>
          <w:rFonts w:ascii="宋体" w:eastAsia="宋体" w:hAnsi="宋体" w:cs="宋体"/>
          <w:color w:val="000000"/>
          <w:spacing w:val="0"/>
          <w:w w:val="100"/>
          <w:position w:val="0"/>
          <w:sz w:val="21"/>
          <w:u w:val="none"/>
        </w:rPr>
        <w:t>防爆叉车液压管路布置与其他运动机件不应相互干涉</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5.10.2</w:t>
      </w:r>
      <w:r>
        <w:rPr>
          <w:rFonts w:cs="Calibri"/>
          <w:spacing w:val="8"/>
          <w:w w:val="100"/>
        </w:rPr>
        <w:tab/>
      </w:r>
      <w:r>
        <w:rPr>
          <w:rFonts w:ascii="宋体" w:hAnsi="宋体" w:cs="宋体"/>
          <w:color w:val="000000"/>
          <w:spacing w:val="-3"/>
          <w:w w:val="100"/>
          <w:position w:val="0"/>
          <w:sz w:val="21"/>
          <w:u w:val="none"/>
        </w:rPr>
        <w:t>系统应有良好的密封性能。作业时，固定接口不应有渗油，运动接口不应有漏油，各部位不应</w:t>
      </w:r>
    </w:p>
    <w:p>
      <w:pPr>
        <w:spacing w:before="0" w:after="0" w:line="312" w:lineRule="exact"/>
        <w:ind w:left="456" w:firstLine="0"/>
        <w:jc w:val="left"/>
      </w:pPr>
      <w:r>
        <w:rPr>
          <w:rFonts w:ascii="宋体" w:hAnsi="宋体" w:cs="宋体"/>
          <w:color w:val="000000"/>
          <w:spacing w:val="0"/>
          <w:w w:val="100"/>
          <w:position w:val="0"/>
          <w:sz w:val="21"/>
          <w:u w:val="none"/>
        </w:rPr>
        <w:t>有泄漏现象。</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5.10.3</w:t>
      </w:r>
      <w:r>
        <w:rPr>
          <w:rFonts w:cs="Calibri"/>
          <w:spacing w:val="0"/>
          <w:w w:val="100"/>
        </w:rPr>
        <w:tab/>
      </w:r>
      <w:r>
        <w:rPr>
          <w:rFonts w:ascii="宋体" w:hAnsi="宋体" w:cs="宋体"/>
          <w:color w:val="000000"/>
          <w:spacing w:val="-5"/>
          <w:w w:val="100"/>
          <w:position w:val="0"/>
          <w:sz w:val="21"/>
          <w:u w:val="none"/>
        </w:rPr>
        <w:t>在空载和满载等情况下，液压系统元件应能正常工作，工作部件在额定速度范围内不应有爬行、</w:t>
      </w:r>
    </w:p>
    <w:p>
      <w:pPr>
        <w:spacing w:before="0" w:after="0" w:line="312" w:lineRule="exact"/>
        <w:ind w:left="456" w:firstLine="0"/>
        <w:jc w:val="left"/>
      </w:pPr>
      <w:r>
        <w:rPr>
          <w:rFonts w:ascii="宋体" w:hAnsi="宋体" w:cs="宋体"/>
          <w:color w:val="000000"/>
          <w:spacing w:val="0"/>
          <w:w w:val="100"/>
          <w:position w:val="0"/>
          <w:sz w:val="21"/>
          <w:u w:val="none"/>
        </w:rPr>
        <w:t>停滞和明显的冲动。</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5.10.4</w:t>
      </w:r>
      <w:r>
        <w:rPr>
          <w:rFonts w:cs="Calibri"/>
          <w:spacing w:val="0"/>
          <w:w w:val="100"/>
        </w:rPr>
        <w:tab/>
      </w:r>
      <w:r>
        <w:rPr>
          <w:rFonts w:ascii="宋体" w:eastAsia="宋体" w:hAnsi="宋体" w:cs="宋体"/>
          <w:color w:val="000000"/>
          <w:spacing w:val="1"/>
          <w:w w:val="100"/>
          <w:position w:val="0"/>
          <w:sz w:val="21"/>
          <w:u w:val="none"/>
        </w:rPr>
        <w:t>应设置能防止系统内压力超过预定值的装置，此装置的设计和安装能够避免意外的松动或者</w:t>
      </w:r>
    </w:p>
    <w:p>
      <w:pPr>
        <w:spacing w:before="0" w:after="0" w:line="312" w:lineRule="exact"/>
        <w:ind w:left="456" w:firstLine="0"/>
        <w:jc w:val="left"/>
      </w:pPr>
      <w:r>
        <w:rPr>
          <w:rFonts w:ascii="宋体" w:hAnsi="宋体" w:cs="宋体"/>
          <w:color w:val="000000"/>
          <w:spacing w:val="0"/>
          <w:w w:val="100"/>
          <w:position w:val="0"/>
          <w:sz w:val="21"/>
          <w:u w:val="none"/>
        </w:rPr>
        <w:t>调节，调节压力需要有工具或者钥匙。</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5.10.5</w:t>
      </w:r>
      <w:r>
        <w:rPr>
          <w:rFonts w:cs="Calibri"/>
          <w:spacing w:val="0"/>
          <w:w w:val="100"/>
        </w:rPr>
        <w:tab/>
      </w:r>
      <w:r>
        <w:rPr>
          <w:rFonts w:ascii="宋体" w:hAnsi="宋体" w:cs="宋体"/>
          <w:color w:val="000000"/>
          <w:spacing w:val="0"/>
          <w:w w:val="100"/>
          <w:position w:val="0"/>
          <w:sz w:val="21"/>
          <w:u w:val="none"/>
        </w:rPr>
        <w:t>液压系统表面温度应符合车型对表面温度的要求。</w:t>
      </w:r>
    </w:p>
    <w:p>
      <w:pPr>
        <w:spacing w:before="0" w:after="0" w:line="240" w:lineRule="exact"/>
        <w:ind w:left="456" w:firstLine="0"/>
      </w:pPr>
    </w:p>
    <w:p>
      <w:pPr>
        <w:spacing w:before="0" w:after="0" w:line="228" w:lineRule="exact"/>
        <w:ind w:left="456" w:firstLine="631"/>
        <w:jc w:val="left"/>
      </w:pPr>
      <w:r>
        <w:rPr>
          <w:rFonts w:ascii="黑体" w:eastAsia="黑体" w:hAnsi="黑体" w:cs="黑体"/>
          <w:color w:val="000000"/>
          <w:spacing w:val="0"/>
          <w:w w:val="100"/>
          <w:position w:val="0"/>
          <w:sz w:val="21"/>
          <w:u w:val="none"/>
        </w:rPr>
        <w:t>制动系统检查</w:t>
      </w:r>
    </w:p>
    <w:p>
      <w:pPr>
        <w:spacing w:before="0" w:after="0" w:line="240" w:lineRule="exact"/>
        <w:ind w:left="456" w:firstLine="631"/>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5.11.1</w:t>
      </w:r>
      <w:r>
        <w:rPr>
          <w:rFonts w:cs="Calibri"/>
          <w:spacing w:val="0"/>
          <w:w w:val="100"/>
        </w:rPr>
        <w:tab/>
      </w:r>
      <w:r>
        <w:rPr>
          <w:rFonts w:ascii="宋体" w:hAnsi="宋体" w:cs="宋体"/>
          <w:color w:val="000000"/>
          <w:spacing w:val="0"/>
          <w:w w:val="100"/>
          <w:position w:val="0"/>
          <w:sz w:val="21"/>
          <w:u w:val="none"/>
        </w:rPr>
        <w:t>应具有可靠的行车、驻车制动系统，且行车制动与驻车制动的控制装置应相互独立。</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5.11.2</w:t>
      </w:r>
      <w:r>
        <w:rPr>
          <w:rFonts w:cs="Calibri"/>
          <w:spacing w:val="0"/>
          <w:w w:val="100"/>
        </w:rPr>
        <w:tab/>
      </w:r>
      <w:r>
        <w:rPr>
          <w:rFonts w:ascii="宋体" w:eastAsia="宋体" w:hAnsi="宋体" w:cs="宋体"/>
          <w:color w:val="000000"/>
          <w:spacing w:val="0"/>
          <w:w w:val="100"/>
          <w:position w:val="0"/>
          <w:sz w:val="21"/>
          <w:u w:val="none"/>
        </w:rPr>
        <w:t>制动器操纵力应符合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26562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tabs>
          <w:tab w:val="left" w:pos="1296"/>
        </w:tabs>
        <w:spacing w:before="0" w:after="0" w:line="313" w:lineRule="exact"/>
        <w:ind w:left="456" w:firstLine="0"/>
        <w:jc w:val="left"/>
      </w:pPr>
      <w:r>
        <w:rPr>
          <w:rFonts w:ascii="黑体" w:hAnsi="黑体" w:cs="黑体"/>
          <w:color w:val="000000"/>
          <w:spacing w:val="0"/>
          <w:w w:val="100"/>
          <w:position w:val="0"/>
          <w:sz w:val="21"/>
          <w:u w:val="none"/>
        </w:rPr>
        <w:t>5.11.3</w:t>
      </w:r>
      <w:r>
        <w:rPr>
          <w:rFonts w:cs="Calibri"/>
          <w:spacing w:val="0"/>
          <w:w w:val="100"/>
        </w:rPr>
        <w:tab/>
      </w:r>
      <w:r>
        <w:rPr>
          <w:rFonts w:ascii="宋体" w:eastAsia="宋体" w:hAnsi="宋体" w:cs="宋体"/>
          <w:color w:val="000000"/>
          <w:spacing w:val="0"/>
          <w:w w:val="100"/>
          <w:position w:val="0"/>
          <w:sz w:val="21"/>
          <w:u w:val="none"/>
        </w:rPr>
        <w:t>操纵运行和制动的踏板控制装置应符合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26562</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要求。</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5.11.4</w:t>
      </w:r>
      <w:r>
        <w:rPr>
          <w:rFonts w:cs="Calibri"/>
          <w:spacing w:val="0"/>
          <w:w w:val="100"/>
        </w:rPr>
        <w:tab/>
      </w:r>
      <w:r>
        <w:rPr>
          <w:rFonts w:ascii="宋体" w:eastAsia="宋体" w:hAnsi="宋体" w:cs="宋体"/>
          <w:color w:val="000000"/>
          <w:spacing w:val="1"/>
          <w:w w:val="100"/>
          <w:position w:val="0"/>
          <w:sz w:val="21"/>
          <w:u w:val="none"/>
        </w:rPr>
        <w:t>制动器的表面温度不应超过车辆使用场所内爆炸性物质的最低引燃温度；制动器结构型式应</w:t>
      </w:r>
    </w:p>
    <w:p>
      <w:pPr>
        <w:spacing w:before="0" w:after="0" w:line="312" w:lineRule="exact"/>
        <w:ind w:left="456" w:firstLine="0"/>
        <w:jc w:val="left"/>
      </w:pPr>
      <w:r>
        <w:rPr>
          <w:rFonts w:ascii="宋体" w:hAnsi="宋体" w:cs="宋体"/>
          <w:color w:val="000000"/>
          <w:spacing w:val="0"/>
          <w:w w:val="100"/>
          <w:position w:val="0"/>
          <w:sz w:val="21"/>
          <w:u w:val="none"/>
        </w:rPr>
        <w:t>采用油浸保护或隔爆外壳保护；最低引燃温度、隔爆应符合附录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防爆要求。</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5.11.5</w:t>
      </w:r>
      <w:r>
        <w:rPr>
          <w:rFonts w:cs="Calibri"/>
          <w:spacing w:val="4"/>
          <w:w w:val="100"/>
        </w:rPr>
        <w:tab/>
      </w:r>
      <w:r>
        <w:rPr>
          <w:rFonts w:ascii="宋体" w:hAnsi="宋体" w:cs="宋体"/>
          <w:color w:val="000000"/>
          <w:spacing w:val="0"/>
          <w:w w:val="100"/>
          <w:position w:val="0"/>
          <w:sz w:val="21"/>
          <w:u w:val="none"/>
        </w:rPr>
        <w:t>在规定车速下，点制动无跑偏现象。</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5.11.6</w:t>
      </w:r>
      <w:r>
        <w:rPr>
          <w:rFonts w:cs="Calibri"/>
          <w:spacing w:val="0"/>
          <w:w w:val="100"/>
        </w:rPr>
        <w:tab/>
      </w:r>
      <w:r>
        <w:rPr>
          <w:rFonts w:ascii="宋体" w:hAnsi="宋体" w:cs="宋体"/>
          <w:color w:val="000000"/>
          <w:spacing w:val="0"/>
          <w:w w:val="100"/>
          <w:position w:val="0"/>
          <w:sz w:val="21"/>
          <w:u w:val="none"/>
        </w:rPr>
        <w:t>行车制动器制动踏板的自由行程应符合技术要求。</w:t>
      </w:r>
    </w:p>
    <w:p>
      <w:pPr>
        <w:spacing w:before="0" w:after="0" w:line="240" w:lineRule="exact"/>
        <w:ind w:left="456" w:firstLine="0"/>
      </w:pPr>
    </w:p>
    <w:p>
      <w:pPr>
        <w:spacing w:before="0" w:after="0" w:line="228" w:lineRule="exact"/>
        <w:ind w:left="456" w:firstLine="631"/>
        <w:jc w:val="left"/>
      </w:pPr>
      <w:r>
        <w:rPr>
          <w:rFonts w:ascii="黑体" w:eastAsia="黑体" w:hAnsi="黑体" w:cs="黑体"/>
          <w:color w:val="000000"/>
          <w:spacing w:val="0"/>
          <w:w w:val="100"/>
          <w:position w:val="0"/>
          <w:sz w:val="21"/>
          <w:u w:val="none"/>
        </w:rPr>
        <w:t>电气和控制系统检查</w:t>
      </w:r>
    </w:p>
    <w:p>
      <w:pPr>
        <w:spacing w:before="0" w:after="0" w:line="240" w:lineRule="exact"/>
        <w:ind w:left="456" w:firstLine="631"/>
      </w:pPr>
    </w:p>
    <w:p>
      <w:pPr>
        <w:spacing w:before="0" w:after="0" w:line="298" w:lineRule="exact"/>
        <w:ind w:left="456" w:firstLine="9038"/>
        <w:jc w:val="left"/>
      </w:pPr>
      <w:r>
        <w:rPr>
          <w:rFonts w:ascii="宋体" w:hAnsi="宋体" w:cs="宋体"/>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https://d.book118.com/278005132110006035</w:t>
        </w:r>
      </w:hyperlink>
    </w:p>
    <w:p>
      <w:pPr>
        <w:spacing w:before="0" w:after="0" w:line="298" w:lineRule="exact"/>
        <w:ind w:left="456" w:firstLine="9038"/>
        <w:jc w:val="left"/>
      </w:pPr>
    </w:p>
    <w:sectPr>
      <w:type w:val="continuous"/>
      <w:pgSz w:w="11906" w:h="16839"/>
      <w:pgMar w:top="1101" w:right="603" w:bottom="861" w:left="963" w:header="0" w:footer="0" w:gutter="0"/>
      <w:pgNumType w:start="3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8EB05E9"/>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hyperlink" Target="https://d.book118.com/278005132110006035" TargetMode="External" /><Relationship Id="rId6" Type="http://schemas.openxmlformats.org/officeDocument/2006/relationships/image" Target="media/image2.jpe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2024-02-13T05:21:11Z</dcterms:created>
  <dcterms:modified xsi:type="dcterms:W3CDTF">2024-02-13T05:21:15Z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8CB0639F71A3430DB75D8EFBDF8CD609_12</vt:lpwstr>
  </property>
  <property fmtid="{D5CDD505-2E9C-101B-9397-08002B2CF9AE}" pid="3" name="KSOProductBuildVer">
    <vt:lpwstr>2052-12.1.0.16250</vt:lpwstr>
  </property>
</Properties>
</file>