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微生物肥料项目计划设计方案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2" w:history="1">
        <w:r>
          <w:rPr>
            <w:rFonts w:ascii="仿宋" w:eastAsia="仿宋" w:hAnsi="仿宋" w:cs="仿宋" w:hint="eastAsia"/>
            <w:lang w:eastAsia="zh-CN"/>
          </w:rPr>
          <w:t>概论</w:t>
        </w:r>
        <w:r>
          <w:tab/>
        </w:r>
        <w:r>
          <w:fldChar w:fldCharType="begin"/>
        </w:r>
        <w:r>
          <w:instrText xml:space="preserve"> PAGEREF _Toc11342 \h </w:instrText>
        </w:r>
        <w:r>
          <w:fldChar w:fldCharType="separate"/>
        </w:r>
        <w:r>
          <w:t>3</w:t>
        </w:r>
        <w:r>
          <w:fldChar w:fldCharType="end"/>
        </w:r>
      </w:hyperlink>
    </w:p>
    <w:p>
      <w:pPr>
        <w:pStyle w:val="TOC1"/>
        <w:tabs>
          <w:tab w:val="right" w:leader="dot" w:pos="8306"/>
        </w:tabs>
      </w:pPr>
      <w:hyperlink w:anchor="_Toc2523" w:history="1">
        <w:r>
          <w:rPr>
            <w:rFonts w:ascii="仿宋" w:eastAsia="仿宋" w:hAnsi="仿宋" w:cs="仿宋" w:hint="eastAsia"/>
            <w:lang w:eastAsia="zh-CN"/>
          </w:rPr>
          <w:t>一、微生物肥料项目危机管理</w:t>
        </w:r>
        <w:r>
          <w:tab/>
        </w:r>
        <w:r>
          <w:fldChar w:fldCharType="begin"/>
        </w:r>
        <w:r>
          <w:instrText xml:space="preserve"> PAGEREF _Toc2523 \h </w:instrText>
        </w:r>
        <w:r>
          <w:fldChar w:fldCharType="separate"/>
        </w:r>
        <w:r>
          <w:t>3</w:t>
        </w:r>
        <w:r>
          <w:fldChar w:fldCharType="end"/>
        </w:r>
      </w:hyperlink>
    </w:p>
    <w:p>
      <w:pPr>
        <w:pStyle w:val="TOC2"/>
        <w:tabs>
          <w:tab w:val="right" w:leader="dot" w:pos="8306"/>
        </w:tabs>
      </w:pPr>
      <w:hyperlink w:anchor="_Toc27172" w:history="1">
        <w:r>
          <w:rPr>
            <w:rFonts w:ascii="仿宋" w:eastAsia="仿宋" w:hAnsi="仿宋" w:cs="仿宋" w:hint="eastAsia"/>
            <w:lang w:eastAsia="zh-CN"/>
          </w:rPr>
          <w:t>(一)、危机预警与识别</w:t>
        </w:r>
        <w:r>
          <w:tab/>
        </w:r>
        <w:r>
          <w:fldChar w:fldCharType="begin"/>
        </w:r>
        <w:r>
          <w:instrText xml:space="preserve"> PAGEREF _Toc27172 \h </w:instrText>
        </w:r>
        <w:r>
          <w:fldChar w:fldCharType="separate"/>
        </w:r>
        <w:r>
          <w:t>3</w:t>
        </w:r>
        <w:r>
          <w:fldChar w:fldCharType="end"/>
        </w:r>
      </w:hyperlink>
    </w:p>
    <w:p>
      <w:pPr>
        <w:pStyle w:val="TOC2"/>
        <w:tabs>
          <w:tab w:val="right" w:leader="dot" w:pos="8306"/>
        </w:tabs>
      </w:pPr>
      <w:hyperlink w:anchor="_Toc29866" w:history="1">
        <w:r>
          <w:rPr>
            <w:rFonts w:ascii="仿宋" w:eastAsia="仿宋" w:hAnsi="仿宋" w:cs="仿宋" w:hint="eastAsia"/>
            <w:lang w:eastAsia="zh-CN"/>
          </w:rPr>
          <w:t>(二)、危机应对与恢复</w:t>
        </w:r>
        <w:r>
          <w:tab/>
        </w:r>
        <w:r>
          <w:fldChar w:fldCharType="begin"/>
        </w:r>
        <w:r>
          <w:instrText xml:space="preserve"> PAGEREF _Toc29866 \h </w:instrText>
        </w:r>
        <w:r>
          <w:fldChar w:fldCharType="separate"/>
        </w:r>
        <w:r>
          <w:t>4</w:t>
        </w:r>
        <w:r>
          <w:fldChar w:fldCharType="end"/>
        </w:r>
      </w:hyperlink>
    </w:p>
    <w:p>
      <w:pPr>
        <w:pStyle w:val="TOC1"/>
        <w:tabs>
          <w:tab w:val="right" w:leader="dot" w:pos="8306"/>
        </w:tabs>
      </w:pPr>
      <w:hyperlink w:anchor="_Toc20582" w:history="1">
        <w:r>
          <w:rPr>
            <w:rFonts w:ascii="仿宋" w:eastAsia="仿宋" w:hAnsi="仿宋" w:cs="仿宋" w:hint="eastAsia"/>
            <w:lang w:eastAsia="zh-CN"/>
          </w:rPr>
          <w:t>二、微生物肥料项目土建工程</w:t>
        </w:r>
        <w:r>
          <w:tab/>
        </w:r>
        <w:r>
          <w:fldChar w:fldCharType="begin"/>
        </w:r>
        <w:r>
          <w:instrText xml:space="preserve"> PAGEREF _Toc20582 \h </w:instrText>
        </w:r>
        <w:r>
          <w:fldChar w:fldCharType="separate"/>
        </w:r>
        <w:r>
          <w:t>5</w:t>
        </w:r>
        <w:r>
          <w:fldChar w:fldCharType="end"/>
        </w:r>
      </w:hyperlink>
    </w:p>
    <w:p>
      <w:pPr>
        <w:pStyle w:val="TOC2"/>
        <w:tabs>
          <w:tab w:val="right" w:leader="dot" w:pos="8306"/>
        </w:tabs>
      </w:pPr>
      <w:hyperlink w:anchor="_Toc4857" w:history="1">
        <w:r>
          <w:rPr>
            <w:rFonts w:ascii="仿宋" w:eastAsia="仿宋" w:hAnsi="仿宋" w:cs="仿宋" w:hint="eastAsia"/>
            <w:lang w:eastAsia="zh-CN"/>
          </w:rPr>
          <w:t>(一)、建筑工程设计原则</w:t>
        </w:r>
        <w:r>
          <w:tab/>
        </w:r>
        <w:r>
          <w:fldChar w:fldCharType="begin"/>
        </w:r>
        <w:r>
          <w:instrText xml:space="preserve"> PAGEREF _Toc4857 \h </w:instrText>
        </w:r>
        <w:r>
          <w:fldChar w:fldCharType="separate"/>
        </w:r>
        <w:r>
          <w:t>5</w:t>
        </w:r>
        <w:r>
          <w:fldChar w:fldCharType="end"/>
        </w:r>
      </w:hyperlink>
    </w:p>
    <w:p>
      <w:pPr>
        <w:pStyle w:val="TOC2"/>
        <w:tabs>
          <w:tab w:val="right" w:leader="dot" w:pos="8306"/>
        </w:tabs>
      </w:pPr>
      <w:hyperlink w:anchor="_Toc13022" w:history="1">
        <w:r>
          <w:rPr>
            <w:rFonts w:ascii="仿宋" w:eastAsia="仿宋" w:hAnsi="仿宋" w:cs="仿宋" w:hint="eastAsia"/>
            <w:lang w:eastAsia="zh-CN"/>
          </w:rPr>
          <w:t>(二)、土建工程设计年限及安全等级</w:t>
        </w:r>
        <w:r>
          <w:tab/>
        </w:r>
        <w:r>
          <w:fldChar w:fldCharType="begin"/>
        </w:r>
        <w:r>
          <w:instrText xml:space="preserve"> PAGEREF _Toc13022 \h </w:instrText>
        </w:r>
        <w:r>
          <w:fldChar w:fldCharType="separate"/>
        </w:r>
        <w:r>
          <w:t>7</w:t>
        </w:r>
        <w:r>
          <w:fldChar w:fldCharType="end"/>
        </w:r>
      </w:hyperlink>
    </w:p>
    <w:p>
      <w:pPr>
        <w:pStyle w:val="TOC2"/>
        <w:tabs>
          <w:tab w:val="right" w:leader="dot" w:pos="8306"/>
        </w:tabs>
      </w:pPr>
      <w:hyperlink w:anchor="_Toc8576" w:history="1">
        <w:r>
          <w:rPr>
            <w:rFonts w:ascii="仿宋" w:eastAsia="仿宋" w:hAnsi="仿宋" w:cs="仿宋" w:hint="eastAsia"/>
            <w:lang w:eastAsia="zh-CN"/>
          </w:rPr>
          <w:t>(三)、建筑工程设计总体要求</w:t>
        </w:r>
        <w:r>
          <w:tab/>
        </w:r>
        <w:r>
          <w:fldChar w:fldCharType="begin"/>
        </w:r>
        <w:r>
          <w:instrText xml:space="preserve"> PAGEREF _Toc8576 \h </w:instrText>
        </w:r>
        <w:r>
          <w:fldChar w:fldCharType="separate"/>
        </w:r>
        <w:r>
          <w:t>8</w:t>
        </w:r>
        <w:r>
          <w:fldChar w:fldCharType="end"/>
        </w:r>
      </w:hyperlink>
    </w:p>
    <w:p>
      <w:pPr>
        <w:pStyle w:val="TOC2"/>
        <w:tabs>
          <w:tab w:val="right" w:leader="dot" w:pos="8306"/>
        </w:tabs>
      </w:pPr>
      <w:hyperlink w:anchor="_Toc6935" w:history="1">
        <w:r>
          <w:rPr>
            <w:rFonts w:ascii="仿宋" w:eastAsia="仿宋" w:hAnsi="仿宋" w:cs="仿宋" w:hint="eastAsia"/>
            <w:lang w:eastAsia="zh-CN"/>
          </w:rPr>
          <w:t>(四)、土建工程建设指标</w:t>
        </w:r>
        <w:r>
          <w:tab/>
        </w:r>
        <w:r>
          <w:fldChar w:fldCharType="begin"/>
        </w:r>
        <w:r>
          <w:instrText xml:space="preserve"> PAGEREF _Toc6935 \h </w:instrText>
        </w:r>
        <w:r>
          <w:fldChar w:fldCharType="separate"/>
        </w:r>
        <w:r>
          <w:t>8</w:t>
        </w:r>
        <w:r>
          <w:fldChar w:fldCharType="end"/>
        </w:r>
      </w:hyperlink>
    </w:p>
    <w:p>
      <w:pPr>
        <w:pStyle w:val="TOC1"/>
        <w:tabs>
          <w:tab w:val="right" w:leader="dot" w:pos="8306"/>
        </w:tabs>
      </w:pPr>
      <w:hyperlink w:anchor="_Toc3213" w:history="1">
        <w:r>
          <w:rPr>
            <w:rFonts w:ascii="仿宋" w:eastAsia="仿宋" w:hAnsi="仿宋" w:cs="仿宋" w:hint="eastAsia"/>
            <w:lang w:eastAsia="zh-CN"/>
          </w:rPr>
          <w:t>三、微生物肥料项目选址可行性分析</w:t>
        </w:r>
        <w:r>
          <w:tab/>
        </w:r>
        <w:r>
          <w:fldChar w:fldCharType="begin"/>
        </w:r>
        <w:r>
          <w:instrText xml:space="preserve"> PAGEREF _Toc3213 \h </w:instrText>
        </w:r>
        <w:r>
          <w:fldChar w:fldCharType="separate"/>
        </w:r>
        <w:r>
          <w:t>9</w:t>
        </w:r>
        <w:r>
          <w:fldChar w:fldCharType="end"/>
        </w:r>
      </w:hyperlink>
    </w:p>
    <w:p>
      <w:pPr>
        <w:pStyle w:val="TOC2"/>
        <w:tabs>
          <w:tab w:val="right" w:leader="dot" w:pos="8306"/>
        </w:tabs>
      </w:pPr>
      <w:hyperlink w:anchor="_Toc20839" w:history="1">
        <w:r>
          <w:rPr>
            <w:rFonts w:ascii="仿宋" w:eastAsia="仿宋" w:hAnsi="仿宋" w:cs="仿宋" w:hint="eastAsia"/>
            <w:lang w:eastAsia="zh-CN"/>
          </w:rPr>
          <w:t>(一)、微生物肥料项目选址</w:t>
        </w:r>
        <w:r>
          <w:tab/>
        </w:r>
        <w:r>
          <w:fldChar w:fldCharType="begin"/>
        </w:r>
        <w:r>
          <w:instrText xml:space="preserve"> PAGEREF _Toc20839 \h </w:instrText>
        </w:r>
        <w:r>
          <w:fldChar w:fldCharType="separate"/>
        </w:r>
        <w:r>
          <w:t>9</w:t>
        </w:r>
        <w:r>
          <w:fldChar w:fldCharType="end"/>
        </w:r>
      </w:hyperlink>
    </w:p>
    <w:p>
      <w:pPr>
        <w:pStyle w:val="TOC2"/>
        <w:tabs>
          <w:tab w:val="right" w:leader="dot" w:pos="8306"/>
        </w:tabs>
      </w:pPr>
      <w:hyperlink w:anchor="_Toc23382" w:history="1">
        <w:r>
          <w:rPr>
            <w:rFonts w:ascii="仿宋" w:eastAsia="仿宋" w:hAnsi="仿宋" w:cs="仿宋" w:hint="eastAsia"/>
            <w:lang w:eastAsia="zh-CN"/>
          </w:rPr>
          <w:t>(二)、用地控制指标</w:t>
        </w:r>
        <w:r>
          <w:tab/>
        </w:r>
        <w:r>
          <w:fldChar w:fldCharType="begin"/>
        </w:r>
        <w:r>
          <w:instrText xml:space="preserve"> PAGEREF _Toc23382 \h </w:instrText>
        </w:r>
        <w:r>
          <w:fldChar w:fldCharType="separate"/>
        </w:r>
        <w:r>
          <w:t>9</w:t>
        </w:r>
        <w:r>
          <w:fldChar w:fldCharType="end"/>
        </w:r>
      </w:hyperlink>
    </w:p>
    <w:p>
      <w:pPr>
        <w:pStyle w:val="TOC2"/>
        <w:tabs>
          <w:tab w:val="right" w:leader="dot" w:pos="8306"/>
        </w:tabs>
      </w:pPr>
      <w:hyperlink w:anchor="_Toc1920" w:history="1">
        <w:r>
          <w:rPr>
            <w:rFonts w:ascii="仿宋" w:eastAsia="仿宋" w:hAnsi="仿宋" w:cs="仿宋" w:hint="eastAsia"/>
            <w:lang w:eastAsia="zh-CN"/>
          </w:rPr>
          <w:t>(三)、节约用地措施</w:t>
        </w:r>
        <w:r>
          <w:tab/>
        </w:r>
        <w:r>
          <w:fldChar w:fldCharType="begin"/>
        </w:r>
        <w:r>
          <w:instrText xml:space="preserve"> PAGEREF _Toc1920 \h </w:instrText>
        </w:r>
        <w:r>
          <w:fldChar w:fldCharType="separate"/>
        </w:r>
        <w:r>
          <w:t>11</w:t>
        </w:r>
        <w:r>
          <w:fldChar w:fldCharType="end"/>
        </w:r>
      </w:hyperlink>
    </w:p>
    <w:p>
      <w:pPr>
        <w:pStyle w:val="TOC2"/>
        <w:tabs>
          <w:tab w:val="right" w:leader="dot" w:pos="8306"/>
        </w:tabs>
      </w:pPr>
      <w:hyperlink w:anchor="_Toc27347" w:history="1">
        <w:r>
          <w:rPr>
            <w:rFonts w:ascii="仿宋" w:eastAsia="仿宋" w:hAnsi="仿宋" w:cs="仿宋" w:hint="eastAsia"/>
            <w:lang w:eastAsia="zh-CN"/>
          </w:rPr>
          <w:t>(四)、总图布置方案</w:t>
        </w:r>
        <w:r>
          <w:tab/>
        </w:r>
        <w:r>
          <w:fldChar w:fldCharType="begin"/>
        </w:r>
        <w:r>
          <w:instrText xml:space="preserve"> PAGEREF _Toc27347 \h </w:instrText>
        </w:r>
        <w:r>
          <w:fldChar w:fldCharType="separate"/>
        </w:r>
        <w:r>
          <w:t>12</w:t>
        </w:r>
        <w:r>
          <w:fldChar w:fldCharType="end"/>
        </w:r>
      </w:hyperlink>
    </w:p>
    <w:p>
      <w:pPr>
        <w:pStyle w:val="TOC2"/>
        <w:tabs>
          <w:tab w:val="right" w:leader="dot" w:pos="8306"/>
        </w:tabs>
      </w:pPr>
      <w:hyperlink w:anchor="_Toc30812" w:history="1">
        <w:r>
          <w:rPr>
            <w:rFonts w:ascii="仿宋" w:eastAsia="仿宋" w:hAnsi="仿宋" w:cs="仿宋" w:hint="eastAsia"/>
            <w:lang w:eastAsia="zh-CN"/>
          </w:rPr>
          <w:t>(五)、选址综合评价</w:t>
        </w:r>
        <w:r>
          <w:tab/>
        </w:r>
        <w:r>
          <w:fldChar w:fldCharType="begin"/>
        </w:r>
        <w:r>
          <w:instrText xml:space="preserve"> PAGEREF _Toc30812 \h </w:instrText>
        </w:r>
        <w:r>
          <w:fldChar w:fldCharType="separate"/>
        </w:r>
        <w:r>
          <w:t>13</w:t>
        </w:r>
        <w:r>
          <w:fldChar w:fldCharType="end"/>
        </w:r>
      </w:hyperlink>
    </w:p>
    <w:p>
      <w:pPr>
        <w:pStyle w:val="TOC1"/>
        <w:tabs>
          <w:tab w:val="right" w:leader="dot" w:pos="8306"/>
        </w:tabs>
      </w:pPr>
      <w:hyperlink w:anchor="_Toc7270" w:history="1">
        <w:r>
          <w:rPr>
            <w:rFonts w:ascii="仿宋" w:eastAsia="仿宋" w:hAnsi="仿宋" w:cs="仿宋" w:hint="eastAsia"/>
            <w:lang w:eastAsia="zh-CN"/>
          </w:rPr>
          <w:t>四、微生物肥料项目建设背景及必要性分析</w:t>
        </w:r>
        <w:r>
          <w:tab/>
        </w:r>
        <w:r>
          <w:fldChar w:fldCharType="begin"/>
        </w:r>
        <w:r>
          <w:instrText xml:space="preserve"> PAGEREF _Toc7270 \h </w:instrText>
        </w:r>
        <w:r>
          <w:fldChar w:fldCharType="separate"/>
        </w:r>
        <w:r>
          <w:t>14</w:t>
        </w:r>
        <w:r>
          <w:fldChar w:fldCharType="end"/>
        </w:r>
      </w:hyperlink>
    </w:p>
    <w:p>
      <w:pPr>
        <w:pStyle w:val="TOC2"/>
        <w:tabs>
          <w:tab w:val="right" w:leader="dot" w:pos="8306"/>
        </w:tabs>
      </w:pPr>
      <w:hyperlink w:anchor="_Toc12485" w:history="1">
        <w:r>
          <w:rPr>
            <w:rFonts w:ascii="仿宋" w:eastAsia="仿宋" w:hAnsi="仿宋" w:cs="仿宋" w:hint="eastAsia"/>
            <w:lang w:eastAsia="zh-CN"/>
          </w:rPr>
          <w:t>(一)、微生物肥料项目背景分析</w:t>
        </w:r>
        <w:r>
          <w:tab/>
        </w:r>
        <w:r>
          <w:fldChar w:fldCharType="begin"/>
        </w:r>
        <w:r>
          <w:instrText xml:space="preserve"> PAGEREF _Toc12485 \h </w:instrText>
        </w:r>
        <w:r>
          <w:fldChar w:fldCharType="separate"/>
        </w:r>
        <w:r>
          <w:t>14</w:t>
        </w:r>
        <w:r>
          <w:fldChar w:fldCharType="end"/>
        </w:r>
      </w:hyperlink>
    </w:p>
    <w:p>
      <w:pPr>
        <w:pStyle w:val="TOC2"/>
        <w:tabs>
          <w:tab w:val="right" w:leader="dot" w:pos="8306"/>
        </w:tabs>
      </w:pPr>
      <w:hyperlink w:anchor="_Toc32484" w:history="1">
        <w:r>
          <w:rPr>
            <w:rFonts w:ascii="仿宋" w:eastAsia="仿宋" w:hAnsi="仿宋" w:cs="仿宋" w:hint="eastAsia"/>
            <w:lang w:eastAsia="zh-CN"/>
          </w:rPr>
          <w:t>(二)、微生物肥料项目建设必要性分析</w:t>
        </w:r>
        <w:r>
          <w:tab/>
        </w:r>
        <w:r>
          <w:fldChar w:fldCharType="begin"/>
        </w:r>
        <w:r>
          <w:instrText xml:space="preserve"> PAGEREF _Toc32484 \h </w:instrText>
        </w:r>
        <w:r>
          <w:fldChar w:fldCharType="separate"/>
        </w:r>
        <w:r>
          <w:t>16</w:t>
        </w:r>
        <w:r>
          <w:fldChar w:fldCharType="end"/>
        </w:r>
      </w:hyperlink>
    </w:p>
    <w:p>
      <w:pPr>
        <w:pStyle w:val="TOC1"/>
        <w:tabs>
          <w:tab w:val="right" w:leader="dot" w:pos="8306"/>
        </w:tabs>
      </w:pPr>
      <w:hyperlink w:anchor="_Toc3264" w:history="1">
        <w:r>
          <w:rPr>
            <w:rFonts w:ascii="仿宋" w:eastAsia="仿宋" w:hAnsi="仿宋" w:cs="仿宋" w:hint="eastAsia"/>
            <w:lang w:eastAsia="zh-CN"/>
          </w:rPr>
          <w:t>五、产品规划分析</w:t>
        </w:r>
        <w:r>
          <w:tab/>
        </w:r>
        <w:r>
          <w:fldChar w:fldCharType="begin"/>
        </w:r>
        <w:r>
          <w:instrText xml:space="preserve"> PAGEREF _Toc3264 \h </w:instrText>
        </w:r>
        <w:r>
          <w:fldChar w:fldCharType="separate"/>
        </w:r>
        <w:r>
          <w:t>17</w:t>
        </w:r>
        <w:r>
          <w:fldChar w:fldCharType="end"/>
        </w:r>
      </w:hyperlink>
    </w:p>
    <w:p>
      <w:pPr>
        <w:pStyle w:val="TOC2"/>
        <w:tabs>
          <w:tab w:val="right" w:leader="dot" w:pos="8306"/>
        </w:tabs>
      </w:pPr>
      <w:hyperlink w:anchor="_Toc27831" w:history="1">
        <w:r>
          <w:rPr>
            <w:rFonts w:ascii="仿宋" w:eastAsia="仿宋" w:hAnsi="仿宋" w:cs="仿宋" w:hint="eastAsia"/>
            <w:lang w:eastAsia="zh-CN"/>
          </w:rPr>
          <w:t>(一)、产品规划</w:t>
        </w:r>
        <w:r>
          <w:tab/>
        </w:r>
        <w:r>
          <w:fldChar w:fldCharType="begin"/>
        </w:r>
        <w:r>
          <w:instrText xml:space="preserve"> PAGEREF _Toc27831 \h </w:instrText>
        </w:r>
        <w:r>
          <w:fldChar w:fldCharType="separate"/>
        </w:r>
        <w:r>
          <w:t>17</w:t>
        </w:r>
        <w:r>
          <w:fldChar w:fldCharType="end"/>
        </w:r>
      </w:hyperlink>
    </w:p>
    <w:p>
      <w:pPr>
        <w:pStyle w:val="TOC2"/>
        <w:tabs>
          <w:tab w:val="right" w:leader="dot" w:pos="8306"/>
        </w:tabs>
      </w:pPr>
      <w:hyperlink w:anchor="_Toc6560" w:history="1">
        <w:r>
          <w:rPr>
            <w:rFonts w:ascii="仿宋" w:eastAsia="仿宋" w:hAnsi="仿宋" w:cs="仿宋" w:hint="eastAsia"/>
            <w:lang w:eastAsia="zh-CN"/>
          </w:rPr>
          <w:t>(二)、建设规模</w:t>
        </w:r>
        <w:r>
          <w:tab/>
        </w:r>
        <w:r>
          <w:fldChar w:fldCharType="begin"/>
        </w:r>
        <w:r>
          <w:instrText xml:space="preserve"> PAGEREF _Toc6560 \h </w:instrText>
        </w:r>
        <w:r>
          <w:fldChar w:fldCharType="separate"/>
        </w:r>
        <w:r>
          <w:t>18</w:t>
        </w:r>
        <w:r>
          <w:fldChar w:fldCharType="end"/>
        </w:r>
      </w:hyperlink>
    </w:p>
    <w:p>
      <w:pPr>
        <w:pStyle w:val="TOC1"/>
        <w:tabs>
          <w:tab w:val="right" w:leader="dot" w:pos="8306"/>
        </w:tabs>
      </w:pPr>
      <w:hyperlink w:anchor="_Toc12332" w:history="1">
        <w:r>
          <w:rPr>
            <w:rFonts w:ascii="仿宋" w:eastAsia="仿宋" w:hAnsi="仿宋" w:cs="仿宋" w:hint="eastAsia"/>
            <w:lang w:eastAsia="zh-CN"/>
          </w:rPr>
          <w:t>六、工艺说明</w:t>
        </w:r>
        <w:r>
          <w:tab/>
        </w:r>
        <w:r>
          <w:fldChar w:fldCharType="begin"/>
        </w:r>
        <w:r>
          <w:instrText xml:space="preserve"> PAGEREF _Toc12332 \h </w:instrText>
        </w:r>
        <w:r>
          <w:fldChar w:fldCharType="separate"/>
        </w:r>
        <w:r>
          <w:t>19</w:t>
        </w:r>
        <w:r>
          <w:fldChar w:fldCharType="end"/>
        </w:r>
      </w:hyperlink>
    </w:p>
    <w:p>
      <w:pPr>
        <w:pStyle w:val="TOC2"/>
        <w:tabs>
          <w:tab w:val="right" w:leader="dot" w:pos="8306"/>
        </w:tabs>
      </w:pPr>
      <w:hyperlink w:anchor="_Toc18846" w:history="1">
        <w:r>
          <w:rPr>
            <w:rFonts w:ascii="仿宋" w:eastAsia="仿宋" w:hAnsi="仿宋" w:cs="仿宋" w:hint="eastAsia"/>
            <w:lang w:eastAsia="zh-CN"/>
          </w:rPr>
          <w:t>(一)、技术管理特点</w:t>
        </w:r>
        <w:r>
          <w:tab/>
        </w:r>
        <w:r>
          <w:fldChar w:fldCharType="begin"/>
        </w:r>
        <w:r>
          <w:instrText xml:space="preserve"> PAGEREF _Toc18846 \h </w:instrText>
        </w:r>
        <w:r>
          <w:fldChar w:fldCharType="separate"/>
        </w:r>
        <w:r>
          <w:t>19</w:t>
        </w:r>
        <w:r>
          <w:fldChar w:fldCharType="end"/>
        </w:r>
      </w:hyperlink>
    </w:p>
    <w:p>
      <w:pPr>
        <w:pStyle w:val="TOC2"/>
        <w:tabs>
          <w:tab w:val="right" w:leader="dot" w:pos="8306"/>
        </w:tabs>
      </w:pPr>
      <w:hyperlink w:anchor="_Toc1846" w:history="1">
        <w:r>
          <w:rPr>
            <w:rFonts w:ascii="仿宋" w:eastAsia="仿宋" w:hAnsi="仿宋" w:cs="仿宋" w:hint="eastAsia"/>
            <w:lang w:eastAsia="zh-CN"/>
          </w:rPr>
          <w:t>(二)、微生物肥料项目工艺技术设计方案</w:t>
        </w:r>
        <w:r>
          <w:tab/>
        </w:r>
        <w:r>
          <w:fldChar w:fldCharType="begin"/>
        </w:r>
        <w:r>
          <w:instrText xml:space="preserve"> PAGEREF _Toc1846 \h </w:instrText>
        </w:r>
        <w:r>
          <w:fldChar w:fldCharType="separate"/>
        </w:r>
        <w:r>
          <w:t>20</w:t>
        </w:r>
        <w:r>
          <w:fldChar w:fldCharType="end"/>
        </w:r>
      </w:hyperlink>
    </w:p>
    <w:p>
      <w:pPr>
        <w:pStyle w:val="TOC2"/>
        <w:tabs>
          <w:tab w:val="right" w:leader="dot" w:pos="8306"/>
        </w:tabs>
      </w:pPr>
      <w:hyperlink w:anchor="_Toc3353" w:history="1">
        <w:r>
          <w:rPr>
            <w:rFonts w:ascii="仿宋" w:eastAsia="仿宋" w:hAnsi="仿宋" w:cs="仿宋" w:hint="eastAsia"/>
            <w:lang w:eastAsia="zh-CN"/>
          </w:rPr>
          <w:t>(三)、设备选型方案</w:t>
        </w:r>
        <w:r>
          <w:tab/>
        </w:r>
        <w:r>
          <w:fldChar w:fldCharType="begin"/>
        </w:r>
        <w:r>
          <w:instrText xml:space="preserve"> PAGEREF _Toc3353 \h </w:instrText>
        </w:r>
        <w:r>
          <w:fldChar w:fldCharType="separate"/>
        </w:r>
        <w:r>
          <w:t>21</w:t>
        </w:r>
        <w:r>
          <w:fldChar w:fldCharType="end"/>
        </w:r>
      </w:hyperlink>
    </w:p>
    <w:p>
      <w:pPr>
        <w:pStyle w:val="TOC1"/>
        <w:tabs>
          <w:tab w:val="right" w:leader="dot" w:pos="8306"/>
        </w:tabs>
      </w:pPr>
      <w:hyperlink w:anchor="_Toc27167" w:history="1">
        <w:r>
          <w:rPr>
            <w:rFonts w:ascii="仿宋" w:eastAsia="仿宋" w:hAnsi="仿宋" w:cs="仿宋" w:hint="eastAsia"/>
            <w:lang w:eastAsia="zh-CN"/>
          </w:rPr>
          <w:t>七、微生物肥料项目社会影响</w:t>
        </w:r>
        <w:r>
          <w:tab/>
        </w:r>
        <w:r>
          <w:fldChar w:fldCharType="begin"/>
        </w:r>
        <w:r>
          <w:instrText xml:space="preserve"> PAGEREF _Toc27167 \h </w:instrText>
        </w:r>
        <w:r>
          <w:fldChar w:fldCharType="separate"/>
        </w:r>
        <w:r>
          <w:t>23</w:t>
        </w:r>
        <w:r>
          <w:fldChar w:fldCharType="end"/>
        </w:r>
      </w:hyperlink>
    </w:p>
    <w:p>
      <w:pPr>
        <w:pStyle w:val="TOC2"/>
        <w:tabs>
          <w:tab w:val="right" w:leader="dot" w:pos="8306"/>
        </w:tabs>
      </w:pPr>
      <w:hyperlink w:anchor="_Toc18159" w:history="1">
        <w:r>
          <w:rPr>
            <w:rFonts w:ascii="仿宋" w:eastAsia="仿宋" w:hAnsi="仿宋" w:cs="仿宋" w:hint="eastAsia"/>
            <w:lang w:eastAsia="zh-CN"/>
          </w:rPr>
          <w:t>(一)、社会责任与义务</w:t>
        </w:r>
        <w:r>
          <w:tab/>
        </w:r>
        <w:r>
          <w:fldChar w:fldCharType="begin"/>
        </w:r>
        <w:r>
          <w:instrText xml:space="preserve"> PAGEREF _Toc18159 \h </w:instrText>
        </w:r>
        <w:r>
          <w:fldChar w:fldCharType="separate"/>
        </w:r>
        <w:r>
          <w:t>23</w:t>
        </w:r>
        <w:r>
          <w:fldChar w:fldCharType="end"/>
        </w:r>
      </w:hyperlink>
    </w:p>
    <w:p>
      <w:pPr>
        <w:pStyle w:val="TOC2"/>
        <w:tabs>
          <w:tab w:val="right" w:leader="dot" w:pos="8306"/>
        </w:tabs>
      </w:pPr>
      <w:hyperlink w:anchor="_Toc21768" w:history="1">
        <w:r>
          <w:rPr>
            <w:rFonts w:ascii="仿宋" w:eastAsia="仿宋" w:hAnsi="仿宋" w:cs="仿宋" w:hint="eastAsia"/>
            <w:lang w:eastAsia="zh-CN"/>
          </w:rPr>
          <w:t>(二)、社会参与与沟通</w:t>
        </w:r>
        <w:r>
          <w:tab/>
        </w:r>
        <w:r>
          <w:fldChar w:fldCharType="begin"/>
        </w:r>
        <w:r>
          <w:instrText xml:space="preserve"> PAGEREF _Toc21768 \h </w:instrText>
        </w:r>
        <w:r>
          <w:fldChar w:fldCharType="separate"/>
        </w:r>
        <w:r>
          <w:t>23</w:t>
        </w:r>
        <w:r>
          <w:fldChar w:fldCharType="end"/>
        </w:r>
      </w:hyperlink>
    </w:p>
    <w:p>
      <w:pPr>
        <w:pStyle w:val="TOC1"/>
        <w:tabs>
          <w:tab w:val="right" w:leader="dot" w:pos="8306"/>
        </w:tabs>
      </w:pPr>
      <w:hyperlink w:anchor="_Toc31889" w:history="1">
        <w:r>
          <w:rPr>
            <w:rFonts w:ascii="仿宋" w:eastAsia="仿宋" w:hAnsi="仿宋" w:cs="仿宋" w:hint="eastAsia"/>
            <w:lang w:eastAsia="zh-CN"/>
          </w:rPr>
          <w:t>八、微生物肥料项目风险管理</w:t>
        </w:r>
        <w:r>
          <w:tab/>
        </w:r>
        <w:r>
          <w:fldChar w:fldCharType="begin"/>
        </w:r>
        <w:r>
          <w:instrText xml:space="preserve"> PAGEREF _Toc31889 \h </w:instrText>
        </w:r>
        <w:r>
          <w:fldChar w:fldCharType="separate"/>
        </w:r>
        <w:r>
          <w:t>24</w:t>
        </w:r>
        <w:r>
          <w:fldChar w:fldCharType="end"/>
        </w:r>
      </w:hyperlink>
    </w:p>
    <w:p>
      <w:pPr>
        <w:pStyle w:val="TOC2"/>
        <w:tabs>
          <w:tab w:val="right" w:leader="dot" w:pos="8306"/>
        </w:tabs>
      </w:pPr>
      <w:hyperlink w:anchor="_Toc4648" w:history="1">
        <w:r>
          <w:rPr>
            <w:rFonts w:ascii="仿宋" w:eastAsia="仿宋" w:hAnsi="仿宋" w:cs="仿宋" w:hint="eastAsia"/>
            <w:lang w:eastAsia="zh-CN"/>
          </w:rPr>
          <w:t>(一)、风险识别与评估</w:t>
        </w:r>
        <w:r>
          <w:tab/>
        </w:r>
        <w:r>
          <w:fldChar w:fldCharType="begin"/>
        </w:r>
        <w:r>
          <w:instrText xml:space="preserve"> PAGEREF _Toc4648 \h </w:instrText>
        </w:r>
        <w:r>
          <w:fldChar w:fldCharType="separate"/>
        </w:r>
        <w:r>
          <w:t>24</w:t>
        </w:r>
        <w:r>
          <w:fldChar w:fldCharType="end"/>
        </w:r>
      </w:hyperlink>
    </w:p>
    <w:p>
      <w:pPr>
        <w:pStyle w:val="TOC2"/>
        <w:tabs>
          <w:tab w:val="right" w:leader="dot" w:pos="8306"/>
        </w:tabs>
      </w:pPr>
      <w:hyperlink w:anchor="_Toc26557" w:history="1">
        <w:r>
          <w:rPr>
            <w:rFonts w:ascii="仿宋" w:eastAsia="仿宋" w:hAnsi="仿宋" w:cs="仿宋" w:hint="eastAsia"/>
            <w:lang w:eastAsia="zh-CN"/>
          </w:rPr>
          <w:t>(二)、风险应对策略</w:t>
        </w:r>
        <w:r>
          <w:tab/>
        </w:r>
        <w:r>
          <w:fldChar w:fldCharType="begin"/>
        </w:r>
        <w:r>
          <w:instrText xml:space="preserve"> PAGEREF _Toc26557 \h </w:instrText>
        </w:r>
        <w:r>
          <w:fldChar w:fldCharType="separate"/>
        </w:r>
        <w:r>
          <w:t>25</w:t>
        </w:r>
        <w:r>
          <w:fldChar w:fldCharType="end"/>
        </w:r>
      </w:hyperlink>
    </w:p>
    <w:p>
      <w:pPr>
        <w:pStyle w:val="TOC2"/>
        <w:tabs>
          <w:tab w:val="right" w:leader="dot" w:pos="8306"/>
        </w:tabs>
      </w:pPr>
      <w:hyperlink w:anchor="_Toc13087" w:history="1">
        <w:r>
          <w:rPr>
            <w:rFonts w:ascii="仿宋" w:eastAsia="仿宋" w:hAnsi="仿宋" w:cs="仿宋" w:hint="eastAsia"/>
            <w:lang w:eastAsia="zh-CN"/>
          </w:rPr>
          <w:t>(三)、风险监控与控制</w:t>
        </w:r>
        <w:r>
          <w:tab/>
        </w:r>
        <w:r>
          <w:fldChar w:fldCharType="begin"/>
        </w:r>
        <w:r>
          <w:instrText xml:space="preserve"> PAGEREF _Toc13087 \h </w:instrText>
        </w:r>
        <w:r>
          <w:fldChar w:fldCharType="separate"/>
        </w:r>
        <w:r>
          <w:t>27</w:t>
        </w:r>
        <w:r>
          <w:fldChar w:fldCharType="end"/>
        </w:r>
      </w:hyperlink>
    </w:p>
    <w:p>
      <w:pPr>
        <w:pStyle w:val="TOC1"/>
        <w:tabs>
          <w:tab w:val="right" w:leader="dot" w:pos="8306"/>
        </w:tabs>
      </w:pPr>
      <w:hyperlink w:anchor="_Toc32517" w:history="1">
        <w:r>
          <w:rPr>
            <w:rFonts w:ascii="仿宋" w:eastAsia="仿宋" w:hAnsi="仿宋" w:cs="仿宋" w:hint="eastAsia"/>
            <w:lang w:eastAsia="zh-CN"/>
          </w:rPr>
          <w:t>九、微生物肥料项目投资规划</w:t>
        </w:r>
        <w:r>
          <w:tab/>
        </w:r>
        <w:r>
          <w:fldChar w:fldCharType="begin"/>
        </w:r>
        <w:r>
          <w:instrText xml:space="preserve"> PAGEREF _Toc32517 \h </w:instrText>
        </w:r>
        <w:r>
          <w:fldChar w:fldCharType="separate"/>
        </w:r>
        <w:r>
          <w:t>28</w:t>
        </w:r>
        <w:r>
          <w:fldChar w:fldCharType="end"/>
        </w:r>
      </w:hyperlink>
    </w:p>
    <w:p>
      <w:pPr>
        <w:pStyle w:val="TOC2"/>
        <w:tabs>
          <w:tab w:val="right" w:leader="dot" w:pos="8306"/>
        </w:tabs>
      </w:pPr>
      <w:hyperlink w:anchor="_Toc6626" w:history="1">
        <w:r>
          <w:rPr>
            <w:rFonts w:ascii="仿宋" w:eastAsia="仿宋" w:hAnsi="仿宋" w:cs="仿宋" w:hint="eastAsia"/>
            <w:lang w:eastAsia="zh-CN"/>
          </w:rPr>
          <w:t>(一)、微生物肥料项目总投资估算</w:t>
        </w:r>
        <w:r>
          <w:tab/>
        </w:r>
        <w:r>
          <w:fldChar w:fldCharType="begin"/>
        </w:r>
        <w:r>
          <w:instrText xml:space="preserve"> PAGEREF _Toc6626 \h </w:instrText>
        </w:r>
        <w:r>
          <w:fldChar w:fldCharType="separate"/>
        </w:r>
        <w:r>
          <w:t>28</w:t>
        </w:r>
        <w:r>
          <w:fldChar w:fldCharType="end"/>
        </w:r>
      </w:hyperlink>
    </w:p>
    <w:p>
      <w:pPr>
        <w:pStyle w:val="TOC2"/>
        <w:tabs>
          <w:tab w:val="right" w:leader="dot" w:pos="8306"/>
        </w:tabs>
      </w:pPr>
      <w:hyperlink w:anchor="_Toc29577" w:history="1">
        <w:r>
          <w:rPr>
            <w:rFonts w:ascii="仿宋" w:eastAsia="仿宋" w:hAnsi="仿宋" w:cs="仿宋" w:hint="eastAsia"/>
            <w:lang w:eastAsia="zh-CN"/>
          </w:rPr>
          <w:t>(二)、资金筹措</w:t>
        </w:r>
        <w:r>
          <w:tab/>
        </w:r>
        <w:r>
          <w:fldChar w:fldCharType="begin"/>
        </w:r>
        <w:r>
          <w:instrText xml:space="preserve"> PAGEREF _Toc29577 \h </w:instrText>
        </w:r>
        <w:r>
          <w:fldChar w:fldCharType="separate"/>
        </w:r>
        <w:r>
          <w:t>30</w:t>
        </w:r>
        <w:r>
          <w:fldChar w:fldCharType="end"/>
        </w:r>
      </w:hyperlink>
    </w:p>
    <w:p>
      <w:pPr>
        <w:pStyle w:val="TOC1"/>
        <w:tabs>
          <w:tab w:val="right" w:leader="dot" w:pos="8306"/>
        </w:tabs>
      </w:pPr>
      <w:hyperlink w:anchor="_Toc13835" w:history="1">
        <w:r>
          <w:rPr>
            <w:rFonts w:ascii="仿宋" w:eastAsia="仿宋" w:hAnsi="仿宋" w:cs="仿宋" w:hint="eastAsia"/>
            <w:lang w:eastAsia="zh-CN"/>
          </w:rPr>
          <w:t>十、微生物肥料项目人力资源培养与发展</w:t>
        </w:r>
        <w:r>
          <w:tab/>
        </w:r>
        <w:r>
          <w:fldChar w:fldCharType="begin"/>
        </w:r>
        <w:r>
          <w:instrText xml:space="preserve"> PAGEREF _Toc13835 \h </w:instrText>
        </w:r>
        <w:r>
          <w:fldChar w:fldCharType="separate"/>
        </w:r>
        <w:r>
          <w:t>30</w:t>
        </w:r>
        <w:r>
          <w:fldChar w:fldCharType="end"/>
        </w:r>
      </w:hyperlink>
    </w:p>
    <w:p>
      <w:pPr>
        <w:pStyle w:val="TOC2"/>
        <w:tabs>
          <w:tab w:val="right" w:leader="dot" w:pos="8306"/>
        </w:tabs>
      </w:pPr>
      <w:hyperlink w:anchor="_Toc21905" w:history="1">
        <w:r>
          <w:rPr>
            <w:rFonts w:ascii="仿宋" w:eastAsia="仿宋" w:hAnsi="仿宋" w:cs="仿宋" w:hint="eastAsia"/>
            <w:lang w:eastAsia="zh-CN"/>
          </w:rPr>
          <w:t>(一)、人才需求与规划</w:t>
        </w:r>
        <w:r>
          <w:tab/>
        </w:r>
        <w:r>
          <w:fldChar w:fldCharType="begin"/>
        </w:r>
        <w:r>
          <w:instrText xml:space="preserve"> PAGEREF _Toc21905 \h </w:instrText>
        </w:r>
        <w:r>
          <w:fldChar w:fldCharType="separate"/>
        </w:r>
        <w:r>
          <w:t>30</w:t>
        </w:r>
        <w:r>
          <w:fldChar w:fldCharType="end"/>
        </w:r>
      </w:hyperlink>
    </w:p>
    <w:p>
      <w:pPr>
        <w:pStyle w:val="TOC2"/>
        <w:tabs>
          <w:tab w:val="right" w:leader="dot" w:pos="8306"/>
        </w:tabs>
      </w:pPr>
      <w:hyperlink w:anchor="_Toc395" w:history="1">
        <w:r>
          <w:rPr>
            <w:rFonts w:ascii="仿宋" w:eastAsia="仿宋" w:hAnsi="仿宋" w:cs="仿宋" w:hint="eastAsia"/>
            <w:lang w:eastAsia="zh-CN"/>
          </w:rPr>
          <w:t>(二)、培训与发展计划</w:t>
        </w:r>
        <w:r>
          <w:tab/>
        </w:r>
        <w:r>
          <w:fldChar w:fldCharType="begin"/>
        </w:r>
        <w:r>
          <w:instrText xml:space="preserve"> PAGEREF _Toc395 \h </w:instrText>
        </w:r>
        <w:r>
          <w:fldChar w:fldCharType="separate"/>
        </w:r>
        <w:r>
          <w:t>31</w:t>
        </w:r>
        <w:r>
          <w:fldChar w:fldCharType="end"/>
        </w:r>
      </w:hyperlink>
    </w:p>
    <w:p>
      <w:pPr>
        <w:pStyle w:val="TOC1"/>
        <w:tabs>
          <w:tab w:val="right" w:leader="dot" w:pos="8306"/>
        </w:tabs>
      </w:pPr>
      <w:hyperlink w:anchor="_Toc24299" w:history="1">
        <w:r>
          <w:rPr>
            <w:rFonts w:ascii="仿宋" w:eastAsia="仿宋" w:hAnsi="仿宋" w:cs="仿宋" w:hint="eastAsia"/>
            <w:lang w:eastAsia="zh-CN"/>
          </w:rPr>
          <w:t>十一、微生物肥料项目财务管理</w:t>
        </w:r>
        <w:r>
          <w:tab/>
        </w:r>
        <w:r>
          <w:fldChar w:fldCharType="begin"/>
        </w:r>
        <w:r>
          <w:instrText xml:space="preserve"> PAGEREF _Toc24299 \h </w:instrText>
        </w:r>
        <w:r>
          <w:fldChar w:fldCharType="separate"/>
        </w:r>
        <w:r>
          <w:t>31</w:t>
        </w:r>
        <w:r>
          <w:fldChar w:fldCharType="end"/>
        </w:r>
      </w:hyperlink>
    </w:p>
    <w:p>
      <w:pPr>
        <w:pStyle w:val="TOC2"/>
        <w:tabs>
          <w:tab w:val="right" w:leader="dot" w:pos="8306"/>
        </w:tabs>
      </w:pPr>
      <w:hyperlink w:anchor="_Toc24595" w:history="1">
        <w:r>
          <w:rPr>
            <w:rFonts w:ascii="仿宋" w:eastAsia="仿宋" w:hAnsi="仿宋" w:cs="仿宋" w:hint="eastAsia"/>
            <w:lang w:eastAsia="zh-CN"/>
          </w:rPr>
          <w:t>(一)、资金需求大</w:t>
        </w:r>
        <w:r>
          <w:tab/>
        </w:r>
        <w:r>
          <w:fldChar w:fldCharType="begin"/>
        </w:r>
        <w:r>
          <w:instrText xml:space="preserve"> PAGEREF _Toc24595 \h </w:instrText>
        </w:r>
        <w:r>
          <w:fldChar w:fldCharType="separate"/>
        </w:r>
        <w:r>
          <w:t>31</w:t>
        </w:r>
        <w:r>
          <w:fldChar w:fldCharType="end"/>
        </w:r>
      </w:hyperlink>
    </w:p>
    <w:p>
      <w:pPr>
        <w:pStyle w:val="TOC2"/>
        <w:tabs>
          <w:tab w:val="right" w:leader="dot" w:pos="8306"/>
        </w:tabs>
      </w:pPr>
      <w:hyperlink w:anchor="_Toc6451" w:history="1">
        <w:r>
          <w:rPr>
            <w:rFonts w:ascii="仿宋" w:eastAsia="仿宋" w:hAnsi="仿宋" w:cs="仿宋" w:hint="eastAsia"/>
            <w:lang w:eastAsia="zh-CN"/>
          </w:rPr>
          <w:t>(二)、研发周期长</w:t>
        </w:r>
        <w:r>
          <w:tab/>
        </w:r>
        <w:r>
          <w:fldChar w:fldCharType="begin"/>
        </w:r>
        <w:r>
          <w:instrText xml:space="preserve"> PAGEREF _Toc6451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46" w:history="1">
        <w:r>
          <w:rPr>
            <w:rFonts w:ascii="仿宋" w:eastAsia="仿宋" w:hAnsi="仿宋" w:cs="仿宋" w:hint="eastAsia"/>
            <w:lang w:eastAsia="zh-CN"/>
          </w:rPr>
          <w:t>(三)、市场风险大</w:t>
        </w:r>
        <w:r>
          <w:tab/>
        </w:r>
        <w:r>
          <w:fldChar w:fldCharType="begin"/>
        </w:r>
        <w:r>
          <w:instrText xml:space="preserve"> PAGEREF _Toc24246 \h </w:instrText>
        </w:r>
        <w:r>
          <w:fldChar w:fldCharType="separate"/>
        </w:r>
        <w:r>
          <w:t>34</w:t>
        </w:r>
        <w:r>
          <w:fldChar w:fldCharType="end"/>
        </w:r>
      </w:hyperlink>
    </w:p>
    <w:p>
      <w:pPr>
        <w:pStyle w:val="TOC2"/>
        <w:tabs>
          <w:tab w:val="right" w:leader="dot" w:pos="8306"/>
        </w:tabs>
      </w:pPr>
      <w:hyperlink w:anchor="_Toc1912" w:history="1">
        <w:r>
          <w:rPr>
            <w:rFonts w:ascii="仿宋" w:eastAsia="仿宋" w:hAnsi="仿宋" w:cs="仿宋" w:hint="eastAsia"/>
            <w:lang w:eastAsia="zh-CN"/>
          </w:rPr>
          <w:t>(四)、利润率高</w:t>
        </w:r>
        <w:r>
          <w:tab/>
        </w:r>
        <w:r>
          <w:fldChar w:fldCharType="begin"/>
        </w:r>
        <w:r>
          <w:instrText xml:space="preserve"> PAGEREF _Toc1912 \h </w:instrText>
        </w:r>
        <w:r>
          <w:fldChar w:fldCharType="separate"/>
        </w:r>
        <w:r>
          <w:t>36</w:t>
        </w:r>
        <w:r>
          <w:fldChar w:fldCharType="end"/>
        </w:r>
      </w:hyperlink>
    </w:p>
    <w:p>
      <w:pPr>
        <w:pStyle w:val="TOC1"/>
        <w:tabs>
          <w:tab w:val="right" w:leader="dot" w:pos="8306"/>
        </w:tabs>
      </w:pPr>
      <w:hyperlink w:anchor="_Toc32133" w:history="1">
        <w:r>
          <w:rPr>
            <w:rFonts w:ascii="仿宋" w:eastAsia="仿宋" w:hAnsi="仿宋" w:cs="仿宋" w:hint="eastAsia"/>
            <w:lang w:eastAsia="zh-CN"/>
          </w:rPr>
          <w:t>十二、微生物肥料项目人力资源管理</w:t>
        </w:r>
        <w:r>
          <w:tab/>
        </w:r>
        <w:r>
          <w:fldChar w:fldCharType="begin"/>
        </w:r>
        <w:r>
          <w:instrText xml:space="preserve"> PAGEREF _Toc32133 \h </w:instrText>
        </w:r>
        <w:r>
          <w:fldChar w:fldCharType="separate"/>
        </w:r>
        <w:r>
          <w:t>38</w:t>
        </w:r>
        <w:r>
          <w:fldChar w:fldCharType="end"/>
        </w:r>
      </w:hyperlink>
    </w:p>
    <w:p>
      <w:pPr>
        <w:pStyle w:val="TOC2"/>
        <w:tabs>
          <w:tab w:val="right" w:leader="dot" w:pos="8306"/>
        </w:tabs>
      </w:pPr>
      <w:hyperlink w:anchor="_Toc30162" w:history="1">
        <w:r>
          <w:rPr>
            <w:rFonts w:ascii="仿宋" w:eastAsia="仿宋" w:hAnsi="仿宋" w:cs="仿宋" w:hint="eastAsia"/>
            <w:lang w:eastAsia="zh-CN"/>
          </w:rPr>
          <w:t>(一)、建立健全的预算管理制度</w:t>
        </w:r>
        <w:r>
          <w:tab/>
        </w:r>
        <w:r>
          <w:fldChar w:fldCharType="begin"/>
        </w:r>
        <w:r>
          <w:instrText xml:space="preserve"> PAGEREF _Toc30162 \h </w:instrText>
        </w:r>
        <w:r>
          <w:fldChar w:fldCharType="separate"/>
        </w:r>
        <w:r>
          <w:t>38</w:t>
        </w:r>
        <w:r>
          <w:fldChar w:fldCharType="end"/>
        </w:r>
      </w:hyperlink>
    </w:p>
    <w:p>
      <w:pPr>
        <w:pStyle w:val="TOC2"/>
        <w:tabs>
          <w:tab w:val="right" w:leader="dot" w:pos="8306"/>
        </w:tabs>
      </w:pPr>
      <w:hyperlink w:anchor="_Toc15167" w:history="1">
        <w:r>
          <w:rPr>
            <w:rFonts w:ascii="仿宋" w:eastAsia="仿宋" w:hAnsi="仿宋" w:cs="仿宋" w:hint="eastAsia"/>
            <w:lang w:eastAsia="zh-CN"/>
          </w:rPr>
          <w:t>(二)、加强资金流动监控</w:t>
        </w:r>
        <w:r>
          <w:tab/>
        </w:r>
        <w:r>
          <w:fldChar w:fldCharType="begin"/>
        </w:r>
        <w:r>
          <w:instrText xml:space="preserve"> PAGEREF _Toc15167 \h </w:instrText>
        </w:r>
        <w:r>
          <w:fldChar w:fldCharType="separate"/>
        </w:r>
        <w:r>
          <w:t>40</w:t>
        </w:r>
        <w:r>
          <w:fldChar w:fldCharType="end"/>
        </w:r>
      </w:hyperlink>
    </w:p>
    <w:p>
      <w:pPr>
        <w:pStyle w:val="TOC2"/>
        <w:tabs>
          <w:tab w:val="right" w:leader="dot" w:pos="8306"/>
        </w:tabs>
      </w:pPr>
      <w:hyperlink w:anchor="_Toc26344" w:history="1">
        <w:r>
          <w:rPr>
            <w:rFonts w:ascii="仿宋" w:eastAsia="仿宋" w:hAnsi="仿宋" w:cs="仿宋" w:hint="eastAsia"/>
            <w:lang w:eastAsia="zh-CN"/>
          </w:rPr>
          <w:t>(三)、制定完善的风险控制机制</w:t>
        </w:r>
        <w:r>
          <w:tab/>
        </w:r>
        <w:r>
          <w:fldChar w:fldCharType="begin"/>
        </w:r>
        <w:r>
          <w:instrText xml:space="preserve"> PAGEREF _Toc26344 \h </w:instrText>
        </w:r>
        <w:r>
          <w:fldChar w:fldCharType="separate"/>
        </w:r>
        <w:r>
          <w:t>41</w:t>
        </w:r>
        <w:r>
          <w:fldChar w:fldCharType="end"/>
        </w:r>
      </w:hyperlink>
    </w:p>
    <w:p>
      <w:pPr>
        <w:pStyle w:val="TOC2"/>
        <w:tabs>
          <w:tab w:val="right" w:leader="dot" w:pos="8306"/>
        </w:tabs>
      </w:pPr>
      <w:hyperlink w:anchor="_Toc6986" w:history="1">
        <w:r>
          <w:rPr>
            <w:rFonts w:ascii="仿宋" w:eastAsia="仿宋" w:hAnsi="仿宋" w:cs="仿宋" w:hint="eastAsia"/>
            <w:lang w:eastAsia="zh-CN"/>
          </w:rPr>
          <w:t>(四)、优化成本管理</w:t>
        </w:r>
        <w:r>
          <w:tab/>
        </w:r>
        <w:r>
          <w:fldChar w:fldCharType="begin"/>
        </w:r>
        <w:r>
          <w:instrText xml:space="preserve"> PAGEREF _Toc6986 \h </w:instrText>
        </w:r>
        <w:r>
          <w:fldChar w:fldCharType="separate"/>
        </w:r>
        <w:r>
          <w:t>42</w:t>
        </w:r>
        <w:r>
          <w:fldChar w:fldCharType="end"/>
        </w:r>
      </w:hyperlink>
    </w:p>
    <w:p>
      <w:pPr>
        <w:pStyle w:val="TOC1"/>
        <w:tabs>
          <w:tab w:val="right" w:leader="dot" w:pos="8306"/>
        </w:tabs>
      </w:pPr>
      <w:hyperlink w:anchor="_Toc5759" w:history="1">
        <w:r>
          <w:rPr>
            <w:rFonts w:ascii="仿宋" w:eastAsia="仿宋" w:hAnsi="仿宋" w:cs="仿宋" w:hint="eastAsia"/>
            <w:lang w:eastAsia="zh-CN"/>
          </w:rPr>
          <w:t>十三、利益相关者分析与沟通计划</w:t>
        </w:r>
        <w:r>
          <w:tab/>
        </w:r>
        <w:r>
          <w:fldChar w:fldCharType="begin"/>
        </w:r>
        <w:r>
          <w:instrText xml:space="preserve"> PAGEREF _Toc5759 \h </w:instrText>
        </w:r>
        <w:r>
          <w:fldChar w:fldCharType="separate"/>
        </w:r>
        <w:r>
          <w:t>44</w:t>
        </w:r>
        <w:r>
          <w:fldChar w:fldCharType="end"/>
        </w:r>
      </w:hyperlink>
    </w:p>
    <w:p>
      <w:pPr>
        <w:pStyle w:val="TOC2"/>
        <w:tabs>
          <w:tab w:val="right" w:leader="dot" w:pos="8306"/>
        </w:tabs>
      </w:pPr>
      <w:hyperlink w:anchor="_Toc24708" w:history="1">
        <w:r>
          <w:rPr>
            <w:rFonts w:ascii="仿宋" w:eastAsia="仿宋" w:hAnsi="仿宋" w:cs="仿宋" w:hint="eastAsia"/>
            <w:lang w:eastAsia="zh-CN"/>
          </w:rPr>
          <w:t>(一)、利益相关者分析</w:t>
        </w:r>
        <w:r>
          <w:tab/>
        </w:r>
        <w:r>
          <w:fldChar w:fldCharType="begin"/>
        </w:r>
        <w:r>
          <w:instrText xml:space="preserve"> PAGEREF _Toc24708 \h </w:instrText>
        </w:r>
        <w:r>
          <w:fldChar w:fldCharType="separate"/>
        </w:r>
        <w:r>
          <w:t>44</w:t>
        </w:r>
        <w:r>
          <w:fldChar w:fldCharType="end"/>
        </w:r>
      </w:hyperlink>
    </w:p>
    <w:p>
      <w:pPr>
        <w:pStyle w:val="TOC2"/>
        <w:tabs>
          <w:tab w:val="right" w:leader="dot" w:pos="8306"/>
        </w:tabs>
      </w:pPr>
      <w:hyperlink w:anchor="_Toc377" w:history="1">
        <w:r>
          <w:rPr>
            <w:rFonts w:ascii="仿宋" w:eastAsia="仿宋" w:hAnsi="仿宋" w:cs="仿宋" w:hint="eastAsia"/>
            <w:lang w:eastAsia="zh-CN"/>
          </w:rPr>
          <w:t>(二)、沟通计划</w:t>
        </w:r>
        <w:r>
          <w:tab/>
        </w:r>
        <w:r>
          <w:fldChar w:fldCharType="begin"/>
        </w:r>
        <w:r>
          <w:instrText xml:space="preserve"> PAGEREF _Toc377 \h </w:instrText>
        </w:r>
        <w:r>
          <w:fldChar w:fldCharType="separate"/>
        </w:r>
        <w:r>
          <w:t>45</w:t>
        </w:r>
        <w:r>
          <w:fldChar w:fldCharType="end"/>
        </w:r>
      </w:hyperlink>
    </w:p>
    <w:p>
      <w:pPr>
        <w:pStyle w:val="TOC1"/>
        <w:tabs>
          <w:tab w:val="right" w:leader="dot" w:pos="8306"/>
        </w:tabs>
      </w:pPr>
      <w:hyperlink w:anchor="_Toc19389" w:history="1">
        <w:r>
          <w:rPr>
            <w:rFonts w:ascii="仿宋" w:eastAsia="仿宋" w:hAnsi="仿宋" w:cs="仿宋" w:hint="eastAsia"/>
            <w:lang w:eastAsia="zh-CN"/>
          </w:rPr>
          <w:t>十四、微生物肥料项目工程方案分析</w:t>
        </w:r>
        <w:r>
          <w:tab/>
        </w:r>
        <w:r>
          <w:fldChar w:fldCharType="begin"/>
        </w:r>
        <w:r>
          <w:instrText xml:space="preserve"> PAGEREF _Toc19389 \h </w:instrText>
        </w:r>
        <w:r>
          <w:fldChar w:fldCharType="separate"/>
        </w:r>
        <w:r>
          <w:t>46</w:t>
        </w:r>
        <w:r>
          <w:fldChar w:fldCharType="end"/>
        </w:r>
      </w:hyperlink>
    </w:p>
    <w:p>
      <w:pPr>
        <w:pStyle w:val="TOC2"/>
        <w:tabs>
          <w:tab w:val="right" w:leader="dot" w:pos="8306"/>
        </w:tabs>
      </w:pPr>
      <w:hyperlink w:anchor="_Toc9978" w:history="1">
        <w:r>
          <w:rPr>
            <w:rFonts w:ascii="仿宋" w:eastAsia="仿宋" w:hAnsi="仿宋" w:cs="仿宋" w:hint="eastAsia"/>
            <w:lang w:eastAsia="zh-CN"/>
          </w:rPr>
          <w:t>(一)、建筑工程设计原则</w:t>
        </w:r>
        <w:r>
          <w:tab/>
        </w:r>
        <w:r>
          <w:fldChar w:fldCharType="begin"/>
        </w:r>
        <w:r>
          <w:instrText xml:space="preserve"> PAGEREF _Toc9978 \h </w:instrText>
        </w:r>
        <w:r>
          <w:fldChar w:fldCharType="separate"/>
        </w:r>
        <w:r>
          <w:t>46</w:t>
        </w:r>
        <w:r>
          <w:fldChar w:fldCharType="end"/>
        </w:r>
      </w:hyperlink>
    </w:p>
    <w:p>
      <w:pPr>
        <w:pStyle w:val="TOC2"/>
        <w:tabs>
          <w:tab w:val="right" w:leader="dot" w:pos="8306"/>
        </w:tabs>
      </w:pPr>
      <w:hyperlink w:anchor="_Toc25298" w:history="1">
        <w:r>
          <w:rPr>
            <w:rFonts w:ascii="仿宋" w:eastAsia="仿宋" w:hAnsi="仿宋" w:cs="仿宋" w:hint="eastAsia"/>
            <w:lang w:eastAsia="zh-CN"/>
          </w:rPr>
          <w:t>(二)、土建工程建设指标</w:t>
        </w:r>
        <w:r>
          <w:tab/>
        </w:r>
        <w:r>
          <w:fldChar w:fldCharType="begin"/>
        </w:r>
        <w:r>
          <w:instrText xml:space="preserve"> PAGEREF _Toc25298 \h </w:instrText>
        </w:r>
        <w:r>
          <w:fldChar w:fldCharType="separate"/>
        </w:r>
        <w:r>
          <w:t>49</w:t>
        </w:r>
        <w:r>
          <w:fldChar w:fldCharType="end"/>
        </w:r>
      </w:hyperlink>
    </w:p>
    <w:p>
      <w:pPr>
        <w:pStyle w:val="TOC1"/>
        <w:tabs>
          <w:tab w:val="right" w:leader="dot" w:pos="8306"/>
        </w:tabs>
      </w:pPr>
      <w:hyperlink w:anchor="_Toc5006" w:history="1">
        <w:r>
          <w:rPr>
            <w:rFonts w:ascii="仿宋" w:eastAsia="仿宋" w:hAnsi="仿宋" w:cs="仿宋" w:hint="eastAsia"/>
            <w:lang w:eastAsia="zh-CN"/>
          </w:rPr>
          <w:t>十五、风险识别与分类</w:t>
        </w:r>
        <w:r>
          <w:tab/>
        </w:r>
        <w:r>
          <w:fldChar w:fldCharType="begin"/>
        </w:r>
        <w:r>
          <w:instrText xml:space="preserve"> PAGEREF _Toc5006 \h </w:instrText>
        </w:r>
        <w:r>
          <w:fldChar w:fldCharType="separate"/>
        </w:r>
        <w:r>
          <w:t>51</w:t>
        </w:r>
        <w:r>
          <w:fldChar w:fldCharType="end"/>
        </w:r>
      </w:hyperlink>
    </w:p>
    <w:p>
      <w:pPr>
        <w:pStyle w:val="TOC2"/>
        <w:tabs>
          <w:tab w:val="right" w:leader="dot" w:pos="8306"/>
        </w:tabs>
      </w:pPr>
      <w:hyperlink w:anchor="_Toc11710" w:history="1">
        <w:r>
          <w:rPr>
            <w:rFonts w:ascii="仿宋" w:eastAsia="仿宋" w:hAnsi="仿宋" w:cs="仿宋" w:hint="eastAsia"/>
            <w:lang w:eastAsia="zh-CN"/>
          </w:rPr>
          <w:t>(一)、风险识别</w:t>
        </w:r>
        <w:r>
          <w:tab/>
        </w:r>
        <w:r>
          <w:fldChar w:fldCharType="begin"/>
        </w:r>
        <w:r>
          <w:instrText xml:space="preserve"> PAGEREF _Toc11710 \h </w:instrText>
        </w:r>
        <w:r>
          <w:fldChar w:fldCharType="separate"/>
        </w:r>
        <w:r>
          <w:t>51</w:t>
        </w:r>
        <w:r>
          <w:fldChar w:fldCharType="end"/>
        </w:r>
      </w:hyperlink>
    </w:p>
    <w:p>
      <w:pPr>
        <w:pStyle w:val="TOC2"/>
        <w:tabs>
          <w:tab w:val="right" w:leader="dot" w:pos="8306"/>
        </w:tabs>
      </w:pPr>
      <w:hyperlink w:anchor="_Toc3704" w:history="1">
        <w:r>
          <w:rPr>
            <w:rFonts w:ascii="仿宋" w:eastAsia="仿宋" w:hAnsi="仿宋" w:cs="仿宋" w:hint="eastAsia"/>
            <w:lang w:eastAsia="zh-CN"/>
          </w:rPr>
          <w:t>(二)、风险分类</w:t>
        </w:r>
        <w:r>
          <w:tab/>
        </w:r>
        <w:r>
          <w:fldChar w:fldCharType="begin"/>
        </w:r>
        <w:r>
          <w:instrText xml:space="preserve"> PAGEREF _Toc3704 \h </w:instrText>
        </w:r>
        <w:r>
          <w:fldChar w:fldCharType="separate"/>
        </w:r>
        <w:r>
          <w:t>52</w:t>
        </w:r>
        <w:r>
          <w:fldChar w:fldCharType="end"/>
        </w:r>
      </w:hyperlink>
    </w:p>
    <w:p>
      <w:pPr>
        <w:pStyle w:val="TOC1"/>
        <w:tabs>
          <w:tab w:val="right" w:leader="dot" w:pos="8306"/>
        </w:tabs>
      </w:pPr>
      <w:hyperlink w:anchor="_Toc286" w:history="1">
        <w:r>
          <w:rPr>
            <w:rFonts w:ascii="仿宋" w:eastAsia="仿宋" w:hAnsi="仿宋" w:cs="仿宋" w:hint="eastAsia"/>
            <w:lang w:eastAsia="zh-CN"/>
          </w:rPr>
          <w:t>十六、质量管理体系</w:t>
        </w:r>
        <w:r>
          <w:tab/>
        </w:r>
        <w:r>
          <w:fldChar w:fldCharType="begin"/>
        </w:r>
        <w:r>
          <w:instrText xml:space="preserve"> PAGEREF _Toc286 \h </w:instrText>
        </w:r>
        <w:r>
          <w:fldChar w:fldCharType="separate"/>
        </w:r>
        <w:r>
          <w:t>54</w:t>
        </w:r>
        <w:r>
          <w:fldChar w:fldCharType="end"/>
        </w:r>
      </w:hyperlink>
    </w:p>
    <w:p>
      <w:pPr>
        <w:pStyle w:val="TOC2"/>
        <w:tabs>
          <w:tab w:val="right" w:leader="dot" w:pos="8306"/>
        </w:tabs>
      </w:pPr>
      <w:hyperlink w:anchor="_Toc17052" w:history="1">
        <w:r>
          <w:rPr>
            <w:rFonts w:ascii="仿宋" w:eastAsia="仿宋" w:hAnsi="仿宋" w:cs="仿宋" w:hint="eastAsia"/>
            <w:lang w:eastAsia="zh-CN"/>
          </w:rPr>
          <w:t>(一)、质量目标与方针</w:t>
        </w:r>
        <w:r>
          <w:tab/>
        </w:r>
        <w:r>
          <w:fldChar w:fldCharType="begin"/>
        </w:r>
        <w:r>
          <w:instrText xml:space="preserve"> PAGEREF _Toc17052 \h </w:instrText>
        </w:r>
        <w:r>
          <w:fldChar w:fldCharType="separate"/>
        </w:r>
        <w:r>
          <w:t>54</w:t>
        </w:r>
        <w:r>
          <w:fldChar w:fldCharType="end"/>
        </w:r>
      </w:hyperlink>
    </w:p>
    <w:p>
      <w:pPr>
        <w:pStyle w:val="TOC2"/>
        <w:tabs>
          <w:tab w:val="right" w:leader="dot" w:pos="8306"/>
        </w:tabs>
      </w:pPr>
      <w:hyperlink w:anchor="_Toc27137" w:history="1">
        <w:r>
          <w:rPr>
            <w:rFonts w:ascii="仿宋" w:eastAsia="仿宋" w:hAnsi="仿宋" w:cs="仿宋" w:hint="eastAsia"/>
            <w:lang w:eastAsia="zh-CN"/>
          </w:rPr>
          <w:t>(二)、质量管理责任</w:t>
        </w:r>
        <w:r>
          <w:tab/>
        </w:r>
        <w:r>
          <w:fldChar w:fldCharType="begin"/>
        </w:r>
        <w:r>
          <w:instrText xml:space="preserve"> PAGEREF _Toc27137 \h </w:instrText>
        </w:r>
        <w:r>
          <w:fldChar w:fldCharType="separate"/>
        </w:r>
        <w:r>
          <w:t>55</w:t>
        </w:r>
        <w:r>
          <w:fldChar w:fldCharType="end"/>
        </w:r>
      </w:hyperlink>
    </w:p>
    <w:p>
      <w:pPr>
        <w:pStyle w:val="TOC2"/>
        <w:tabs>
          <w:tab w:val="right" w:leader="dot" w:pos="8306"/>
        </w:tabs>
      </w:pPr>
      <w:hyperlink w:anchor="_Toc18339" w:history="1">
        <w:r>
          <w:rPr>
            <w:rFonts w:ascii="仿宋" w:eastAsia="仿宋" w:hAnsi="仿宋" w:cs="仿宋" w:hint="eastAsia"/>
            <w:lang w:eastAsia="zh-CN"/>
          </w:rPr>
          <w:t>(三)、质量管理体系文件</w:t>
        </w:r>
        <w:r>
          <w:tab/>
        </w:r>
        <w:r>
          <w:fldChar w:fldCharType="begin"/>
        </w:r>
        <w:r>
          <w:instrText xml:space="preserve"> PAGEREF _Toc18339 \h </w:instrText>
        </w:r>
        <w:r>
          <w:fldChar w:fldCharType="separate"/>
        </w:r>
        <w:r>
          <w:t>57</w:t>
        </w:r>
        <w:r>
          <w:fldChar w:fldCharType="end"/>
        </w:r>
      </w:hyperlink>
    </w:p>
    <w:p>
      <w:pPr>
        <w:pStyle w:val="TOC2"/>
        <w:tabs>
          <w:tab w:val="right" w:leader="dot" w:pos="8306"/>
        </w:tabs>
      </w:pPr>
      <w:hyperlink w:anchor="_Toc11510" w:history="1">
        <w:r>
          <w:rPr>
            <w:rFonts w:ascii="仿宋" w:eastAsia="仿宋" w:hAnsi="仿宋" w:cs="仿宋" w:hint="eastAsia"/>
            <w:lang w:eastAsia="zh-CN"/>
          </w:rPr>
          <w:t>(四)、质量培训与教育</w:t>
        </w:r>
        <w:r>
          <w:tab/>
        </w:r>
        <w:r>
          <w:fldChar w:fldCharType="begin"/>
        </w:r>
        <w:r>
          <w:instrText xml:space="preserve"> PAGEREF _Toc11510 \h </w:instrText>
        </w:r>
        <w:r>
          <w:fldChar w:fldCharType="separate"/>
        </w:r>
        <w:r>
          <w:t>59</w:t>
        </w:r>
        <w:r>
          <w:fldChar w:fldCharType="end"/>
        </w:r>
      </w:hyperlink>
    </w:p>
    <w:p>
      <w:pPr>
        <w:pStyle w:val="TOC2"/>
        <w:tabs>
          <w:tab w:val="right" w:leader="dot" w:pos="8306"/>
        </w:tabs>
      </w:pPr>
      <w:hyperlink w:anchor="_Toc21830" w:history="1">
        <w:r>
          <w:rPr>
            <w:rFonts w:ascii="仿宋" w:eastAsia="仿宋" w:hAnsi="仿宋" w:cs="仿宋" w:hint="eastAsia"/>
            <w:lang w:eastAsia="zh-CN"/>
          </w:rPr>
          <w:t>(五)、质量审核与评价</w:t>
        </w:r>
        <w:r>
          <w:tab/>
        </w:r>
        <w:r>
          <w:fldChar w:fldCharType="begin"/>
        </w:r>
        <w:r>
          <w:instrText xml:space="preserve"> PAGEREF _Toc21830 \h </w:instrText>
        </w:r>
        <w:r>
          <w:fldChar w:fldCharType="separate"/>
        </w:r>
        <w:r>
          <w:t>60</w:t>
        </w:r>
        <w:r>
          <w:fldChar w:fldCharType="end"/>
        </w:r>
      </w:hyperlink>
    </w:p>
    <w:p>
      <w:pPr>
        <w:pStyle w:val="TOC2"/>
        <w:tabs>
          <w:tab w:val="right" w:leader="dot" w:pos="8306"/>
        </w:tabs>
      </w:pPr>
      <w:hyperlink w:anchor="_Toc6828" w:history="1">
        <w:r>
          <w:rPr>
            <w:rFonts w:ascii="仿宋" w:eastAsia="仿宋" w:hAnsi="仿宋" w:cs="仿宋" w:hint="eastAsia"/>
            <w:lang w:eastAsia="zh-CN"/>
          </w:rPr>
          <w:t>(六)、不符合与纠正措施</w:t>
        </w:r>
        <w:r>
          <w:tab/>
        </w:r>
        <w:r>
          <w:fldChar w:fldCharType="begin"/>
        </w:r>
        <w:r>
          <w:instrText xml:space="preserve"> PAGEREF _Toc6828 \h </w:instrText>
        </w:r>
        <w:r>
          <w:fldChar w:fldCharType="separate"/>
        </w:r>
        <w:r>
          <w:t>61</w:t>
        </w:r>
        <w:r>
          <w:fldChar w:fldCharType="end"/>
        </w:r>
      </w:hyperlink>
    </w:p>
    <w:p>
      <w:pPr>
        <w:pStyle w:val="TOC1"/>
        <w:tabs>
          <w:tab w:val="right" w:leader="dot" w:pos="8306"/>
        </w:tabs>
      </w:pPr>
      <w:hyperlink w:anchor="_Toc31203" w:history="1">
        <w:r>
          <w:rPr>
            <w:rFonts w:ascii="仿宋" w:eastAsia="仿宋" w:hAnsi="仿宋" w:cs="仿宋" w:hint="eastAsia"/>
            <w:lang w:eastAsia="zh-CN"/>
          </w:rPr>
          <w:t>十七、供应链管理</w:t>
        </w:r>
        <w:r>
          <w:tab/>
        </w:r>
        <w:r>
          <w:fldChar w:fldCharType="begin"/>
        </w:r>
        <w:r>
          <w:instrText xml:space="preserve"> PAGEREF _Toc31203 \h </w:instrText>
        </w:r>
        <w:r>
          <w:fldChar w:fldCharType="separate"/>
        </w:r>
        <w:r>
          <w:t>62</w:t>
        </w:r>
        <w:r>
          <w:fldChar w:fldCharType="end"/>
        </w:r>
      </w:hyperlink>
    </w:p>
    <w:p>
      <w:pPr>
        <w:pStyle w:val="TOC2"/>
        <w:tabs>
          <w:tab w:val="right" w:leader="dot" w:pos="8306"/>
        </w:tabs>
      </w:pPr>
      <w:hyperlink w:anchor="_Toc20151" w:history="1">
        <w:r>
          <w:rPr>
            <w:rFonts w:ascii="仿宋" w:eastAsia="仿宋" w:hAnsi="仿宋" w:cs="仿宋" w:hint="eastAsia"/>
            <w:lang w:eastAsia="zh-CN"/>
          </w:rPr>
          <w:t>(一)、供应链战略规划</w:t>
        </w:r>
        <w:r>
          <w:tab/>
        </w:r>
        <w:r>
          <w:fldChar w:fldCharType="begin"/>
        </w:r>
        <w:r>
          <w:instrText xml:space="preserve"> PAGEREF _Toc20151 \h </w:instrText>
        </w:r>
        <w:r>
          <w:fldChar w:fldCharType="separate"/>
        </w:r>
        <w:r>
          <w:t>62</w:t>
        </w:r>
        <w:r>
          <w:fldChar w:fldCharType="end"/>
        </w:r>
      </w:hyperlink>
    </w:p>
    <w:p>
      <w:pPr>
        <w:pStyle w:val="TOC2"/>
        <w:tabs>
          <w:tab w:val="right" w:leader="dot" w:pos="8306"/>
        </w:tabs>
      </w:pPr>
      <w:hyperlink w:anchor="_Toc14023" w:history="1">
        <w:r>
          <w:rPr>
            <w:rFonts w:ascii="仿宋" w:eastAsia="仿宋" w:hAnsi="仿宋" w:cs="仿宋" w:hint="eastAsia"/>
            <w:lang w:eastAsia="zh-CN"/>
          </w:rPr>
          <w:t>(二)、供应商选择与合作</w:t>
        </w:r>
        <w:r>
          <w:tab/>
        </w:r>
        <w:r>
          <w:fldChar w:fldCharType="begin"/>
        </w:r>
        <w:r>
          <w:instrText xml:space="preserve"> PAGEREF _Toc14023 \h </w:instrText>
        </w:r>
        <w:r>
          <w:fldChar w:fldCharType="separate"/>
        </w:r>
        <w:r>
          <w:t>64</w:t>
        </w:r>
        <w:r>
          <w:fldChar w:fldCharType="end"/>
        </w:r>
      </w:hyperlink>
    </w:p>
    <w:p>
      <w:pPr>
        <w:pStyle w:val="TOC2"/>
        <w:tabs>
          <w:tab w:val="right" w:leader="dot" w:pos="8306"/>
        </w:tabs>
      </w:pPr>
      <w:hyperlink w:anchor="_Toc20770" w:history="1">
        <w:r>
          <w:rPr>
            <w:rFonts w:ascii="仿宋" w:eastAsia="仿宋" w:hAnsi="仿宋" w:cs="仿宋" w:hint="eastAsia"/>
            <w:lang w:eastAsia="zh-CN"/>
          </w:rPr>
          <w:t>(三)、物流与库存管理</w:t>
        </w:r>
        <w:r>
          <w:tab/>
        </w:r>
        <w:r>
          <w:fldChar w:fldCharType="begin"/>
        </w:r>
        <w:r>
          <w:instrText xml:space="preserve"> PAGEREF _Toc20770 \h </w:instrText>
        </w:r>
        <w:r>
          <w:fldChar w:fldCharType="separate"/>
        </w:r>
        <w:r>
          <w:t>65</w:t>
        </w:r>
        <w:r>
          <w:fldChar w:fldCharType="end"/>
        </w:r>
      </w:hyperlink>
    </w:p>
    <w:p>
      <w:pPr>
        <w:pStyle w:val="TOC1"/>
        <w:tabs>
          <w:tab w:val="right" w:leader="dot" w:pos="8306"/>
        </w:tabs>
      </w:pPr>
      <w:hyperlink w:anchor="_Toc14300" w:history="1">
        <w:r>
          <w:rPr>
            <w:rFonts w:ascii="仿宋" w:eastAsia="仿宋" w:hAnsi="仿宋" w:cs="仿宋" w:hint="eastAsia"/>
            <w:lang w:eastAsia="zh-CN"/>
          </w:rPr>
          <w:t>十八、微生物肥料项目实施保障措施</w:t>
        </w:r>
        <w:r>
          <w:tab/>
        </w:r>
        <w:r>
          <w:fldChar w:fldCharType="begin"/>
        </w:r>
        <w:r>
          <w:instrText xml:space="preserve"> PAGEREF _Toc14300 \h </w:instrText>
        </w:r>
        <w:r>
          <w:fldChar w:fldCharType="separate"/>
        </w:r>
        <w:r>
          <w:t>66</w:t>
        </w:r>
        <w:r>
          <w:fldChar w:fldCharType="end"/>
        </w:r>
      </w:hyperlink>
    </w:p>
    <w:p>
      <w:pPr>
        <w:pStyle w:val="TOC2"/>
        <w:tabs>
          <w:tab w:val="right" w:leader="dot" w:pos="8306"/>
        </w:tabs>
      </w:pPr>
      <w:hyperlink w:anchor="_Toc6655" w:history="1">
        <w:r>
          <w:rPr>
            <w:rFonts w:ascii="仿宋" w:eastAsia="仿宋" w:hAnsi="仿宋" w:cs="仿宋" w:hint="eastAsia"/>
            <w:lang w:eastAsia="zh-CN"/>
          </w:rPr>
          <w:t>(一)、微生物肥料项目实施保障机制</w:t>
        </w:r>
        <w:r>
          <w:tab/>
        </w:r>
        <w:r>
          <w:fldChar w:fldCharType="begin"/>
        </w:r>
        <w:r>
          <w:instrText xml:space="preserve"> PAGEREF _Toc6655 \h </w:instrText>
        </w:r>
        <w:r>
          <w:fldChar w:fldCharType="separate"/>
        </w:r>
        <w:r>
          <w:t>66</w:t>
        </w:r>
        <w:r>
          <w:fldChar w:fldCharType="end"/>
        </w:r>
      </w:hyperlink>
    </w:p>
    <w:p>
      <w:pPr>
        <w:pStyle w:val="TOC2"/>
        <w:tabs>
          <w:tab w:val="right" w:leader="dot" w:pos="8306"/>
        </w:tabs>
      </w:pPr>
      <w:hyperlink w:anchor="_Toc18833" w:history="1">
        <w:r>
          <w:rPr>
            <w:rFonts w:ascii="仿宋" w:eastAsia="仿宋" w:hAnsi="仿宋" w:cs="仿宋" w:hint="eastAsia"/>
            <w:lang w:eastAsia="zh-CN"/>
          </w:rPr>
          <w:t>(二)、微生物肥料项目法律合规要求</w:t>
        </w:r>
        <w:r>
          <w:tab/>
        </w:r>
        <w:r>
          <w:fldChar w:fldCharType="begin"/>
        </w:r>
        <w:r>
          <w:instrText xml:space="preserve"> PAGEREF _Toc18833 \h </w:instrText>
        </w:r>
        <w:r>
          <w:fldChar w:fldCharType="separate"/>
        </w:r>
        <w:r>
          <w:t>70</w:t>
        </w:r>
        <w:r>
          <w:fldChar w:fldCharType="end"/>
        </w:r>
      </w:hyperlink>
    </w:p>
    <w:p>
      <w:pPr>
        <w:pStyle w:val="TOC2"/>
        <w:tabs>
          <w:tab w:val="right" w:leader="dot" w:pos="8306"/>
        </w:tabs>
      </w:pPr>
      <w:hyperlink w:anchor="_Toc11801" w:history="1">
        <w:r>
          <w:rPr>
            <w:rFonts w:ascii="仿宋" w:eastAsia="仿宋" w:hAnsi="仿宋" w:cs="仿宋" w:hint="eastAsia"/>
            <w:lang w:eastAsia="zh-CN"/>
          </w:rPr>
          <w:t>(三)、微生物肥料项目合同管理与法律事务</w:t>
        </w:r>
        <w:r>
          <w:tab/>
        </w:r>
        <w:r>
          <w:fldChar w:fldCharType="begin"/>
        </w:r>
        <w:r>
          <w:instrText xml:space="preserve"> PAGEREF _Toc11801 \h </w:instrText>
        </w:r>
        <w:r>
          <w:fldChar w:fldCharType="separate"/>
        </w:r>
        <w:r>
          <w:t>74</w:t>
        </w:r>
        <w:r>
          <w:fldChar w:fldCharType="end"/>
        </w:r>
      </w:hyperlink>
    </w:p>
    <w:p>
      <w:pPr>
        <w:pStyle w:val="TOC2"/>
        <w:tabs>
          <w:tab w:val="right" w:leader="dot" w:pos="8306"/>
        </w:tabs>
      </w:pPr>
      <w:hyperlink w:anchor="_Toc1848" w:history="1">
        <w:r>
          <w:rPr>
            <w:rFonts w:ascii="仿宋" w:eastAsia="仿宋" w:hAnsi="仿宋" w:cs="仿宋" w:hint="eastAsia"/>
            <w:lang w:eastAsia="zh-CN"/>
          </w:rPr>
          <w:t>(四)、微生物肥料项目知识产权保护策略</w:t>
        </w:r>
        <w:r>
          <w:tab/>
        </w:r>
        <w:r>
          <w:fldChar w:fldCharType="begin"/>
        </w:r>
        <w:r>
          <w:instrText xml:space="preserve"> PAGEREF _Toc1848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3"/>
      <w:r>
        <w:rPr>
          <w:rFonts w:ascii="仿宋" w:eastAsia="仿宋" w:hAnsi="仿宋" w:cs="仿宋" w:hint="eastAsia"/>
          <w:sz w:val="28"/>
          <w:lang w:eastAsia="zh-CN"/>
        </w:rPr>
        <w:t>一、微生物肥料项目危机管理</w:t>
      </w:r>
      <w:bookmarkEnd w:id="2"/>
    </w:p>
    <w:p>
      <w:pPr>
        <w:pStyle w:val="Heading2"/>
        <w:rPr>
          <w:rFonts w:ascii="仿宋" w:eastAsia="仿宋" w:hAnsi="仿宋" w:cs="仿宋" w:hint="eastAsia"/>
          <w:lang w:eastAsia="zh-CN"/>
        </w:rPr>
      </w:pPr>
      <w:bookmarkStart w:id="3" w:name="_Toc271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危机管理中，危机预警与识别是确保微生物肥料项目稳健运行的核心步骤。通过建立全面的监测机制，微生物肥料项目团队旨在及时发现和理解潜在的风险和危机因素，以便采取及时的预防和应对措施，确保微生物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首先，通过深入的风险评估，微生物肥料项目团队全面分析了整个微生物肥料项目和各个阶段可能存在的威胁。这包括准确评估每个潜在风险的发生概率和可能影响的程度，为后续危机预警提供了有力支持。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微生物肥料项目团队着重于明确定义微生物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生物肥料项目进展的持续监控，团队能够及时发现潜在问题并作出迅速反应。微生物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在这一阶段，团队的专业素养和反应速度将发挥至关重要的作用，以确保潜在危机能够在初期得到有效的处理，最大程度地减轻负面影响。通过危机预警与识别，微生物肥料项目得以更有序、可控地推进。</w:t>
      </w:r>
    </w:p>
    <w:p>
      <w:pPr>
        <w:pStyle w:val="Heading2"/>
        <w:ind w:firstLine="560" w:firstLineChars="200"/>
        <w:rPr>
          <w:rFonts w:ascii="仿宋" w:eastAsia="仿宋" w:hAnsi="仿宋" w:cs="仿宋" w:hint="eastAsia"/>
          <w:sz w:val="28"/>
          <w:lang w:eastAsia="zh-CN"/>
        </w:rPr>
      </w:pPr>
      <w:bookmarkStart w:id="4" w:name="_Toc298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在危机发生时，微生物肥料项目团队立即行动，成立了应急小组。该小组的任务是迅速制定并实施紧急应对措施，以最小化潜在损失。以下是采取的主要措施：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暂停微生物肥料项目进度：为遏制危机蔓延，微生物肥料项目暂时停止进行，以便全面评估当前状况。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资源重新分配：重新评估微生物肥料项目资源的分配，确保最大限度地减小损失。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实时沟通：与关键利益相关者建立实时沟通机制，向他们传递微生物肥料项目危机的实际状况，保障微生物肥料项目核心利益。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在紧急应对的同时，微生物肥料项目团队强调了团队协作和有效沟通的重要性。以下是团队协作的关键举措：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信息共享机制：建立了信息共享平台，确保团队成员能够及时获取微生物肥料项目危机的实时信息。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领导者沟通：微生物肥料项目领导者通过定期会议和即时沟通工具，指导团队应对危机，保持团队稳定运行。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随着危机得到初步控制，微生物肥料项目团队转向制定恢复计划，以确保微生物肥料项目能够从中迅速恢复。主要恢复计划包括：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修复受损的进度计划：重新评估微生物肥料项目进度，制定修复计划，确保微生物肥料项目尽快回归正常进程。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重新调整资源分配：优化资源分配，确保微生物肥料项目在有限资源下高效运转。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风险管理机制加强：对微生物肥料项目风险进行全面评估，制定更强化的风险管理策略，以预防未来可能的危机。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582"/>
      <w:r>
        <w:rPr>
          <w:rFonts w:ascii="仿宋" w:eastAsia="仿宋" w:hAnsi="仿宋" w:cs="仿宋" w:hint="eastAsia"/>
          <w:sz w:val="28"/>
          <w:lang w:eastAsia="zh-CN"/>
        </w:rPr>
        <w:t>二、微生物肥料项目土建工程</w:t>
      </w:r>
      <w:bookmarkEnd w:id="5"/>
    </w:p>
    <w:p>
      <w:pPr>
        <w:pStyle w:val="Heading2"/>
        <w:rPr>
          <w:rFonts w:ascii="仿宋" w:eastAsia="仿宋" w:hAnsi="仿宋" w:cs="仿宋" w:hint="eastAsia"/>
          <w:lang w:eastAsia="zh-CN"/>
        </w:rPr>
      </w:pPr>
      <w:bookmarkStart w:id="6" w:name="_Toc48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在微生物肥料项目的建筑工程设计中，我们将秉承一系列重要的设计原则，以确保微生物肥料项目建筑在功能、美观、可持续性等方面达到最佳效果。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首要原则是确保建筑的功能性得到最大化的发挥。我们将充分理解微生物肥料项目的实际需求，合理布局各个功能区域，保证建筑在满足业务需求的同时，提供高效的工作环境。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在建筑设计中，我们将综合考虑建设和运营成本。通过精细的经济效益分析，确保设计方案在高效利用资源的同时，对微生物肥料项目的长期盈利能力有积极的贡献。</w:t>
      </w:r>
    </w:p>
    <w:p>
      <w:pPr>
        <w:pStyle w:val="Heading2"/>
        <w:ind w:firstLine="560" w:firstLineChars="200"/>
        <w:rPr>
          <w:rFonts w:ascii="仿宋" w:eastAsia="仿宋" w:hAnsi="仿宋" w:cs="仿宋" w:hint="eastAsia"/>
          <w:sz w:val="28"/>
          <w:lang w:eastAsia="zh-CN"/>
        </w:rPr>
      </w:pPr>
      <w:bookmarkStart w:id="7" w:name="_Toc130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的土建工程设计中，我们将精准设定设计年限，结合微生物肥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肥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5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肥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肥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肥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9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本期工程微生物肥料项目预计总建筑面积XXX平方米，其中：计容建筑面积XXX平方米，计划建筑工程投资XX万元，占微生物肥料项目总投资的XX%。</w:t>
      </w:r>
    </w:p>
    <w:p>
      <w:pPr>
        <w:pStyle w:val="Heading1"/>
        <w:ind w:firstLine="560" w:firstLineChars="200"/>
        <w:rPr>
          <w:rFonts w:ascii="仿宋" w:eastAsia="仿宋" w:hAnsi="仿宋" w:cs="仿宋" w:hint="eastAsia"/>
          <w:sz w:val="28"/>
          <w:lang w:eastAsia="zh-CN"/>
        </w:rPr>
      </w:pPr>
      <w:bookmarkStart w:id="10" w:name="_Toc3213"/>
      <w:r>
        <w:rPr>
          <w:rFonts w:ascii="仿宋" w:eastAsia="仿宋" w:hAnsi="仿宋" w:cs="仿宋" w:hint="eastAsia"/>
          <w:sz w:val="28"/>
          <w:lang w:eastAsia="zh-CN"/>
        </w:rPr>
        <w:t>三、微生物肥料项目选址可行性分析</w:t>
      </w:r>
      <w:bookmarkEnd w:id="10"/>
    </w:p>
    <w:p>
      <w:pPr>
        <w:pStyle w:val="Heading2"/>
        <w:rPr>
          <w:rFonts w:ascii="仿宋" w:eastAsia="仿宋" w:hAnsi="仿宋" w:cs="仿宋" w:hint="eastAsia"/>
          <w:lang w:eastAsia="zh-CN"/>
        </w:rPr>
      </w:pPr>
      <w:bookmarkStart w:id="11" w:name="_Toc20839"/>
      <w:r>
        <w:rPr>
          <w:rFonts w:ascii="仿宋" w:eastAsia="仿宋" w:hAnsi="仿宋" w:cs="仿宋" w:hint="eastAsia"/>
          <w:lang w:eastAsia="zh-CN"/>
        </w:rPr>
        <w:t>(一)、微生物肥料项目选址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该微生物肥料项目选址位于XX省XX市XX区XXX街道</w:t>
      </w:r>
    </w:p>
    <w:p>
      <w:pPr>
        <w:pStyle w:val="Heading2"/>
        <w:ind w:firstLine="560" w:firstLineChars="200"/>
        <w:rPr>
          <w:rFonts w:ascii="仿宋" w:eastAsia="仿宋" w:hAnsi="仿宋" w:cs="仿宋" w:hint="eastAsia"/>
          <w:sz w:val="28"/>
          <w:lang w:eastAsia="zh-CN"/>
        </w:rPr>
      </w:pPr>
      <w:bookmarkStart w:id="12" w:name="_Toc233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微生物肥料项目的征地面积将根据微生物肥料项目的实际规模和需求进行精确规划。具体面积XXX平方米，旨在确保微生物肥料项目不仅能够满足当前的发展需求，还能够预留空间以适应未来的扩展。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净用地面积是在征地面积基础上去除不可利用面积后的实际可开发用地。具体面积XXX平方米，考虑到环保、交通、安全等多方面因素，以确保微生物肥料项目在整体利用效率上达到最优。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微生物肥料项目计划建设的建筑总规模具体面积XXX平方米。这一规模的确定综合考虑了微生物肥料项目的性质、规模，以及城市规划的相关要求，确保建筑布局与周边环境协调一致。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绿地率是微生物肥料项目用地中被规划为绿地的比例。具体面积XXX平方米，旨在通过合理规划绿地，改善微生物肥料项目周边环境，提升居民生活质量，并符合城市整体绿化规划。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容积率是用地上可以建设的建筑总体积与用地面积之比。具体面积XXX，通过合理的容积率规划，确保微生物肥料项目建筑规模与周边环境和谐共生。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肥料项目选址与当地城市规划相一致，具体面积XXX平方米。通过与城市规划部门深入沟通，确保微生物肥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肥料项目选址符合当地产业政策，具体面积XXX平方米。这包括微生物肥料项目对当地经济的促进作用，以及对相关产业的带动效应，确保微生物肥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用地总体要求必须符合环保和可持续发展的原则，具体面积XXX平方米。通过采用绿色建筑设计、节能减排等措施，确保微生物肥料项目在建设和运营过程中对环境的影响最小化，达到可持续发展的要求。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确保微生物肥料项目选址具备必要的公共设施配套，具体面积XXX平方米。这包括交通便利性、教育、医疗等基础设施，以提高居民生活品质，使得微生物肥料项目选址更具吸引力。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考虑用地总体要求对当地社会稳定性的影响，具体面积XXX平方米。通过深入了解当地社区反馈，确保微生物肥料项目的选址和建设过程对当地社会和谐稳定产生积极作用。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肥料项目选址不仅符合法规和规划，还在实际操作中具有可行性。这一全面规划将为微生物肥料项目的成功实施提供坚实的基础，确保微生物肥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2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肥料项目的设备规划和空间设计中，我们将采取灵活设备布局的措施。设备布局将根据实际需求进行灵活设计，避免不必要的浪费。通过合理规划设备摆放位置，我们将提高设备的利用率，减少设备间距，以确保微生物肥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肥料项目内部引入共享设施的概念，例如共享会议室、办公区等。通过这种方式，我们可以减少对资源的重复建设，提高资源共享效率，从而减小微生物肥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34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肥料项目的总图布置中，我们将不同功能区域进行明确的规划，以最大程度满足微生物肥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81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肥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微生物肥料项目对环境的影响是综合评价的重要因素之一。我们将详细考虑选址周边的自然环境、生态保护区、水源地等情况，确保微生物肥料项目的建设和运营对环境影响最小化，并符合当地的环保法规标准。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对选址的评价还需充分考虑当地政府的产业政策和法规。我们将详细了解微生物肥料项目所在地的相关政策，确保微生物肥料项目的规划和运营与当地法规相符，降低不必要的法律风险。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考虑到社会稳定性对企业运营的重要性，我们将评估选址地区的社会安全情况、劳工关系、社区反馈等方面，以确保微生物肥料项目的建设和运营不会受到社会稳定性的负面影响。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最后，我们将综合考虑用地成本，包括土地购置费用、土地开发成本等。通过对用地成本的详细评估，我们能够做出更为精确的经济效益分析，为微生物肥料项目的投资决策提供有力支持。</w:t>
      </w:r>
    </w:p>
    <w:p>
      <w:pPr>
        <w:pStyle w:val="Heading1"/>
        <w:ind w:firstLine="560" w:firstLineChars="200"/>
        <w:rPr>
          <w:rFonts w:ascii="仿宋" w:eastAsia="仿宋" w:hAnsi="仿宋" w:cs="仿宋" w:hint="eastAsia"/>
          <w:sz w:val="28"/>
          <w:lang w:eastAsia="zh-CN"/>
        </w:rPr>
      </w:pPr>
      <w:bookmarkStart w:id="16" w:name="_Toc7270"/>
      <w:r>
        <w:rPr>
          <w:rFonts w:ascii="仿宋" w:eastAsia="仿宋" w:hAnsi="仿宋" w:cs="仿宋" w:hint="eastAsia"/>
          <w:sz w:val="28"/>
          <w:lang w:eastAsia="zh-CN"/>
        </w:rPr>
        <w:t>四、微生物肥料项目建设背景及必要性分析</w:t>
      </w:r>
      <w:bookmarkEnd w:id="16"/>
    </w:p>
    <w:p>
      <w:pPr>
        <w:pStyle w:val="Heading2"/>
        <w:rPr>
          <w:rFonts w:ascii="仿宋" w:eastAsia="仿宋" w:hAnsi="仿宋" w:cs="仿宋" w:hint="eastAsia"/>
          <w:lang w:eastAsia="zh-CN"/>
        </w:rPr>
      </w:pPr>
      <w:bookmarkStart w:id="17" w:name="_Toc12485"/>
      <w:r>
        <w:rPr>
          <w:rFonts w:ascii="仿宋" w:eastAsia="仿宋" w:hAnsi="仿宋" w:cs="仿宋" w:hint="eastAsia"/>
          <w:lang w:eastAsia="zh-CN"/>
        </w:rPr>
        <w:t>(一)、微生物肥料项目背景分析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生物肥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生物肥料项目在这个潮流中的定位。同时，我们将关注行业内涌现的新兴机遇，以便微生物肥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生物肥料项目提供了强大的发展动力。我们将聚焦于行业内最新的技术发展趋势，包括但不限于人工智能、大数据分析、物联网等领域。通过深度的技术研究，我们将确保微生物肥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生物肥料项目发展的源泉。我们将投入更多的精力对市场需求进行深入剖析，超越表面的需求，深入挖掘潜在的市场痛点和机遇。通过对市场需求的细致了解，微生物肥料项目将更有针对性地设计解决方案，满足市场的多样化需求，从而更好地促进微生物肥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生物肥料项目战略至关重要。我们将对竞争态势进行更为深入的分析，包括但不限于市场份额、产品特点、客户满意度等多个维度。通过深度的竞争分析，微生物肥料项目将能够更准确地把握市场脉搏，制定具有竞争力的微生物肥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微生物肥料项目的发展具有直接的影响。我们将进行更为全面的法规和政策分析，了解行业发展中的潜在法律风险和合规挑战。通过充分了解和遵守相关法规，微生物肥料项目将确保在法律框架内合法合规运营，为微生物肥料项目的稳健发展提供有力支持。</w:t>
      </w:r>
    </w:p>
    <w:p>
      <w:pPr>
        <w:pStyle w:val="Heading2"/>
        <w:ind w:firstLine="560" w:firstLineChars="200"/>
        <w:rPr>
          <w:rFonts w:ascii="仿宋" w:eastAsia="仿宋" w:hAnsi="仿宋" w:cs="仿宋" w:hint="eastAsia"/>
          <w:sz w:val="28"/>
          <w:lang w:eastAsia="zh-CN"/>
        </w:rPr>
      </w:pPr>
      <w:bookmarkStart w:id="18" w:name="_Toc32484"/>
      <w:r>
        <w:rPr>
          <w:rFonts w:ascii="仿宋" w:eastAsia="仿宋" w:hAnsi="仿宋" w:cs="仿宋" w:hint="eastAsia"/>
          <w:sz w:val="28"/>
          <w:lang w:eastAsia="zh-CN"/>
        </w:rPr>
        <w:t>(二)、微生物肥料项目建设必要性分析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建设的迫切性源于对行业发展趋势的深刻洞察。我们正处于一个行业变革的时代，科技创新、数字化转型成为企业发展的关键动力。微生物肥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建设不仅仅是为了跟上潮流，更是为了通过技术创新推动企业的持续发展。通过引入先进的技术和解决方案，微生物肥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生物肥料项目的建设成为必然选择，通过提高产品质量、拓展服务领域，从而在竞争中获得更多的机会。微生物肥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https://d.book118.com/278032064122006024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933DB"/>
    <w:rsid w:val="39B933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3206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2024-01-07T04:08:00Z</dcterms:created>
  <dcterms:modified xsi:type="dcterms:W3CDTF">2024-01-07T04:09:07Z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4F2999D68C644A0E8DFA96006B17AE48_11</vt:lpwstr>
  </property>
  <property fmtid="{D5CDD505-2E9C-101B-9397-08002B2CF9AE}" pid="3" name="KSOProductBuildVer">
    <vt:lpwstr>2052-12.1.0.16120</vt:lpwstr>
  </property>
</Properties>
</file>