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  <w:sectPr>
          <w:headerReference w:type="default" r:id="rId4"/>
          <w:pgSz w:w="11907" w:h="16839"/>
          <w:pgMar w:top="400" w:right="2" w:bottom="0" w:left="0" w:header="0" w:footer="0" w:gutter="0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spacing w:before="117" w:line="221" w:lineRule="auto"/>
        <w:ind w:left="688"/>
        <w:rPr>
          <w:rFonts w:ascii="SimHei" w:eastAsia="SimHei" w:hAnsi="SimHei" w:cs="SimHei"/>
          <w:sz w:val="36"/>
          <w:szCs w:val="36"/>
        </w:rPr>
      </w:pPr>
      <w:r>
        <w:rPr>
          <w:rFonts w:ascii="SimHei" w:eastAsia="SimHei" w:hAnsi="SimHei" w:cs="SimHei"/>
          <w:color w:val="FFFFFF"/>
          <w:spacing w:val="-1"/>
          <w:sz w:val="36"/>
          <w:szCs w:val="36"/>
        </w:rPr>
        <w:t>行业研究丨深度报告丨汽车与汽车零部件</w:t>
      </w:r>
    </w:p>
    <w:p>
      <w:pPr>
        <w:spacing w:before="309" w:line="249" w:lineRule="auto"/>
        <w:ind w:left="690" w:right="396" w:firstLine="17"/>
        <w:outlineLvl w:val="0"/>
        <w:rPr>
          <w:rFonts w:ascii="SimHei" w:eastAsia="SimHei" w:hAnsi="SimHei" w:cs="SimHei"/>
          <w:sz w:val="52"/>
          <w:szCs w:val="52"/>
        </w:rPr>
      </w:pPr>
      <w:r>
        <w:rPr>
          <w:rFonts w:ascii="SimHei" w:eastAsia="SimHei" w:hAnsi="SimHei" w:cs="SimHei"/>
          <w:color w:val="FFFFFF"/>
          <w:spacing w:val="-29"/>
          <w:sz w:val="52"/>
          <w:szCs w:val="52"/>
        </w:rPr>
        <w:t>“以旧换新”看乘用车：置换主导支撑内需</w:t>
      </w:r>
      <w:r>
        <w:rPr>
          <w:rFonts w:ascii="SimHei" w:eastAsia="SimHei" w:hAnsi="SimHei" w:cs="SimHei"/>
          <w:color w:val="FFFFFF"/>
          <w:spacing w:val="-30"/>
          <w:sz w:val="52"/>
          <w:szCs w:val="52"/>
        </w:rPr>
        <w:t>韧性，</w:t>
      </w:r>
      <w:r>
        <w:rPr>
          <w:rFonts w:ascii="SimHei" w:eastAsia="SimHei" w:hAnsi="SimHei" w:cs="SimHei"/>
          <w:color w:val="FFFFFF"/>
          <w:sz w:val="52"/>
          <w:szCs w:val="52"/>
        </w:rPr>
        <w:t xml:space="preserve"> </w:t>
      </w:r>
      <w:r>
        <w:rPr>
          <w:rFonts w:ascii="SimHei" w:eastAsia="SimHei" w:hAnsi="SimHei" w:cs="SimHei"/>
          <w:color w:val="FFFFFF"/>
          <w:spacing w:val="-2"/>
          <w:sz w:val="52"/>
          <w:szCs w:val="52"/>
        </w:rPr>
        <w:t>政策有望带动需求超预期</w:t>
      </w:r>
    </w:p>
    <w:p>
      <w:pPr>
        <w:spacing w:line="249" w:lineRule="auto"/>
        <w:rPr>
          <w:rFonts w:ascii="SimHei" w:eastAsia="SimHei" w:hAnsi="SimHei" w:cs="SimHei"/>
          <w:sz w:val="52"/>
          <w:szCs w:val="52"/>
        </w:rPr>
        <w:sectPr>
          <w:headerReference w:type="default" r:id="rId5"/>
          <w:type w:val="nextPage"/>
          <w:pgSz w:w="11907" w:h="16839"/>
          <w:pgMar w:top="400" w:right="2" w:bottom="0" w:left="0" w:header="0" w:footer="0" w:gutter="0"/>
          <w:pgNumType w:start="2"/>
          <w:cols w:space="708"/>
          <w:titlePg w:val="0"/>
        </w:sectPr>
      </w:pPr>
    </w:p>
    <w:p>
      <w:pPr>
        <w:pStyle w:val="BodyText"/>
        <w:spacing w:line="332" w:lineRule="auto"/>
      </w:pPr>
      <w:r>
        <w:pict>
          <v:shape id="_x0000_s1025" style="width:1.45pt;height:110.3pt;margin-top:306.29pt;margin-left:195.05pt;mso-position-horizontal-relative:page;mso-position-vertical-relative:page;position:absolute;z-index:251660288" coordorigin="0,0" coordsize="29,2206" o:allowincell="f" path="m,2205l28,2205l28,l,l,2205xe" filled="t" fillcolor="gray" stroked="f"/>
        </w:pict>
      </w:r>
      <w:r>
        <w:pict>
          <v:shape id="_x0000_s1026" style="width:509.9pt;height:0.5pt;margin-top:793.9pt;margin-left:42.48pt;mso-position-horizontal-relative:page;mso-position-vertical-relative:page;position:absolute;z-index:251659264" coordorigin="0,0" coordsize="10197,10" o:allowincell="f" path="m,9l5099,9l5099,l,l,9xem5098,9l5108,9l5108,l5098,l5098,9xem5108,9l10197,9l10197,l5108,l5108,9xe" filled="t" fillcolor="#e10000" stroked="f"/>
        </w:pict>
      </w: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5522975</wp:posOffset>
            </wp:positionH>
            <wp:positionV relativeFrom="page">
              <wp:posOffset>541020</wp:posOffset>
            </wp:positionV>
            <wp:extent cx="1466087" cy="381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608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33" w:lineRule="auto"/>
      </w:pPr>
    </w:p>
    <w:p>
      <w:pPr>
        <w:spacing w:before="62" w:line="231" w:lineRule="auto"/>
        <w:ind w:left="945"/>
        <w:rPr>
          <w:rFonts w:ascii="SimHei" w:eastAsia="SimHei" w:hAnsi="SimHei" w:cs="SimHei"/>
          <w:sz w:val="19"/>
          <w:szCs w:val="19"/>
        </w:rPr>
      </w:pPr>
      <w:r>
        <w:rPr>
          <w:rFonts w:ascii="SimHei" w:eastAsia="SimHei" w:hAnsi="SimHei" w:cs="SimHei"/>
          <w:spacing w:val="-1"/>
          <w:sz w:val="19"/>
          <w:szCs w:val="19"/>
        </w:rPr>
        <w:t>丨证券研究报告丨</w:t>
      </w:r>
    </w:p>
    <w:p>
      <w:pPr>
        <w:pStyle w:val="BodyText"/>
        <w:spacing w:line="257" w:lineRule="auto"/>
      </w:pPr>
    </w:p>
    <w:p>
      <w:pPr>
        <w:pStyle w:val="BodyText"/>
        <w:spacing w:line="257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spacing w:before="91" w:line="223" w:lineRule="auto"/>
        <w:ind w:left="968"/>
        <w:rPr>
          <w:rFonts w:ascii="SimHei" w:eastAsia="SimHei" w:hAnsi="SimHei" w:cs="SimHei"/>
          <w:sz w:val="28"/>
          <w:szCs w:val="28"/>
        </w:rPr>
      </w:pPr>
      <w:r>
        <w:rPr>
          <w:rFonts w:ascii="SimHei" w:eastAsia="SimHei" w:hAnsi="SimHei" w:cs="SimHei"/>
          <w:color w:val="FFFFFF"/>
          <w:spacing w:val="-2"/>
          <w:sz w:val="28"/>
          <w:szCs w:val="28"/>
        </w:rPr>
        <w:t>报告要点</w:t>
      </w:r>
    </w:p>
    <w:p>
      <w:pPr>
        <w:spacing w:before="192" w:line="312" w:lineRule="exact"/>
        <w:ind w:left="977"/>
        <w:rPr>
          <w:rFonts w:ascii="SimHei" w:eastAsia="SimHei" w:hAnsi="SimHei" w:cs="SimHei"/>
          <w:sz w:val="18"/>
          <w:szCs w:val="18"/>
        </w:rPr>
      </w:pPr>
      <w:r>
        <w:rPr>
          <w:rFonts w:ascii="SimHei" w:eastAsia="SimHei" w:hAnsi="SimHei" w:cs="SimHei"/>
          <w:color w:val="FFFFFF"/>
          <w:spacing w:val="-3"/>
          <w:position w:val="10"/>
          <w:sz w:val="18"/>
          <w:szCs w:val="18"/>
        </w:rPr>
        <w:t>国务院常务会议审议通过《推动大规模设备更新和消费品以旧换新行动方案》，积极开展汽车、</w:t>
      </w:r>
    </w:p>
    <w:p>
      <w:pPr>
        <w:spacing w:line="212" w:lineRule="auto"/>
        <w:ind w:left="969"/>
        <w:rPr>
          <w:rFonts w:ascii="SimHei" w:eastAsia="SimHei" w:hAnsi="SimHei" w:cs="SimHei"/>
          <w:sz w:val="18"/>
          <w:szCs w:val="18"/>
        </w:rPr>
      </w:pPr>
      <w:r>
        <w:rPr>
          <w:rFonts w:ascii="SimHei" w:eastAsia="SimHei" w:hAnsi="SimHei" w:cs="SimHei"/>
          <w:color w:val="FFFFFF"/>
          <w:spacing w:val="-4"/>
          <w:sz w:val="18"/>
          <w:szCs w:val="18"/>
        </w:rPr>
        <w:t>家电等消费品以旧换新，</w:t>
      </w:r>
      <w:r>
        <w:rPr>
          <w:rFonts w:ascii="SimHei" w:eastAsia="SimHei" w:hAnsi="SimHei" w:cs="SimHei"/>
          <w:color w:val="FFFFFF"/>
          <w:spacing w:val="59"/>
          <w:sz w:val="18"/>
          <w:szCs w:val="18"/>
        </w:rPr>
        <w:t xml:space="preserve"> </w:t>
      </w:r>
      <w:r>
        <w:rPr>
          <w:rFonts w:ascii="SimHei" w:eastAsia="SimHei" w:hAnsi="SimHei" w:cs="SimHei"/>
          <w:color w:val="FFFFFF"/>
          <w:spacing w:val="-4"/>
          <w:sz w:val="18"/>
          <w:szCs w:val="18"/>
        </w:rPr>
        <w:t>形成更新换代规模效应。换购近年在乘用车消费结构中的比例明显提</w:t>
      </w:r>
    </w:p>
    <w:p>
      <w:pPr>
        <w:pStyle w:val="BodyText"/>
        <w:spacing w:before="104" w:line="213" w:lineRule="auto"/>
        <w:ind w:left="966"/>
        <w:rPr>
          <w:rFonts w:ascii="SimHei" w:eastAsia="SimHei" w:hAnsi="SimHei" w:cs="SimHei"/>
          <w:sz w:val="18"/>
          <w:szCs w:val="18"/>
        </w:rPr>
      </w:pPr>
      <w:r>
        <w:rPr>
          <w:rFonts w:ascii="SimHei" w:eastAsia="SimHei" w:hAnsi="SimHei" w:cs="SimHei"/>
          <w:color w:val="FFFFFF"/>
          <w:spacing w:val="-5"/>
          <w:sz w:val="18"/>
          <w:szCs w:val="18"/>
        </w:rPr>
        <w:t>升，</w:t>
      </w:r>
      <w:r>
        <w:rPr>
          <w:rFonts w:ascii="SimHei" w:eastAsia="SimHei" w:hAnsi="SimHei" w:cs="SimHei"/>
          <w:color w:val="FFFFFF"/>
          <w:spacing w:val="-16"/>
          <w:sz w:val="18"/>
          <w:szCs w:val="18"/>
        </w:rPr>
        <w:t xml:space="preserve"> </w:t>
      </w:r>
      <w:r>
        <w:rPr>
          <w:color w:val="FFFFFF"/>
          <w:spacing w:val="-5"/>
          <w:sz w:val="18"/>
          <w:szCs w:val="18"/>
        </w:rPr>
        <w:t xml:space="preserve">2016-2017 </w:t>
      </w:r>
      <w:r>
        <w:rPr>
          <w:rFonts w:ascii="SimHei" w:eastAsia="SimHei" w:hAnsi="SimHei" w:cs="SimHei"/>
          <w:color w:val="FFFFFF"/>
          <w:spacing w:val="-5"/>
          <w:sz w:val="18"/>
          <w:szCs w:val="18"/>
        </w:rPr>
        <w:t>年销量高峰期车型已步入集中换车期。且近年市场车龄结构加快上移，</w:t>
      </w:r>
      <w:r>
        <w:rPr>
          <w:rFonts w:ascii="SimHei" w:eastAsia="SimHei" w:hAnsi="SimHei" w:cs="SimHei"/>
          <w:color w:val="FFFFFF"/>
          <w:spacing w:val="43"/>
          <w:sz w:val="18"/>
          <w:szCs w:val="18"/>
        </w:rPr>
        <w:t xml:space="preserve"> </w:t>
      </w:r>
      <w:r>
        <w:rPr>
          <w:rFonts w:ascii="SimHei" w:eastAsia="SimHei" w:hAnsi="SimHei" w:cs="SimHei"/>
          <w:color w:val="FFFFFF"/>
          <w:spacing w:val="-5"/>
          <w:sz w:val="18"/>
          <w:szCs w:val="18"/>
        </w:rPr>
        <w:t>存量车</w:t>
      </w:r>
    </w:p>
    <w:p>
      <w:pPr>
        <w:pStyle w:val="BodyText"/>
        <w:spacing w:before="104" w:line="213" w:lineRule="auto"/>
        <w:ind w:left="970"/>
        <w:rPr>
          <w:rFonts w:ascii="SimHei" w:eastAsia="SimHei" w:hAnsi="SimHei" w:cs="SimHei"/>
          <w:sz w:val="18"/>
          <w:szCs w:val="18"/>
        </w:rPr>
      </w:pPr>
      <w:r>
        <w:rPr>
          <w:rFonts w:ascii="SimHei" w:eastAsia="SimHei" w:hAnsi="SimHei" w:cs="SimHei"/>
          <w:color w:val="FFFFFF"/>
          <w:spacing w:val="1"/>
          <w:sz w:val="18"/>
          <w:szCs w:val="18"/>
        </w:rPr>
        <w:t>型开启报废周期，在乘用车保有量增速放缓背景下将有力托底需求的增量空间。置换</w:t>
      </w:r>
      <w:r>
        <w:rPr>
          <w:color w:val="FFFFFF"/>
          <w:spacing w:val="1"/>
          <w:sz w:val="18"/>
          <w:szCs w:val="18"/>
        </w:rPr>
        <w:t>+</w:t>
      </w:r>
      <w:r>
        <w:rPr>
          <w:rFonts w:ascii="SimHei" w:eastAsia="SimHei" w:hAnsi="SimHei" w:cs="SimHei"/>
          <w:color w:val="FFFFFF"/>
          <w:spacing w:val="1"/>
          <w:sz w:val="18"/>
          <w:szCs w:val="18"/>
        </w:rPr>
        <w:t>报废周</w:t>
      </w:r>
    </w:p>
    <w:p>
      <w:pPr>
        <w:spacing w:before="105" w:line="213" w:lineRule="auto"/>
        <w:ind w:left="966"/>
        <w:rPr>
          <w:rFonts w:ascii="SimHei" w:eastAsia="SimHei" w:hAnsi="SimHei" w:cs="SimHei"/>
          <w:sz w:val="18"/>
          <w:szCs w:val="18"/>
        </w:rPr>
      </w:pPr>
      <w:r>
        <w:rPr>
          <w:rFonts w:ascii="SimHei" w:eastAsia="SimHei" w:hAnsi="SimHei" w:cs="SimHei"/>
          <w:color w:val="FFFFFF"/>
          <w:spacing w:val="-1"/>
          <w:sz w:val="18"/>
          <w:szCs w:val="18"/>
        </w:rPr>
        <w:t>期支撑内需韧性，政策刺激有望带动板块需求超预期，聚焦车企新车周期。</w:t>
      </w:r>
    </w:p>
    <w:p>
      <w:pPr>
        <w:spacing w:before="35"/>
      </w:pPr>
    </w:p>
    <w:p>
      <w:pPr>
        <w:spacing w:before="35"/>
      </w:pPr>
    </w:p>
    <w:p>
      <w:pPr>
        <w:spacing w:before="35"/>
      </w:pPr>
    </w:p>
    <w:p>
      <w:pPr>
        <w:spacing w:before="35"/>
      </w:pPr>
    </w:p>
    <w:p>
      <w:pPr>
        <w:spacing w:before="35"/>
      </w:pPr>
    </w:p>
    <w:p>
      <w:pPr>
        <w:sectPr>
          <w:headerReference w:type="default" r:id="rId7"/>
          <w:pgSz w:w="11907" w:h="16839"/>
          <w:pgMar w:top="400" w:right="2" w:bottom="0" w:left="0" w:header="0" w:footer="0" w:gutter="0"/>
          <w:pgNumType w:start="3"/>
          <w:cols w:num="1" w:space="708" w:equalWidth="0">
            <w:col w:w="11905" w:space="0"/>
          </w:cols>
        </w:sectPr>
      </w:pPr>
    </w:p>
    <w:p>
      <w:pPr>
        <w:spacing w:before="45" w:line="227" w:lineRule="auto"/>
        <w:ind w:left="1275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spacing w:val="6"/>
          <w:sz w:val="31"/>
          <w:szCs w:val="31"/>
        </w:rPr>
        <w:t>分析师及联系人</w:t>
      </w:r>
    </w:p>
    <w:p>
      <w:pPr>
        <w:spacing w:before="13"/>
      </w:pPr>
    </w:p>
    <w:p>
      <w:pPr>
        <w:spacing w:before="13"/>
      </w:pPr>
    </w:p>
    <w:p>
      <w:pPr>
        <w:spacing w:before="13"/>
      </w:pPr>
    </w:p>
    <w:p>
      <w:pPr>
        <w:spacing w:before="13"/>
      </w:pPr>
    </w:p>
    <w:p>
      <w:pPr>
        <w:spacing w:before="13"/>
      </w:pPr>
    </w:p>
    <w:p>
      <w:pPr>
        <w:spacing w:before="12"/>
      </w:pPr>
    </w:p>
    <w:p>
      <w:pPr>
        <w:spacing w:before="12"/>
      </w:pP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75" w:line="1132" w:lineRule="exact"/>
        <w:ind w:firstLine="214"/>
      </w:pPr>
      <w:r>
        <w:rPr>
          <w:position w:val="-22"/>
        </w:rPr>
        <w:drawing>
          <wp:inline distT="0" distB="0" distL="0" distR="0">
            <wp:extent cx="719327" cy="719328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9327" cy="7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13" w:line="224" w:lineRule="auto"/>
        <w:ind w:left="484"/>
        <w:rPr>
          <w:rFonts w:ascii="SimHei" w:eastAsia="SimHei" w:hAnsi="SimHei" w:cs="SimHei"/>
          <w:sz w:val="21"/>
          <w:szCs w:val="21"/>
        </w:rPr>
      </w:pPr>
      <w:r>
        <w:rPr>
          <w:rFonts w:ascii="SimHei" w:eastAsia="SimHei" w:hAnsi="SimHei" w:cs="SimHei"/>
          <w:spacing w:val="-3"/>
          <w:sz w:val="21"/>
          <w:szCs w:val="21"/>
        </w:rPr>
        <w:t>高伊楠</w:t>
      </w:r>
    </w:p>
    <w:p>
      <w:pPr>
        <w:pStyle w:val="BodyText"/>
        <w:spacing w:before="96" w:line="190" w:lineRule="auto"/>
        <w:rPr>
          <w:sz w:val="16"/>
          <w:szCs w:val="16"/>
        </w:rPr>
      </w:pPr>
      <w:r>
        <w:rPr>
          <w:spacing w:val="-1"/>
          <w:sz w:val="16"/>
          <w:szCs w:val="16"/>
        </w:rPr>
        <w:t>SAC</w:t>
      </w:r>
      <w:r>
        <w:rPr>
          <w:rFonts w:ascii="STXihei" w:eastAsia="STXihei" w:hAnsi="STXihei" w:cs="STXihei"/>
          <w:spacing w:val="-1"/>
          <w:sz w:val="16"/>
          <w:szCs w:val="16"/>
        </w:rPr>
        <w:t>：</w:t>
      </w:r>
      <w:r>
        <w:rPr>
          <w:spacing w:val="-1"/>
          <w:sz w:val="16"/>
          <w:szCs w:val="16"/>
        </w:rPr>
        <w:t>S0490517060001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75" w:line="1132" w:lineRule="exact"/>
        <w:ind w:firstLine="214"/>
      </w:pPr>
      <w:r>
        <w:rPr>
          <w:position w:val="-22"/>
        </w:rPr>
        <w:drawing>
          <wp:inline distT="0" distB="0" distL="0" distR="0">
            <wp:extent cx="719328" cy="719328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328" cy="7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13" w:line="225" w:lineRule="auto"/>
        <w:ind w:left="590"/>
        <w:rPr>
          <w:rFonts w:ascii="SimHei" w:eastAsia="SimHei" w:hAnsi="SimHei" w:cs="SimHei"/>
          <w:sz w:val="21"/>
          <w:szCs w:val="21"/>
        </w:rPr>
      </w:pPr>
      <w:r>
        <w:rPr>
          <w:rFonts w:ascii="SimHei" w:eastAsia="SimHei" w:hAnsi="SimHei" w:cs="SimHei"/>
          <w:spacing w:val="-4"/>
          <w:sz w:val="21"/>
          <w:szCs w:val="21"/>
        </w:rPr>
        <w:t>陈佳</w:t>
      </w:r>
    </w:p>
    <w:p>
      <w:pPr>
        <w:pStyle w:val="BodyText"/>
        <w:spacing w:before="94" w:line="312" w:lineRule="exact"/>
        <w:rPr>
          <w:sz w:val="16"/>
          <w:szCs w:val="16"/>
        </w:rPr>
      </w:pPr>
      <w:r>
        <w:rPr>
          <w:spacing w:val="-1"/>
          <w:position w:val="13"/>
          <w:sz w:val="16"/>
          <w:szCs w:val="16"/>
        </w:rPr>
        <w:t>SAC</w:t>
      </w:r>
      <w:r>
        <w:rPr>
          <w:rFonts w:ascii="STXihei" w:eastAsia="STXihei" w:hAnsi="STXihei" w:cs="STXihei"/>
          <w:spacing w:val="-1"/>
          <w:position w:val="13"/>
          <w:sz w:val="16"/>
          <w:szCs w:val="16"/>
        </w:rPr>
        <w:t>：</w:t>
      </w:r>
      <w:r>
        <w:rPr>
          <w:spacing w:val="-1"/>
          <w:position w:val="13"/>
          <w:sz w:val="16"/>
          <w:szCs w:val="16"/>
        </w:rPr>
        <w:t>S0490513080003</w:t>
      </w:r>
    </w:p>
    <w:p>
      <w:pPr>
        <w:pStyle w:val="BodyText"/>
        <w:spacing w:before="1" w:line="190" w:lineRule="auto"/>
        <w:rPr>
          <w:sz w:val="16"/>
          <w:szCs w:val="16"/>
        </w:rPr>
      </w:pPr>
      <w:r>
        <w:rPr>
          <w:spacing w:val="-1"/>
          <w:sz w:val="16"/>
          <w:szCs w:val="16"/>
        </w:rPr>
        <w:t>SFC</w:t>
      </w:r>
      <w:r>
        <w:rPr>
          <w:rFonts w:ascii="STXihei" w:eastAsia="STXihei" w:hAnsi="STXihei" w:cs="STXihei"/>
          <w:spacing w:val="-1"/>
          <w:sz w:val="16"/>
          <w:szCs w:val="16"/>
        </w:rPr>
        <w:t>：</w:t>
      </w:r>
      <w:r>
        <w:rPr>
          <w:spacing w:val="-1"/>
          <w:sz w:val="16"/>
          <w:szCs w:val="16"/>
        </w:rPr>
        <w:t>BQT624</w:t>
      </w:r>
    </w:p>
    <w:p>
      <w:pPr>
        <w:spacing w:line="190" w:lineRule="auto"/>
        <w:rPr>
          <w:sz w:val="16"/>
          <w:szCs w:val="16"/>
        </w:rPr>
        <w:sectPr>
          <w:headerReference w:type="default" r:id="rId10"/>
          <w:type w:val="continuous"/>
          <w:pgSz w:w="11907" w:h="16839"/>
          <w:pgMar w:top="400" w:right="2" w:bottom="0" w:left="0" w:header="0" w:footer="0" w:gutter="0"/>
          <w:pgNumType w:start="4"/>
          <w:cols w:num="3" w:space="708" w:equalWidth="0">
            <w:col w:w="4229" w:space="100"/>
            <w:col w:w="2272" w:space="100"/>
            <w:col w:w="5205" w:space="0"/>
          </w:cols>
        </w:sectPr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  <w:sectPr>
          <w:headerReference w:type="default" r:id="rId11"/>
          <w:type w:val="continuous"/>
          <w:pgSz w:w="11907" w:h="16839"/>
          <w:pgMar w:top="400" w:right="2" w:bottom="0" w:left="0" w:header="0" w:footer="0" w:gutter="0"/>
          <w:pgNumType w:start="5"/>
          <w:cols w:num="1" w:space="708" w:equalWidth="0">
            <w:col w:w="11905" w:space="0"/>
          </w:cols>
        </w:sectPr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spacing w:before="53" w:line="188" w:lineRule="auto"/>
        <w:ind w:left="856"/>
        <w:rPr>
          <w:rFonts w:ascii="SimHei" w:eastAsia="SimHei" w:hAnsi="SimHei" w:cs="SimHei"/>
          <w:sz w:val="16"/>
          <w:szCs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25.6pt;height:9.65pt;margin-top:2.59pt;margin-left:527.8pt;position:absolute;z-index:25166131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9" w:lineRule="auto"/>
                    <w:ind w:left="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pacing w:val="-2"/>
                      <w:sz w:val="16"/>
                      <w:szCs w:val="16"/>
                    </w:rPr>
                    <w:t>2</w:t>
                  </w:r>
                  <w:r>
                    <w:rPr>
                      <w:b/>
                      <w:bCs/>
                      <w:spacing w:val="38"/>
                      <w:w w:val="102"/>
                      <w:sz w:val="16"/>
                      <w:szCs w:val="16"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6"/>
                      <w:szCs w:val="16"/>
                    </w:rPr>
                    <w:t>/</w:t>
                  </w:r>
                  <w:r>
                    <w:rPr>
                      <w:b/>
                      <w:bCs/>
                      <w:spacing w:val="40"/>
                      <w:w w:val="102"/>
                      <w:sz w:val="16"/>
                      <w:szCs w:val="16"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6"/>
                      <w:szCs w:val="16"/>
                    </w:rPr>
                    <w:t>40</w:t>
                  </w:r>
                </w:p>
              </w:txbxContent>
            </v:textbox>
          </v:shape>
        </w:pict>
      </w:r>
      <w:r>
        <w:rPr>
          <w:rFonts w:ascii="SimHei" w:eastAsia="SimHei" w:hAnsi="SimHei" w:cs="SimHei"/>
          <w:spacing w:val="-1"/>
          <w:sz w:val="16"/>
          <w:szCs w:val="16"/>
        </w:rPr>
        <w:t>请阅读最后评级说明和重要声明</w:t>
      </w:r>
    </w:p>
    <w:p>
      <w:pPr>
        <w:spacing w:line="188" w:lineRule="auto"/>
        <w:rPr>
          <w:rFonts w:ascii="SimHei" w:eastAsia="SimHei" w:hAnsi="SimHei" w:cs="SimHei"/>
          <w:sz w:val="16"/>
          <w:szCs w:val="16"/>
        </w:rPr>
        <w:sectPr>
          <w:headerReference w:type="default" r:id="rId12"/>
          <w:type w:val="nextPage"/>
          <w:pgSz w:w="11907" w:h="16839"/>
          <w:pgMar w:top="400" w:right="2" w:bottom="0" w:left="0" w:header="0" w:footer="0" w:gutter="0"/>
          <w:pgNumType w:start="6"/>
          <w:cols w:num="1" w:space="708" w:equalWidth="0">
            <w:col w:w="11905" w:space="0"/>
          </w:cols>
          <w:titlePg w:val="0"/>
        </w:sectPr>
      </w:pPr>
    </w:p>
    <w:p>
      <w:pPr>
        <w:pStyle w:val="BodyText"/>
        <w:spacing w:line="277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spacing w:line="401" w:lineRule="exact"/>
      </w:pPr>
      <w:r>
        <w:rPr>
          <w:position w:val="-8"/>
        </w:rPr>
        <w:drawing>
          <wp:inline distT="0" distB="0" distL="0" distR="0">
            <wp:extent cx="976883" cy="254507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6883" cy="2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2" w:lineRule="exact"/>
      </w:pPr>
    </w:p>
    <w:tbl>
      <w:tblPr>
        <w:tblStyle w:val="TableNormal0"/>
        <w:tblW w:w="735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7357"/>
      </w:tblGrid>
      <w:tr>
        <w:tblPrEx>
          <w:tblW w:w="7357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496"/>
        </w:trPr>
        <w:tc>
          <w:tcPr>
            <w:tcW w:w="7357" w:type="dxa"/>
            <w:tcBorders>
              <w:top w:val="single" w:sz="10" w:space="0" w:color="E10000"/>
              <w:bottom w:val="single" w:sz="6" w:space="0" w:color="E10000"/>
            </w:tcBorders>
            <w:vAlign w:val="top"/>
          </w:tcPr>
          <w:p>
            <w:pPr>
              <w:spacing w:before="153" w:line="221" w:lineRule="auto"/>
              <w:ind w:left="8"/>
              <w:rPr>
                <w:rFonts w:ascii="SimHei" w:eastAsia="SimHei" w:hAnsi="SimHei" w:cs="SimHei"/>
                <w:sz w:val="24"/>
                <w:szCs w:val="24"/>
              </w:rPr>
            </w:pPr>
            <w:r>
              <w:rPr>
                <w:rFonts w:ascii="SimHei" w:eastAsia="SimHei" w:hAnsi="SimHei" w:cs="SimHei"/>
                <w:spacing w:val="-1"/>
                <w:sz w:val="24"/>
                <w:szCs w:val="24"/>
              </w:rPr>
              <w:t>汽车与汽车零部件</w:t>
            </w:r>
          </w:p>
        </w:tc>
      </w:tr>
      <w:tr>
        <w:tblPrEx>
          <w:tblW w:w="7357" w:type="dxa"/>
          <w:tblInd w:w="0" w:type="dxa"/>
          <w:tblLayout w:type="fixed"/>
        </w:tblPrEx>
        <w:trPr>
          <w:trHeight w:val="1108"/>
        </w:trPr>
        <w:tc>
          <w:tcPr>
            <w:tcW w:w="7357" w:type="dxa"/>
            <w:tcBorders>
              <w:top w:val="single" w:sz="6" w:space="0" w:color="E10000"/>
              <w:bottom w:val="single" w:sz="6" w:space="0" w:color="E10000"/>
            </w:tcBorders>
            <w:vAlign w:val="top"/>
          </w:tcPr>
          <w:p>
            <w:pPr>
              <w:spacing w:before="143" w:line="226" w:lineRule="auto"/>
              <w:ind w:left="14" w:right="19" w:firstLine="8"/>
              <w:rPr>
                <w:rFonts w:ascii="SimHei" w:eastAsia="SimHei" w:hAnsi="SimHei" w:cs="SimHei"/>
                <w:sz w:val="36"/>
                <w:szCs w:val="36"/>
              </w:rPr>
            </w:pPr>
            <w:r>
              <w:rPr>
                <w:rFonts w:ascii="SimHei" w:eastAsia="SimHei" w:hAnsi="SimHei" w:cs="SimHei"/>
                <w:color w:val="E10000"/>
                <w:spacing w:val="5"/>
                <w:sz w:val="36"/>
                <w:szCs w:val="36"/>
              </w:rPr>
              <w:t>“以旧换新”看乘用车：置换主导支撑内需韧</w:t>
            </w:r>
            <w:r>
              <w:rPr>
                <w:rFonts w:ascii="SimHei" w:eastAsia="SimHei" w:hAnsi="SimHei" w:cs="SimHei"/>
                <w:color w:val="E10000"/>
                <w:spacing w:val="13"/>
                <w:sz w:val="36"/>
                <w:szCs w:val="36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1"/>
                <w:sz w:val="36"/>
                <w:szCs w:val="36"/>
              </w:rPr>
              <w:t>性，政策有望带动需求超预期</w:t>
            </w:r>
          </w:p>
        </w:tc>
      </w:tr>
      <w:tr>
        <w:tblPrEx>
          <w:tblW w:w="7357" w:type="dxa"/>
          <w:tblInd w:w="0" w:type="dxa"/>
          <w:tblLayout w:type="fixed"/>
        </w:tblPrEx>
        <w:trPr>
          <w:trHeight w:val="12927"/>
        </w:trPr>
        <w:tc>
          <w:tcPr>
            <w:tcW w:w="7357" w:type="dxa"/>
            <w:tcBorders>
              <w:top w:val="single" w:sz="6" w:space="0" w:color="E10000"/>
              <w:bottom w:val="single" w:sz="2" w:space="0" w:color="E10000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68" w:line="214" w:lineRule="auto"/>
              <w:ind w:left="6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政策梳理：</w:t>
            </w:r>
            <w:r>
              <w:rPr>
                <w:rFonts w:ascii="SimHei" w:eastAsia="SimHei" w:hAnsi="SimHei" w:cs="SimHei"/>
                <w:color w:val="E10000"/>
                <w:spacing w:val="-28"/>
                <w:sz w:val="21"/>
                <w:szCs w:val="21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汽车消费刺激政策工具多，见效快</w:t>
            </w:r>
          </w:p>
          <w:p>
            <w:pPr>
              <w:pStyle w:val="TableText"/>
              <w:spacing w:before="208" w:line="272" w:lineRule="auto"/>
              <w:ind w:left="8" w:firstLine="12"/>
              <w:jc w:val="both"/>
            </w:pPr>
            <w:r>
              <w:rPr>
                <w:spacing w:val="-2"/>
              </w:rPr>
              <w:t>国家出台的汽车消费政策主要有四种：车辆购置税减免、汽</w:t>
            </w:r>
            <w:r>
              <w:rPr>
                <w:spacing w:val="-3"/>
              </w:rPr>
              <w:t>车下乡、老旧汽车报废更新补贴、</w:t>
            </w:r>
            <w:r>
              <w:t xml:space="preserve">  </w:t>
            </w:r>
            <w:r>
              <w:rPr>
                <w:spacing w:val="-2"/>
              </w:rPr>
              <w:t>给予节能车购置补贴。部分地区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2019</w:t>
            </w:r>
            <w:r>
              <w:rPr>
                <w:rFonts w:ascii="Arial" w:eastAsia="Arial" w:hAnsi="Arial" w:cs="Arial"/>
                <w:spacing w:val="13"/>
                <w:w w:val="101"/>
              </w:rPr>
              <w:t xml:space="preserve"> </w:t>
            </w:r>
            <w:r>
              <w:rPr>
                <w:spacing w:val="-2"/>
              </w:rPr>
              <w:t xml:space="preserve">年还出台了限购放松政策。受益于政策的积极影响，汽  </w:t>
            </w:r>
            <w:r>
              <w:rPr>
                <w:spacing w:val="-6"/>
              </w:rPr>
              <w:t>车销量增速逐渐回升。</w:t>
            </w:r>
            <w:r>
              <w:rPr>
                <w:spacing w:val="13"/>
                <w:w w:val="101"/>
              </w:rPr>
              <w:t xml:space="preserve">  </w:t>
            </w:r>
            <w:r>
              <w:rPr>
                <w:rFonts w:ascii="Arial" w:eastAsia="Arial" w:hAnsi="Arial" w:cs="Arial"/>
                <w:spacing w:val="-6"/>
              </w:rPr>
              <w:t>2024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3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spacing w:val="-6"/>
              </w:rPr>
              <w:t>月</w:t>
            </w:r>
            <w:r>
              <w:rPr>
                <w:spacing w:val="27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1</w:t>
            </w:r>
            <w:r>
              <w:rPr>
                <w:rFonts w:ascii="Arial" w:eastAsia="Arial" w:hAnsi="Arial" w:cs="Arial"/>
                <w:spacing w:val="35"/>
                <w:w w:val="101"/>
              </w:rPr>
              <w:t xml:space="preserve"> </w:t>
            </w:r>
            <w:r>
              <w:rPr>
                <w:spacing w:val="-6"/>
              </w:rPr>
              <w:t xml:space="preserve">日，国务院常务会议审议通过《推动大规模设备更新和  </w:t>
            </w:r>
            <w:r>
              <w:rPr>
                <w:spacing w:val="-8"/>
              </w:rPr>
              <w:t>消费品以旧换新行动方案》，积极开展汽车、家电等消费品以旧换新，</w:t>
            </w:r>
            <w:r>
              <w:rPr>
                <w:spacing w:val="16"/>
                <w:w w:val="101"/>
              </w:rPr>
              <w:t xml:space="preserve">  </w:t>
            </w:r>
            <w:r>
              <w:rPr>
                <w:spacing w:val="-8"/>
              </w:rPr>
              <w:t>形成更新换代规模效应。</w:t>
            </w:r>
          </w:p>
          <w:p>
            <w:pPr>
              <w:spacing w:before="182" w:line="214" w:lineRule="auto"/>
              <w:ind w:left="14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需求潜力：</w:t>
            </w:r>
            <w:r>
              <w:rPr>
                <w:rFonts w:ascii="SimHei" w:eastAsia="SimHei" w:hAnsi="SimHei" w:cs="SimHei"/>
                <w:color w:val="E10000"/>
                <w:spacing w:val="-14"/>
                <w:sz w:val="21"/>
                <w:szCs w:val="21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乘用车置换需求成为主导，有效支撑内需韧性</w:t>
            </w:r>
          </w:p>
          <w:p>
            <w:pPr>
              <w:pStyle w:val="TableText"/>
              <w:spacing w:before="191" w:line="284" w:lineRule="auto"/>
              <w:ind w:left="5" w:firstLine="18"/>
              <w:jc w:val="both"/>
            </w:pPr>
            <w:r>
              <w:rPr>
                <w:spacing w:val="-9"/>
              </w:rPr>
              <w:t>中国乘用车市场消费结构中换购比例明显提升。</w:t>
            </w:r>
            <w:r>
              <w:rPr>
                <w:spacing w:val="16"/>
              </w:rPr>
              <w:t xml:space="preserve">  </w:t>
            </w:r>
            <w:r>
              <w:rPr>
                <w:rFonts w:ascii="Arial" w:eastAsia="Arial" w:hAnsi="Arial" w:cs="Arial"/>
                <w:spacing w:val="-9"/>
              </w:rPr>
              <w:t>1</w:t>
            </w:r>
            <w:r>
              <w:rPr>
                <w:spacing w:val="-9"/>
              </w:rPr>
              <w:t xml:space="preserve">）换车周期：  </w:t>
            </w:r>
            <w:r>
              <w:rPr>
                <w:rFonts w:ascii="Arial" w:eastAsia="Arial" w:hAnsi="Arial" w:cs="Arial"/>
                <w:spacing w:val="-9"/>
              </w:rPr>
              <w:t>2017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spacing w:val="-10"/>
              </w:rPr>
              <w:t xml:space="preserve">年销量冲高，   此后受政策  </w:t>
            </w:r>
            <w:r>
              <w:rPr>
                <w:spacing w:val="-6"/>
              </w:rPr>
              <w:t>到期、经济、缺芯等因素影响，</w:t>
            </w:r>
            <w:r>
              <w:rPr>
                <w:spacing w:val="15"/>
                <w:w w:val="101"/>
              </w:rPr>
              <w:t xml:space="preserve">  </w:t>
            </w:r>
            <w:r>
              <w:rPr>
                <w:spacing w:val="-6"/>
              </w:rPr>
              <w:t>需求进入波动期。</w:t>
            </w:r>
            <w:r>
              <w:rPr>
                <w:rFonts w:ascii="Arial" w:eastAsia="Arial" w:hAnsi="Arial" w:cs="Arial"/>
                <w:spacing w:val="-6"/>
              </w:rPr>
              <w:t xml:space="preserve">5-7 </w:t>
            </w:r>
            <w:r>
              <w:rPr>
                <w:spacing w:val="-6"/>
              </w:rPr>
              <w:t>年</w:t>
            </w:r>
            <w:r>
              <w:rPr>
                <w:spacing w:val="-7"/>
              </w:rPr>
              <w:t>车龄兼具保值率稳定与现金回收优势，</w:t>
            </w:r>
            <w:r>
              <w:t xml:space="preserve"> </w:t>
            </w:r>
            <w:r>
              <w:rPr>
                <w:rFonts w:ascii="Arial" w:eastAsia="Arial" w:hAnsi="Arial" w:cs="Arial"/>
                <w:spacing w:val="-7"/>
              </w:rPr>
              <w:t xml:space="preserve">2016-2017 </w:t>
            </w:r>
            <w:r>
              <w:rPr>
                <w:spacing w:val="-7"/>
              </w:rPr>
              <w:t>年车型当前已步入换车临界点，</w:t>
            </w:r>
            <w:r>
              <w:rPr>
                <w:spacing w:val="13"/>
                <w:w w:val="101"/>
              </w:rPr>
              <w:t xml:space="preserve">  </w:t>
            </w:r>
            <w:r>
              <w:rPr>
                <w:spacing w:val="-7"/>
              </w:rPr>
              <w:t>且智能电动趋势加速竞争格局变化，</w:t>
            </w:r>
            <w:r>
              <w:rPr>
                <w:spacing w:val="13"/>
              </w:rPr>
              <w:t xml:space="preserve">  </w:t>
            </w:r>
            <w:r>
              <w:rPr>
                <w:spacing w:val="-7"/>
              </w:rPr>
              <w:t>新</w:t>
            </w:r>
            <w:r>
              <w:rPr>
                <w:spacing w:val="-8"/>
              </w:rPr>
              <w:t xml:space="preserve">车市场价格  </w:t>
            </w:r>
            <w:r>
              <w:rPr>
                <w:spacing w:val="-5"/>
              </w:rPr>
              <w:t>竞争加剧、吸引力大幅增强。从二手车市场表现及新车需求流向来看，</w:t>
            </w:r>
            <w:r>
              <w:rPr>
                <w:spacing w:val="17"/>
                <w:w w:val="101"/>
              </w:rPr>
              <w:t xml:space="preserve">  </w:t>
            </w:r>
            <w:r>
              <w:rPr>
                <w:spacing w:val="-5"/>
              </w:rPr>
              <w:t>历史</w:t>
            </w:r>
            <w:r>
              <w:rPr>
                <w:spacing w:val="-6"/>
              </w:rPr>
              <w:t xml:space="preserve">销量高峰期车型已  </w:t>
            </w:r>
            <w:r>
              <w:rPr>
                <w:spacing w:val="-4"/>
              </w:rPr>
              <w:t>步入集中换车周期，预计</w:t>
            </w:r>
            <w:r>
              <w:rPr>
                <w:spacing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2023</w:t>
            </w:r>
            <w:r>
              <w:rPr>
                <w:rFonts w:ascii="Arial" w:eastAsia="Arial" w:hAnsi="Arial" w:cs="Arial"/>
                <w:spacing w:val="23"/>
                <w:w w:val="101"/>
              </w:rPr>
              <w:t xml:space="preserve"> </w:t>
            </w:r>
            <w:r>
              <w:rPr>
                <w:spacing w:val="-4"/>
              </w:rPr>
              <w:t>年置换带来的新车需求超</w:t>
            </w:r>
            <w:r>
              <w:rPr>
                <w:spacing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650</w:t>
            </w:r>
            <w:r>
              <w:rPr>
                <w:rFonts w:ascii="Arial" w:eastAsia="Arial" w:hAnsi="Arial" w:cs="Arial"/>
                <w:spacing w:val="23"/>
                <w:w w:val="101"/>
              </w:rPr>
              <w:t xml:space="preserve"> </w:t>
            </w:r>
            <w:r>
              <w:rPr>
                <w:spacing w:val="-4"/>
              </w:rPr>
              <w:t>万辆。</w:t>
            </w:r>
            <w:r>
              <w:rPr>
                <w:spacing w:val="29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2</w:t>
            </w:r>
            <w:r>
              <w:rPr>
                <w:spacing w:val="-4"/>
              </w:rPr>
              <w:t xml:space="preserve">）报废周期：乘用车虽  </w:t>
            </w:r>
            <w:r>
              <w:rPr>
                <w:spacing w:val="-5"/>
              </w:rPr>
              <w:t>无强制报废要求、但生命周期仍然有限，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spacing w:val="-5"/>
              </w:rPr>
              <w:t>置换带来的二手车交易流通并不意味着等量挤压</w:t>
            </w:r>
            <w:r>
              <w:rPr>
                <w:spacing w:val="-6"/>
              </w:rPr>
              <w:t xml:space="preserve">未来  </w:t>
            </w:r>
            <w:r>
              <w:rPr>
                <w:spacing w:val="-8"/>
              </w:rPr>
              <w:t>的新车需求。近年来乘用车保有量增速明显放缓，</w:t>
            </w:r>
            <w:r>
              <w:rPr>
                <w:spacing w:val="18"/>
              </w:rPr>
              <w:t xml:space="preserve">  </w:t>
            </w:r>
            <w:r>
              <w:rPr>
                <w:spacing w:val="-8"/>
              </w:rPr>
              <w:t>但车龄结构加快上移，</w:t>
            </w:r>
            <w:r>
              <w:rPr>
                <w:spacing w:val="14"/>
              </w:rPr>
              <w:t xml:space="preserve">  </w:t>
            </w:r>
            <w:r>
              <w:rPr>
                <w:spacing w:val="-8"/>
              </w:rPr>
              <w:t xml:space="preserve">存量车型开启报废高  </w:t>
            </w:r>
            <w:r>
              <w:rPr>
                <w:spacing w:val="-3"/>
              </w:rPr>
              <w:t>峰期，</w:t>
            </w:r>
            <w:r>
              <w:rPr>
                <w:spacing w:val="41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 xml:space="preserve">2023 </w:t>
            </w:r>
            <w:r>
              <w:rPr>
                <w:spacing w:val="-3"/>
              </w:rPr>
              <w:t xml:space="preserve">年报废量已达 </w:t>
            </w:r>
            <w:r>
              <w:rPr>
                <w:rFonts w:ascii="Arial" w:eastAsia="Arial" w:hAnsi="Arial" w:cs="Arial"/>
                <w:spacing w:val="-3"/>
              </w:rPr>
              <w:t xml:space="preserve">656 </w:t>
            </w:r>
            <w:r>
              <w:rPr>
                <w:spacing w:val="-3"/>
              </w:rPr>
              <w:t xml:space="preserve">万辆，报废比例达 </w:t>
            </w:r>
            <w:r>
              <w:rPr>
                <w:rFonts w:ascii="Arial" w:eastAsia="Arial" w:hAnsi="Arial" w:cs="Arial"/>
                <w:spacing w:val="-3"/>
              </w:rPr>
              <w:t>2.26%</w:t>
            </w:r>
            <w:r>
              <w:rPr>
                <w:spacing w:val="-3"/>
              </w:rPr>
              <w:t>，将有力托底需求的</w:t>
            </w:r>
            <w:r>
              <w:rPr>
                <w:spacing w:val="-4"/>
              </w:rPr>
              <w:t>增量空间。</w:t>
            </w:r>
          </w:p>
          <w:p>
            <w:pPr>
              <w:spacing w:before="182" w:line="222" w:lineRule="auto"/>
              <w:ind w:left="8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1"/>
                <w:sz w:val="21"/>
                <w:szCs w:val="21"/>
              </w:rPr>
              <w:t>行情复盘：汽车消费刺激政策对板块行情的影响</w:t>
            </w:r>
          </w:p>
          <w:p>
            <w:pPr>
              <w:pStyle w:val="TableText"/>
              <w:spacing w:before="132" w:line="291" w:lineRule="auto"/>
              <w:ind w:left="5" w:firstLine="7"/>
              <w:jc w:val="both"/>
            </w:pPr>
            <w:r>
              <w:rPr>
                <w:spacing w:val="-5"/>
              </w:rPr>
              <w:t xml:space="preserve">历史经历三轮汽车消费刺激政策：   </w:t>
            </w:r>
            <w:r>
              <w:rPr>
                <w:rFonts w:ascii="Arial" w:eastAsia="Arial" w:hAnsi="Arial" w:cs="Arial"/>
                <w:spacing w:val="-5"/>
              </w:rPr>
              <w:t>1</w:t>
            </w:r>
            <w:r>
              <w:rPr>
                <w:spacing w:val="-5"/>
              </w:rPr>
              <w:t>）</w:t>
            </w:r>
            <w:r>
              <w:rPr>
                <w:rFonts w:ascii="Arial" w:eastAsia="Arial" w:hAnsi="Arial" w:cs="Arial"/>
                <w:spacing w:val="-5"/>
              </w:rPr>
              <w:t xml:space="preserve">2009 </w:t>
            </w:r>
            <w:r>
              <w:rPr>
                <w:spacing w:val="-5"/>
              </w:rPr>
              <w:t>年：政策生效后汽车各子板块行情开始跑赢大盘，</w:t>
            </w:r>
            <w:r>
              <w:t xml:space="preserve">  </w:t>
            </w:r>
            <w:r>
              <w:rPr>
                <w:spacing w:val="-2"/>
              </w:rPr>
              <w:t>且超额收益随着时间推移更加明显。业绩的增长是相对收益的核心</w:t>
            </w:r>
            <w:r>
              <w:rPr>
                <w:spacing w:val="-3"/>
              </w:rPr>
              <w:t xml:space="preserve">原因；公司估值无论高低，  </w:t>
            </w:r>
            <w:r>
              <w:rPr>
                <w:spacing w:val="-8"/>
              </w:rPr>
              <w:t>估值提升的贡献差异不大；</w:t>
            </w:r>
            <w:r>
              <w:rPr>
                <w:spacing w:val="17"/>
              </w:rPr>
              <w:t xml:space="preserve">  </w:t>
            </w:r>
            <w:r>
              <w:rPr>
                <w:spacing w:val="-8"/>
              </w:rPr>
              <w:t>个股间低估值优势并不明显的情况下，</w:t>
            </w:r>
            <w:r>
              <w:rPr>
                <w:spacing w:val="15"/>
              </w:rPr>
              <w:t xml:space="preserve">  </w:t>
            </w:r>
            <w:r>
              <w:rPr>
                <w:spacing w:val="-8"/>
              </w:rPr>
              <w:t xml:space="preserve">业绩高增长的公司股价涨幅  </w:t>
            </w:r>
            <w:r>
              <w:rPr>
                <w:spacing w:val="-10"/>
              </w:rPr>
              <w:t>明显。</w:t>
            </w:r>
            <w:r>
              <w:rPr>
                <w:spacing w:val="40"/>
              </w:rPr>
              <w:t xml:space="preserve"> </w:t>
            </w:r>
            <w:r>
              <w:rPr>
                <w:rFonts w:ascii="Arial" w:eastAsia="Arial" w:hAnsi="Arial" w:cs="Arial"/>
                <w:spacing w:val="-10"/>
              </w:rPr>
              <w:t>2</w:t>
            </w:r>
            <w:r>
              <w:rPr>
                <w:spacing w:val="-10"/>
              </w:rPr>
              <w:t>）</w:t>
            </w:r>
            <w:r>
              <w:rPr>
                <w:rFonts w:ascii="Arial" w:eastAsia="Arial" w:hAnsi="Arial" w:cs="Arial"/>
                <w:spacing w:val="-10"/>
              </w:rPr>
              <w:t xml:space="preserve">2015 </w:t>
            </w:r>
            <w:r>
              <w:rPr>
                <w:spacing w:val="-10"/>
              </w:rPr>
              <w:t>年：</w:t>
            </w:r>
            <w:r>
              <w:rPr>
                <w:spacing w:val="10"/>
              </w:rPr>
              <w:t xml:space="preserve"> </w:t>
            </w:r>
            <w:r>
              <w:rPr>
                <w:spacing w:val="-10"/>
              </w:rPr>
              <w:t xml:space="preserve">低估值、业绩高增速的个股具有高收益；   汽车板块多数标的跑赢大盘；   低  </w:t>
            </w:r>
            <w:r>
              <w:rPr>
                <w:spacing w:val="-2"/>
              </w:rPr>
              <w:t>估值的公司优势显著，估值仍有提升空间；个股业绩普涨，业绩高</w:t>
            </w:r>
            <w:r>
              <w:rPr>
                <w:spacing w:val="-3"/>
              </w:rPr>
              <w:t xml:space="preserve">成长性个股股价涨幅突出；  </w:t>
            </w:r>
            <w:r>
              <w:rPr>
                <w:rFonts w:ascii="Arial" w:eastAsia="Arial" w:hAnsi="Arial" w:cs="Arial"/>
                <w:spacing w:val="-10"/>
              </w:rPr>
              <w:t xml:space="preserve">2015 </w:t>
            </w:r>
            <w:r>
              <w:rPr>
                <w:spacing w:val="-10"/>
              </w:rPr>
              <w:t>年政策作用明显，   行业显著性水平明显上升；   市场更多关注零部件，   整车出现销量分化，</w:t>
            </w:r>
            <w:r>
              <w:rPr>
                <w:spacing w:val="5"/>
              </w:rPr>
              <w:t xml:space="preserve"> </w:t>
            </w:r>
            <w:r>
              <w:rPr>
                <w:spacing w:val="-9"/>
              </w:rPr>
              <w:t>国产品牌加速崛起。</w:t>
            </w:r>
            <w:r>
              <w:rPr>
                <w:spacing w:val="17"/>
              </w:rPr>
              <w:t xml:space="preserve">  </w:t>
            </w:r>
            <w:r>
              <w:rPr>
                <w:rFonts w:ascii="Arial" w:eastAsia="Arial" w:hAnsi="Arial" w:cs="Arial"/>
                <w:spacing w:val="-9"/>
              </w:rPr>
              <w:t>3</w:t>
            </w:r>
            <w:r>
              <w:rPr>
                <w:spacing w:val="-9"/>
              </w:rPr>
              <w:t>）</w:t>
            </w:r>
            <w:r>
              <w:rPr>
                <w:rFonts w:ascii="Arial" w:eastAsia="Arial" w:hAnsi="Arial" w:cs="Arial"/>
                <w:spacing w:val="-9"/>
              </w:rPr>
              <w:t xml:space="preserve">2022 </w:t>
            </w:r>
            <w:r>
              <w:rPr>
                <w:spacing w:val="-9"/>
              </w:rPr>
              <w:t>年：</w:t>
            </w:r>
            <w:r>
              <w:rPr>
                <w:spacing w:val="15"/>
                <w:w w:val="101"/>
              </w:rPr>
              <w:t xml:space="preserve"> </w:t>
            </w:r>
            <w:r>
              <w:rPr>
                <w:spacing w:val="-9"/>
              </w:rPr>
              <w:t>业绩相对较好的细分板块相对收益更显著，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spacing w:val="-9"/>
              </w:rPr>
              <w:t xml:space="preserve">但整体超额幅度  </w:t>
            </w:r>
            <w:r>
              <w:rPr>
                <w:spacing w:val="-3"/>
              </w:rPr>
              <w:t>不高，多数标的跑赢大盘，业绩高成长性个股股价涨幅更突出；</w:t>
            </w:r>
            <w:r>
              <w:rPr>
                <w:spacing w:val="3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 xml:space="preserve">2022  </w:t>
            </w:r>
            <w:r>
              <w:rPr>
                <w:spacing w:val="-3"/>
              </w:rPr>
              <w:t xml:space="preserve">年政策对零部件企业明  </w:t>
            </w:r>
            <w:r>
              <w:rPr>
                <w:spacing w:val="-1"/>
              </w:rPr>
              <w:t>显，业绩增速好、小市值、股价绝对值较低的公司</w:t>
            </w:r>
            <w:r>
              <w:rPr>
                <w:spacing w:val="-2"/>
              </w:rPr>
              <w:t>更易获得更大机会。</w:t>
            </w:r>
          </w:p>
          <w:p>
            <w:pPr>
              <w:spacing w:before="204" w:line="214" w:lineRule="auto"/>
              <w:ind w:left="6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z w:val="21"/>
                <w:szCs w:val="21"/>
              </w:rPr>
              <w:t>投资建议：政策刺激有望带动板块需求超预期，积极看多汽车板块</w:t>
            </w:r>
          </w:p>
          <w:p>
            <w:pPr>
              <w:pStyle w:val="TableText"/>
              <w:spacing w:before="211" w:line="284" w:lineRule="auto"/>
              <w:ind w:left="5" w:right="9"/>
            </w:pPr>
            <w:r>
              <w:rPr>
                <w:spacing w:val="-7"/>
              </w:rPr>
              <w:t>政策刺激有望带动板块需求超预期，</w:t>
            </w:r>
            <w:r>
              <w:rPr>
                <w:spacing w:val="17"/>
                <w:w w:val="101"/>
              </w:rPr>
              <w:t xml:space="preserve">  </w:t>
            </w:r>
            <w:r>
              <w:rPr>
                <w:spacing w:val="-7"/>
              </w:rPr>
              <w:t>积极看多汽车板块。整车核心看新车周期表现，</w:t>
            </w:r>
            <w:r>
              <w:rPr>
                <w:spacing w:val="16"/>
              </w:rPr>
              <w:t xml:space="preserve">  </w:t>
            </w:r>
            <w:r>
              <w:rPr>
                <w:spacing w:val="-7"/>
              </w:rPr>
              <w:t>节后需求</w:t>
            </w:r>
            <w:r>
              <w:t xml:space="preserve"> </w:t>
            </w:r>
            <w:r>
              <w:rPr>
                <w:spacing w:val="-4"/>
              </w:rPr>
              <w:t>逐步回升、</w:t>
            </w:r>
            <w:r>
              <w:rPr>
                <w:spacing w:val="16"/>
                <w:w w:val="101"/>
              </w:rPr>
              <w:t xml:space="preserve">  </w:t>
            </w:r>
            <w:r>
              <w:rPr>
                <w:rFonts w:ascii="Arial" w:eastAsia="Arial" w:hAnsi="Arial" w:cs="Arial"/>
                <w:spacing w:val="-4"/>
              </w:rPr>
              <w:t xml:space="preserve">3 </w:t>
            </w:r>
            <w:r>
              <w:rPr>
                <w:spacing w:val="-4"/>
              </w:rPr>
              <w:t>月份各家车企开启市场投放和批发补库，新能源和总量表现持续向上值得期待，</w:t>
            </w:r>
            <w:r>
              <w:t xml:space="preserve">  </w:t>
            </w:r>
            <w:r>
              <w:rPr>
                <w:spacing w:val="-4"/>
              </w:rPr>
              <w:t>且政策刺激有望带动需求超预期，</w:t>
            </w:r>
            <w:r>
              <w:rPr>
                <w:spacing w:val="20"/>
              </w:rPr>
              <w:t xml:space="preserve">  </w:t>
            </w:r>
            <w:r>
              <w:rPr>
                <w:spacing w:val="-4"/>
              </w:rPr>
              <w:t>重点推荐理想汽车、长安汽车、长城汽车、比</w:t>
            </w:r>
            <w:r>
              <w:rPr>
                <w:spacing w:val="-5"/>
              </w:rPr>
              <w:t>亚迪、小鹏汽</w:t>
            </w:r>
            <w:r>
              <w:t xml:space="preserve"> </w:t>
            </w:r>
            <w:r>
              <w:rPr>
                <w:spacing w:val="-8"/>
              </w:rPr>
              <w:t xml:space="preserve">车、吉利汽车、上汽集团。商用车内需复苏，   出口强劲，  天然气重卡高景气，  </w:t>
            </w:r>
            <w:r>
              <w:rPr>
                <w:spacing w:val="-9"/>
              </w:rPr>
              <w:t xml:space="preserve"> 重点推荐行业龙</w:t>
            </w:r>
            <w:r>
              <w:t xml:space="preserve"> </w:t>
            </w:r>
            <w:r>
              <w:rPr>
                <w:spacing w:val="-1"/>
              </w:rPr>
              <w:t>头潍柴动力、宇通客车。零部件创新周期开启新一轮成长，优质零部件出海打开全球新篇章，</w:t>
            </w:r>
            <w:r>
              <w:t xml:space="preserve"> </w:t>
            </w:r>
            <w:r>
              <w:rPr>
                <w:spacing w:val="-6"/>
              </w:rPr>
              <w:t>聚焦一季度表现较好的优质品种，   重点推荐：  拓普集团、新泉股份、星宇股份、伯特利、银轮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股份、福耀玻璃、旭升集团、华域汽车、经纬恒润、凌云股份、敏实集团、天润工业，</w:t>
            </w:r>
            <w:r>
              <w:rPr>
                <w:spacing w:val="18"/>
              </w:rPr>
              <w:t xml:space="preserve">  </w:t>
            </w:r>
            <w:r>
              <w:rPr>
                <w:spacing w:val="-4"/>
              </w:rPr>
              <w:t>建议关</w:t>
            </w:r>
            <w:r>
              <w:t xml:space="preserve"> </w:t>
            </w:r>
            <w:r>
              <w:rPr>
                <w:spacing w:val="-3"/>
              </w:rPr>
              <w:t>注隆盛科技、岱美股份。</w:t>
            </w: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69" w:line="223" w:lineRule="auto"/>
              <w:ind w:left="9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2"/>
                <w:sz w:val="21"/>
                <w:szCs w:val="21"/>
              </w:rPr>
              <w:t>风险提示</w:t>
            </w:r>
          </w:p>
          <w:p>
            <w:pPr>
              <w:pStyle w:val="TableText"/>
              <w:spacing w:before="181" w:line="430" w:lineRule="exact"/>
              <w:ind w:left="19"/>
            </w:pPr>
            <w:r>
              <w:rPr>
                <w:rFonts w:ascii="Arial" w:eastAsia="Arial" w:hAnsi="Arial" w:cs="Arial"/>
                <w:spacing w:val="-7"/>
                <w:position w:val="20"/>
              </w:rPr>
              <w:t>1</w:t>
            </w:r>
            <w:r>
              <w:rPr>
                <w:spacing w:val="-7"/>
                <w:position w:val="20"/>
              </w:rPr>
              <w:t xml:space="preserve">、政策落地时间不及预期；   </w:t>
            </w:r>
            <w:r>
              <w:rPr>
                <w:rFonts w:ascii="Arial" w:eastAsia="Arial" w:hAnsi="Arial" w:cs="Arial"/>
                <w:spacing w:val="-7"/>
                <w:position w:val="20"/>
              </w:rPr>
              <w:t>2</w:t>
            </w:r>
            <w:r>
              <w:rPr>
                <w:spacing w:val="-7"/>
                <w:position w:val="20"/>
              </w:rPr>
              <w:t>、政策落地力度不及预期；</w:t>
            </w:r>
          </w:p>
          <w:p>
            <w:pPr>
              <w:pStyle w:val="TableText"/>
              <w:spacing w:line="198" w:lineRule="auto"/>
              <w:ind w:left="7"/>
            </w:pP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spacing w:val="-1"/>
              </w:rPr>
              <w:t>、经济复苏弱于预期；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spacing w:val="-1"/>
              </w:rPr>
              <w:t>、行业竞争加剧削弱企</w:t>
            </w:r>
            <w:r>
              <w:rPr>
                <w:spacing w:val="-2"/>
              </w:rPr>
              <w:t>业盈利。</w:t>
            </w:r>
          </w:p>
        </w:tc>
      </w:tr>
    </w:tbl>
    <w:p>
      <w:pPr>
        <w:spacing w:before="54" w:line="222" w:lineRule="auto"/>
        <w:ind w:left="11"/>
        <w:rPr>
          <w:rFonts w:ascii="SimHei" w:eastAsia="SimHei" w:hAnsi="SimHei" w:cs="SimHei"/>
          <w:sz w:val="16"/>
          <w:szCs w:val="16"/>
        </w:rPr>
      </w:pPr>
      <w:r>
        <w:rPr>
          <w:rFonts w:ascii="SimHei" w:eastAsia="SimHei" w:hAnsi="SimHei" w:cs="SimHei"/>
          <w:spacing w:val="-1"/>
          <w:sz w:val="16"/>
          <w:szCs w:val="16"/>
        </w:rPr>
        <w:t>请阅读最后评级说明和重要声明</w:t>
      </w:r>
    </w:p>
    <w:p>
      <w:pPr>
        <w:pStyle w:val="BodyText"/>
        <w:spacing w:line="14" w:lineRule="auto"/>
        <w:rPr>
          <w:sz w:val="2"/>
        </w:rPr>
        <w:sectPr>
          <w:headerReference w:type="default" r:id="rId14"/>
          <w:footerReference w:type="default" r:id="rId15"/>
          <w:pgSz w:w="11907" w:h="16839"/>
          <w:pgMar w:top="1" w:right="0" w:bottom="1" w:left="852" w:header="0" w:footer="0" w:gutter="0"/>
          <w:pgNumType w:start="7"/>
          <w:cols w:num="2" w:space="708" w:equalWidth="0">
            <w:col w:w="7530" w:space="100"/>
            <w:col w:w="3425" w:space="0"/>
          </w:cols>
        </w:sectPr>
      </w:pPr>
      <w:r>
        <w:rPr>
          <w:sz w:val="2"/>
          <w:szCs w:val="2"/>
        </w:rPr>
        <w:br w:type="column"/>
      </w:r>
    </w:p>
    <w:p>
      <w:pPr>
        <w:pStyle w:val="BodyText"/>
        <w:spacing w:line="277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spacing w:line="401" w:lineRule="exact"/>
      </w:pPr>
      <w:r>
        <w:rPr>
          <w:position w:val="-8"/>
        </w:rPr>
        <w:drawing>
          <wp:inline distT="0" distB="0" distL="0" distR="0">
            <wp:extent cx="976883" cy="254507"/>
            <wp:effectExtent l="0" t="0" r="0" b="0"/>
            <wp:docPr id="184384653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46532" name="IM 12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6883" cy="2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2" w:lineRule="exact"/>
      </w:pPr>
    </w:p>
    <w:tbl>
      <w:tblPr>
        <w:tblStyle w:val="TableNormal1"/>
        <w:tblW w:w="735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7357"/>
      </w:tblGrid>
      <w:tr>
        <w:tblPrEx>
          <w:tblW w:w="7357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496"/>
        </w:trPr>
        <w:tc>
          <w:tcPr>
            <w:tcW w:w="7357" w:type="dxa"/>
            <w:tcBorders>
              <w:top w:val="single" w:sz="10" w:space="0" w:color="E10000"/>
              <w:bottom w:val="single" w:sz="6" w:space="0" w:color="E10000"/>
            </w:tcBorders>
            <w:vAlign w:val="top"/>
          </w:tcPr>
          <w:p>
            <w:pPr>
              <w:spacing w:before="153" w:line="221" w:lineRule="auto"/>
              <w:ind w:left="8"/>
              <w:rPr>
                <w:rFonts w:ascii="SimHei" w:eastAsia="SimHei" w:hAnsi="SimHei" w:cs="SimHei"/>
                <w:sz w:val="24"/>
                <w:szCs w:val="24"/>
              </w:rPr>
            </w:pPr>
            <w:r>
              <w:rPr>
                <w:rFonts w:ascii="SimHei" w:eastAsia="SimHei" w:hAnsi="SimHei" w:cs="SimHei"/>
                <w:spacing w:val="-1"/>
                <w:sz w:val="24"/>
                <w:szCs w:val="24"/>
              </w:rPr>
              <w:t>汽车与汽车零部件</w:t>
            </w:r>
          </w:p>
        </w:tc>
      </w:tr>
      <w:tr>
        <w:tblPrEx>
          <w:tblW w:w="7357" w:type="dxa"/>
          <w:tblInd w:w="0" w:type="dxa"/>
          <w:tblLayout w:type="fixed"/>
        </w:tblPrEx>
        <w:trPr>
          <w:trHeight w:val="1108"/>
        </w:trPr>
        <w:tc>
          <w:tcPr>
            <w:tcW w:w="7357" w:type="dxa"/>
            <w:tcBorders>
              <w:top w:val="single" w:sz="6" w:space="0" w:color="E10000"/>
              <w:bottom w:val="single" w:sz="6" w:space="0" w:color="E10000"/>
            </w:tcBorders>
            <w:vAlign w:val="top"/>
          </w:tcPr>
          <w:p>
            <w:pPr>
              <w:spacing w:before="143" w:line="226" w:lineRule="auto"/>
              <w:ind w:left="14" w:right="19" w:firstLine="8"/>
              <w:rPr>
                <w:rFonts w:ascii="SimHei" w:eastAsia="SimHei" w:hAnsi="SimHei" w:cs="SimHei"/>
                <w:sz w:val="36"/>
                <w:szCs w:val="36"/>
              </w:rPr>
            </w:pPr>
            <w:r>
              <w:rPr>
                <w:rFonts w:ascii="SimHei" w:eastAsia="SimHei" w:hAnsi="SimHei" w:cs="SimHei"/>
                <w:color w:val="E10000"/>
                <w:spacing w:val="5"/>
                <w:sz w:val="36"/>
                <w:szCs w:val="36"/>
              </w:rPr>
              <w:t>“以旧换新”看乘用车：置换主导支撑内需韧</w:t>
            </w:r>
            <w:r>
              <w:rPr>
                <w:rFonts w:ascii="SimHei" w:eastAsia="SimHei" w:hAnsi="SimHei" w:cs="SimHei"/>
                <w:color w:val="E10000"/>
                <w:spacing w:val="13"/>
                <w:sz w:val="36"/>
                <w:szCs w:val="36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1"/>
                <w:sz w:val="36"/>
                <w:szCs w:val="36"/>
              </w:rPr>
              <w:t>性，政策有望带动需求超预期</w:t>
            </w:r>
          </w:p>
        </w:tc>
      </w:tr>
      <w:tr>
        <w:tblPrEx>
          <w:tblW w:w="7357" w:type="dxa"/>
          <w:tblInd w:w="0" w:type="dxa"/>
          <w:tblLayout w:type="fixed"/>
        </w:tblPrEx>
        <w:trPr>
          <w:trHeight w:val="12927"/>
        </w:trPr>
        <w:tc>
          <w:tcPr>
            <w:tcW w:w="7357" w:type="dxa"/>
            <w:tcBorders>
              <w:top w:val="single" w:sz="6" w:space="0" w:color="E10000"/>
              <w:bottom w:val="single" w:sz="2" w:space="0" w:color="E10000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68" w:line="214" w:lineRule="auto"/>
              <w:ind w:left="6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政策梳理：</w:t>
            </w:r>
            <w:r>
              <w:rPr>
                <w:rFonts w:ascii="SimHei" w:eastAsia="SimHei" w:hAnsi="SimHei" w:cs="SimHei"/>
                <w:color w:val="E10000"/>
                <w:spacing w:val="-28"/>
                <w:sz w:val="21"/>
                <w:szCs w:val="21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汽车消费刺激政策工具多，见效快</w:t>
            </w:r>
          </w:p>
          <w:p>
            <w:pPr>
              <w:pStyle w:val="TableText"/>
              <w:spacing w:before="208" w:line="272" w:lineRule="auto"/>
              <w:ind w:left="8" w:firstLine="12"/>
              <w:jc w:val="both"/>
            </w:pPr>
            <w:r>
              <w:rPr>
                <w:spacing w:val="-2"/>
              </w:rPr>
              <w:t>国家出台的汽车消费政策主要有四种：车辆购置税减免、汽</w:t>
            </w:r>
            <w:r>
              <w:rPr>
                <w:spacing w:val="-3"/>
              </w:rPr>
              <w:t>车下乡、老旧汽车报废更新补贴、</w:t>
            </w:r>
            <w:r>
              <w:t xml:space="preserve">  </w:t>
            </w:r>
            <w:r>
              <w:rPr>
                <w:spacing w:val="-2"/>
              </w:rPr>
              <w:t>给予节能车购置补贴。部分地区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2019</w:t>
            </w:r>
            <w:r>
              <w:rPr>
                <w:rFonts w:ascii="Arial" w:eastAsia="Arial" w:hAnsi="Arial" w:cs="Arial"/>
                <w:spacing w:val="13"/>
                <w:w w:val="101"/>
              </w:rPr>
              <w:t xml:space="preserve"> </w:t>
            </w:r>
            <w:r>
              <w:rPr>
                <w:spacing w:val="-2"/>
              </w:rPr>
              <w:t xml:space="preserve">年还出台了限购放松政策。受益于政策的积极影响，汽  </w:t>
            </w:r>
            <w:r>
              <w:rPr>
                <w:spacing w:val="-6"/>
              </w:rPr>
              <w:t>车销量增速逐渐回升。</w:t>
            </w:r>
            <w:r>
              <w:rPr>
                <w:spacing w:val="13"/>
                <w:w w:val="101"/>
              </w:rPr>
              <w:t xml:space="preserve">  </w:t>
            </w:r>
            <w:r>
              <w:rPr>
                <w:rFonts w:ascii="Arial" w:eastAsia="Arial" w:hAnsi="Arial" w:cs="Arial"/>
                <w:spacing w:val="-6"/>
              </w:rPr>
              <w:t>2024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3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spacing w:val="-6"/>
              </w:rPr>
              <w:t>月</w:t>
            </w:r>
            <w:r>
              <w:rPr>
                <w:spacing w:val="27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1</w:t>
            </w:r>
            <w:r>
              <w:rPr>
                <w:rFonts w:ascii="Arial" w:eastAsia="Arial" w:hAnsi="Arial" w:cs="Arial"/>
                <w:spacing w:val="35"/>
                <w:w w:val="101"/>
              </w:rPr>
              <w:t xml:space="preserve"> </w:t>
            </w:r>
            <w:r>
              <w:rPr>
                <w:spacing w:val="-6"/>
              </w:rPr>
              <w:t xml:space="preserve">日，国务院常务会议审议通过《推动大规模设备更新和  </w:t>
            </w:r>
            <w:r>
              <w:rPr>
                <w:spacing w:val="-8"/>
              </w:rPr>
              <w:t>消费品以旧换新行动方案》，积极开展汽车、家电等消费品以旧换新，</w:t>
            </w:r>
            <w:r>
              <w:rPr>
                <w:spacing w:val="16"/>
                <w:w w:val="101"/>
              </w:rPr>
              <w:t xml:space="preserve">  </w:t>
            </w:r>
            <w:r>
              <w:rPr>
                <w:spacing w:val="-8"/>
              </w:rPr>
              <w:t>形成更新换代规模效应。</w:t>
            </w:r>
          </w:p>
          <w:p>
            <w:pPr>
              <w:spacing w:before="182" w:line="214" w:lineRule="auto"/>
              <w:ind w:left="14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需求潜力：</w:t>
            </w:r>
            <w:r>
              <w:rPr>
                <w:rFonts w:ascii="SimHei" w:eastAsia="SimHei" w:hAnsi="SimHei" w:cs="SimHei"/>
                <w:color w:val="E10000"/>
                <w:spacing w:val="-14"/>
                <w:sz w:val="21"/>
                <w:szCs w:val="21"/>
              </w:rPr>
              <w:t xml:space="preserve"> </w:t>
            </w:r>
            <w:r>
              <w:rPr>
                <w:rFonts w:ascii="SimHei" w:eastAsia="SimHei" w:hAnsi="SimHei" w:cs="SimHei"/>
                <w:color w:val="E10000"/>
                <w:spacing w:val="-4"/>
                <w:sz w:val="21"/>
                <w:szCs w:val="21"/>
              </w:rPr>
              <w:t>乘用车置换需求成为主导，有效支撑内需韧性</w:t>
            </w:r>
          </w:p>
          <w:p>
            <w:pPr>
              <w:pStyle w:val="TableText"/>
              <w:spacing w:before="191" w:line="284" w:lineRule="auto"/>
              <w:ind w:left="5" w:firstLine="18"/>
              <w:jc w:val="both"/>
            </w:pPr>
            <w:r>
              <w:rPr>
                <w:spacing w:val="-9"/>
              </w:rPr>
              <w:t>中国乘用车市场消费结构中换购比例明显提升。</w:t>
            </w:r>
            <w:r>
              <w:rPr>
                <w:spacing w:val="16"/>
              </w:rPr>
              <w:t xml:space="preserve">  </w:t>
            </w:r>
            <w:r>
              <w:rPr>
                <w:rFonts w:ascii="Arial" w:eastAsia="Arial" w:hAnsi="Arial" w:cs="Arial"/>
                <w:spacing w:val="-9"/>
              </w:rPr>
              <w:t>1</w:t>
            </w:r>
            <w:r>
              <w:rPr>
                <w:spacing w:val="-9"/>
              </w:rPr>
              <w:t xml:space="preserve">）换车周期：  </w:t>
            </w:r>
            <w:r>
              <w:rPr>
                <w:rFonts w:ascii="Arial" w:eastAsia="Arial" w:hAnsi="Arial" w:cs="Arial"/>
                <w:spacing w:val="-9"/>
              </w:rPr>
              <w:t>2017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spacing w:val="-10"/>
              </w:rPr>
              <w:t xml:space="preserve">年销量冲高，   此后受政策  </w:t>
            </w:r>
            <w:r>
              <w:rPr>
                <w:spacing w:val="-6"/>
              </w:rPr>
              <w:t>到期、经济、缺芯等因素影响，</w:t>
            </w:r>
            <w:r>
              <w:rPr>
                <w:spacing w:val="15"/>
                <w:w w:val="101"/>
              </w:rPr>
              <w:t xml:space="preserve">  </w:t>
            </w:r>
            <w:r>
              <w:rPr>
                <w:spacing w:val="-6"/>
              </w:rPr>
              <w:t>需求进入波动期。</w:t>
            </w:r>
            <w:r>
              <w:rPr>
                <w:rFonts w:ascii="Arial" w:eastAsia="Arial" w:hAnsi="Arial" w:cs="Arial"/>
                <w:spacing w:val="-6"/>
              </w:rPr>
              <w:t xml:space="preserve">5-7 </w:t>
            </w:r>
            <w:r>
              <w:rPr>
                <w:spacing w:val="-6"/>
              </w:rPr>
              <w:t>年</w:t>
            </w:r>
            <w:r>
              <w:rPr>
                <w:spacing w:val="-7"/>
              </w:rPr>
              <w:t>车龄兼具保值率稳定与现金回收优势，</w:t>
            </w:r>
            <w:r>
              <w:t xml:space="preserve"> </w:t>
            </w:r>
            <w:r>
              <w:rPr>
                <w:rFonts w:ascii="Arial" w:eastAsia="Arial" w:hAnsi="Arial" w:cs="Arial"/>
                <w:spacing w:val="-7"/>
              </w:rPr>
              <w:t xml:space="preserve">2016-2017 </w:t>
            </w:r>
            <w:r>
              <w:rPr>
                <w:spacing w:val="-7"/>
              </w:rPr>
              <w:t>年车型当前已步入换车临界点，</w:t>
            </w:r>
            <w:r>
              <w:rPr>
                <w:spacing w:val="13"/>
                <w:w w:val="101"/>
              </w:rPr>
              <w:t xml:space="preserve">  </w:t>
            </w:r>
            <w:r>
              <w:rPr>
                <w:spacing w:val="-7"/>
              </w:rPr>
              <w:t>且智能电动趋势加速竞争格局变化，</w:t>
            </w:r>
            <w:r>
              <w:rPr>
                <w:spacing w:val="13"/>
              </w:rPr>
              <w:t xml:space="preserve">  </w:t>
            </w:r>
            <w:r>
              <w:rPr>
                <w:spacing w:val="-7"/>
              </w:rPr>
              <w:t>新</w:t>
            </w:r>
            <w:r>
              <w:rPr>
                <w:spacing w:val="-8"/>
              </w:rPr>
              <w:t xml:space="preserve">车市场价格  </w:t>
            </w:r>
            <w:r>
              <w:rPr>
                <w:spacing w:val="-5"/>
              </w:rPr>
              <w:t>竞争加剧、吸引力大幅增强。从二手车市场表现及新车需求流向来看，</w:t>
            </w:r>
            <w:r>
              <w:rPr>
                <w:spacing w:val="17"/>
                <w:w w:val="101"/>
              </w:rPr>
              <w:t xml:space="preserve">  </w:t>
            </w:r>
            <w:r>
              <w:rPr>
                <w:spacing w:val="-5"/>
              </w:rPr>
              <w:t>历史</w:t>
            </w:r>
            <w:r>
              <w:rPr>
                <w:spacing w:val="-6"/>
              </w:rPr>
              <w:t xml:space="preserve">销量高峰期车型已  </w:t>
            </w:r>
            <w:r>
              <w:rPr>
                <w:spacing w:val="-4"/>
              </w:rPr>
              <w:t>步入集中换车周期，预计</w:t>
            </w:r>
            <w:r>
              <w:rPr>
                <w:spacing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2023</w:t>
            </w:r>
            <w:r>
              <w:rPr>
                <w:rFonts w:ascii="Arial" w:eastAsia="Arial" w:hAnsi="Arial" w:cs="Arial"/>
                <w:spacing w:val="23"/>
                <w:w w:val="101"/>
              </w:rPr>
              <w:t xml:space="preserve"> </w:t>
            </w:r>
            <w:r>
              <w:rPr>
                <w:spacing w:val="-4"/>
              </w:rPr>
              <w:t>年置换带来的新车需求超</w:t>
            </w:r>
            <w:r>
              <w:rPr>
                <w:spacing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650</w:t>
            </w:r>
            <w:r>
              <w:rPr>
                <w:rFonts w:ascii="Arial" w:eastAsia="Arial" w:hAnsi="Arial" w:cs="Arial"/>
                <w:spacing w:val="23"/>
                <w:w w:val="101"/>
              </w:rPr>
              <w:t xml:space="preserve"> </w:t>
            </w:r>
            <w:r>
              <w:rPr>
                <w:spacing w:val="-4"/>
              </w:rPr>
              <w:t>万辆。</w:t>
            </w:r>
            <w:r>
              <w:rPr>
                <w:spacing w:val="29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2</w:t>
            </w:r>
            <w:r>
              <w:rPr>
                <w:spacing w:val="-4"/>
              </w:rPr>
              <w:t xml:space="preserve">）报废周期：乘用车虽  </w:t>
            </w:r>
            <w:r>
              <w:rPr>
                <w:spacing w:val="-5"/>
              </w:rPr>
              <w:t>无强制报废要求、但生命周期仍然有限，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spacing w:val="-5"/>
              </w:rPr>
              <w:t>置换带来的二手车交易流通并不意味着等量挤压</w:t>
            </w:r>
            <w:r>
              <w:rPr>
                <w:spacing w:val="-6"/>
              </w:rPr>
              <w:t xml:space="preserve">未来  </w:t>
            </w:r>
            <w:r>
              <w:rPr>
                <w:spacing w:val="-8"/>
              </w:rPr>
              <w:t>的新车需求。近年来乘用车保有量增速明显放缓，</w:t>
            </w:r>
            <w:r>
              <w:rPr>
                <w:spacing w:val="18"/>
              </w:rPr>
              <w:t xml:space="preserve">  </w:t>
            </w:r>
            <w:r>
              <w:rPr>
                <w:spacing w:val="-8"/>
              </w:rPr>
              <w:t>但车龄结构加快上移，</w:t>
            </w:r>
            <w:r>
              <w:rPr>
                <w:spacing w:val="14"/>
              </w:rPr>
              <w:t xml:space="preserve">  </w:t>
            </w:r>
            <w:r>
              <w:rPr>
                <w:spacing w:val="-8"/>
              </w:rPr>
              <w:t xml:space="preserve">存量车型开启报废高  </w:t>
            </w:r>
            <w:r>
              <w:rPr>
                <w:spacing w:val="-3"/>
              </w:rPr>
              <w:t>峰期，</w:t>
            </w:r>
            <w:r>
              <w:rPr>
                <w:spacing w:val="41"/>
                <w:w w:val="10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 xml:space="preserve">2023 </w:t>
            </w:r>
            <w:r>
              <w:rPr>
                <w:spacing w:val="-3"/>
              </w:rPr>
              <w:t xml:space="preserve">年报废量已达 </w:t>
            </w:r>
            <w:r>
              <w:rPr>
                <w:rFonts w:ascii="Arial" w:eastAsia="Arial" w:hAnsi="Arial" w:cs="Arial"/>
                <w:spacing w:val="-3"/>
              </w:rPr>
              <w:t xml:space="preserve">656 </w:t>
            </w:r>
            <w:r>
              <w:rPr>
                <w:spacing w:val="-3"/>
              </w:rPr>
              <w:t xml:space="preserve">万辆，报废比例达 </w:t>
            </w:r>
            <w:r>
              <w:rPr>
                <w:rFonts w:ascii="Arial" w:eastAsia="Arial" w:hAnsi="Arial" w:cs="Arial"/>
                <w:spacing w:val="-3"/>
              </w:rPr>
              <w:t>2.26%</w:t>
            </w:r>
            <w:r>
              <w:rPr>
                <w:spacing w:val="-3"/>
              </w:rPr>
              <w:t>，将有力托底需求的</w:t>
            </w:r>
            <w:r>
              <w:rPr>
                <w:spacing w:val="-4"/>
              </w:rPr>
              <w:t>增量空间。</w:t>
            </w:r>
          </w:p>
          <w:p>
            <w:pPr>
              <w:spacing w:before="182" w:line="222" w:lineRule="auto"/>
              <w:ind w:left="8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1"/>
                <w:sz w:val="21"/>
                <w:szCs w:val="21"/>
              </w:rPr>
              <w:t>行情复盘：汽车消费刺激政策对板块行情的影响</w:t>
            </w:r>
          </w:p>
          <w:p>
            <w:pPr>
              <w:pStyle w:val="TableText"/>
              <w:spacing w:before="132" w:line="291" w:lineRule="auto"/>
              <w:ind w:left="5" w:firstLine="7"/>
              <w:jc w:val="both"/>
            </w:pPr>
            <w:r>
              <w:rPr>
                <w:spacing w:val="-5"/>
              </w:rPr>
              <w:t xml:space="preserve">历史经历三轮汽车消费刺激政策：   </w:t>
            </w:r>
            <w:r>
              <w:rPr>
                <w:rFonts w:ascii="Arial" w:eastAsia="Arial" w:hAnsi="Arial" w:cs="Arial"/>
                <w:spacing w:val="-5"/>
              </w:rPr>
              <w:t>1</w:t>
            </w:r>
            <w:r>
              <w:rPr>
                <w:spacing w:val="-5"/>
              </w:rPr>
              <w:t>）</w:t>
            </w:r>
            <w:r>
              <w:rPr>
                <w:rFonts w:ascii="Arial" w:eastAsia="Arial" w:hAnsi="Arial" w:cs="Arial"/>
                <w:spacing w:val="-5"/>
              </w:rPr>
              <w:t xml:space="preserve">2009 </w:t>
            </w:r>
            <w:r>
              <w:rPr>
                <w:spacing w:val="-5"/>
              </w:rPr>
              <w:t>年：政策生效后汽车各子板块行情开始跑赢大盘，</w:t>
            </w:r>
            <w:r>
              <w:t xml:space="preserve">  </w:t>
            </w:r>
            <w:r>
              <w:rPr>
                <w:spacing w:val="-2"/>
              </w:rPr>
              <w:t>且超额收益随着时间推移更加明显。业绩的增长是相对收益的核心</w:t>
            </w:r>
            <w:r>
              <w:rPr>
                <w:spacing w:val="-3"/>
              </w:rPr>
              <w:t xml:space="preserve">原因；公司估值无论高低，  </w:t>
            </w:r>
            <w:r>
              <w:rPr>
                <w:spacing w:val="-8"/>
              </w:rPr>
              <w:t>估值提升的贡献差异不大；</w:t>
            </w:r>
            <w:r>
              <w:rPr>
                <w:spacing w:val="17"/>
              </w:rPr>
              <w:t xml:space="preserve">  </w:t>
            </w:r>
            <w:r>
              <w:rPr>
                <w:spacing w:val="-8"/>
              </w:rPr>
              <w:t>个股间低估值优势并不明显的情况下，</w:t>
            </w:r>
            <w:r>
              <w:rPr>
                <w:spacing w:val="15"/>
              </w:rPr>
              <w:t xml:space="preserve">  </w:t>
            </w:r>
            <w:r>
              <w:rPr>
                <w:spacing w:val="-8"/>
              </w:rPr>
              <w:t xml:space="preserve">业绩高增长的公司股价涨幅  </w:t>
            </w:r>
            <w:r>
              <w:rPr>
                <w:spacing w:val="-10"/>
              </w:rPr>
              <w:t>明显。</w:t>
            </w:r>
            <w:r>
              <w:rPr>
                <w:spacing w:val="40"/>
              </w:rPr>
              <w:t xml:space="preserve"> </w:t>
            </w:r>
            <w:r>
              <w:rPr>
                <w:rFonts w:ascii="Arial" w:eastAsia="Arial" w:hAnsi="Arial" w:cs="Arial"/>
                <w:spacing w:val="-10"/>
              </w:rPr>
              <w:t>2</w:t>
            </w:r>
            <w:r>
              <w:rPr>
                <w:spacing w:val="-10"/>
              </w:rPr>
              <w:t>）</w:t>
            </w:r>
            <w:r>
              <w:rPr>
                <w:rFonts w:ascii="Arial" w:eastAsia="Arial" w:hAnsi="Arial" w:cs="Arial"/>
                <w:spacing w:val="-10"/>
              </w:rPr>
              <w:t xml:space="preserve">2015 </w:t>
            </w:r>
            <w:r>
              <w:rPr>
                <w:spacing w:val="-10"/>
              </w:rPr>
              <w:t>年：</w:t>
            </w:r>
            <w:r>
              <w:rPr>
                <w:spacing w:val="10"/>
              </w:rPr>
              <w:t xml:space="preserve"> </w:t>
            </w:r>
            <w:r>
              <w:rPr>
                <w:spacing w:val="-10"/>
              </w:rPr>
              <w:t xml:space="preserve">低估值、业绩高增速的个股具有高收益；   汽车板块多数标的跑赢大盘；   低  </w:t>
            </w:r>
            <w:r>
              <w:rPr>
                <w:spacing w:val="-2"/>
              </w:rPr>
              <w:t>估值的公司优势显著，估值仍有提升空间；个股业绩普涨，业绩高</w:t>
            </w:r>
            <w:r>
              <w:rPr>
                <w:spacing w:val="-3"/>
              </w:rPr>
              <w:t xml:space="preserve">成长性个股股价涨幅突出；  </w:t>
            </w:r>
            <w:r>
              <w:rPr>
                <w:rFonts w:ascii="Arial" w:eastAsia="Arial" w:hAnsi="Arial" w:cs="Arial"/>
                <w:spacing w:val="-10"/>
              </w:rPr>
              <w:t xml:space="preserve">2015 </w:t>
            </w:r>
            <w:r>
              <w:rPr>
                <w:spacing w:val="-10"/>
              </w:rPr>
              <w:t>年政策作用明显，   行业显著性水平明显上升；   市场更多关注零部件，   整车出现销量分化，</w:t>
            </w:r>
            <w:r>
              <w:rPr>
                <w:spacing w:val="5"/>
              </w:rPr>
              <w:t xml:space="preserve"> </w:t>
            </w:r>
            <w:r>
              <w:rPr>
                <w:spacing w:val="-9"/>
              </w:rPr>
              <w:t>国产品牌加速崛起。</w:t>
            </w:r>
            <w:r>
              <w:rPr>
                <w:spacing w:val="17"/>
              </w:rPr>
              <w:t xml:space="preserve">  </w:t>
            </w:r>
            <w:r>
              <w:rPr>
                <w:rFonts w:ascii="Arial" w:eastAsia="Arial" w:hAnsi="Arial" w:cs="Arial"/>
                <w:spacing w:val="-9"/>
              </w:rPr>
              <w:t>3</w:t>
            </w:r>
            <w:r>
              <w:rPr>
                <w:spacing w:val="-9"/>
              </w:rPr>
              <w:t>）</w:t>
            </w:r>
            <w:r>
              <w:rPr>
                <w:rFonts w:ascii="Arial" w:eastAsia="Arial" w:hAnsi="Arial" w:cs="Arial"/>
                <w:spacing w:val="-9"/>
              </w:rPr>
              <w:t xml:space="preserve">2022 </w:t>
            </w:r>
            <w:r>
              <w:rPr>
                <w:spacing w:val="-9"/>
              </w:rPr>
              <w:t>年：</w:t>
            </w:r>
            <w:r>
              <w:rPr>
                <w:spacing w:val="15"/>
                <w:w w:val="101"/>
              </w:rPr>
              <w:t xml:space="preserve"> </w:t>
            </w:r>
            <w:r>
              <w:rPr>
                <w:spacing w:val="-9"/>
              </w:rPr>
              <w:t>业绩相对较好的细分板块相对收益更显著，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spacing w:val="-9"/>
              </w:rPr>
              <w:t xml:space="preserve">但整体超额幅度  </w:t>
            </w:r>
            <w:r>
              <w:rPr>
                <w:spacing w:val="-3"/>
              </w:rPr>
              <w:t>不高，多数标的跑赢大盘，业绩高成长性个股股价涨幅更突出；</w:t>
            </w:r>
            <w:r>
              <w:rPr>
                <w:spacing w:val="3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 xml:space="preserve">2022  </w:t>
            </w:r>
            <w:r>
              <w:rPr>
                <w:spacing w:val="-3"/>
              </w:rPr>
              <w:t xml:space="preserve">年政策对零部件企业明  </w:t>
            </w:r>
            <w:r>
              <w:rPr>
                <w:spacing w:val="-1"/>
              </w:rPr>
              <w:t>显，业绩增速好、小市值、股价绝对值较低的公司</w:t>
            </w:r>
            <w:r>
              <w:rPr>
                <w:spacing w:val="-2"/>
              </w:rPr>
              <w:t>更易获得更大机会。</w:t>
            </w:r>
          </w:p>
          <w:p>
            <w:pPr>
              <w:spacing w:before="204" w:line="214" w:lineRule="auto"/>
              <w:ind w:left="6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z w:val="21"/>
                <w:szCs w:val="21"/>
              </w:rPr>
              <w:t>投资建议：政策刺激有望带动板块需求超预期，积极看多汽车板块</w:t>
            </w:r>
          </w:p>
          <w:p>
            <w:pPr>
              <w:pStyle w:val="TableText"/>
              <w:spacing w:before="211" w:line="284" w:lineRule="auto"/>
              <w:ind w:left="5" w:right="9"/>
            </w:pPr>
            <w:r>
              <w:rPr>
                <w:spacing w:val="-7"/>
              </w:rPr>
              <w:t>政策刺激有望带动板块需求超预期，</w:t>
            </w:r>
            <w:r>
              <w:rPr>
                <w:spacing w:val="17"/>
                <w:w w:val="101"/>
              </w:rPr>
              <w:t xml:space="preserve">  </w:t>
            </w:r>
            <w:r>
              <w:rPr>
                <w:spacing w:val="-7"/>
              </w:rPr>
              <w:t>积极看多汽车板块。整车核心看新车周期表现，</w:t>
            </w:r>
            <w:r>
              <w:rPr>
                <w:spacing w:val="16"/>
              </w:rPr>
              <w:t xml:space="preserve">  </w:t>
            </w:r>
            <w:r>
              <w:rPr>
                <w:spacing w:val="-7"/>
              </w:rPr>
              <w:t>节后需求</w:t>
            </w:r>
            <w:r>
              <w:t xml:space="preserve"> </w:t>
            </w:r>
            <w:r>
              <w:rPr>
                <w:spacing w:val="-4"/>
              </w:rPr>
              <w:t>逐步回升、</w:t>
            </w:r>
            <w:r>
              <w:rPr>
                <w:spacing w:val="16"/>
                <w:w w:val="101"/>
              </w:rPr>
              <w:t xml:space="preserve">  </w:t>
            </w:r>
            <w:r>
              <w:rPr>
                <w:rFonts w:ascii="Arial" w:eastAsia="Arial" w:hAnsi="Arial" w:cs="Arial"/>
                <w:spacing w:val="-4"/>
              </w:rPr>
              <w:t xml:space="preserve">3 </w:t>
            </w:r>
            <w:r>
              <w:rPr>
                <w:spacing w:val="-4"/>
              </w:rPr>
              <w:t>月份各家车企开启市场投放和批发补库，新能源和总量表现持续向上值得期待，</w:t>
            </w:r>
            <w:r>
              <w:t xml:space="preserve">  </w:t>
            </w:r>
            <w:r>
              <w:rPr>
                <w:spacing w:val="-4"/>
              </w:rPr>
              <w:t>且政策刺激有望带动需求超预期，</w:t>
            </w:r>
            <w:r>
              <w:rPr>
                <w:spacing w:val="20"/>
              </w:rPr>
              <w:t xml:space="preserve">  </w:t>
            </w:r>
            <w:r>
              <w:rPr>
                <w:spacing w:val="-4"/>
              </w:rPr>
              <w:t>重点推荐理想汽车、长安汽车、长城汽车、比</w:t>
            </w:r>
            <w:r>
              <w:rPr>
                <w:spacing w:val="-5"/>
              </w:rPr>
              <w:t>亚迪、小鹏汽</w:t>
            </w:r>
            <w:r>
              <w:t xml:space="preserve"> </w:t>
            </w:r>
            <w:r>
              <w:rPr>
                <w:spacing w:val="-8"/>
              </w:rPr>
              <w:t xml:space="preserve">车、吉利汽车、上汽集团。商用车内需复苏，   出口强劲，  天然气重卡高景气，  </w:t>
            </w:r>
            <w:r>
              <w:rPr>
                <w:spacing w:val="-9"/>
              </w:rPr>
              <w:t xml:space="preserve"> 重点推荐行业龙</w:t>
            </w:r>
            <w:r>
              <w:t xml:space="preserve"> </w:t>
            </w:r>
            <w:r>
              <w:rPr>
                <w:spacing w:val="-1"/>
              </w:rPr>
              <w:t>头潍柴动力、宇通客车。零部件创新周期开启新一轮成长，优质零部件出海打开全球新篇章，</w:t>
            </w:r>
            <w:r>
              <w:t xml:space="preserve"> </w:t>
            </w:r>
            <w:r>
              <w:rPr>
                <w:spacing w:val="-6"/>
              </w:rPr>
              <w:t>聚焦一季度表现较好的优质品种，   重点推荐：  拓普集团、新泉股份、星宇股份、伯特利、银轮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股份、福耀玻璃、旭升集团、华域汽车、经纬恒润、凌云股份、敏实集团、天润工业，</w:t>
            </w:r>
            <w:r>
              <w:rPr>
                <w:spacing w:val="18"/>
              </w:rPr>
              <w:t xml:space="preserve">  </w:t>
            </w:r>
            <w:r>
              <w:rPr>
                <w:spacing w:val="-4"/>
              </w:rPr>
              <w:t>建议关</w:t>
            </w:r>
            <w:r>
              <w:t xml:space="preserve"> </w:t>
            </w:r>
            <w:r>
              <w:rPr>
                <w:spacing w:val="-3"/>
              </w:rPr>
              <w:t>注隆盛科技、岱美股份。</w:t>
            </w: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69" w:line="223" w:lineRule="auto"/>
              <w:ind w:left="9"/>
              <w:rPr>
                <w:rFonts w:ascii="SimHei" w:eastAsia="SimHei" w:hAnsi="SimHei" w:cs="SimHei"/>
                <w:sz w:val="21"/>
                <w:szCs w:val="21"/>
              </w:rPr>
            </w:pPr>
            <w:r>
              <w:rPr>
                <w:rFonts w:ascii="SimHei" w:eastAsia="SimHei" w:hAnsi="SimHei" w:cs="SimHei"/>
                <w:color w:val="E10000"/>
                <w:spacing w:val="-2"/>
                <w:sz w:val="21"/>
                <w:szCs w:val="21"/>
              </w:rPr>
              <w:t>风险提示</w:t>
            </w:r>
          </w:p>
          <w:p>
            <w:pPr>
              <w:pStyle w:val="TableText"/>
              <w:spacing w:before="181" w:line="430" w:lineRule="exact"/>
              <w:ind w:left="19"/>
            </w:pPr>
            <w:r>
              <w:rPr>
                <w:rFonts w:ascii="Arial" w:eastAsia="Arial" w:hAnsi="Arial" w:cs="Arial"/>
                <w:spacing w:val="-7"/>
                <w:position w:val="20"/>
              </w:rPr>
              <w:t>1</w:t>
            </w:r>
            <w:r>
              <w:rPr>
                <w:spacing w:val="-7"/>
                <w:position w:val="20"/>
              </w:rPr>
              <w:t xml:space="preserve">、政策落地时间不及预期；   </w:t>
            </w:r>
            <w:r>
              <w:rPr>
                <w:rFonts w:ascii="Arial" w:eastAsia="Arial" w:hAnsi="Arial" w:cs="Arial"/>
                <w:spacing w:val="-7"/>
                <w:position w:val="20"/>
              </w:rPr>
              <w:t>2</w:t>
            </w:r>
            <w:r>
              <w:rPr>
                <w:spacing w:val="-7"/>
                <w:position w:val="20"/>
              </w:rPr>
              <w:t>、政策落地力度不及预期；</w:t>
            </w:r>
          </w:p>
          <w:p>
            <w:pPr>
              <w:pStyle w:val="TableText"/>
              <w:spacing w:line="198" w:lineRule="auto"/>
              <w:ind w:left="7"/>
            </w:pP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spacing w:val="-1"/>
              </w:rPr>
              <w:t>、经济复苏弱于预期；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spacing w:val="-1"/>
              </w:rPr>
              <w:t>、行业竞争加剧削弱企</w:t>
            </w:r>
            <w:r>
              <w:rPr>
                <w:spacing w:val="-2"/>
              </w:rPr>
              <w:t>业盈利。</w:t>
            </w:r>
          </w:p>
        </w:tc>
      </w:tr>
    </w:tbl>
    <w:p>
      <w:pPr>
        <w:spacing w:before="54" w:line="222" w:lineRule="auto"/>
        <w:ind w:left="11"/>
        <w:rPr>
          <w:rFonts w:ascii="SimHei" w:eastAsia="SimHei" w:hAnsi="SimHei" w:cs="SimHei"/>
          <w:sz w:val="16"/>
          <w:szCs w:val="16"/>
        </w:rPr>
      </w:pPr>
      <w:r>
        <w:rPr>
          <w:rFonts w:ascii="SimHei" w:eastAsia="SimHei" w:hAnsi="SimHei" w:cs="SimHei"/>
          <w:spacing w:val="-1"/>
          <w:sz w:val="16"/>
          <w:szCs w:val="16"/>
        </w:rPr>
        <w:t>请阅读最后评级说明和重要声明</w:t>
      </w:r>
    </w:p>
    <w:p>
      <w:pPr>
        <w:pStyle w:val="BodyText"/>
        <w:spacing w:line="14" w:lineRule="auto"/>
        <w:rPr>
          <w:sz w:val="2"/>
        </w:rPr>
        <w:sectPr>
          <w:headerReference w:type="default" r:id="rId16"/>
          <w:footerReference w:type="default" r:id="rId17"/>
          <w:pgSz w:w="11907" w:h="16839"/>
          <w:pgMar w:top="1" w:right="0" w:bottom="1" w:left="852" w:header="0" w:footer="0" w:gutter="0"/>
          <w:pgNumType w:start="7"/>
          <w:cols w:num="2" w:space="708" w:equalWidth="0">
            <w:col w:w="7530" w:space="100"/>
            <w:col w:w="3425" w:space="0"/>
          </w:cols>
        </w:sectPr>
      </w:pPr>
      <w:r>
        <w:rPr>
          <w:sz w:val="2"/>
          <w:szCs w:val="2"/>
        </w:rPr>
        <w:br w:type="column"/>
      </w:r>
    </w:p>
    <w:p>
      <w:pPr>
        <w:pStyle w:val="BodyText"/>
        <w:spacing w:line="16824" w:lineRule="exact"/>
      </w:pPr>
      <w:r>
        <w:rPr>
          <w:position w:val="-337"/>
        </w:rPr>
        <w:pict>
          <v:group id="_x0000_i1028" style="width:171.25pt;height:841.85pt;mso-position-horizontal-relative:char;mso-position-vertical-relative:line" coordorigin="0,0" coordsize="3425,16836" filled="f" stroked="f">
            <v:rect id="_x0000_s1029" style="width:3425;height:16835;position:absolute" filled="t" fillcolor="#f2f2f2" stroked="f"/>
            <v:shape id="_x0000_s1030" type="#_x0000_t202" style="width:2806;height:12421;left:278;position:absolute;top:3310" filled="f" stroked="f">
              <o:lock v:ext="edit" aspectratio="f"/>
              <v:textbox inset="0,0,0,0">
                <w:txbxContent>
                  <w:p>
                    <w:pPr>
                      <w:spacing w:before="20" w:line="216" w:lineRule="exact"/>
                      <w:ind w:left="2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SimHei" w:eastAsia="SimHei" w:hAnsi="SimHei" w:cs="SimHei"/>
                        <w:color w:val="0D0D0D"/>
                        <w:spacing w:val="-2"/>
                        <w:position w:val="2"/>
                        <w:sz w:val="15"/>
                        <w:szCs w:val="15"/>
                        <w14:textOutline w14:w="2743">
                          <w14:solidFill>
                            <w14:srgbClr w14:val="0D0D0D"/>
                          </w14:solidFill>
                          <w14:prstDash w14:val="solid"/>
                          <w14:miter w14:lim="10"/>
                        </w14:textOutline>
                      </w:rPr>
                      <w:t>市场表现对比图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D0D0D"/>
                        <w:spacing w:val="-2"/>
                        <w:position w:val="2"/>
                        <w:sz w:val="15"/>
                        <w:szCs w:val="15"/>
                      </w:rPr>
                      <w:t>(</w:t>
                    </w:r>
                    <w:r>
                      <w:rPr>
                        <w:rFonts w:ascii="SimHei" w:eastAsia="SimHei" w:hAnsi="SimHei" w:cs="SimHei"/>
                        <w:color w:val="0D0D0D"/>
                        <w:spacing w:val="-2"/>
                        <w:position w:val="2"/>
                        <w:sz w:val="15"/>
                        <w:szCs w:val="15"/>
                        <w14:textOutline w14:w="2743">
                          <w14:solidFill>
                            <w14:srgbClr w14:val="0D0D0D"/>
                          </w14:solidFill>
                          <w14:prstDash w14:val="solid"/>
                          <w14:miter w14:lim="10"/>
                        </w14:textOutline>
                      </w:rPr>
                      <w:t>近</w:t>
                    </w:r>
                    <w:r>
                      <w:rPr>
                        <w:rFonts w:ascii="SimHei" w:eastAsia="SimHei" w:hAnsi="SimHei" w:cs="SimHei"/>
                        <w:color w:val="0D0D0D"/>
                        <w:spacing w:val="-12"/>
                        <w:position w:val="2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D0D0D"/>
                        <w:spacing w:val="-2"/>
                        <w:position w:val="2"/>
                        <w:sz w:val="15"/>
                        <w:szCs w:val="15"/>
                      </w:rPr>
                      <w:t xml:space="preserve">12 </w:t>
                    </w:r>
                    <w:r>
                      <w:rPr>
                        <w:rFonts w:ascii="SimHei" w:eastAsia="SimHei" w:hAnsi="SimHei" w:cs="SimHei"/>
                        <w:color w:val="0D0D0D"/>
                        <w:spacing w:val="-2"/>
                        <w:position w:val="2"/>
                        <w:sz w:val="15"/>
                        <w:szCs w:val="15"/>
                        <w14:textOutline w14:w="2743">
                          <w14:solidFill>
                            <w14:srgbClr w14:val="0D0D0D"/>
                          </w14:solidFill>
                          <w14:prstDash w14:val="solid"/>
                          <w14:miter w14:lim="10"/>
                        </w14:textOutline>
                      </w:rPr>
                      <w:t>个月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D0D0D"/>
                        <w:spacing w:val="-2"/>
                        <w:position w:val="2"/>
                        <w:sz w:val="15"/>
                        <w:szCs w:val="15"/>
                      </w:rPr>
                      <w:t>)</w:t>
                    </w:r>
                  </w:p>
                  <w:p>
                    <w:pPr>
                      <w:spacing w:line="275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tabs>
                        <w:tab w:val="left" w:pos="614"/>
                      </w:tabs>
                      <w:spacing w:before="35" w:line="199" w:lineRule="auto"/>
                      <w:ind w:left="220"/>
                      <w:rPr>
                        <w:rFonts w:ascii="STXihei" w:eastAsia="STXihei" w:hAnsi="STXihei" w:cs="STXihei"/>
                        <w:sz w:val="10"/>
                        <w:szCs w:val="10"/>
                      </w:rPr>
                    </w:pPr>
                    <w:r>
                      <w:rPr>
                        <w:rFonts w:ascii="STXihei" w:eastAsia="STXihei" w:hAnsi="STXihei" w:cs="STXihei"/>
                        <w:strike/>
                        <w:sz w:val="10"/>
                        <w:szCs w:val="10"/>
                      </w:rPr>
                      <w:tab/>
                    </w:r>
                    <w:r>
                      <w:rPr>
                        <w:rFonts w:ascii="STXihei" w:eastAsia="STXihei" w:hAnsi="STXihei" w:cs="STXihei"/>
                        <w:spacing w:val="34"/>
                        <w:w w:val="101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STXihei" w:eastAsia="STXihei" w:hAnsi="STXihei" w:cs="STXihei"/>
                        <w:spacing w:val="-1"/>
                        <w:sz w:val="10"/>
                        <w:szCs w:val="10"/>
                      </w:rPr>
                      <w:t xml:space="preserve">汽车与汽车零部件       </w:t>
                    </w:r>
                    <w:r>
                      <w:rPr>
                        <w:rFonts w:ascii="STXihei" w:eastAsia="STXihei" w:hAnsi="STXihei" w:cs="STXihei"/>
                        <w:strike/>
                        <w:spacing w:val="1"/>
                        <w:sz w:val="10"/>
                        <w:szCs w:val="10"/>
                      </w:rPr>
                      <w:t xml:space="preserve">               </w:t>
                    </w:r>
                    <w:r>
                      <w:rPr>
                        <w:rFonts w:ascii="STXihei" w:eastAsia="STXihei" w:hAnsi="STXihei" w:cs="STXihei"/>
                        <w:spacing w:val="24"/>
                        <w:w w:val="102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STXihei" w:eastAsia="STXihei" w:hAnsi="STXihei" w:cs="STXihei"/>
                        <w:spacing w:val="-1"/>
                        <w:sz w:val="10"/>
                        <w:szCs w:val="10"/>
                      </w:rPr>
                      <w:t>沪深</w:t>
                    </w:r>
                    <w:r>
                      <w:rPr>
                        <w:rFonts w:ascii="Arial" w:eastAsia="Arial" w:hAnsi="Arial" w:cs="Arial"/>
                        <w:spacing w:val="-1"/>
                        <w:sz w:val="10"/>
                        <w:szCs w:val="10"/>
                      </w:rPr>
                      <w:t>300</w:t>
                    </w:r>
                    <w:r>
                      <w:rPr>
                        <w:rFonts w:ascii="STXihei" w:eastAsia="STXihei" w:hAnsi="STXihei" w:cs="STXihei"/>
                        <w:spacing w:val="-1"/>
                        <w:sz w:val="10"/>
                        <w:szCs w:val="10"/>
                      </w:rPr>
                      <w:t>指数</w:t>
                    </w:r>
                  </w:p>
                  <w:p>
                    <w:pPr>
                      <w:spacing w:before="89" w:line="260" w:lineRule="exact"/>
                      <w:ind w:left="138"/>
                      <w:rPr>
                        <w:rFonts w:ascii="Arial" w:eastAsia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pacing w:val="-1"/>
                        <w:position w:val="13"/>
                        <w:sz w:val="10"/>
                        <w:szCs w:val="10"/>
                      </w:rPr>
                      <w:t>8%</w:t>
                    </w:r>
                  </w:p>
                  <w:p>
                    <w:pPr>
                      <w:spacing w:line="225" w:lineRule="auto"/>
                      <w:ind w:left="106"/>
                      <w:rPr>
                        <w:rFonts w:ascii="Arial" w:eastAsia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10"/>
                        <w:szCs w:val="10"/>
                      </w:rPr>
                      <w:t>-3%</w:t>
                    </w:r>
                  </w:p>
                  <w:p>
                    <w:pPr>
                      <w:spacing w:before="151" w:line="226" w:lineRule="auto"/>
                      <w:ind w:left="50"/>
                      <w:rPr>
                        <w:rFonts w:ascii="Arial" w:eastAsia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10"/>
                        <w:szCs w:val="10"/>
                      </w:rPr>
                      <w:t>-13%</w:t>
                    </w:r>
                  </w:p>
                  <w:p>
                    <w:pPr>
                      <w:spacing w:before="152" w:line="226" w:lineRule="auto"/>
                      <w:ind w:left="50"/>
                      <w:rPr>
                        <w:rFonts w:ascii="Arial" w:eastAsia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10"/>
                        <w:szCs w:val="10"/>
                      </w:rPr>
                      <w:t>-24%</w:t>
                    </w:r>
                  </w:p>
                  <w:p>
                    <w:pPr>
                      <w:spacing w:before="3" w:line="230" w:lineRule="auto"/>
                      <w:ind w:left="233"/>
                      <w:rPr>
                        <w:rFonts w:ascii="Arial" w:eastAsia="Arial" w:hAnsi="Arial" w:cs="Arial"/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sz w:val="9"/>
                        <w:szCs w:val="9"/>
                      </w:rPr>
                      <w:t>2023/3                  2023/7                 2023/11                 2024/3</w:t>
                    </w:r>
                  </w:p>
                  <w:p>
                    <w:pPr>
                      <w:spacing w:before="246" w:line="222" w:lineRule="auto"/>
                      <w:ind w:left="24"/>
                      <w:rPr>
                        <w:rFonts w:ascii="Arial" w:eastAsia="Arial" w:hAnsi="Arial" w:cs="Arial"/>
                        <w:sz w:val="11"/>
                        <w:szCs w:val="11"/>
                      </w:rPr>
                    </w:pPr>
                    <w:r>
                      <w:rPr>
                        <w:rFonts w:ascii="SimHei" w:eastAsia="SimHei" w:hAnsi="SimHei" w:cs="SimHei"/>
                        <w:color w:val="404040"/>
                        <w:spacing w:val="-9"/>
                        <w:sz w:val="11"/>
                        <w:szCs w:val="11"/>
                      </w:rPr>
                      <w:t>资料来源：</w:t>
                    </w:r>
                    <w:r>
                      <w:rPr>
                        <w:rFonts w:ascii="SimHei" w:eastAsia="SimHei" w:hAnsi="SimHei" w:cs="SimHei"/>
                        <w:color w:val="404040"/>
                        <w:spacing w:val="18"/>
                        <w:w w:val="101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404040"/>
                        <w:spacing w:val="-9"/>
                        <w:sz w:val="11"/>
                        <w:szCs w:val="11"/>
                      </w:rPr>
                      <w:t>Wind</w:t>
                    </w:r>
                  </w:p>
                  <w:p>
                    <w:pPr>
                      <w:spacing w:line="273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73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before="49" w:line="223" w:lineRule="auto"/>
                      <w:ind w:left="23"/>
                      <w:rPr>
                        <w:rFonts w:ascii="SimHei" w:eastAsia="SimHei" w:hAnsi="SimHei" w:cs="SimHei"/>
                        <w:sz w:val="15"/>
                        <w:szCs w:val="15"/>
                      </w:rPr>
                    </w:pPr>
                    <w:r>
                      <w:rPr>
                        <w:rFonts w:ascii="SimHei" w:eastAsia="SimHei" w:hAnsi="SimHei" w:cs="SimHei"/>
                        <w:color w:val="0D0D0D"/>
                        <w:spacing w:val="-1"/>
                        <w:sz w:val="15"/>
                        <w:szCs w:val="15"/>
                        <w14:textOutline w14:w="2743">
                          <w14:solidFill>
                            <w14:srgbClr w14:val="0D0D0D"/>
                          </w14:solidFill>
                          <w14:prstDash w14:val="solid"/>
                          <w14:miter w14:lim="10"/>
                        </w14:textOutline>
                      </w:rPr>
                      <w:t>相关研究</w:t>
                    </w:r>
                  </w:p>
                  <w:p>
                    <w:pPr>
                      <w:spacing w:before="214" w:line="331" w:lineRule="exact"/>
                      <w:ind w:left="23"/>
                      <w:rPr>
                        <w:rFonts w:ascii="SimHei" w:eastAsia="SimHei" w:hAnsi="SimHei" w:cs="SimHei"/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pacing w:val="6"/>
                        <w:position w:val="16"/>
                        <w:sz w:val="12"/>
                        <w:szCs w:val="12"/>
                      </w:rPr>
                      <w:t>•</w:t>
                    </w:r>
                    <w:r>
                      <w:rPr>
                        <w:rFonts w:ascii="Arial" w:eastAsia="Arial" w:hAnsi="Arial" w:cs="Arial"/>
                        <w:spacing w:val="34"/>
                        <w:position w:val="1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SimHei" w:eastAsia="SimHei" w:hAnsi="SimHei" w:cs="SimHei"/>
                        <w:spacing w:val="6"/>
                        <w:position w:val="16"/>
                        <w:sz w:val="12"/>
                        <w:szCs w:val="12"/>
                      </w:rPr>
                      <w:t>《汽车相关政策预期提升，积极看多汽车板块》</w:t>
                    </w:r>
                  </w:p>
                  <w:p>
                    <w:pPr>
                      <w:spacing w:line="208" w:lineRule="auto"/>
                      <w:ind w:left="20"/>
                      <w:rPr>
                        <w:rFonts w:ascii="Arial" w:eastAsia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pacing w:val="4"/>
                        <w:sz w:val="12"/>
                        <w:szCs w:val="12"/>
                      </w:rPr>
                      <w:t>2024-02-26</w:t>
                    </w:r>
                  </w:p>
                  <w:p>
                    <w:pPr>
                      <w:spacing w:before="173" w:line="312" w:lineRule="exact"/>
                      <w:ind w:left="23"/>
                      <w:rPr>
                        <w:rFonts w:ascii="SimHei" w:eastAsia="SimHei" w:hAnsi="SimHei" w:cs="SimHei"/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pacing w:val="4"/>
                        <w:position w:val="14"/>
                        <w:sz w:val="12"/>
                        <w:szCs w:val="12"/>
                      </w:rPr>
                      <w:t>•</w:t>
                    </w:r>
                    <w:r>
                      <w:rPr>
                        <w:rFonts w:ascii="Arial" w:eastAsia="Arial" w:hAnsi="Arial" w:cs="Arial"/>
                        <w:spacing w:val="33"/>
                        <w:w w:val="101"/>
                        <w:position w:val="14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SimHei" w:eastAsia="SimHei" w:hAnsi="SimHei" w:cs="SimHei"/>
                        <w:spacing w:val="4"/>
                        <w:position w:val="14"/>
                        <w:sz w:val="12"/>
                        <w:szCs w:val="12"/>
                      </w:rPr>
                      <w:t>《长江消费比较研究系列：对标</w:t>
                    </w:r>
                    <w:r>
                      <w:rPr>
                        <w:rFonts w:ascii="SimHei" w:eastAsia="SimHei" w:hAnsi="SimHei" w:cs="SimHei"/>
                        <w:spacing w:val="-17"/>
                        <w:position w:val="14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position w:val="14"/>
                        <w:sz w:val="12"/>
                        <w:szCs w:val="12"/>
                      </w:rPr>
                      <w:t>BBA</w:t>
                    </w:r>
                    <w:r>
                      <w:rPr>
                        <w:rFonts w:ascii="SimHei" w:eastAsia="SimHei" w:hAnsi="SimHei" w:cs="SimHei"/>
                        <w:spacing w:val="4"/>
                        <w:position w:val="14"/>
                        <w:sz w:val="12"/>
                        <w:szCs w:val="12"/>
                      </w:rPr>
                      <w:t>，看中国新</w:t>
                    </w:r>
                  </w:p>
                  <w:p>
                    <w:pPr>
                      <w:spacing w:before="1" w:line="236" w:lineRule="auto"/>
                      <w:ind w:left="22"/>
                      <w:rPr>
                        <w:rFonts w:ascii="Arial" w:eastAsia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SimHei" w:eastAsia="SimHei" w:hAnsi="SimHei" w:cs="SimHei"/>
                        <w:spacing w:val="6"/>
                        <w:sz w:val="12"/>
                        <w:szCs w:val="12"/>
                      </w:rPr>
                      <w:t>豪华之崛起》</w:t>
                    </w:r>
                    <w:r>
                      <w:rPr>
                        <w:rFonts w:ascii="Arial" w:eastAsia="Arial" w:hAnsi="Arial" w:cs="Arial"/>
                        <w:spacing w:val="6"/>
                        <w:sz w:val="12"/>
                        <w:szCs w:val="12"/>
                      </w:rPr>
                      <w:t>2024-02-23</w:t>
                    </w:r>
                  </w:p>
                  <w:p>
                    <w:pPr>
                      <w:spacing w:before="158" w:line="312" w:lineRule="exact"/>
                      <w:ind w:left="23"/>
                      <w:rPr>
                        <w:rFonts w:ascii="SimHei" w:eastAsia="SimHei" w:hAnsi="SimHei" w:cs="SimHei"/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spacing w:val="6"/>
                        <w:position w:val="14"/>
                        <w:sz w:val="12"/>
                        <w:szCs w:val="12"/>
                      </w:rPr>
                      <w:t>•</w:t>
                    </w:r>
                    <w:r>
                      <w:rPr>
                        <w:rFonts w:ascii="Arial" w:eastAsia="Arial" w:hAnsi="Arial" w:cs="Arial"/>
                        <w:spacing w:val="26"/>
                        <w:w w:val="102"/>
                        <w:position w:val="14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SimHei" w:eastAsia="SimHei" w:hAnsi="SimHei" w:cs="SimHei"/>
                        <w:spacing w:val="6"/>
                        <w:position w:val="14"/>
                        <w:sz w:val="12"/>
                        <w:szCs w:val="12"/>
                      </w:rPr>
                      <w:t>《智能汽车投资框架之六：再论汽车零部</w:t>
                    </w:r>
                    <w:r>
                      <w:rPr>
                        <w:rFonts w:ascii="SimHei" w:eastAsia="SimHei" w:hAnsi="SimHei" w:cs="SimHei"/>
                        <w:spacing w:val="5"/>
                        <w:position w:val="14"/>
                        <w:sz w:val="12"/>
                        <w:szCs w:val="12"/>
                      </w:rPr>
                      <w:t>件估值</w:t>
                    </w:r>
                  </w:p>
                  <w:p>
                    <w:pPr>
                      <w:spacing w:line="236" w:lineRule="auto"/>
                      <w:ind w:left="20"/>
                      <w:rPr>
                        <w:rFonts w:ascii="Arial" w:eastAsia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SimHei" w:eastAsia="SimHei" w:hAnsi="SimHei" w:cs="SimHei"/>
                        <w:spacing w:val="5"/>
                        <w:sz w:val="12"/>
                        <w:szCs w:val="12"/>
                      </w:rPr>
                      <w:t>体系》</w:t>
                    </w:r>
                    <w:r>
                      <w:rPr>
                        <w:rFonts w:ascii="Arial" w:eastAsia="Arial" w:hAnsi="Arial" w:cs="Arial"/>
                        <w:spacing w:val="5"/>
                        <w:sz w:val="12"/>
                        <w:szCs w:val="12"/>
                      </w:rPr>
                      <w:t>2024-02-04</w:t>
                    </w: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before="1" w:line="1497" w:lineRule="exact"/>
                      <w:ind w:firstLine="643"/>
                    </w:pPr>
                    <w:r>
                      <w:rPr>
                        <w:position w:val="-29"/>
                      </w:rPr>
                      <w:drawing>
                        <wp:inline distT="0" distB="0" distL="0" distR="0">
                          <wp:extent cx="950975" cy="950976"/>
                          <wp:effectExtent l="0" t="0" r="0" b="0"/>
                          <wp:docPr id="14" name="IM 1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IM 14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50975" cy="95097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spacing w:before="166" w:line="239" w:lineRule="auto"/>
                      <w:ind w:left="772"/>
                      <w:rPr>
                        <w:rFonts w:ascii="SimHei" w:eastAsia="SimHei" w:hAnsi="SimHei" w:cs="SimHei"/>
                        <w:sz w:val="18"/>
                        <w:szCs w:val="18"/>
                      </w:rPr>
                    </w:pPr>
                    <w:r>
                      <w:rPr>
                        <w:rFonts w:ascii="SimHei" w:eastAsia="SimHei" w:hAnsi="SimHei" w:cs="SimHei"/>
                        <w:spacing w:val="-2"/>
                        <w:sz w:val="18"/>
                        <w:szCs w:val="18"/>
                      </w:rPr>
                      <w:t>更多研报请访问</w:t>
                    </w:r>
                  </w:p>
                  <w:p>
                    <w:pPr>
                      <w:spacing w:before="1" w:line="221" w:lineRule="auto"/>
                      <w:ind w:left="773"/>
                      <w:rPr>
                        <w:rFonts w:ascii="SimHei" w:eastAsia="SimHei" w:hAnsi="SimHei" w:cs="SimHei"/>
                        <w:sz w:val="18"/>
                        <w:szCs w:val="18"/>
                      </w:rPr>
                    </w:pPr>
                    <w:r>
                      <w:rPr>
                        <w:rFonts w:ascii="SimHei" w:eastAsia="SimHei" w:hAnsi="SimHei" w:cs="SimHei"/>
                        <w:spacing w:val="-2"/>
                        <w:sz w:val="18"/>
                        <w:szCs w:val="18"/>
                      </w:rPr>
                      <w:t>长江研究小程序</w:t>
                    </w:r>
                  </w:p>
                </w:txbxContent>
              </v:textbox>
            </v:shape>
            <v:rect id="_x0000_s1031" style="width:3417;height:2947;left:4;position:absolute" filled="t" fillcolor="#e10000" stroked="f"/>
            <v:shape id="_x0000_s1032" type="#_x0000_t202" style="width:1833;height:1328;left:1259;position:absolute;top:1466" filled="f" stroked="f">
              <o:lock v:ext="edit" aspectratio="f"/>
              <v:textbox inset="0,0,0,0">
                <w:txbxContent>
                  <w:p>
                    <w:pPr>
                      <w:spacing w:before="19" w:line="547" w:lineRule="auto"/>
                      <w:ind w:left="20" w:right="20" w:firstLine="768"/>
                      <w:jc w:val="both"/>
                      <w:rPr>
                        <w:rFonts w:ascii="SimHei" w:eastAsia="SimHei" w:hAnsi="SimHei" w:cs="SimHei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-1"/>
                        <w:sz w:val="20"/>
                        <w:szCs w:val="20"/>
                      </w:rPr>
                      <w:t>2024-03-13</w:t>
                    </w:r>
                    <w:r>
                      <w:rPr>
                        <w:rFonts w:ascii="Arial" w:eastAsia="Arial" w:hAnsi="Arial" w:cs="Arial"/>
                        <w:color w:val="FFFFFF"/>
                        <w:spacing w:val="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SimHei" w:eastAsia="SimHei" w:hAnsi="SimHei" w:cs="SimHei"/>
                        <w:color w:val="FFFFFF"/>
                        <w:spacing w:val="9"/>
                        <w:sz w:val="19"/>
                        <w:szCs w:val="19"/>
                      </w:rPr>
                      <w:t>行业研究丨深度报告</w:t>
                    </w:r>
                  </w:p>
                  <w:p>
                    <w:pPr>
                      <w:spacing w:line="231" w:lineRule="auto"/>
                      <w:ind w:left="84"/>
                      <w:rPr>
                        <w:rFonts w:ascii="SimHei" w:eastAsia="SimHei" w:hAnsi="SimHei" w:cs="SimHei"/>
                        <w:sz w:val="19"/>
                        <w:szCs w:val="19"/>
                      </w:rPr>
                    </w:pPr>
                    <w:r>
                      <w:rPr>
                        <w:rFonts w:ascii="SimHei" w:eastAsia="SimHei" w:hAnsi="SimHei" w:cs="SimHei"/>
                        <w:color w:val="FFFFFF"/>
                        <w:spacing w:val="4"/>
                        <w:position w:val="1"/>
                        <w:sz w:val="15"/>
                        <w:szCs w:val="15"/>
                      </w:rPr>
                      <w:t>投资评级</w:t>
                    </w:r>
                    <w:r>
                      <w:rPr>
                        <w:rFonts w:ascii="SimHei" w:eastAsia="SimHei" w:hAnsi="SimHei" w:cs="SimHei"/>
                        <w:color w:val="FFFFFF"/>
                        <w:spacing w:val="66"/>
                        <w:position w:val="1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SimHei" w:eastAsia="SimHei" w:hAnsi="SimHei" w:cs="SimHei"/>
                        <w:color w:val="FFFFFF"/>
                        <w:spacing w:val="4"/>
                        <w:sz w:val="19"/>
                        <w:szCs w:val="19"/>
                      </w:rPr>
                      <w:t>看好丨维持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width:2206;height:790;left:636;position:absolute;top:4101" filled="f" stroked="f">
              <v:imagedata r:id="rId19" o:title=""/>
            </v:shape>
            <v:shape id="_x0000_s1034" type="#_x0000_t202" style="width:1400;height:222;left:1752;position:absolute;top:974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SimHei" w:eastAsia="SimHei" w:hAnsi="SimHei" w:cs="SimHei"/>
                        <w:sz w:val="18"/>
                        <w:szCs w:val="18"/>
                      </w:rPr>
                    </w:pPr>
                    <w:r>
                      <w:rPr>
                        <w:rFonts w:ascii="SimHei" w:eastAsia="SimHei" w:hAnsi="SimHei" w:cs="SimHei"/>
                        <w:color w:val="FFFFFF"/>
                        <w:spacing w:val="-9"/>
                        <w:sz w:val="18"/>
                        <w:szCs w:val="18"/>
                      </w:rPr>
                      <w:t>丨证券研究报告丨</w:t>
                    </w:r>
                  </w:p>
                </w:txbxContent>
              </v:textbox>
            </v:shape>
            <v:rect id="_x0000_s1035" style="width:2777;height:20;left:294;position:absolute;top:1303" filled="t" fillcolor="white" stroked="f"/>
            <v:shape id="_x0000_s1036" style="width:2775;height:11;left:294;position:absolute;top:5227" coordorigin="0,0" coordsize="2775,11" path="m,10l2774,10l2774,l,l,10xe" filled="t" fillcolor="#595959" stroked="f"/>
            <v:shape id="_x0000_s1037" style="width:2775;height:10;left:294;position:absolute;top:3633" coordorigin="0,0" coordsize="2775,10" path="m,9l2774,9l2774,l,l,9xe" filled="t" fillcolor="#595959" stroked="f"/>
            <v:shape id="_x0000_s1038" style="width:2775;height:10;left:294;position:absolute;top:6305" coordorigin="0,0" coordsize="2775,10" path="m,9l2774,9l2774,l,l,9xe" filled="t" fillcolor="#595959" stroked="f"/>
            <w10:wrap type="none"/>
          </v:group>
        </w:pict>
      </w:r>
    </w:p>
    <w:p>
      <w:pPr>
        <w:spacing w:line="16824" w:lineRule="exact"/>
        <w:sectPr>
          <w:headerReference w:type="default" r:id="rId20"/>
          <w:footerReference w:type="default" r:id="rId21"/>
          <w:type w:val="nextPage"/>
          <w:pgSz w:w="11907" w:h="16839"/>
          <w:pgMar w:top="1" w:right="0" w:bottom="1" w:left="852" w:header="0" w:footer="0" w:gutter="0"/>
          <w:pgNumType w:start="8"/>
          <w:cols w:num="2" w:space="708" w:equalWidth="0">
            <w:col w:w="7530" w:space="100"/>
            <w:col w:w="3425" w:space="0"/>
          </w:cols>
          <w:titlePg w:val="0"/>
        </w:sectPr>
      </w:pPr>
    </w:p>
    <w:p>
      <w:pPr>
        <w:pStyle w:val="BodyText"/>
        <w:spacing w:line="282" w:lineRule="auto"/>
      </w:pPr>
    </w:p>
    <w:p>
      <w:pPr>
        <w:pStyle w:val="BodyText"/>
        <w:spacing w:line="283" w:lineRule="auto"/>
      </w:pPr>
    </w:p>
    <w:sdt>
      <w:sdtPr>
        <w:rPr>
          <w:rFonts w:ascii="SimHei" w:eastAsia="SimHei" w:hAnsi="SimHei" w:cs="SimHei"/>
          <w:sz w:val="36"/>
          <w:szCs w:val="36"/>
        </w:rPr>
        <w:id w:val="1427619090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4"/>
          <w:szCs w:val="24"/>
        </w:rPr>
      </w:sdtEndPr>
      <w:sdtContent>
        <w:p>
          <w:pPr>
            <w:spacing w:before="117" w:line="222" w:lineRule="auto"/>
            <w:ind w:left="68"/>
            <w:rPr>
              <w:rFonts w:ascii="SimHei" w:eastAsia="SimHei" w:hAnsi="SimHei" w:cs="SimHei"/>
              <w:sz w:val="36"/>
              <w:szCs w:val="36"/>
            </w:rPr>
          </w:pPr>
          <w:r>
            <w:rPr>
              <w:rFonts w:ascii="SimHei" w:eastAsia="SimHei" w:hAnsi="SimHei" w:cs="SimHei"/>
              <w:color w:val="E10000"/>
              <w:spacing w:val="-15"/>
              <w:sz w:val="36"/>
              <w:szCs w:val="36"/>
            </w:rPr>
            <w:t>目录</w:t>
          </w:r>
        </w:p>
        <w:p>
          <w:pPr>
            <w:pStyle w:val="BodyText"/>
            <w:tabs>
              <w:tab w:val="right" w:leader="dot" w:pos="10202"/>
            </w:tabs>
            <w:spacing w:before="78" w:line="213" w:lineRule="auto"/>
            <w:ind w:left="17"/>
            <w:rPr>
              <w:sz w:val="24"/>
              <w:szCs w:val="24"/>
            </w:rPr>
          </w:pPr>
          <w:r>
            <w:rPr>
              <w:rFonts w:ascii="SimHei" w:eastAsia="SimHei" w:hAnsi="SimHei" w:cs="SimHei"/>
              <w:spacing w:val="-1"/>
              <w:sz w:val="24"/>
              <w:szCs w:val="24"/>
            </w:rPr>
            <w:t>政策梳理：汽车消费刺激政策工具多，见效快</w:t>
          </w:r>
          <w:r>
            <w:rPr>
              <w:rFonts w:ascii="SimHei" w:eastAsia="SimHei" w:hAnsi="SimHei" w:cs="SimHei"/>
              <w:spacing w:val="-27"/>
              <w:sz w:val="24"/>
              <w:szCs w:val="24"/>
            </w:rPr>
            <w:t xml:space="preserve"> </w:t>
          </w:r>
          <w:r>
            <w:rPr>
              <w:rFonts w:ascii="SimHei" w:eastAsia="SimHei" w:hAnsi="SimHei" w:cs="SimHei"/>
              <w:sz w:val="24"/>
              <w:szCs w:val="24"/>
            </w:rPr>
            <w:tab/>
          </w:r>
          <w:r>
            <w:rPr>
              <w:rFonts w:ascii="SimHei" w:eastAsia="SimHei" w:hAnsi="SimHei" w:cs="SimHei"/>
              <w:spacing w:val="-84"/>
              <w:sz w:val="24"/>
              <w:szCs w:val="24"/>
            </w:rPr>
            <w:t xml:space="preserve"> </w:t>
          </w:r>
          <w:hyperlink w:anchor="bookmark1" w:history="1">
            <w:r>
              <w:rPr>
                <w:sz w:val="24"/>
                <w:szCs w:val="24"/>
              </w:rPr>
              <w:t>7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95" w:line="213" w:lineRule="auto"/>
            <w:ind w:left="26"/>
            <w:rPr>
              <w:sz w:val="24"/>
              <w:szCs w:val="24"/>
            </w:rPr>
          </w:pPr>
          <w:r>
            <w:rPr>
              <w:rFonts w:ascii="SimHei" w:eastAsia="SimHei" w:hAnsi="SimHei" w:cs="SimHei"/>
              <w:spacing w:val="-1"/>
              <w:sz w:val="24"/>
              <w:szCs w:val="24"/>
            </w:rPr>
            <w:t>需求潜力：乘用车置换需求成为主导，有效支撑内需韧性</w:t>
          </w:r>
          <w:r>
            <w:rPr>
              <w:rFonts w:ascii="SimHei" w:eastAsia="SimHei" w:hAnsi="SimHei" w:cs="SimHei"/>
              <w:spacing w:val="-89"/>
              <w:sz w:val="24"/>
              <w:szCs w:val="24"/>
            </w:rPr>
            <w:t xml:space="preserve"> </w:t>
          </w:r>
          <w:r>
            <w:rPr>
              <w:rFonts w:ascii="SimHei" w:eastAsia="SimHei" w:hAnsi="SimHei" w:cs="SimHei"/>
              <w:sz w:val="24"/>
              <w:szCs w:val="24"/>
            </w:rPr>
            <w:tab/>
          </w:r>
          <w:r>
            <w:rPr>
              <w:rFonts w:ascii="SimHei" w:eastAsia="SimHei" w:hAnsi="SimHei" w:cs="SimHei"/>
              <w:spacing w:val="-67"/>
              <w:sz w:val="24"/>
              <w:szCs w:val="24"/>
            </w:rPr>
            <w:t xml:space="preserve"> </w:t>
          </w:r>
          <w:hyperlink w:anchor="bookmark2" w:history="1">
            <w:r>
              <w:rPr>
                <w:spacing w:val="-7"/>
                <w:sz w:val="24"/>
                <w:szCs w:val="24"/>
              </w:rPr>
              <w:t>14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12" w:line="223" w:lineRule="auto"/>
            <w:ind w:left="377"/>
          </w:pPr>
          <w:r>
            <w:rPr>
              <w:rFonts w:ascii="SimHei" w:eastAsia="SimHei" w:hAnsi="SimHei" w:cs="SimHei"/>
              <w:spacing w:val="-1"/>
            </w:rPr>
            <w:t>历史销量高峰期车型步入换车周期</w:t>
          </w:r>
          <w:r>
            <w:rPr>
              <w:rFonts w:ascii="SimHei" w:eastAsia="SimHei" w:hAnsi="SimHei" w:cs="SimHei"/>
              <w:spacing w:val="-64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42"/>
            </w:rPr>
            <w:t xml:space="preserve"> </w:t>
          </w:r>
          <w:hyperlink w:anchor="bookmark3" w:history="1">
            <w:r>
              <w:rPr>
                <w:spacing w:val="-6"/>
              </w:rPr>
              <w:t>14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18" w:line="214" w:lineRule="auto"/>
            <w:ind w:left="376"/>
          </w:pPr>
          <w:r>
            <w:rPr>
              <w:rFonts w:ascii="SimHei" w:eastAsia="SimHei" w:hAnsi="SimHei" w:cs="SimHei"/>
            </w:rPr>
            <w:t>报废率提升为增量空间托底，保有量增速放缓背景下，无需担忧置换挤压未来的新车需求</w:t>
          </w:r>
          <w:r>
            <w:rPr>
              <w:rFonts w:ascii="SimHei" w:eastAsia="SimHei" w:hAnsi="SimHei" w:cs="SimHei"/>
              <w:spacing w:val="-48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58"/>
            </w:rPr>
            <w:t xml:space="preserve"> </w:t>
          </w:r>
          <w:hyperlink w:anchor="bookmark4" w:history="1">
            <w:r>
              <w:rPr>
                <w:spacing w:val="-2"/>
              </w:rPr>
              <w:t>20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111" w:line="221" w:lineRule="auto"/>
            <w:ind w:left="18"/>
            <w:rPr>
              <w:sz w:val="24"/>
              <w:szCs w:val="24"/>
            </w:rPr>
          </w:pPr>
          <w:r>
            <w:rPr>
              <w:rFonts w:ascii="SimHei" w:eastAsia="SimHei" w:hAnsi="SimHei" w:cs="SimHei"/>
              <w:spacing w:val="-1"/>
              <w:sz w:val="24"/>
              <w:szCs w:val="24"/>
            </w:rPr>
            <w:t>行情复盘：汽车消费刺激政策对板块行情的影响</w:t>
          </w:r>
          <w:r>
            <w:rPr>
              <w:rFonts w:ascii="SimHei" w:eastAsia="SimHei" w:hAnsi="SimHei" w:cs="SimHei"/>
              <w:spacing w:val="-66"/>
              <w:sz w:val="24"/>
              <w:szCs w:val="24"/>
            </w:rPr>
            <w:t xml:space="preserve"> </w:t>
          </w:r>
          <w:r>
            <w:rPr>
              <w:rFonts w:ascii="SimHei" w:eastAsia="SimHei" w:hAnsi="SimHei" w:cs="SimHei"/>
              <w:sz w:val="24"/>
              <w:szCs w:val="24"/>
            </w:rPr>
            <w:tab/>
          </w:r>
          <w:r>
            <w:rPr>
              <w:rFonts w:ascii="SimHei" w:eastAsia="SimHei" w:hAnsi="SimHei" w:cs="SimHei"/>
              <w:spacing w:val="-86"/>
              <w:sz w:val="24"/>
              <w:szCs w:val="24"/>
            </w:rPr>
            <w:t xml:space="preserve"> </w:t>
          </w:r>
          <w:hyperlink w:anchor="bookmark5" w:history="1">
            <w:r>
              <w:rPr>
                <w:spacing w:val="-2"/>
                <w:sz w:val="24"/>
                <w:szCs w:val="24"/>
              </w:rPr>
              <w:t>22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03" w:line="214" w:lineRule="auto"/>
            <w:ind w:left="376"/>
          </w:pPr>
          <w:r>
            <w:rPr>
              <w:rFonts w:ascii="SimHei" w:eastAsia="SimHei" w:hAnsi="SimHei" w:cs="SimHei"/>
              <w:spacing w:val="-1"/>
            </w:rPr>
            <w:t>政策落地后，汽车板块超额收益显著改善</w:t>
          </w:r>
          <w:r>
            <w:rPr>
              <w:rFonts w:ascii="SimHei" w:eastAsia="SimHei" w:hAnsi="SimHei" w:cs="SimHei"/>
              <w:spacing w:val="-57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59"/>
            </w:rPr>
            <w:t xml:space="preserve"> </w:t>
          </w:r>
          <w:hyperlink w:anchor="bookmark6" w:history="1">
            <w:r>
              <w:rPr>
                <w:spacing w:val="-2"/>
              </w:rPr>
              <w:t>22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28" w:line="222" w:lineRule="auto"/>
            <w:ind w:left="376"/>
          </w:pPr>
          <w:r>
            <w:rPr>
              <w:spacing w:val="-1"/>
            </w:rPr>
            <w:t xml:space="preserve">2009-2010 </w:t>
          </w:r>
          <w:r>
            <w:rPr>
              <w:rFonts w:ascii="SimHei" w:eastAsia="SimHei" w:hAnsi="SimHei" w:cs="SimHei"/>
              <w:spacing w:val="-1"/>
            </w:rPr>
            <w:t>年：业绩高增速的个股具有高收益</w:t>
          </w:r>
          <w:r>
            <w:rPr>
              <w:rFonts w:ascii="SimHei" w:eastAsia="SimHei" w:hAnsi="SimHei" w:cs="SimHei"/>
              <w:spacing w:val="-21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58"/>
            </w:rPr>
            <w:t xml:space="preserve"> </w:t>
          </w:r>
          <w:hyperlink w:anchor="bookmark7" w:history="1">
            <w:r>
              <w:rPr>
                <w:spacing w:val="-2"/>
              </w:rPr>
              <w:t>25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20" w:line="222" w:lineRule="auto"/>
            <w:ind w:left="376"/>
          </w:pPr>
          <w:r>
            <w:t xml:space="preserve">2015-2016 </w:t>
          </w:r>
          <w:r>
            <w:rPr>
              <w:rFonts w:ascii="SimHei" w:eastAsia="SimHei" w:hAnsi="SimHei" w:cs="SimHei"/>
            </w:rPr>
            <w:t>年：低估值、业绩高</w:t>
          </w:r>
          <w:r>
            <w:rPr>
              <w:rFonts w:ascii="SimHei" w:eastAsia="SimHei" w:hAnsi="SimHei" w:cs="SimHei"/>
              <w:spacing w:val="-1"/>
            </w:rPr>
            <w:t>增速的个股具有高收益</w:t>
          </w:r>
          <w:r>
            <w:rPr>
              <w:rFonts w:ascii="SimHei" w:eastAsia="SimHei" w:hAnsi="SimHei" w:cs="SimHei"/>
              <w:spacing w:val="-70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59"/>
            </w:rPr>
            <w:t xml:space="preserve"> </w:t>
          </w:r>
          <w:hyperlink w:anchor="bookmark8" w:history="1">
            <w:r>
              <w:rPr>
                <w:spacing w:val="-2"/>
              </w:rPr>
              <w:t>29</w:t>
            </w:r>
          </w:hyperlink>
        </w:p>
        <w:p>
          <w:pPr>
            <w:pStyle w:val="BodyText"/>
            <w:tabs>
              <w:tab w:val="right" w:leader="dot" w:pos="10207"/>
            </w:tabs>
            <w:spacing w:before="120" w:line="222" w:lineRule="auto"/>
            <w:ind w:left="376"/>
          </w:pPr>
          <w:r>
            <w:rPr>
              <w:spacing w:val="-5"/>
            </w:rPr>
            <w:t xml:space="preserve">2022 </w:t>
          </w:r>
          <w:r>
            <w:rPr>
              <w:rFonts w:ascii="SimHei" w:eastAsia="SimHei" w:hAnsi="SimHei" w:cs="SimHei"/>
              <w:spacing w:val="-5"/>
            </w:rPr>
            <w:t>年：</w:t>
          </w:r>
          <w:r>
            <w:rPr>
              <w:rFonts w:ascii="SimHei" w:eastAsia="SimHei" w:hAnsi="SimHei" w:cs="SimHei"/>
              <w:spacing w:val="-19"/>
            </w:rPr>
            <w:t xml:space="preserve"> </w:t>
          </w:r>
          <w:r>
            <w:rPr>
              <w:rFonts w:ascii="SimHei" w:eastAsia="SimHei" w:hAnsi="SimHei" w:cs="SimHei"/>
              <w:spacing w:val="-5"/>
            </w:rPr>
            <w:t>业绩高增速的个股表现更强</w:t>
          </w:r>
          <w:r>
            <w:rPr>
              <w:rFonts w:ascii="SimHei" w:eastAsia="SimHei" w:hAnsi="SimHei" w:cs="SimHei"/>
              <w:spacing w:val="-39"/>
            </w:rPr>
            <w:t xml:space="preserve"> </w:t>
          </w:r>
          <w:r>
            <w:rPr>
              <w:rFonts w:ascii="SimHei" w:eastAsia="SimHei" w:hAnsi="SimHei" w:cs="SimHei"/>
            </w:rPr>
            <w:tab/>
          </w:r>
          <w:r>
            <w:rPr>
              <w:rFonts w:ascii="SimHei" w:eastAsia="SimHei" w:hAnsi="SimHei" w:cs="SimHei"/>
              <w:spacing w:val="-57"/>
            </w:rPr>
            <w:t xml:space="preserve"> </w:t>
          </w:r>
          <w:hyperlink w:anchor="bookmark9" w:history="1">
            <w:r>
              <w:rPr>
                <w:spacing w:val="-2"/>
              </w:rPr>
              <w:t>33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102" w:line="213" w:lineRule="auto"/>
            <w:ind w:left="17"/>
            <w:rPr>
              <w:sz w:val="24"/>
              <w:szCs w:val="24"/>
            </w:rPr>
          </w:pPr>
          <w:r>
            <w:rPr>
              <w:rFonts w:ascii="SimHei" w:eastAsia="SimHei" w:hAnsi="SimHei" w:cs="SimHei"/>
              <w:sz w:val="24"/>
              <w:szCs w:val="24"/>
            </w:rPr>
            <w:t>投资建议：政策刺激有望带动板块需求超预期</w:t>
          </w:r>
          <w:r>
            <w:rPr>
              <w:rFonts w:ascii="SimHei" w:eastAsia="SimHei" w:hAnsi="SimHei" w:cs="SimHei"/>
              <w:spacing w:val="-1"/>
              <w:sz w:val="24"/>
              <w:szCs w:val="24"/>
            </w:rPr>
            <w:t>，积极看多汽车板块</w:t>
          </w:r>
          <w:r>
            <w:rPr>
              <w:rFonts w:ascii="SimHei" w:eastAsia="SimHei" w:hAnsi="SimHei" w:cs="SimHei"/>
              <w:spacing w:val="-47"/>
              <w:sz w:val="24"/>
              <w:szCs w:val="24"/>
            </w:rPr>
            <w:t xml:space="preserve"> </w:t>
          </w:r>
          <w:r>
            <w:rPr>
              <w:rFonts w:ascii="SimHei" w:eastAsia="SimHei" w:hAnsi="SimHei" w:cs="SimHei"/>
              <w:sz w:val="24"/>
              <w:szCs w:val="24"/>
            </w:rPr>
            <w:tab/>
          </w:r>
          <w:r>
            <w:rPr>
              <w:rFonts w:ascii="SimHei" w:eastAsia="SimHei" w:hAnsi="SimHei" w:cs="SimHei"/>
              <w:spacing w:val="-83"/>
              <w:sz w:val="24"/>
              <w:szCs w:val="24"/>
            </w:rPr>
            <w:t xml:space="preserve"> </w:t>
          </w:r>
          <w:hyperlink w:anchor="bookmark10" w:history="1">
            <w:r>
              <w:rPr>
                <w:spacing w:val="-3"/>
                <w:sz w:val="24"/>
                <w:szCs w:val="24"/>
              </w:rPr>
              <w:t>37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94" w:line="222" w:lineRule="auto"/>
            <w:ind w:left="19"/>
            <w:rPr>
              <w:sz w:val="24"/>
              <w:szCs w:val="24"/>
            </w:rPr>
          </w:pPr>
          <w:r>
            <w:rPr>
              <w:rFonts w:ascii="SimHei" w:eastAsia="SimHei" w:hAnsi="SimHei" w:cs="SimHei"/>
              <w:spacing w:val="-3"/>
              <w:sz w:val="24"/>
              <w:szCs w:val="24"/>
            </w:rPr>
            <w:t>风险提示</w:t>
          </w:r>
          <w:r>
            <w:rPr>
              <w:rFonts w:ascii="SimHei" w:eastAsia="SimHei" w:hAnsi="SimHei" w:cs="SimHei"/>
              <w:spacing w:val="-96"/>
              <w:sz w:val="24"/>
              <w:szCs w:val="24"/>
            </w:rPr>
            <w:t xml:space="preserve"> </w:t>
          </w:r>
          <w:r>
            <w:rPr>
              <w:rFonts w:ascii="SimHei" w:eastAsia="SimHei" w:hAnsi="SimHei" w:cs="SimHei"/>
              <w:sz w:val="24"/>
              <w:szCs w:val="24"/>
            </w:rPr>
            <w:tab/>
          </w:r>
          <w:r>
            <w:rPr>
              <w:rFonts w:ascii="SimHei" w:eastAsia="SimHei" w:hAnsi="SimHei" w:cs="SimHei"/>
              <w:spacing w:val="-83"/>
              <w:sz w:val="24"/>
              <w:szCs w:val="24"/>
            </w:rPr>
            <w:t xml:space="preserve"> </w:t>
          </w:r>
          <w:hyperlink w:anchor="bookmark11" w:history="1">
            <w:r>
              <w:rPr>
                <w:spacing w:val="-3"/>
                <w:sz w:val="24"/>
                <w:szCs w:val="24"/>
              </w:rPr>
              <w:t>38</w:t>
            </w:r>
          </w:hyperlink>
        </w:p>
      </w:sdtContent>
    </w:sdt>
    <w:p>
      <w:pPr>
        <w:pStyle w:val="BodyText"/>
        <w:spacing w:line="374" w:lineRule="auto"/>
      </w:pPr>
    </w:p>
    <w:p>
      <w:pPr>
        <w:spacing w:before="118" w:line="222" w:lineRule="auto"/>
        <w:ind w:left="44"/>
        <w:rPr>
          <w:rFonts w:ascii="SimHei" w:eastAsia="SimHei" w:hAnsi="SimHei" w:cs="SimHei"/>
          <w:sz w:val="36"/>
          <w:szCs w:val="36"/>
        </w:rPr>
      </w:pPr>
      <w:r>
        <w:rPr>
          <w:rFonts w:ascii="SimHei" w:eastAsia="SimHei" w:hAnsi="SimHei" w:cs="SimHei"/>
          <w:color w:val="E10000"/>
          <w:spacing w:val="-7"/>
          <w:sz w:val="36"/>
          <w:szCs w:val="36"/>
        </w:rPr>
        <w:t>图表目录</w:t>
      </w:r>
    </w:p>
    <w:sdt>
      <w:sdtPr>
        <w:rPr>
          <w:rFonts w:ascii="SimHei" w:eastAsia="SimHei" w:hAnsi="SimHei" w:cs="SimHei"/>
          <w:sz w:val="19"/>
          <w:szCs w:val="19"/>
        </w:rPr>
        <w:id w:val="1987013034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19"/>
          <w:szCs w:val="19"/>
        </w:rPr>
      </w:sdtEndPr>
      <w:sdtContent>
        <w:p>
          <w:pPr>
            <w:pStyle w:val="BodyText"/>
            <w:tabs>
              <w:tab w:val="right" w:leader="dot" w:pos="10205"/>
            </w:tabs>
            <w:spacing w:before="14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48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</w:t>
          </w:r>
          <w:r>
            <w:rPr>
              <w:rFonts w:ascii="SimHei" w:eastAsia="SimHei" w:hAnsi="SimHei" w:cs="SimHei"/>
              <w:spacing w:val="-21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1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月购置税优惠政策推出后乘用车销量增速迅速触底反弹</w:t>
          </w:r>
          <w:r>
            <w:rPr>
              <w:rFonts w:ascii="SimHei" w:eastAsia="SimHei" w:hAnsi="SimHei" w:cs="SimHei"/>
              <w:spacing w:val="-7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12" w:history="1">
            <w:r>
              <w:rPr>
                <w:spacing w:val="10"/>
                <w:sz w:val="19"/>
                <w:szCs w:val="19"/>
              </w:rPr>
              <w:t>8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</w:t>
          </w:r>
          <w:r>
            <w:rPr>
              <w:rFonts w:ascii="SimHei" w:eastAsia="SimHei" w:hAnsi="SimHei" w:cs="SimHei"/>
              <w:spacing w:val="-1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 xml:space="preserve">10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月购置税优惠政策生效后乘用车销量增速迅速触底反弹</w:t>
          </w:r>
          <w:r>
            <w:rPr>
              <w:rFonts w:ascii="SimHei" w:eastAsia="SimHei" w:hAnsi="SimHei" w:cs="SimHei"/>
              <w:spacing w:val="-7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13" w:history="1">
            <w:r>
              <w:rPr>
                <w:spacing w:val="10"/>
                <w:sz w:val="19"/>
                <w:szCs w:val="19"/>
              </w:rPr>
              <w:t>8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：汽车下乡对交叉型乘用车拉动明显</w:t>
          </w:r>
          <w:r>
            <w:rPr>
              <w:rFonts w:ascii="SimHei" w:eastAsia="SimHei" w:hAnsi="SimHei" w:cs="SimHei"/>
              <w:spacing w:val="-6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14" w:history="1">
            <w:r>
              <w:rPr>
                <w:spacing w:val="10"/>
                <w:sz w:val="19"/>
                <w:szCs w:val="19"/>
              </w:rPr>
              <w:t>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4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2014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年政策首年黄标车保有量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下降</w:t>
          </w:r>
          <w:r>
            <w:rPr>
              <w:rFonts w:ascii="SimHei" w:eastAsia="SimHei" w:hAnsi="SimHei" w:cs="SimHei"/>
              <w:spacing w:val="-35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27%</w:t>
          </w:r>
          <w:r>
            <w:rPr>
              <w:spacing w:val="-21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ab/>
          </w:r>
          <w:hyperlink w:anchor="bookmark15" w:history="1">
            <w:r>
              <w:rPr>
                <w:spacing w:val="6"/>
                <w:sz w:val="19"/>
                <w:szCs w:val="19"/>
              </w:rPr>
              <w:t>12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5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2014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年政策首年淘汰量于</w:t>
          </w:r>
          <w:r>
            <w:rPr>
              <w:rFonts w:ascii="SimHei" w:eastAsia="SimHei" w:hAnsi="SimHei" w:cs="SimHei"/>
              <w:spacing w:val="-35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2013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保有量的占比为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27% </w:t>
          </w:r>
          <w:r>
            <w:rPr>
              <w:sz w:val="19"/>
              <w:szCs w:val="19"/>
            </w:rPr>
            <w:tab/>
          </w:r>
          <w:hyperlink w:anchor="bookmark16" w:history="1">
            <w:r>
              <w:rPr>
                <w:spacing w:val="6"/>
                <w:sz w:val="19"/>
                <w:szCs w:val="19"/>
              </w:rPr>
              <w:t>12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6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年乘用车消费结构中增换购比例已提升至</w:t>
          </w:r>
          <w:r>
            <w:rPr>
              <w:rFonts w:ascii="SimHei" w:eastAsia="SimHei" w:hAnsi="SimHei" w:cs="SimHei"/>
              <w:spacing w:val="-26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55%</w:t>
          </w:r>
          <w:r>
            <w:rPr>
              <w:spacing w:val="-26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ab/>
          </w:r>
          <w:hyperlink w:anchor="bookmark17" w:history="1">
            <w:r>
              <w:rPr>
                <w:spacing w:val="6"/>
                <w:sz w:val="19"/>
                <w:szCs w:val="19"/>
              </w:rPr>
              <w:t>14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7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：国内乘用车需求分为三阶段</w:t>
          </w:r>
          <w:r>
            <w:rPr>
              <w:rFonts w:ascii="SimHei" w:eastAsia="SimHei" w:hAnsi="SimHei" w:cs="SimHei"/>
              <w:spacing w:val="-74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18" w:history="1">
            <w:r>
              <w:rPr>
                <w:spacing w:val="6"/>
                <w:sz w:val="19"/>
                <w:szCs w:val="19"/>
              </w:rPr>
              <w:t>15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46" w:line="271" w:lineRule="exact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 xml:space="preserve"> </w:t>
          </w:r>
          <w:r>
            <w:rPr>
              <w:spacing w:val="4"/>
              <w:position w:val="2"/>
              <w:sz w:val="19"/>
              <w:szCs w:val="19"/>
            </w:rPr>
            <w:t>8</w:t>
          </w: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>：</w:t>
          </w:r>
          <w:r>
            <w:rPr>
              <w:spacing w:val="4"/>
              <w:position w:val="2"/>
              <w:sz w:val="19"/>
              <w:szCs w:val="19"/>
            </w:rPr>
            <w:t xml:space="preserve">2017 </w:t>
          </w: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>年宝骏等十一家品牌合计市占率超</w:t>
          </w:r>
          <w:r>
            <w:rPr>
              <w:rFonts w:ascii="SimHei" w:eastAsia="SimHei" w:hAnsi="SimHei" w:cs="SimHei"/>
              <w:spacing w:val="-35"/>
              <w:position w:val="2"/>
              <w:sz w:val="19"/>
              <w:szCs w:val="19"/>
            </w:rPr>
            <w:t xml:space="preserve"> </w:t>
          </w:r>
          <w:r>
            <w:rPr>
              <w:spacing w:val="4"/>
              <w:position w:val="2"/>
              <w:sz w:val="19"/>
              <w:szCs w:val="19"/>
            </w:rPr>
            <w:t>20%</w:t>
          </w: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>，到</w:t>
          </w:r>
          <w:r>
            <w:rPr>
              <w:rFonts w:ascii="SimHei" w:eastAsia="SimHei" w:hAnsi="SimHei" w:cs="SimHei"/>
              <w:spacing w:val="-20"/>
              <w:position w:val="2"/>
              <w:sz w:val="19"/>
              <w:szCs w:val="19"/>
            </w:rPr>
            <w:t xml:space="preserve"> </w:t>
          </w:r>
          <w:r>
            <w:rPr>
              <w:spacing w:val="4"/>
              <w:position w:val="2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4"/>
              <w:position w:val="2"/>
              <w:sz w:val="19"/>
              <w:szCs w:val="19"/>
            </w:rPr>
            <w:t>年已下滑至</w:t>
          </w:r>
          <w:r>
            <w:rPr>
              <w:rFonts w:ascii="SimHei" w:eastAsia="SimHei" w:hAnsi="SimHei" w:cs="SimHei"/>
              <w:spacing w:val="-39"/>
              <w:position w:val="2"/>
              <w:sz w:val="19"/>
              <w:szCs w:val="19"/>
            </w:rPr>
            <w:t xml:space="preserve"> </w:t>
          </w:r>
          <w:r>
            <w:rPr>
              <w:spacing w:val="4"/>
              <w:position w:val="2"/>
              <w:sz w:val="19"/>
              <w:szCs w:val="19"/>
            </w:rPr>
            <w:t xml:space="preserve">4% </w:t>
          </w:r>
          <w:r>
            <w:rPr>
              <w:rFonts w:ascii="SimHei" w:eastAsia="SimHei" w:hAnsi="SimHei" w:cs="SimHei"/>
              <w:spacing w:val="3"/>
              <w:position w:val="2"/>
              <w:sz w:val="19"/>
              <w:szCs w:val="19"/>
            </w:rPr>
            <w:t>（单位：万辆，</w:t>
          </w:r>
          <w:r>
            <w:rPr>
              <w:rFonts w:ascii="SimHei" w:eastAsia="SimHei" w:hAnsi="SimHei" w:cs="SimHei"/>
              <w:spacing w:val="3"/>
              <w:position w:val="2"/>
              <w:sz w:val="19"/>
              <w:szCs w:val="19"/>
            </w:rPr>
            <w:t xml:space="preserve"> </w:t>
          </w:r>
          <w:r>
            <w:rPr>
              <w:spacing w:val="3"/>
              <w:position w:val="2"/>
              <w:sz w:val="19"/>
              <w:szCs w:val="19"/>
            </w:rPr>
            <w:t>%</w:t>
          </w:r>
          <w:r>
            <w:rPr>
              <w:rFonts w:ascii="SimHei" w:eastAsia="SimHei" w:hAnsi="SimHei" w:cs="SimHei"/>
              <w:spacing w:val="3"/>
              <w:position w:val="2"/>
              <w:sz w:val="19"/>
              <w:szCs w:val="19"/>
            </w:rPr>
            <w:t>）</w:t>
          </w:r>
          <w:r>
            <w:rPr>
              <w:rFonts w:ascii="SimHei" w:eastAsia="SimHei" w:hAnsi="SimHei" w:cs="SimHei"/>
              <w:spacing w:val="-47"/>
              <w:position w:val="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position w:val="2"/>
              <w:sz w:val="19"/>
              <w:szCs w:val="19"/>
            </w:rPr>
            <w:tab/>
          </w:r>
          <w:hyperlink w:anchor="bookmark19" w:history="1">
            <w:r>
              <w:rPr>
                <w:spacing w:val="6"/>
                <w:position w:val="2"/>
                <w:sz w:val="19"/>
                <w:szCs w:val="19"/>
              </w:rPr>
              <w:t>15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9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：对比行业来看，弱势品牌</w:t>
          </w:r>
          <w:r>
            <w:rPr>
              <w:rFonts w:ascii="SimHei" w:eastAsia="SimHei" w:hAnsi="SimHei" w:cs="SimHei"/>
              <w:spacing w:val="-29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 xml:space="preserve">2017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年的上牌量更为集中于三四线及以下地区</w:t>
          </w:r>
          <w:r>
            <w:rPr>
              <w:rFonts w:ascii="SimHei" w:eastAsia="SimHei" w:hAnsi="SimHei" w:cs="SimHei"/>
              <w:spacing w:val="-4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20" w:history="1">
            <w:r>
              <w:rPr>
                <w:spacing w:val="6"/>
                <w:sz w:val="19"/>
                <w:szCs w:val="19"/>
              </w:rPr>
              <w:t>16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3" w:line="228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7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10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：弱势品牌在三四线及以下的市占率</w:t>
          </w:r>
          <w:r>
            <w:rPr>
              <w:rFonts w:ascii="SimHei" w:eastAsia="SimHei" w:hAnsi="SimHei" w:cs="SimHei"/>
              <w:spacing w:val="-35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2017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年达到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22%</w:t>
          </w:r>
          <w:r>
            <w:rPr>
              <w:spacing w:val="-23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ab/>
          </w:r>
          <w:hyperlink w:anchor="bookmark21" w:history="1">
            <w:r>
              <w:rPr>
                <w:spacing w:val="6"/>
                <w:sz w:val="19"/>
                <w:szCs w:val="19"/>
              </w:rPr>
              <w:t>16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4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2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>11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：二手车交易量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年同比增长</w:t>
          </w:r>
          <w:r>
            <w:rPr>
              <w:rFonts w:ascii="SimHei" w:eastAsia="SimHei" w:hAnsi="SimHei" w:cs="SimHei"/>
              <w:spacing w:val="-20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 xml:space="preserve">14.9% </w:t>
          </w:r>
          <w:r>
            <w:rPr>
              <w:sz w:val="19"/>
              <w:szCs w:val="19"/>
            </w:rPr>
            <w:tab/>
          </w:r>
          <w:hyperlink w:anchor="bookmark22" w:history="1">
            <w:r>
              <w:rPr>
                <w:spacing w:val="6"/>
                <w:sz w:val="19"/>
                <w:szCs w:val="19"/>
              </w:rPr>
              <w:t>16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0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4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1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>12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：二手车交易金额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年同比增长</w:t>
          </w:r>
          <w:r>
            <w:rPr>
              <w:rFonts w:ascii="SimHei" w:eastAsia="SimHei" w:hAnsi="SimHei" w:cs="SimHei"/>
              <w:spacing w:val="-20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>11.3%</w:t>
          </w:r>
          <w:r>
            <w:rPr>
              <w:spacing w:val="-23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ab/>
          </w:r>
          <w:hyperlink w:anchor="bookmark23" w:history="1">
            <w:r>
              <w:rPr>
                <w:spacing w:val="6"/>
                <w:sz w:val="19"/>
                <w:szCs w:val="19"/>
              </w:rPr>
              <w:t>16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5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1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>13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：二手车平均交易价格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年为</w:t>
          </w:r>
          <w:r>
            <w:rPr>
              <w:rFonts w:ascii="SimHei" w:eastAsia="SimHei" w:hAnsi="SimHei" w:cs="SimHei"/>
              <w:spacing w:val="-34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>6.</w:t>
          </w:r>
          <w:r>
            <w:rPr>
              <w:spacing w:val="4"/>
              <w:sz w:val="19"/>
              <w:szCs w:val="19"/>
            </w:rPr>
            <w:t xml:space="preserve">4 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万元</w:t>
          </w:r>
          <w:r>
            <w:rPr>
              <w:rFonts w:ascii="SimHei" w:eastAsia="SimHei" w:hAnsi="SimHei" w:cs="SimHei"/>
              <w:spacing w:val="-4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24" w:history="1">
            <w:r>
              <w:rPr>
                <w:spacing w:val="6"/>
                <w:sz w:val="19"/>
                <w:szCs w:val="19"/>
              </w:rPr>
              <w:t>17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4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48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>14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：二手车转籍比例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4"/>
              <w:sz w:val="19"/>
              <w:szCs w:val="19"/>
            </w:rPr>
            <w:t>年提升至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4"/>
              <w:sz w:val="19"/>
              <w:szCs w:val="19"/>
            </w:rPr>
            <w:t xml:space="preserve">27.3% </w:t>
          </w:r>
          <w:r>
            <w:rPr>
              <w:sz w:val="19"/>
              <w:szCs w:val="19"/>
            </w:rPr>
            <w:tab/>
          </w:r>
          <w:hyperlink w:anchor="bookmark25" w:history="1">
            <w:r>
              <w:rPr>
                <w:spacing w:val="6"/>
                <w:sz w:val="19"/>
                <w:szCs w:val="19"/>
              </w:rPr>
              <w:t>17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28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5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44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>15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：</w:t>
          </w:r>
          <w:r>
            <w:rPr>
              <w:spacing w:val="5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年线上车源总量恢复向上</w:t>
          </w:r>
          <w:r>
            <w:rPr>
              <w:rFonts w:ascii="SimHei" w:eastAsia="SimHei" w:hAnsi="SimHei" w:cs="SimHei"/>
              <w:spacing w:val="-4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26" w:history="1">
            <w:r>
              <w:rPr>
                <w:spacing w:val="6"/>
                <w:sz w:val="19"/>
                <w:szCs w:val="19"/>
              </w:rPr>
              <w:t>17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8" w:line="228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16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年线上车源变化累计呈流入状态</w:t>
          </w:r>
          <w:r>
            <w:rPr>
              <w:rFonts w:ascii="SimHei" w:eastAsia="SimHei" w:hAnsi="SimHei" w:cs="SimHei"/>
              <w:spacing w:val="-3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27" w:history="1">
            <w:r>
              <w:rPr>
                <w:spacing w:val="6"/>
                <w:sz w:val="19"/>
                <w:szCs w:val="19"/>
              </w:rPr>
              <w:t>17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22" w:lineRule="auto"/>
            <w:ind w:left="29"/>
            <w:rPr>
              <w:sz w:val="19"/>
              <w:szCs w:val="19"/>
            </w:rPr>
            <w:sectPr>
              <w:headerReference w:type="default" r:id="rId22"/>
              <w:footerReference w:type="default" r:id="rId23"/>
              <w:pgSz w:w="11907" w:h="16839"/>
              <w:pgMar w:top="1348" w:right="748" w:bottom="970" w:left="842" w:header="852" w:footer="713" w:gutter="0"/>
              <w:pgNumType w:start="9"/>
              <w:cols w:space="708"/>
            </w:sect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1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17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5-9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年车龄二手车保值率在稳定区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间，其中</w:t>
          </w:r>
          <w:r>
            <w:rPr>
              <w:rFonts w:ascii="SimHei" w:eastAsia="SimHei" w:hAnsi="SimHei" w:cs="SimHei"/>
              <w:spacing w:val="-32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5-7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年兼具价格优势</w:t>
          </w:r>
          <w:r>
            <w:rPr>
              <w:rFonts w:ascii="SimHei" w:eastAsia="SimHei" w:hAnsi="SimHei" w:cs="SimHei"/>
              <w:spacing w:val="-6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28" w:history="1">
            <w:r>
              <w:rPr>
                <w:spacing w:val="6"/>
                <w:sz w:val="19"/>
                <w:szCs w:val="19"/>
              </w:rPr>
              <w:t>18</w:t>
            </w:r>
          </w:hyperlink>
        </w:p>
      </w:sdtContent>
    </w:sdt>
    <w:sdt>
      <w:sdtPr>
        <w:rPr>
          <w:rFonts w:ascii="SimHei" w:eastAsia="SimHei" w:hAnsi="SimHei" w:cs="SimHei"/>
          <w:sz w:val="19"/>
          <w:szCs w:val="19"/>
        </w:rPr>
        <w:id w:val="1340042758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19"/>
          <w:szCs w:val="19"/>
        </w:rPr>
      </w:sdtEndPr>
      <w:sdtContent>
        <w:p>
          <w:pPr>
            <w:pStyle w:val="BodyText"/>
            <w:tabs>
              <w:tab w:val="right" w:leader="dot" w:pos="10202"/>
            </w:tabs>
            <w:spacing w:before="55" w:line="271" w:lineRule="exact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position w:val="1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0"/>
              <w:position w:val="1"/>
              <w:sz w:val="19"/>
              <w:szCs w:val="19"/>
            </w:rPr>
            <w:t xml:space="preserve"> </w:t>
          </w:r>
          <w:r>
            <w:rPr>
              <w:spacing w:val="6"/>
              <w:position w:val="1"/>
              <w:sz w:val="19"/>
              <w:szCs w:val="19"/>
            </w:rPr>
            <w:t>18</w:t>
          </w:r>
          <w:r>
            <w:rPr>
              <w:rFonts w:ascii="SimHei" w:eastAsia="SimHei" w:hAnsi="SimHei" w:cs="SimHei"/>
              <w:spacing w:val="6"/>
              <w:position w:val="1"/>
              <w:sz w:val="19"/>
              <w:szCs w:val="19"/>
            </w:rPr>
            <w:t>：</w:t>
          </w:r>
          <w:r>
            <w:rPr>
              <w:spacing w:val="6"/>
              <w:position w:val="1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6"/>
              <w:position w:val="1"/>
              <w:sz w:val="19"/>
              <w:szCs w:val="19"/>
            </w:rPr>
            <w:t>年二手车交易量中</w:t>
          </w:r>
          <w:r>
            <w:rPr>
              <w:rFonts w:ascii="SimHei" w:eastAsia="SimHei" w:hAnsi="SimHei" w:cs="SimHei"/>
              <w:spacing w:val="-32"/>
              <w:position w:val="1"/>
              <w:sz w:val="19"/>
              <w:szCs w:val="19"/>
            </w:rPr>
            <w:t xml:space="preserve"> </w:t>
          </w:r>
          <w:r>
            <w:rPr>
              <w:spacing w:val="6"/>
              <w:position w:val="1"/>
              <w:sz w:val="19"/>
              <w:szCs w:val="19"/>
            </w:rPr>
            <w:t xml:space="preserve">3-6 &amp; 6-10 </w:t>
          </w:r>
          <w:r>
            <w:rPr>
              <w:rFonts w:ascii="SimHei" w:eastAsia="SimHei" w:hAnsi="SimHei" w:cs="SimHei"/>
              <w:spacing w:val="6"/>
              <w:position w:val="1"/>
              <w:sz w:val="19"/>
              <w:szCs w:val="19"/>
            </w:rPr>
            <w:t>年使</w:t>
          </w:r>
          <w:r>
            <w:rPr>
              <w:rFonts w:ascii="SimHei" w:eastAsia="SimHei" w:hAnsi="SimHei" w:cs="SimHei"/>
              <w:spacing w:val="5"/>
              <w:position w:val="1"/>
              <w:sz w:val="19"/>
              <w:szCs w:val="19"/>
            </w:rPr>
            <w:t>用年限车型占比提升</w:t>
          </w:r>
          <w:r>
            <w:rPr>
              <w:rFonts w:ascii="SimHei" w:eastAsia="SimHei" w:hAnsi="SimHei" w:cs="SimHei"/>
              <w:spacing w:val="-24"/>
              <w:position w:val="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position w:val="1"/>
              <w:sz w:val="19"/>
              <w:szCs w:val="19"/>
            </w:rPr>
            <w:tab/>
          </w:r>
          <w:hyperlink w:anchor="bookmark29" w:history="1">
            <w:r>
              <w:rPr>
                <w:spacing w:val="6"/>
                <w:position w:val="1"/>
                <w:sz w:val="19"/>
                <w:szCs w:val="19"/>
              </w:rPr>
              <w:t>18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6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30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19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：新能源乘用车进入普及期、头部品牌规模效应逐步凸显</w:t>
          </w:r>
          <w:r>
            <w:rPr>
              <w:rFonts w:ascii="SimHei" w:eastAsia="SimHei" w:hAnsi="SimHei" w:cs="SimHei"/>
              <w:spacing w:val="-4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0" w:history="1">
            <w:r>
              <w:rPr>
                <w:spacing w:val="6"/>
                <w:sz w:val="19"/>
                <w:szCs w:val="19"/>
              </w:rPr>
              <w:t>18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20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年碳酸锂成本大幅向下、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带动电池成本下降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1" w:history="1">
            <w:r>
              <w:rPr>
                <w:spacing w:val="6"/>
                <w:sz w:val="19"/>
                <w:szCs w:val="19"/>
              </w:rPr>
              <w:t>18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21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年乘用车市场平均折扣率为</w:t>
          </w:r>
          <w:r>
            <w:rPr>
              <w:rFonts w:ascii="SimHei" w:eastAsia="SimHei" w:hAnsi="SimHei" w:cs="SimHei"/>
              <w:spacing w:val="-17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12.7% </w:t>
          </w:r>
          <w:r>
            <w:rPr>
              <w:sz w:val="19"/>
              <w:szCs w:val="19"/>
            </w:rPr>
            <w:tab/>
          </w:r>
          <w:hyperlink w:anchor="bookmark32" w:history="1">
            <w:r>
              <w:rPr>
                <w:spacing w:val="6"/>
                <w:sz w:val="19"/>
                <w:szCs w:val="19"/>
              </w:rPr>
              <w:t>19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22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年乘用车新能源市场平均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折扣率为</w:t>
          </w:r>
          <w:r>
            <w:rPr>
              <w:rFonts w:ascii="SimHei" w:eastAsia="SimHei" w:hAnsi="SimHei" w:cs="SimHei"/>
              <w:spacing w:val="-32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5.7%</w:t>
          </w:r>
          <w:r>
            <w:rPr>
              <w:spacing w:val="-3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ab/>
          </w:r>
          <w:hyperlink w:anchor="bookmark33" w:history="1">
            <w:r>
              <w:rPr>
                <w:spacing w:val="6"/>
                <w:sz w:val="19"/>
                <w:szCs w:val="19"/>
              </w:rPr>
              <w:t>19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28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1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 xml:space="preserve"> </w:t>
          </w:r>
          <w:r>
            <w:rPr>
              <w:spacing w:val="1"/>
              <w:sz w:val="19"/>
              <w:szCs w:val="19"/>
            </w:rPr>
            <w:t>23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>：三四线及以下地区</w:t>
          </w:r>
          <w:r>
            <w:rPr>
              <w:rFonts w:ascii="SimHei" w:eastAsia="SimHei" w:hAnsi="SimHei" w:cs="SimHei"/>
              <w:spacing w:val="-34"/>
              <w:sz w:val="19"/>
              <w:szCs w:val="19"/>
            </w:rPr>
            <w:t xml:space="preserve"> </w:t>
          </w:r>
          <w:r>
            <w:rPr>
              <w:spacing w:val="1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>年上牌量同比增长</w:t>
          </w:r>
          <w:r>
            <w:rPr>
              <w:rFonts w:ascii="SimHei" w:eastAsia="SimHei" w:hAnsi="SimHei" w:cs="SimHei"/>
              <w:spacing w:val="-33"/>
              <w:sz w:val="19"/>
              <w:szCs w:val="19"/>
            </w:rPr>
            <w:t xml:space="preserve"> </w:t>
          </w:r>
          <w:r>
            <w:rPr>
              <w:spacing w:val="1"/>
              <w:sz w:val="19"/>
              <w:szCs w:val="19"/>
            </w:rPr>
            <w:t>5%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>（单位：</w:t>
          </w:r>
          <w:r>
            <w:rPr>
              <w:rFonts w:ascii="SimHei" w:eastAsia="SimHei" w:hAnsi="SimHei" w:cs="SimHei"/>
              <w:spacing w:val="5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>万辆）</w:t>
          </w:r>
          <w:r>
            <w:rPr>
              <w:rFonts w:ascii="SimHei" w:eastAsia="SimHei" w:hAnsi="SimHei" w:cs="SimHei"/>
              <w:spacing w:val="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4" w:history="1">
            <w:r>
              <w:rPr>
                <w:spacing w:val="6"/>
                <w:sz w:val="19"/>
                <w:szCs w:val="19"/>
              </w:rPr>
              <w:t>19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28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24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：三四线及以下地区</w:t>
          </w:r>
          <w:r>
            <w:rPr>
              <w:rFonts w:ascii="SimHei" w:eastAsia="SimHei" w:hAnsi="SimHei" w:cs="SimHei"/>
              <w:spacing w:val="-28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年新能源占比快速提升（单位：万辆）</w:t>
          </w:r>
          <w:r>
            <w:rPr>
              <w:rFonts w:ascii="SimHei" w:eastAsia="SimHei" w:hAnsi="SimHei" w:cs="SimHei"/>
              <w:spacing w:val="-5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5" w:history="1">
            <w:r>
              <w:rPr>
                <w:spacing w:val="6"/>
                <w:sz w:val="19"/>
                <w:szCs w:val="19"/>
              </w:rPr>
              <w:t>19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7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25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2020-2022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年乘用车年置换新车规模由</w:t>
          </w:r>
          <w:r>
            <w:rPr>
              <w:rFonts w:ascii="SimHei" w:eastAsia="SimHei" w:hAnsi="SimHei" w:cs="SimHei"/>
              <w:spacing w:val="-29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641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万辆下滑至</w:t>
          </w:r>
          <w:r>
            <w:rPr>
              <w:rFonts w:ascii="SimHei" w:eastAsia="SimHei" w:hAnsi="SimHei" w:cs="SimHei"/>
              <w:spacing w:val="-34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616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万辆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6" w:history="1">
            <w:r>
              <w:rPr>
                <w:spacing w:val="6"/>
                <w:sz w:val="19"/>
                <w:szCs w:val="19"/>
              </w:rPr>
              <w:t>20</w:t>
            </w:r>
          </w:hyperlink>
        </w:p>
      </w:sdtContent>
    </w:sdt>
    <w:p>
      <w:pPr>
        <w:spacing w:line="230" w:lineRule="auto"/>
        <w:rPr>
          <w:sz w:val="19"/>
          <w:szCs w:val="19"/>
        </w:rPr>
        <w:sectPr>
          <w:headerReference w:type="default" r:id="rId24"/>
          <w:footerReference w:type="default" r:id="rId25"/>
          <w:type w:val="nextPage"/>
          <w:pgSz w:w="11907" w:h="16839"/>
          <w:pgMar w:top="1348" w:right="748" w:bottom="970" w:left="842" w:header="852" w:footer="713" w:gutter="0"/>
          <w:pgNumType w:start="10"/>
          <w:cols w:space="708"/>
          <w:titlePg w:val="0"/>
        </w:sectPr>
      </w:pPr>
    </w:p>
    <w:p>
      <w:pPr>
        <w:pStyle w:val="BodyText"/>
        <w:spacing w:line="327" w:lineRule="auto"/>
      </w:pPr>
    </w:p>
    <w:p>
      <w:pPr>
        <w:pStyle w:val="BodyText"/>
        <w:spacing w:line="328" w:lineRule="auto"/>
      </w:pPr>
    </w:p>
    <w:sdt>
      <w:sdtPr>
        <w:rPr>
          <w:rFonts w:ascii="SimHei" w:eastAsia="SimHei" w:hAnsi="SimHei" w:cs="SimHei"/>
          <w:sz w:val="19"/>
          <w:szCs w:val="19"/>
        </w:rPr>
        <w:id w:val="738319438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19"/>
          <w:szCs w:val="19"/>
        </w:rPr>
      </w:sdtEndPr>
      <w:sdtContent>
        <w:p>
          <w:pPr>
            <w:pStyle w:val="BodyText"/>
            <w:tabs>
              <w:tab w:val="right" w:leader="dot" w:pos="10202"/>
            </w:tabs>
            <w:spacing w:before="62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26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：乘用车保有量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年预估为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 xml:space="preserve">2.9 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亿辆</w:t>
          </w:r>
          <w:r>
            <w:rPr>
              <w:rFonts w:ascii="SimHei" w:eastAsia="SimHei" w:hAnsi="SimHei" w:cs="SimHei"/>
              <w:spacing w:val="-64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7" w:history="1">
            <w:r>
              <w:rPr>
                <w:spacing w:val="6"/>
                <w:sz w:val="19"/>
                <w:szCs w:val="19"/>
              </w:rPr>
              <w:t>20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1" w:line="231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27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：千人乘用车保有量</w:t>
          </w:r>
          <w:r>
            <w:rPr>
              <w:rFonts w:ascii="SimHei" w:eastAsia="SimHei" w:hAnsi="SimHei" w:cs="SimHei"/>
              <w:spacing w:val="-37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2023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年预估为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206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辆</w:t>
          </w:r>
          <w:r>
            <w:rPr>
              <w:rFonts w:ascii="SimHei" w:eastAsia="SimHei" w:hAnsi="SimHei" w:cs="SimHei"/>
              <w:spacing w:val="-4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8" w:history="1">
            <w:r>
              <w:rPr>
                <w:spacing w:val="6"/>
                <w:sz w:val="19"/>
                <w:szCs w:val="19"/>
              </w:rPr>
              <w:t>20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28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2018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年以来乘用车平均车龄加速向上</w:t>
          </w:r>
          <w:r>
            <w:rPr>
              <w:rFonts w:ascii="SimHei" w:eastAsia="SimHei" w:hAnsi="SimHei" w:cs="SimHei"/>
              <w:spacing w:val="-2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39" w:history="1">
            <w:r>
              <w:rPr>
                <w:spacing w:val="6"/>
                <w:sz w:val="19"/>
                <w:szCs w:val="19"/>
              </w:rPr>
              <w:t>21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29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2021-2023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年乘用车保有量增加值与新车增量差值扩大</w:t>
          </w:r>
          <w:r>
            <w:rPr>
              <w:rFonts w:ascii="SimHei" w:eastAsia="SimHei" w:hAnsi="SimHei" w:cs="SimHei"/>
              <w:spacing w:val="-4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0" w:history="1">
            <w:r>
              <w:rPr>
                <w:spacing w:val="6"/>
                <w:sz w:val="19"/>
                <w:szCs w:val="19"/>
              </w:rPr>
              <w:t>21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30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2021-2023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年乘用车报废量与报废比例进入明显上行期</w:t>
          </w:r>
          <w:r>
            <w:rPr>
              <w:rFonts w:ascii="SimHei" w:eastAsia="SimHei" w:hAnsi="SimHei" w:cs="SimHei"/>
              <w:spacing w:val="-4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1" w:history="1">
            <w:r>
              <w:rPr>
                <w:spacing w:val="6"/>
                <w:sz w:val="19"/>
                <w:szCs w:val="19"/>
              </w:rPr>
              <w:t>21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31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年政策生效前汽车板块无明显超额收益，生效后迅速出现超额收益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" w:history="1">
            <w:r>
              <w:rPr>
                <w:spacing w:val="6"/>
                <w:sz w:val="19"/>
                <w:szCs w:val="19"/>
              </w:rPr>
              <w:t>22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0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32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年政策生效前汽车板块无明显超额收益，生效后迅速出现超额收益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2" w:history="1">
            <w:r>
              <w:rPr>
                <w:spacing w:val="6"/>
                <w:sz w:val="19"/>
                <w:szCs w:val="19"/>
              </w:rPr>
              <w:t>23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1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33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年政策生效前汽车板块无明显超额收益，生效后迅速出现超额收益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3" w:history="1">
            <w:r>
              <w:rPr>
                <w:spacing w:val="6"/>
                <w:sz w:val="19"/>
                <w:szCs w:val="19"/>
              </w:rPr>
              <w:t>23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3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34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年政策生效前汽车板块无明显超额收益，生效后迅速出现超额收益</w:t>
          </w:r>
          <w:r>
            <w:rPr>
              <w:rFonts w:ascii="SimHei" w:eastAsia="SimHei" w:hAnsi="SimHei" w:cs="SimHei"/>
              <w:spacing w:val="-3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4" w:history="1">
            <w:r>
              <w:rPr>
                <w:spacing w:val="6"/>
                <w:sz w:val="19"/>
                <w:szCs w:val="19"/>
              </w:rPr>
              <w:t>24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1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35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年政策生效前后</w:t>
          </w:r>
          <w:r>
            <w:rPr>
              <w:rFonts w:ascii="SimHei" w:eastAsia="SimHei" w:hAnsi="SimHei" w:cs="SimHei"/>
              <w:spacing w:val="-3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1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个月汽车板块超额收益显著</w:t>
          </w:r>
          <w:r>
            <w:rPr>
              <w:rFonts w:ascii="SimHei" w:eastAsia="SimHei" w:hAnsi="SimHei" w:cs="SimHei"/>
              <w:spacing w:val="-3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5" w:history="1">
            <w:r>
              <w:rPr>
                <w:spacing w:val="6"/>
                <w:sz w:val="19"/>
                <w:szCs w:val="19"/>
              </w:rPr>
              <w:t>24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22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36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年政策生效前后</w:t>
          </w:r>
          <w:r>
            <w:rPr>
              <w:rFonts w:ascii="SimHei" w:eastAsia="SimHei" w:hAnsi="SimHei" w:cs="SimHei"/>
              <w:spacing w:val="-12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 xml:space="preserve">1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个月汽车板块超额收益显著，超期超额不显著</w:t>
          </w:r>
          <w:r>
            <w:rPr>
              <w:rFonts w:ascii="SimHei" w:eastAsia="SimHei" w:hAnsi="SimHei" w:cs="SimHei"/>
              <w:spacing w:val="-2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6" w:history="1">
            <w:r>
              <w:rPr>
                <w:spacing w:val="6"/>
                <w:sz w:val="19"/>
                <w:szCs w:val="19"/>
              </w:rPr>
              <w:t>25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9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37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2009Q1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至</w:t>
          </w:r>
          <w:r>
            <w:rPr>
              <w:rFonts w:ascii="SimHei" w:eastAsia="SimHei" w:hAnsi="SimHei" w:cs="SimHei"/>
              <w:spacing w:val="-36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2010Q1</w:t>
          </w:r>
          <w:r>
            <w:rPr>
              <w:spacing w:val="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期间汽车板块业绩增速超过大盘</w:t>
          </w:r>
          <w:r>
            <w:rPr>
              <w:rFonts w:ascii="SimHei" w:eastAsia="SimHei" w:hAnsi="SimHei" w:cs="SimHei"/>
              <w:spacing w:val="-4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7" w:history="1">
            <w:r>
              <w:rPr>
                <w:spacing w:val="6"/>
                <w:sz w:val="19"/>
                <w:szCs w:val="19"/>
              </w:rPr>
              <w:t>25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38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：汽车板块涨幅靠前与靠后标的股价表现情况</w:t>
          </w:r>
          <w:r>
            <w:rPr>
              <w:rFonts w:ascii="SimHei" w:eastAsia="SimHei" w:hAnsi="SimHei" w:cs="SimHei"/>
              <w:spacing w:val="-28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8" w:history="1">
            <w:r>
              <w:rPr>
                <w:spacing w:val="6"/>
                <w:sz w:val="19"/>
                <w:szCs w:val="19"/>
              </w:rPr>
              <w:t>26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39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：汽车板块期初涨幅靠前的公司</w:t>
          </w:r>
          <w:r>
            <w:rPr>
              <w:rFonts w:ascii="SimHei" w:eastAsia="SimHei" w:hAnsi="SimHei" w:cs="SimHei"/>
              <w:spacing w:val="-1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较低</w:t>
          </w:r>
          <w:r>
            <w:rPr>
              <w:rFonts w:ascii="SimHei" w:eastAsia="SimHei" w:hAnsi="SimHei" w:cs="SimHei"/>
              <w:spacing w:val="-5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49" w:history="1">
            <w:r>
              <w:rPr>
                <w:spacing w:val="6"/>
                <w:sz w:val="19"/>
                <w:szCs w:val="19"/>
              </w:rPr>
              <w:t>26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40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：第一分位</w:t>
          </w:r>
          <w:r>
            <w:rPr>
              <w:rFonts w:ascii="SimHei" w:eastAsia="SimHei" w:hAnsi="SimHei" w:cs="SimHei"/>
              <w:spacing w:val="-21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>-</w:t>
          </w:r>
          <w:r>
            <w:rPr>
              <w:sz w:val="19"/>
              <w:szCs w:val="19"/>
            </w:rPr>
            <w:t>TTM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明显较低</w:t>
          </w:r>
          <w:r>
            <w:rPr>
              <w:rFonts w:ascii="SimHei" w:eastAsia="SimHei" w:hAnsi="SimHei" w:cs="SimHei"/>
              <w:spacing w:val="-65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0" w:history="1">
            <w:r>
              <w:rPr>
                <w:spacing w:val="6"/>
                <w:sz w:val="19"/>
                <w:szCs w:val="19"/>
              </w:rPr>
              <w:t>26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41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：汽车行业涨幅靠前与靠后的公司</w:t>
          </w:r>
          <w:r>
            <w:rPr>
              <w:rFonts w:ascii="SimHei" w:eastAsia="SimHei" w:hAnsi="SimHei" w:cs="SimHei"/>
              <w:spacing w:val="-23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8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涨幅没有明显差距</w:t>
          </w:r>
          <w:r>
            <w:rPr>
              <w:rFonts w:ascii="SimHei" w:eastAsia="SimHei" w:hAnsi="SimHei" w:cs="SimHei"/>
              <w:spacing w:val="-7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1" w:history="1">
            <w:r>
              <w:rPr>
                <w:spacing w:val="6"/>
                <w:sz w:val="19"/>
                <w:szCs w:val="19"/>
              </w:rPr>
              <w:t>27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42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：汽车行业涨幅靠前的公司</w:t>
          </w:r>
          <w:r>
            <w:rPr>
              <w:rFonts w:ascii="SimHei" w:eastAsia="SimHei" w:hAnsi="SimHei" w:cs="SimHei"/>
              <w:spacing w:val="-20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8"/>
              <w:sz w:val="19"/>
              <w:szCs w:val="19"/>
            </w:rPr>
            <w:t>-</w:t>
          </w:r>
          <w:r>
            <w:rPr>
              <w:sz w:val="19"/>
              <w:szCs w:val="19"/>
            </w:rPr>
            <w:t>TTM</w:t>
          </w:r>
          <w:r>
            <w:rPr>
              <w:spacing w:val="8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涨幅明显</w:t>
          </w:r>
          <w:r>
            <w:rPr>
              <w:rFonts w:ascii="SimHei" w:eastAsia="SimHei" w:hAnsi="SimHei" w:cs="SimHei"/>
              <w:spacing w:val="-3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2" w:history="1">
            <w:r>
              <w:rPr>
                <w:spacing w:val="6"/>
                <w:sz w:val="19"/>
                <w:szCs w:val="19"/>
              </w:rPr>
              <w:t>27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43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：汽车行业涨幅靠前的公司归母净利润增速明显高于涨幅靠后的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公司</w:t>
          </w:r>
          <w:r>
            <w:rPr>
              <w:rFonts w:ascii="SimHei" w:eastAsia="SimHei" w:hAnsi="SimHei" w:cs="SimHei"/>
              <w:spacing w:val="-5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3" w:history="1">
            <w:r>
              <w:rPr>
                <w:spacing w:val="6"/>
                <w:sz w:val="19"/>
                <w:szCs w:val="19"/>
              </w:rPr>
              <w:t>27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44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：汽车行业涨幅靠前的公司业绩增速明显高于涨幅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靠后的公司</w:t>
          </w:r>
          <w:r>
            <w:rPr>
              <w:rFonts w:ascii="SimHei" w:eastAsia="SimHei" w:hAnsi="SimHei" w:cs="SimHei"/>
              <w:spacing w:val="-6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4" w:history="1">
            <w:r>
              <w:rPr>
                <w:spacing w:val="6"/>
                <w:sz w:val="19"/>
                <w:szCs w:val="19"/>
              </w:rPr>
              <w:t>27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45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2015Q4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至</w:t>
          </w:r>
          <w:r>
            <w:rPr>
              <w:rFonts w:ascii="SimHei" w:eastAsia="SimHei" w:hAnsi="SimHei" w:cs="SimHei"/>
              <w:spacing w:val="-34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2016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</w:t>
          </w:r>
          <w:r>
            <w:rPr>
              <w:rFonts w:ascii="SimHei" w:eastAsia="SimHei" w:hAnsi="SimHei" w:cs="SimHei"/>
              <w:spacing w:val="-33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Q4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汽车板块业绩增速大幅超越大盘</w:t>
          </w:r>
          <w:r>
            <w:rPr>
              <w:rFonts w:ascii="SimHei" w:eastAsia="SimHei" w:hAnsi="SimHei" w:cs="SimHei"/>
              <w:spacing w:val="-6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5" w:history="1">
            <w:r>
              <w:rPr>
                <w:spacing w:val="6"/>
                <w:sz w:val="19"/>
                <w:szCs w:val="19"/>
              </w:rPr>
              <w:t>29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46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：汽车行业涨幅靠前与跌幅靠前标的股价表现情况</w:t>
          </w:r>
          <w:r>
            <w:rPr>
              <w:rFonts w:ascii="SimHei" w:eastAsia="SimHei" w:hAnsi="SimHei" w:cs="SimHei"/>
              <w:spacing w:val="-38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6" w:history="1">
            <w:r>
              <w:rPr>
                <w:spacing w:val="6"/>
                <w:sz w:val="19"/>
                <w:szCs w:val="19"/>
              </w:rPr>
              <w:t>30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47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：汽车行业涨幅靠前的公司期初</w:t>
          </w:r>
          <w:r>
            <w:rPr>
              <w:rFonts w:ascii="SimHei" w:eastAsia="SimHei" w:hAnsi="SimHei" w:cs="SimHei"/>
              <w:spacing w:val="-8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相对略低</w:t>
          </w:r>
          <w:r>
            <w:rPr>
              <w:rFonts w:ascii="SimHei" w:eastAsia="SimHei" w:hAnsi="SimHei" w:cs="SimHei"/>
              <w:spacing w:val="-6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7" w:history="1">
            <w:r>
              <w:rPr>
                <w:spacing w:val="6"/>
                <w:sz w:val="19"/>
                <w:szCs w:val="19"/>
              </w:rPr>
              <w:t>30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48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：汽车行业涨幅靠前的公司期初</w:t>
          </w:r>
          <w:r>
            <w:rPr>
              <w:rFonts w:ascii="SimHei" w:eastAsia="SimHei" w:hAnsi="SimHei" w:cs="SimHei"/>
              <w:spacing w:val="-8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相对略低</w:t>
          </w:r>
          <w:r>
            <w:rPr>
              <w:rFonts w:ascii="SimHei" w:eastAsia="SimHei" w:hAnsi="SimHei" w:cs="SimHei"/>
              <w:spacing w:val="-6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8" w:history="1">
            <w:r>
              <w:rPr>
                <w:spacing w:val="6"/>
                <w:sz w:val="19"/>
                <w:szCs w:val="19"/>
              </w:rPr>
              <w:t>30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49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</w:t>
          </w:r>
          <w:r>
            <w:rPr>
              <w:rFonts w:ascii="SimHei" w:eastAsia="SimHei" w:hAnsi="SimHei" w:cs="SimHei"/>
              <w:spacing w:val="-1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明显提升</w:t>
          </w:r>
          <w:r>
            <w:rPr>
              <w:rFonts w:ascii="SimHei" w:eastAsia="SimHei" w:hAnsi="SimHei" w:cs="SimHei"/>
              <w:spacing w:val="-5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59" w:history="1">
            <w:r>
              <w:rPr>
                <w:spacing w:val="6"/>
                <w:sz w:val="19"/>
                <w:szCs w:val="19"/>
              </w:rPr>
              <w:t>31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50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</w:t>
          </w:r>
          <w:r>
            <w:rPr>
              <w:rFonts w:ascii="SimHei" w:eastAsia="SimHei" w:hAnsi="SimHei" w:cs="SimHei"/>
              <w:spacing w:val="-1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明显提升</w:t>
          </w:r>
          <w:r>
            <w:rPr>
              <w:rFonts w:ascii="SimHei" w:eastAsia="SimHei" w:hAnsi="SimHei" w:cs="SimHei"/>
              <w:spacing w:val="-5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0" w:history="1">
            <w:r>
              <w:rPr>
                <w:spacing w:val="6"/>
                <w:sz w:val="19"/>
                <w:szCs w:val="19"/>
              </w:rPr>
              <w:t>31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51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：汽车行业涨幅靠前的公司归母净利润增速明显高于涨幅靠后的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公司</w:t>
          </w:r>
          <w:r>
            <w:rPr>
              <w:rFonts w:ascii="SimHei" w:eastAsia="SimHei" w:hAnsi="SimHei" w:cs="SimHei"/>
              <w:spacing w:val="-5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1" w:history="1">
            <w:r>
              <w:rPr>
                <w:spacing w:val="6"/>
                <w:sz w:val="19"/>
                <w:szCs w:val="19"/>
              </w:rPr>
              <w:t>31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52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：汽车行业涨幅靠前的公司业绩增速明显高于涨幅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靠后的公司</w:t>
          </w:r>
          <w:r>
            <w:rPr>
              <w:rFonts w:ascii="SimHei" w:eastAsia="SimHei" w:hAnsi="SimHei" w:cs="SimHei"/>
              <w:spacing w:val="-6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2" w:history="1">
            <w:r>
              <w:rPr>
                <w:spacing w:val="6"/>
                <w:sz w:val="19"/>
                <w:szCs w:val="19"/>
              </w:rPr>
              <w:t>31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53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年</w:t>
          </w:r>
          <w:r>
            <w:rPr>
              <w:rFonts w:ascii="SimHei" w:eastAsia="SimHei" w:hAnsi="SimHei" w:cs="SimHei"/>
              <w:spacing w:val="-34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6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月至</w:t>
          </w:r>
          <w:r>
            <w:rPr>
              <w:rFonts w:ascii="SimHei" w:eastAsia="SimHei" w:hAnsi="SimHei" w:cs="SimHei"/>
              <w:spacing w:val="-21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 xml:space="preserve">12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月汽车零部件业绩增速大幅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超越大盘</w:t>
          </w:r>
          <w:r>
            <w:rPr>
              <w:rFonts w:ascii="SimHei" w:eastAsia="SimHei" w:hAnsi="SimHei" w:cs="SimHei"/>
              <w:spacing w:val="-75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3" w:history="1">
            <w:r>
              <w:rPr>
                <w:spacing w:val="6"/>
                <w:sz w:val="19"/>
                <w:szCs w:val="19"/>
              </w:rPr>
              <w:t>33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54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：汽车行业涨幅靠前与跌幅靠前标的股价表现情况</w:t>
          </w:r>
          <w:r>
            <w:rPr>
              <w:rFonts w:ascii="SimHei" w:eastAsia="SimHei" w:hAnsi="SimHei" w:cs="SimHei"/>
              <w:spacing w:val="-38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4" w:history="1">
            <w:r>
              <w:rPr>
                <w:spacing w:val="6"/>
                <w:sz w:val="19"/>
                <w:szCs w:val="19"/>
              </w:rPr>
              <w:t>34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55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：汽车行业涨幅靠前的公司期初</w:t>
          </w:r>
          <w:r>
            <w:rPr>
              <w:rFonts w:ascii="SimHei" w:eastAsia="SimHei" w:hAnsi="SimHei" w:cs="SimHei"/>
              <w:spacing w:val="-8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相对略低</w:t>
          </w:r>
          <w:r>
            <w:rPr>
              <w:rFonts w:ascii="SimHei" w:eastAsia="SimHei" w:hAnsi="SimHei" w:cs="SimHei"/>
              <w:spacing w:val="-6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5" w:history="1">
            <w:r>
              <w:rPr>
                <w:spacing w:val="6"/>
                <w:sz w:val="19"/>
                <w:szCs w:val="19"/>
              </w:rPr>
              <w:t>34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56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：汽车行业涨幅靠前的公司期初</w:t>
          </w:r>
          <w:r>
            <w:rPr>
              <w:rFonts w:ascii="SimHei" w:eastAsia="SimHei" w:hAnsi="SimHei" w:cs="SimHei"/>
              <w:spacing w:val="-8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相对略低</w:t>
          </w:r>
          <w:r>
            <w:rPr>
              <w:rFonts w:ascii="SimHei" w:eastAsia="SimHei" w:hAnsi="SimHei" w:cs="SimHei"/>
              <w:spacing w:val="-6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6" w:history="1">
            <w:r>
              <w:rPr>
                <w:spacing w:val="6"/>
                <w:sz w:val="19"/>
                <w:szCs w:val="19"/>
              </w:rPr>
              <w:t>34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57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</w:t>
          </w:r>
          <w:r>
            <w:rPr>
              <w:rFonts w:ascii="SimHei" w:eastAsia="SimHei" w:hAnsi="SimHei" w:cs="SimHei"/>
              <w:spacing w:val="-1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明显提升</w:t>
          </w:r>
          <w:r>
            <w:rPr>
              <w:rFonts w:ascii="SimHei" w:eastAsia="SimHei" w:hAnsi="SimHei" w:cs="SimHei"/>
              <w:spacing w:val="-5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7" w:history="1">
            <w:r>
              <w:rPr>
                <w:spacing w:val="6"/>
                <w:sz w:val="19"/>
                <w:szCs w:val="19"/>
              </w:rPr>
              <w:t>35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9"/>
            <w:rPr>
              <w:sz w:val="19"/>
              <w:szCs w:val="19"/>
            </w:rPr>
            <w:sectPr>
              <w:headerReference w:type="default" r:id="rId26"/>
              <w:footerReference w:type="default" r:id="rId27"/>
              <w:pgSz w:w="11907" w:h="16839"/>
              <w:pgMar w:top="1348" w:right="748" w:bottom="970" w:left="842" w:header="852" w:footer="713" w:gutter="0"/>
              <w:pgNumType w:start="11"/>
              <w:cols w:space="708"/>
            </w:sect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58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：汽车行业涨幅靠前的公司</w:t>
          </w:r>
          <w:r>
            <w:rPr>
              <w:rFonts w:ascii="SimHei" w:eastAsia="SimHei" w:hAnsi="SimHei" w:cs="SimHei"/>
              <w:spacing w:val="-15"/>
              <w:sz w:val="19"/>
              <w:szCs w:val="19"/>
            </w:rPr>
            <w:t xml:space="preserve"> </w:t>
          </w:r>
          <w:r>
            <w:rPr>
              <w:sz w:val="19"/>
              <w:szCs w:val="19"/>
            </w:rPr>
            <w:t>PE</w:t>
          </w:r>
          <w:r>
            <w:rPr>
              <w:spacing w:val="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明显提升</w:t>
          </w:r>
          <w:r>
            <w:rPr>
              <w:rFonts w:ascii="SimHei" w:eastAsia="SimHei" w:hAnsi="SimHei" w:cs="SimHei"/>
              <w:spacing w:val="-5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8" w:history="1">
            <w:r>
              <w:rPr>
                <w:spacing w:val="6"/>
                <w:sz w:val="19"/>
                <w:szCs w:val="19"/>
              </w:rPr>
              <w:t>35</w:t>
            </w:r>
          </w:hyperlink>
        </w:p>
      </w:sdtContent>
    </w:sdt>
    <w:sdt>
      <w:sdtPr>
        <w:rPr>
          <w:rFonts w:ascii="SimHei" w:eastAsia="SimHei" w:hAnsi="SimHei" w:cs="SimHei"/>
          <w:sz w:val="19"/>
          <w:szCs w:val="19"/>
        </w:rPr>
        <w:id w:val="1860298335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19"/>
          <w:szCs w:val="19"/>
        </w:rPr>
      </w:sdtEndPr>
      <w:sdtContent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59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：汽车行业涨幅靠前的公司归母净利润增速整体优于涨幅靠后的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公司</w:t>
          </w:r>
          <w:r>
            <w:rPr>
              <w:rFonts w:ascii="SimHei" w:eastAsia="SimHei" w:hAnsi="SimHei" w:cs="SimHei"/>
              <w:spacing w:val="-5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69" w:history="1">
            <w:r>
              <w:rPr>
                <w:spacing w:val="6"/>
                <w:sz w:val="19"/>
                <w:szCs w:val="19"/>
              </w:rPr>
              <w:t>35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9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图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60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：汽车行业涨幅靠前的公司业绩增速明显高于涨幅靠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后的公司</w:t>
          </w:r>
          <w:r>
            <w:rPr>
              <w:rFonts w:ascii="SimHei" w:eastAsia="SimHei" w:hAnsi="SimHei" w:cs="SimHei"/>
              <w:spacing w:val="-6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0" w:history="1">
            <w:r>
              <w:rPr>
                <w:spacing w:val="6"/>
                <w:sz w:val="19"/>
                <w:szCs w:val="19"/>
              </w:rPr>
              <w:t>35</w:t>
            </w:r>
          </w:hyperlink>
        </w:p>
        <w:p>
          <w:pPr>
            <w:pStyle w:val="BodyText"/>
            <w:spacing w:line="332" w:lineRule="auto"/>
          </w:pPr>
        </w:p>
        <w:p>
          <w:pPr>
            <w:pStyle w:val="BodyText"/>
            <w:tabs>
              <w:tab w:val="right" w:leader="dot" w:pos="10205"/>
            </w:tabs>
            <w:spacing w:before="63" w:line="231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5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4"/>
              <w:sz w:val="19"/>
              <w:szCs w:val="19"/>
            </w:rPr>
            <w:t xml:space="preserve"> </w:t>
          </w:r>
          <w:r>
            <w:rPr>
              <w:spacing w:val="5"/>
              <w:sz w:val="19"/>
              <w:szCs w:val="19"/>
            </w:rPr>
            <w:t>1</w:t>
          </w:r>
          <w:r>
            <w:rPr>
              <w:rFonts w:ascii="SimHei" w:eastAsia="SimHei" w:hAnsi="SimHei" w:cs="SimHei"/>
              <w:spacing w:val="5"/>
              <w:sz w:val="19"/>
              <w:szCs w:val="19"/>
            </w:rPr>
            <w:t>：相关政策梳理</w:t>
          </w:r>
          <w:r>
            <w:rPr>
              <w:rFonts w:ascii="SimHei" w:eastAsia="SimHei" w:hAnsi="SimHei" w:cs="SimHei"/>
              <w:spacing w:val="-37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1" w:history="1">
            <w:r>
              <w:rPr>
                <w:spacing w:val="10"/>
                <w:sz w:val="19"/>
                <w:szCs w:val="19"/>
              </w:rPr>
              <w:t>7</w:t>
            </w:r>
          </w:hyperlink>
        </w:p>
        <w:p>
          <w:pPr>
            <w:pStyle w:val="BodyText"/>
            <w:tabs>
              <w:tab w:val="right" w:leader="dot" w:pos="10205"/>
            </w:tabs>
            <w:spacing w:before="82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2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：各地汽车限购政策调整梳理</w:t>
          </w:r>
          <w:r>
            <w:rPr>
              <w:rFonts w:ascii="SimHei" w:eastAsia="SimHei" w:hAnsi="SimHei" w:cs="SimHei"/>
              <w:spacing w:val="-66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2" w:history="1">
            <w:r>
              <w:rPr>
                <w:spacing w:val="10"/>
                <w:sz w:val="19"/>
                <w:szCs w:val="19"/>
              </w:rPr>
              <w:t>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3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：各车企发布汽车下乡政策</w:t>
          </w:r>
          <w:r>
            <w:rPr>
              <w:rFonts w:ascii="SimHei" w:eastAsia="SimHei" w:hAnsi="SimHei" w:cs="SimHei"/>
              <w:spacing w:val="-3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3" w:history="1">
            <w:r>
              <w:rPr>
                <w:spacing w:val="6"/>
                <w:sz w:val="19"/>
                <w:szCs w:val="19"/>
              </w:rPr>
              <w:t>10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5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9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 xml:space="preserve"> </w:t>
          </w:r>
          <w:r>
            <w:rPr>
              <w:spacing w:val="9"/>
              <w:sz w:val="19"/>
              <w:szCs w:val="19"/>
            </w:rPr>
            <w:t>4</w:t>
          </w:r>
          <w:r>
            <w:rPr>
              <w:rFonts w:ascii="SimHei" w:eastAsia="SimHei" w:hAnsi="SimHei" w:cs="SimHei"/>
              <w:spacing w:val="9"/>
              <w:sz w:val="19"/>
              <w:szCs w:val="19"/>
            </w:rPr>
            <w:t>：中央政府及地方政府汽车以旧换新政策梳理</w:t>
          </w:r>
          <w:r>
            <w:rPr>
              <w:rFonts w:ascii="SimHei" w:eastAsia="SimHei" w:hAnsi="SimHei" w:cs="SimHei"/>
              <w:spacing w:val="-4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4" w:history="1">
            <w:r>
              <w:rPr>
                <w:spacing w:val="6"/>
                <w:sz w:val="19"/>
                <w:szCs w:val="19"/>
              </w:rPr>
              <w:t>10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47" w:line="271" w:lineRule="exact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 xml:space="preserve"> </w:t>
          </w:r>
          <w:r>
            <w:rPr>
              <w:spacing w:val="-1"/>
              <w:position w:val="1"/>
              <w:sz w:val="19"/>
              <w:szCs w:val="19"/>
            </w:rPr>
            <w:t>5</w:t>
          </w: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>：</w:t>
          </w:r>
          <w:r>
            <w:rPr>
              <w:spacing w:val="-1"/>
              <w:position w:val="1"/>
              <w:sz w:val="19"/>
              <w:szCs w:val="19"/>
            </w:rPr>
            <w:t xml:space="preserve">2010 </w:t>
          </w: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>年上调单车补贴金额（单位：</w:t>
          </w:r>
          <w:r>
            <w:rPr>
              <w:rFonts w:ascii="SimHei" w:eastAsia="SimHei" w:hAnsi="SimHei" w:cs="SimHei"/>
              <w:spacing w:val="65"/>
              <w:position w:val="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>元</w:t>
          </w:r>
          <w:r>
            <w:rPr>
              <w:spacing w:val="-1"/>
              <w:position w:val="1"/>
              <w:sz w:val="19"/>
              <w:szCs w:val="19"/>
            </w:rPr>
            <w:t>/</w:t>
          </w:r>
          <w:r>
            <w:rPr>
              <w:rFonts w:ascii="SimHei" w:eastAsia="SimHei" w:hAnsi="SimHei" w:cs="SimHei"/>
              <w:spacing w:val="-1"/>
              <w:position w:val="1"/>
              <w:sz w:val="19"/>
              <w:szCs w:val="19"/>
            </w:rPr>
            <w:t>车）</w:t>
          </w:r>
          <w:r>
            <w:rPr>
              <w:rFonts w:ascii="SimHei" w:eastAsia="SimHei" w:hAnsi="SimHei" w:cs="SimHei"/>
              <w:spacing w:val="20"/>
              <w:position w:val="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position w:val="1"/>
              <w:sz w:val="19"/>
              <w:szCs w:val="19"/>
            </w:rPr>
            <w:tab/>
          </w:r>
          <w:r>
            <w:rPr>
              <w:rFonts w:ascii="SimHei" w:eastAsia="SimHei" w:hAnsi="SimHei" w:cs="SimHei"/>
              <w:spacing w:val="-57"/>
              <w:position w:val="1"/>
              <w:sz w:val="19"/>
              <w:szCs w:val="19"/>
            </w:rPr>
            <w:t xml:space="preserve"> </w:t>
          </w:r>
          <w:hyperlink w:anchor="bookmark75" w:history="1">
            <w:r>
              <w:rPr>
                <w:spacing w:val="-7"/>
                <w:position w:val="1"/>
                <w:sz w:val="19"/>
                <w:szCs w:val="19"/>
              </w:rPr>
              <w:t>11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6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2019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</w:t>
          </w:r>
          <w:r>
            <w:rPr>
              <w:spacing w:val="7"/>
              <w:sz w:val="19"/>
              <w:szCs w:val="19"/>
            </w:rPr>
            <w:t xml:space="preserve">-2020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年期间国内及部分地方性刺激政策梳理</w:t>
          </w:r>
          <w:r>
            <w:rPr>
              <w:rFonts w:ascii="SimHei" w:eastAsia="SimHei" w:hAnsi="SimHei" w:cs="SimHei"/>
              <w:spacing w:val="-59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6" w:history="1">
            <w:r>
              <w:rPr>
                <w:spacing w:val="6"/>
                <w:sz w:val="19"/>
                <w:szCs w:val="19"/>
              </w:rPr>
              <w:t>12</w:t>
            </w:r>
          </w:hyperlink>
        </w:p>
      </w:sdtContent>
    </w:sdt>
    <w:p>
      <w:pPr>
        <w:spacing w:line="230" w:lineRule="auto"/>
        <w:rPr>
          <w:sz w:val="19"/>
          <w:szCs w:val="19"/>
        </w:rPr>
        <w:sectPr>
          <w:headerReference w:type="default" r:id="rId28"/>
          <w:footerReference w:type="default" r:id="rId29"/>
          <w:type w:val="nextPage"/>
          <w:pgSz w:w="11907" w:h="16839"/>
          <w:pgMar w:top="1348" w:right="748" w:bottom="970" w:left="842" w:header="852" w:footer="713" w:gutter="0"/>
          <w:pgNumType w:start="12"/>
          <w:cols w:space="708"/>
          <w:titlePg w:val="0"/>
        </w:sectPr>
      </w:pPr>
    </w:p>
    <w:p>
      <w:pPr>
        <w:pStyle w:val="BodyText"/>
        <w:spacing w:line="328" w:lineRule="auto"/>
      </w:pPr>
    </w:p>
    <w:p>
      <w:pPr>
        <w:pStyle w:val="BodyText"/>
        <w:spacing w:line="328" w:lineRule="auto"/>
      </w:pPr>
    </w:p>
    <w:sdt>
      <w:sdtPr>
        <w:rPr>
          <w:rFonts w:ascii="SimHei" w:eastAsia="SimHei" w:hAnsi="SimHei" w:cs="SimHei"/>
          <w:sz w:val="19"/>
          <w:szCs w:val="19"/>
        </w:rPr>
        <w:id w:val="488795473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19"/>
          <w:szCs w:val="19"/>
        </w:rPr>
      </w:sdtEndPr>
      <w:sdtContent>
        <w:p>
          <w:pPr>
            <w:pStyle w:val="BodyText"/>
            <w:tabs>
              <w:tab w:val="right" w:leader="dot" w:pos="10202"/>
            </w:tabs>
            <w:spacing w:before="61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7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：各类政策出台加快汽车消费复苏</w:t>
          </w:r>
          <w:r>
            <w:rPr>
              <w:rFonts w:ascii="SimHei" w:eastAsia="SimHei" w:hAnsi="SimHei" w:cs="SimHei"/>
              <w:spacing w:val="-2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7" w:history="1">
            <w:r>
              <w:rPr>
                <w:spacing w:val="6"/>
                <w:sz w:val="19"/>
                <w:szCs w:val="19"/>
              </w:rPr>
              <w:t>13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8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年行情中小市值、低股价、业绩良好公司获得更多机会</w:t>
          </w:r>
          <w:r>
            <w:rPr>
              <w:rFonts w:ascii="SimHei" w:eastAsia="SimHei" w:hAnsi="SimHei" w:cs="SimHei"/>
              <w:spacing w:val="-31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8" w:history="1">
            <w:r>
              <w:rPr>
                <w:spacing w:val="6"/>
                <w:sz w:val="19"/>
                <w:szCs w:val="19"/>
              </w:rPr>
              <w:t>28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1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9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政策前后重点整车标的分析</w:t>
          </w:r>
          <w:r>
            <w:rPr>
              <w:rFonts w:ascii="SimHei" w:eastAsia="SimHei" w:hAnsi="SimHei" w:cs="SimHei"/>
              <w:spacing w:val="-63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79" w:history="1">
            <w:r>
              <w:rPr>
                <w:spacing w:val="6"/>
                <w:sz w:val="19"/>
                <w:szCs w:val="19"/>
              </w:rPr>
              <w:t>28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1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9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10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2009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政策前后重点零部件标的分析</w:t>
          </w:r>
          <w:r>
            <w:rPr>
              <w:rFonts w:ascii="SimHei" w:eastAsia="SimHei" w:hAnsi="SimHei" w:cs="SimHei"/>
              <w:spacing w:val="-5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0" w:history="1">
            <w:r>
              <w:rPr>
                <w:spacing w:val="6"/>
                <w:sz w:val="19"/>
                <w:szCs w:val="19"/>
              </w:rPr>
              <w:t>29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7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6"/>
              <w:sz w:val="19"/>
              <w:szCs w:val="19"/>
            </w:rPr>
            <w:t xml:space="preserve"> </w:t>
          </w:r>
          <w:r>
            <w:rPr>
              <w:spacing w:val="7"/>
              <w:sz w:val="19"/>
              <w:szCs w:val="19"/>
            </w:rPr>
            <w:t>11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：</w:t>
          </w:r>
          <w:r>
            <w:rPr>
              <w:spacing w:val="7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年行情中小市值、低股价、业绩良好公司获得更多机会</w:t>
          </w:r>
          <w:r>
            <w:rPr>
              <w:rFonts w:ascii="SimHei" w:eastAsia="SimHei" w:hAnsi="SimHei" w:cs="SimHei"/>
              <w:spacing w:val="-3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1" w:history="1">
            <w:r>
              <w:rPr>
                <w:spacing w:val="6"/>
                <w:sz w:val="19"/>
                <w:szCs w:val="19"/>
              </w:rPr>
              <w:t>31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1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12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政策前后重点整车标的分析</w:t>
          </w:r>
          <w:r>
            <w:rPr>
              <w:rFonts w:ascii="SimHei" w:eastAsia="SimHei" w:hAnsi="SimHei" w:cs="SimHei"/>
              <w:spacing w:val="-74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2" w:history="1">
            <w:r>
              <w:rPr>
                <w:spacing w:val="6"/>
                <w:sz w:val="19"/>
                <w:szCs w:val="19"/>
              </w:rPr>
              <w:t>32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9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13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2015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政策前后重点零部件标的分析</w:t>
          </w:r>
          <w:r>
            <w:rPr>
              <w:rFonts w:ascii="SimHei" w:eastAsia="SimHei" w:hAnsi="SimHei" w:cs="SimHei"/>
              <w:spacing w:val="-52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3" w:history="1">
            <w:r>
              <w:rPr>
                <w:spacing w:val="6"/>
                <w:sz w:val="19"/>
                <w:szCs w:val="19"/>
              </w:rPr>
              <w:t>32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3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8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0"/>
              <w:sz w:val="19"/>
              <w:szCs w:val="19"/>
            </w:rPr>
            <w:t xml:space="preserve"> </w:t>
          </w:r>
          <w:r>
            <w:rPr>
              <w:spacing w:val="8"/>
              <w:sz w:val="19"/>
              <w:szCs w:val="19"/>
            </w:rPr>
            <w:t>14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：</w:t>
          </w:r>
          <w:r>
            <w:rPr>
              <w:spacing w:val="8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8"/>
              <w:sz w:val="19"/>
              <w:szCs w:val="19"/>
            </w:rPr>
            <w:t>年行情中小市值、低股价</w:t>
          </w:r>
          <w:r>
            <w:rPr>
              <w:rFonts w:ascii="SimHei" w:eastAsia="SimHei" w:hAnsi="SimHei" w:cs="SimHei"/>
              <w:spacing w:val="7"/>
              <w:sz w:val="19"/>
              <w:szCs w:val="19"/>
            </w:rPr>
            <w:t>、业绩良好公司获得更多机会</w:t>
          </w:r>
          <w:r>
            <w:rPr>
              <w:rFonts w:ascii="SimHei" w:eastAsia="SimHei" w:hAnsi="SimHei" w:cs="SimHei"/>
              <w:spacing w:val="-44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4" w:history="1">
            <w:r>
              <w:rPr>
                <w:spacing w:val="6"/>
                <w:sz w:val="19"/>
                <w:szCs w:val="19"/>
              </w:rPr>
              <w:t>35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4" w:line="231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3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15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政策后重点整车标的分析</w:t>
          </w:r>
          <w:r>
            <w:rPr>
              <w:rFonts w:ascii="SimHei" w:eastAsia="SimHei" w:hAnsi="SimHei" w:cs="SimHei"/>
              <w:spacing w:val="-40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5" w:history="1">
            <w:r>
              <w:rPr>
                <w:spacing w:val="6"/>
                <w:sz w:val="19"/>
                <w:szCs w:val="19"/>
              </w:rPr>
              <w:t>36</w:t>
            </w:r>
          </w:hyperlink>
        </w:p>
        <w:p>
          <w:pPr>
            <w:pStyle w:val="BodyText"/>
            <w:tabs>
              <w:tab w:val="right" w:leader="dot" w:pos="10202"/>
            </w:tabs>
            <w:spacing w:before="82" w:line="230" w:lineRule="auto"/>
            <w:ind w:left="20"/>
            <w:rPr>
              <w:sz w:val="19"/>
              <w:szCs w:val="19"/>
            </w:rPr>
          </w:pPr>
          <w:r>
            <w:rPr>
              <w:rFonts w:ascii="SimHei" w:eastAsia="SimHei" w:hAnsi="SimHei" w:cs="SimHei"/>
              <w:spacing w:val="6"/>
              <w:sz w:val="19"/>
              <w:szCs w:val="19"/>
            </w:rPr>
            <w:t>表</w:t>
          </w:r>
          <w:r>
            <w:rPr>
              <w:rFonts w:ascii="SimHei" w:eastAsia="SimHei" w:hAnsi="SimHei" w:cs="SimHei"/>
              <w:spacing w:val="36"/>
              <w:sz w:val="19"/>
              <w:szCs w:val="19"/>
            </w:rPr>
            <w:t xml:space="preserve"> </w:t>
          </w:r>
          <w:r>
            <w:rPr>
              <w:spacing w:val="6"/>
              <w:sz w:val="19"/>
              <w:szCs w:val="19"/>
            </w:rPr>
            <w:t>16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：</w:t>
          </w:r>
          <w:r>
            <w:rPr>
              <w:spacing w:val="6"/>
              <w:sz w:val="19"/>
              <w:szCs w:val="19"/>
            </w:rPr>
            <w:t xml:space="preserve">2022 </w:t>
          </w:r>
          <w:r>
            <w:rPr>
              <w:rFonts w:ascii="SimHei" w:eastAsia="SimHei" w:hAnsi="SimHei" w:cs="SimHei"/>
              <w:spacing w:val="6"/>
              <w:sz w:val="19"/>
              <w:szCs w:val="19"/>
            </w:rPr>
            <w:t>政策后重点零部件标的分析</w:t>
          </w:r>
          <w:r>
            <w:rPr>
              <w:rFonts w:ascii="SimHei" w:eastAsia="SimHei" w:hAnsi="SimHei" w:cs="SimHei"/>
              <w:spacing w:val="-74"/>
              <w:sz w:val="19"/>
              <w:szCs w:val="19"/>
            </w:rPr>
            <w:t xml:space="preserve"> </w:t>
          </w:r>
          <w:r>
            <w:rPr>
              <w:rFonts w:ascii="SimHei" w:eastAsia="SimHei" w:hAnsi="SimHei" w:cs="SimHei"/>
              <w:sz w:val="19"/>
              <w:szCs w:val="19"/>
            </w:rPr>
            <w:tab/>
          </w:r>
          <w:hyperlink w:anchor="bookmark86" w:history="1">
            <w:r>
              <w:rPr>
                <w:spacing w:val="6"/>
                <w:sz w:val="19"/>
                <w:szCs w:val="19"/>
              </w:rPr>
              <w:t>36</w:t>
            </w:r>
          </w:hyperlink>
        </w:p>
      </w:sdtContent>
    </w:sdt>
    <w:p>
      <w:pPr>
        <w:spacing w:line="230" w:lineRule="auto"/>
        <w:rPr>
          <w:sz w:val="19"/>
          <w:szCs w:val="19"/>
        </w:rPr>
        <w:sectPr>
          <w:headerReference w:type="default" r:id="rId30"/>
          <w:footerReference w:type="default" r:id="rId31"/>
          <w:pgSz w:w="11907" w:h="16839"/>
          <w:pgMar w:top="1348" w:right="748" w:bottom="970" w:left="842" w:header="852" w:footer="713" w:gutter="0"/>
          <w:pgNumType w:start="13"/>
          <w:cols w:space="708"/>
        </w:sectPr>
      </w:pPr>
    </w:p>
    <w:p>
      <w:pPr>
        <w:pStyle w:val="BodyText"/>
        <w:spacing w:line="294" w:lineRule="auto"/>
      </w:pP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541020</wp:posOffset>
            </wp:positionH>
            <wp:positionV relativeFrom="page">
              <wp:posOffset>541021</wp:posOffset>
            </wp:positionV>
            <wp:extent cx="976883" cy="254507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6883" cy="254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95" w:lineRule="auto"/>
      </w:pPr>
    </w:p>
    <w:p>
      <w:pPr>
        <w:pStyle w:val="BodyText"/>
        <w:spacing w:before="52" w:line="219" w:lineRule="exact"/>
        <w:ind w:right="5"/>
        <w:jc w:val="right"/>
        <w:rPr>
          <w:rFonts w:ascii="SimHei" w:eastAsia="SimHei" w:hAnsi="SimHei" w:cs="SimHei"/>
          <w:sz w:val="16"/>
          <w:szCs w:val="16"/>
        </w:rPr>
      </w:pPr>
      <w:r>
        <w:rPr>
          <w:rFonts w:ascii="SimHei" w:eastAsia="SimHei" w:hAnsi="SimHei" w:cs="SimHei"/>
          <w:spacing w:val="-3"/>
          <w:position w:val="2"/>
          <w:sz w:val="16"/>
          <w:szCs w:val="16"/>
        </w:rPr>
        <w:t>行业研究</w:t>
      </w:r>
      <w:r>
        <w:rPr>
          <w:rFonts w:ascii="SimHei" w:eastAsia="SimHei" w:hAnsi="SimHei" w:cs="SimHei"/>
          <w:spacing w:val="18"/>
          <w:position w:val="2"/>
          <w:sz w:val="16"/>
          <w:szCs w:val="16"/>
        </w:rPr>
        <w:t xml:space="preserve"> </w:t>
      </w:r>
      <w:r>
        <w:rPr>
          <w:spacing w:val="-3"/>
          <w:position w:val="2"/>
          <w:sz w:val="16"/>
          <w:szCs w:val="16"/>
        </w:rPr>
        <w:t>|</w:t>
      </w:r>
      <w:r>
        <w:rPr>
          <w:spacing w:val="40"/>
          <w:w w:val="102"/>
          <w:position w:val="2"/>
          <w:sz w:val="16"/>
          <w:szCs w:val="16"/>
        </w:rPr>
        <w:t xml:space="preserve"> </w:t>
      </w:r>
      <w:r>
        <w:rPr>
          <w:rFonts w:ascii="SimHei" w:eastAsia="SimHei" w:hAnsi="SimHei" w:cs="SimHei"/>
          <w:spacing w:val="-3"/>
          <w:position w:val="2"/>
          <w:sz w:val="16"/>
          <w:szCs w:val="16"/>
        </w:rPr>
        <w:t>深度报告</w:t>
      </w:r>
    </w:p>
    <w:p>
      <w:pPr>
        <w:spacing w:before="60" w:line="24" w:lineRule="exact"/>
        <w:ind w:firstLine="14"/>
      </w:pPr>
      <w:r>
        <w:pict>
          <v:shape id="_x0000_i1039" style="width:515.35pt;height:1.25pt;mso-position-horizontal-relative:char;mso-position-vertical-relative:line" coordorigin="0,0" coordsize="10306,25" path="m,11l10306,11e" filled="f" strokecolor="#e10000" strokeweight="1.2pt">
            <v:stroke joinstyle="miter"/>
            <w10:wrap type="none"/>
          </v:shape>
        </w:pict>
      </w:r>
    </w:p>
    <w:p>
      <w:pPr>
        <w:pStyle w:val="BodyText"/>
        <w:spacing w:line="348" w:lineRule="auto"/>
      </w:pPr>
    </w:p>
    <w:p>
      <w:pPr>
        <w:pStyle w:val="BodyText"/>
        <w:spacing w:line="349" w:lineRule="auto"/>
      </w:pPr>
    </w:p>
    <w:p>
      <w:pPr>
        <w:spacing w:before="100" w:line="218" w:lineRule="auto"/>
        <w:ind w:left="24"/>
        <w:rPr>
          <w:rFonts w:ascii="SimHei" w:eastAsia="SimHei" w:hAnsi="SimHei" w:cs="SimHei"/>
          <w:sz w:val="31"/>
          <w:szCs w:val="31"/>
        </w:rPr>
      </w:pPr>
      <w:bookmarkStart w:id="0" w:name="bookmark1"/>
      <w:bookmarkEnd w:id="0"/>
      <w:bookmarkStart w:id="1" w:name="bookmark71"/>
      <w:bookmarkEnd w:id="1"/>
      <w:r>
        <w:rPr>
          <w:rFonts w:ascii="SimHei" w:eastAsia="SimHei" w:hAnsi="SimHei" w:cs="SimHei"/>
          <w:color w:val="E10000"/>
          <w:spacing w:val="9"/>
          <w:sz w:val="31"/>
          <w:szCs w:val="31"/>
        </w:rPr>
        <w:t>政策梳理：汽车消费刺激政策工具多，见效快</w:t>
      </w:r>
    </w:p>
    <w:p>
      <w:pPr>
        <w:spacing w:before="180" w:line="314" w:lineRule="exact"/>
        <w:ind w:left="35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2"/>
          <w:position w:val="11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国家出台的汽车消费政策主要包括四种：车辆购置税减免</w:t>
      </w:r>
      <w:r>
        <w:rPr>
          <w:rFonts w:ascii="STXihei" w:eastAsia="STXihei" w:hAnsi="STXihei" w:cs="STXihei"/>
          <w:spacing w:val="-26"/>
          <w:position w:val="11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2"/>
          <w:position w:val="11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、汽车下乡、老旧汽车报</w:t>
      </w:r>
      <w:r>
        <w:rPr>
          <w:rFonts w:ascii="STXihei" w:eastAsia="STXihei" w:hAnsi="STXihei" w:cs="STXihei"/>
          <w:spacing w:val="-3"/>
          <w:position w:val="11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废更</w:t>
      </w:r>
    </w:p>
    <w:p>
      <w:pPr>
        <w:pStyle w:val="BodyText"/>
        <w:spacing w:line="196" w:lineRule="auto"/>
        <w:ind w:left="25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新补贴</w:t>
      </w:r>
      <w:r>
        <w:rPr>
          <w:rFonts w:ascii="STXihei" w:eastAsia="STXihei" w:hAnsi="STXihei" w:cs="STXihei"/>
          <w:spacing w:val="-26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、给予节能车购置补贴</w:t>
      </w:r>
      <w:r>
        <w:rPr>
          <w:rFonts w:ascii="STXihei" w:eastAsia="STXihei" w:hAnsi="STXihei" w:cs="STXihei"/>
          <w:spacing w:val="-23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。部分地区</w:t>
      </w:r>
      <w:r>
        <w:rPr>
          <w:rFonts w:ascii="STXihei" w:eastAsia="STXihei" w:hAnsi="STXihei" w:cs="STXihei"/>
          <w:spacing w:val="11"/>
          <w:w w:val="101"/>
          <w:sz w:val="18"/>
          <w:szCs w:val="18"/>
        </w:rPr>
        <w:t xml:space="preserve"> </w:t>
      </w:r>
      <w:r>
        <w:rPr>
          <w:b/>
          <w:bCs/>
          <w:spacing w:val="-2"/>
          <w:sz w:val="18"/>
          <w:szCs w:val="18"/>
        </w:rPr>
        <w:t xml:space="preserve">2019 </w:t>
      </w: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年还出台了限购放松的政策</w:t>
      </w:r>
      <w:r>
        <w:rPr>
          <w:rFonts w:ascii="STXihei" w:eastAsia="STXihei" w:hAnsi="STXihei" w:cs="STXihei"/>
          <w:spacing w:val="-23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。受益于政</w:t>
      </w:r>
    </w:p>
    <w:p>
      <w:pPr>
        <w:pStyle w:val="BodyText"/>
        <w:spacing w:before="104" w:line="198" w:lineRule="auto"/>
        <w:ind w:left="21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策带来的积极影响</w:t>
      </w:r>
      <w:r>
        <w:rPr>
          <w:rFonts w:ascii="STXihei" w:eastAsia="STXihei" w:hAnsi="STXihei" w:cs="STXihei"/>
          <w:spacing w:val="10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，汽车销量增速逐渐回升</w:t>
      </w:r>
      <w:r>
        <w:rPr>
          <w:rFonts w:ascii="STXihei" w:eastAsia="STXihei" w:hAnsi="STXihei" w:cs="STXihei"/>
          <w:spacing w:val="-21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。</w:t>
      </w:r>
      <w:r>
        <w:rPr>
          <w:b/>
          <w:bCs/>
          <w:spacing w:val="-4"/>
          <w:sz w:val="18"/>
          <w:szCs w:val="18"/>
        </w:rPr>
        <w:t xml:space="preserve">2024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年</w:t>
      </w:r>
      <w:r>
        <w:rPr>
          <w:rFonts w:ascii="STXihei" w:eastAsia="STXihei" w:hAnsi="STXihei" w:cs="STXihei"/>
          <w:spacing w:val="15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 xml:space="preserve">3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月</w:t>
      </w:r>
      <w:r>
        <w:rPr>
          <w:rFonts w:ascii="STXihei" w:eastAsia="STXihei" w:hAnsi="STXihei" w:cs="STXihei"/>
          <w:spacing w:val="20"/>
          <w:sz w:val="18"/>
          <w:szCs w:val="18"/>
        </w:rPr>
        <w:t xml:space="preserve"> </w:t>
      </w:r>
      <w:r>
        <w:rPr>
          <w:b/>
          <w:bCs/>
          <w:spacing w:val="-4"/>
          <w:sz w:val="18"/>
          <w:szCs w:val="18"/>
        </w:rPr>
        <w:t xml:space="preserve">1 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日，</w:t>
      </w:r>
      <w:r>
        <w:rPr>
          <w:rFonts w:ascii="STXihei" w:eastAsia="STXihei" w:hAnsi="STXihei" w:cs="STXihei"/>
          <w:spacing w:val="-24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国务院常务会议审议</w:t>
      </w:r>
    </w:p>
    <w:p>
      <w:pPr>
        <w:spacing w:before="105" w:line="197" w:lineRule="auto"/>
        <w:ind w:left="22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通过《推动大规模设备更新和消费品以旧换新行动方案》，积极开展汽车</w:t>
      </w:r>
      <w:r>
        <w:rPr>
          <w:rFonts w:ascii="STXihei" w:eastAsia="STXihei" w:hAnsi="STXihei" w:cs="STXihei"/>
          <w:spacing w:val="-18"/>
          <w:sz w:val="18"/>
          <w:szCs w:val="18"/>
        </w:rPr>
        <w:t xml:space="preserve"> </w:t>
      </w: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、家电等消费</w:t>
      </w:r>
    </w:p>
    <w:p>
      <w:pPr>
        <w:spacing w:before="103" w:line="198" w:lineRule="auto"/>
        <w:ind w:left="34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6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品以旧换新，形成更新换代规模效应。置换需求成为主导，“以旧换新”有</w:t>
      </w:r>
      <w:r>
        <w:rPr>
          <w:rFonts w:ascii="STXihei" w:eastAsia="STXihei" w:hAnsi="STXihei" w:cs="STXihei"/>
          <w:spacing w:val="-7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望进一步支撑</w:t>
      </w:r>
    </w:p>
    <w:p>
      <w:pPr>
        <w:spacing w:before="105" w:line="197" w:lineRule="auto"/>
        <w:ind w:left="20"/>
        <w:rPr>
          <w:rFonts w:ascii="STXihei" w:eastAsia="STXihei" w:hAnsi="STXihei" w:cs="STXihei"/>
          <w:sz w:val="18"/>
          <w:szCs w:val="18"/>
        </w:rPr>
      </w:pPr>
      <w:r>
        <w:rPr>
          <w:rFonts w:ascii="STXihei" w:eastAsia="STXihei" w:hAnsi="STXihei" w:cs="STXihei"/>
          <w:spacing w:val="-2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全年销量。</w:t>
      </w:r>
    </w:p>
    <w:p>
      <w:pPr>
        <w:pStyle w:val="BodyText"/>
        <w:spacing w:before="218" w:line="186" w:lineRule="auto"/>
        <w:ind w:left="22"/>
        <w:rPr>
          <w:rFonts w:ascii="STXihei" w:eastAsia="STXihei" w:hAnsi="STXihei" w:cs="STXihei"/>
          <w:sz w:val="16"/>
          <w:szCs w:val="16"/>
        </w:rPr>
      </w:pPr>
      <w:r>
        <w:rPr>
          <w:rFonts w:ascii="STXihei" w:eastAsia="STXihei" w:hAnsi="STXihei" w:cs="STXihei"/>
          <w:spacing w:val="-4"/>
          <w:sz w:val="16"/>
          <w:szCs w:val="16"/>
        </w:rPr>
        <w:t>表</w:t>
      </w:r>
      <w:r>
        <w:rPr>
          <w:rFonts w:ascii="STXihei" w:eastAsia="STXihei" w:hAnsi="STXihei" w:cs="STXihei"/>
          <w:spacing w:val="13"/>
          <w:w w:val="101"/>
          <w:sz w:val="16"/>
          <w:szCs w:val="16"/>
        </w:rPr>
        <w:t xml:space="preserve">  </w:t>
      </w:r>
      <w:r>
        <w:rPr>
          <w:spacing w:val="-4"/>
          <w:sz w:val="16"/>
          <w:szCs w:val="16"/>
        </w:rPr>
        <w:t>1</w:t>
      </w:r>
      <w:r>
        <w:rPr>
          <w:rFonts w:ascii="STXihei" w:eastAsia="STXihei" w:hAnsi="STXihei" w:cs="STXihei"/>
          <w:spacing w:val="-4"/>
          <w:sz w:val="16"/>
          <w:szCs w:val="16"/>
        </w:rPr>
        <w:t>：相关政策梳理</w:t>
      </w:r>
    </w:p>
    <w:tbl>
      <w:tblPr>
        <w:tblStyle w:val="TableNormal2"/>
        <w:tblW w:w="1003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864"/>
        <w:gridCol w:w="1702"/>
        <w:gridCol w:w="1038"/>
        <w:gridCol w:w="133"/>
        <w:gridCol w:w="6299"/>
      </w:tblGrid>
      <w:tr>
        <w:tblPrEx>
          <w:tblW w:w="10036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338"/>
        </w:trPr>
        <w:tc>
          <w:tcPr>
            <w:tcW w:w="864" w:type="dxa"/>
            <w:shd w:val="clear" w:color="auto" w:fill="E10000"/>
            <w:vAlign w:val="top"/>
          </w:tcPr>
          <w:p>
            <w:pPr>
              <w:pStyle w:val="TableText"/>
              <w:spacing w:before="96" w:line="196" w:lineRule="auto"/>
              <w:ind w:left="294"/>
              <w:rPr>
                <w:sz w:val="16"/>
                <w:szCs w:val="16"/>
              </w:rPr>
            </w:pPr>
            <w:r>
              <w:rPr>
                <w:color w:val="FFFFFF"/>
                <w:spacing w:val="-6"/>
                <w:sz w:val="16"/>
                <w:szCs w:val="16"/>
                <w14:textOutline w14:w="2917">
                  <w14:solidFill>
                    <w14:srgbClr w14:val="FFFFFF"/>
                  </w14:solidFill>
                  <w14:prstDash w14:val="solid"/>
                  <w14:miter w14:lim="10"/>
                </w14:textOutline>
              </w:rPr>
              <w:t>时间</w:t>
            </w:r>
          </w:p>
        </w:tc>
        <w:tc>
          <w:tcPr>
            <w:tcW w:w="1702" w:type="dxa"/>
            <w:shd w:val="clear" w:color="auto" w:fill="E10000"/>
            <w:vAlign w:val="top"/>
          </w:tcPr>
          <w:p>
            <w:pPr>
              <w:pStyle w:val="TableText"/>
              <w:spacing w:before="94" w:line="198" w:lineRule="auto"/>
              <w:ind w:left="697"/>
              <w:rPr>
                <w:sz w:val="16"/>
                <w:szCs w:val="16"/>
              </w:rPr>
            </w:pPr>
            <w:r>
              <w:rPr>
                <w:color w:val="FFFFFF"/>
                <w:spacing w:val="-3"/>
                <w:sz w:val="16"/>
                <w:szCs w:val="16"/>
                <w14:textOutline w14:w="2917">
                  <w14:solidFill>
                    <w14:srgbClr w14:val="FFFFFF"/>
                  </w14:solidFill>
                  <w14:prstDash w14:val="solid"/>
                  <w14:miter w14:lim="10"/>
                </w14:textOutline>
              </w:rPr>
              <w:t>名称</w:t>
            </w:r>
          </w:p>
        </w:tc>
        <w:tc>
          <w:tcPr>
            <w:tcW w:w="7470" w:type="dxa"/>
            <w:gridSpan w:val="3"/>
            <w:shd w:val="clear" w:color="auto" w:fill="E10000"/>
            <w:vAlign w:val="top"/>
          </w:tcPr>
          <w:p>
            <w:pPr>
              <w:pStyle w:val="TableText"/>
              <w:spacing w:before="94" w:line="198" w:lineRule="auto"/>
              <w:ind w:left="460"/>
              <w:rPr>
                <w:sz w:val="16"/>
                <w:szCs w:val="16"/>
              </w:rPr>
            </w:pPr>
            <w:r>
              <w:rPr>
                <w:color w:val="FFFFFF"/>
                <w:spacing w:val="-1"/>
                <w:sz w:val="16"/>
                <w:szCs w:val="16"/>
                <w14:textOutline w14:w="2917">
                  <w14:solidFill>
                    <w14:srgbClr w14:val="FFFFFF"/>
                  </w14:solidFill>
                  <w14:prstDash w14:val="solid"/>
                  <w14:miter w14:lim="10"/>
                </w14:textOutline>
              </w:rPr>
              <w:t>部门</w:t>
            </w:r>
            <w:r>
              <w:rPr>
                <w:color w:val="FFFFFF"/>
                <w:spacing w:val="-1"/>
                <w:sz w:val="16"/>
                <w:szCs w:val="16"/>
              </w:rPr>
              <w:t xml:space="preserve">                                                                                   </w:t>
            </w:r>
            <w:r>
              <w:rPr>
                <w:color w:val="FFFFFF"/>
                <w:spacing w:val="-1"/>
                <w:sz w:val="16"/>
                <w:szCs w:val="16"/>
                <w14:textOutline w14:w="2917">
                  <w14:solidFill>
                    <w14:srgbClr w14:val="FFFFFF"/>
                  </w14:solidFill>
                  <w14:prstDash w14:val="solid"/>
                  <w14:miter w14:lim="10"/>
                </w14:textOutline>
              </w:rPr>
              <w:t>主要内容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905"/>
        </w:trPr>
        <w:tc>
          <w:tcPr>
            <w:tcW w:w="864" w:type="dxa"/>
            <w:tcBorders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64" w:line="218" w:lineRule="auto"/>
              <w:ind w:left="204" w:right="78" w:hanging="101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2008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9"/>
                <w:sz w:val="16"/>
                <w:szCs w:val="16"/>
              </w:rPr>
              <w:t>月</w:t>
            </w:r>
            <w:r>
              <w:rPr>
                <w:spacing w:val="18"/>
                <w:w w:val="10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9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bottom w:val="single" w:sz="2" w:space="0" w:color="000000"/>
            </w:tcBorders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197" w:lineRule="auto"/>
              <w:ind w:left="137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调整汽车消费税政策</w:t>
            </w:r>
          </w:p>
        </w:tc>
        <w:tc>
          <w:tcPr>
            <w:tcW w:w="1038" w:type="dxa"/>
            <w:tcBorders>
              <w:bottom w:val="single" w:sz="2" w:space="0" w:color="000000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196" w:lineRule="auto"/>
              <w:ind w:left="372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财政部</w:t>
            </w:r>
          </w:p>
        </w:tc>
        <w:tc>
          <w:tcPr>
            <w:tcW w:w="6432" w:type="dxa"/>
            <w:gridSpan w:val="2"/>
            <w:tcBorders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6" w:line="233" w:lineRule="auto"/>
              <w:ind w:left="188" w:right="4" w:firstLine="75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spacing w:val="-2"/>
                <w:sz w:val="16"/>
                <w:szCs w:val="16"/>
              </w:rPr>
              <w:t xml:space="preserve">、提高大排量乘用车的消费税税率，排气量在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3.0 </w:t>
            </w:r>
            <w:r>
              <w:rPr>
                <w:spacing w:val="-2"/>
                <w:sz w:val="16"/>
                <w:szCs w:val="16"/>
              </w:rPr>
              <w:t xml:space="preserve">升以上至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4.0 </w:t>
            </w:r>
            <w:r>
              <w:rPr>
                <w:spacing w:val="-2"/>
                <w:sz w:val="16"/>
                <w:szCs w:val="16"/>
              </w:rPr>
              <w:t xml:space="preserve">升（含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4.0 </w:t>
            </w:r>
            <w:r>
              <w:rPr>
                <w:spacing w:val="-2"/>
                <w:sz w:val="16"/>
                <w:szCs w:val="16"/>
              </w:rPr>
              <w:t>升）</w:t>
            </w:r>
            <w:r>
              <w:rPr>
                <w:spacing w:val="26"/>
                <w:w w:val="10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的乘用</w:t>
            </w: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车，税率由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15%</w:t>
            </w:r>
            <w:r>
              <w:rPr>
                <w:sz w:val="16"/>
                <w:szCs w:val="16"/>
              </w:rPr>
              <w:t xml:space="preserve">上调至 </w:t>
            </w:r>
            <w:r>
              <w:rPr>
                <w:rFonts w:ascii="Arial" w:eastAsia="Arial" w:hAnsi="Arial" w:cs="Arial"/>
                <w:sz w:val="16"/>
                <w:szCs w:val="16"/>
              </w:rPr>
              <w:t>25%</w:t>
            </w:r>
            <w:r>
              <w:rPr>
                <w:sz w:val="16"/>
                <w:szCs w:val="16"/>
              </w:rPr>
              <w:t xml:space="preserve">，排气量在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4.0 </w:t>
            </w:r>
            <w:r>
              <w:rPr>
                <w:sz w:val="16"/>
                <w:szCs w:val="16"/>
              </w:rPr>
              <w:t>升以上的乘</w:t>
            </w:r>
            <w:r>
              <w:rPr>
                <w:spacing w:val="-1"/>
                <w:sz w:val="16"/>
                <w:szCs w:val="16"/>
              </w:rPr>
              <w:t xml:space="preserve">用车，税率由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20%</w:t>
            </w:r>
            <w:r>
              <w:rPr>
                <w:spacing w:val="-1"/>
                <w:sz w:val="16"/>
                <w:szCs w:val="16"/>
              </w:rPr>
              <w:t xml:space="preserve">上调至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40%</w:t>
            </w:r>
            <w:r>
              <w:rPr>
                <w:spacing w:val="-1"/>
                <w:sz w:val="16"/>
                <w:szCs w:val="16"/>
              </w:rPr>
              <w:t>；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2</w:t>
            </w:r>
            <w:r>
              <w:rPr>
                <w:spacing w:val="-3"/>
                <w:sz w:val="16"/>
                <w:szCs w:val="16"/>
              </w:rPr>
              <w:t>、二是降低小排量乘用车的消费税税率，  排气量在</w:t>
            </w:r>
            <w:r>
              <w:rPr>
                <w:spacing w:val="3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1.0 </w:t>
            </w:r>
            <w:r>
              <w:rPr>
                <w:spacing w:val="-3"/>
                <w:sz w:val="16"/>
                <w:szCs w:val="16"/>
              </w:rPr>
              <w:t>升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(</w:t>
            </w:r>
            <w:r>
              <w:rPr>
                <w:spacing w:val="-3"/>
                <w:sz w:val="16"/>
                <w:szCs w:val="16"/>
              </w:rPr>
              <w:t>含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1.0 </w:t>
            </w:r>
            <w:r>
              <w:rPr>
                <w:spacing w:val="-3"/>
                <w:sz w:val="16"/>
                <w:szCs w:val="16"/>
              </w:rPr>
              <w:t>升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)</w:t>
            </w:r>
            <w:r>
              <w:rPr>
                <w:spacing w:val="-3"/>
                <w:sz w:val="16"/>
                <w:szCs w:val="16"/>
              </w:rPr>
              <w:t>以下的乘用车，税率</w:t>
            </w:r>
          </w:p>
          <w:p>
            <w:pPr>
              <w:pStyle w:val="TableText"/>
              <w:spacing w:before="22" w:line="194" w:lineRule="auto"/>
              <w:ind w:left="2655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 xml:space="preserve">由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3%</w:t>
            </w:r>
            <w:r>
              <w:rPr>
                <w:spacing w:val="-4"/>
                <w:sz w:val="16"/>
                <w:szCs w:val="16"/>
              </w:rPr>
              <w:t>下调至</w:t>
            </w:r>
            <w:r>
              <w:rPr>
                <w:spacing w:val="21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1%</w:t>
            </w:r>
            <w:r>
              <w:rPr>
                <w:spacing w:val="-4"/>
                <w:sz w:val="16"/>
                <w:szCs w:val="16"/>
              </w:rPr>
              <w:t>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902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62" w:line="219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2009</w:t>
            </w:r>
            <w:r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年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7"/>
                <w:sz w:val="16"/>
                <w:szCs w:val="16"/>
              </w:rPr>
              <w:t>月</w:t>
            </w:r>
            <w:r>
              <w:rPr>
                <w:spacing w:val="19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>14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7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197" w:lineRule="auto"/>
              <w:ind w:left="221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汽车产业振兴规划</w:t>
            </w:r>
          </w:p>
        </w:tc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198" w:lineRule="auto"/>
              <w:ind w:left="38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国务院</w:t>
            </w:r>
          </w:p>
        </w:tc>
        <w:tc>
          <w:tcPr>
            <w:tcW w:w="6432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7" w:line="198" w:lineRule="auto"/>
              <w:ind w:left="253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国务院常务会议审议并原则通过汽车产业和钢铁产</w:t>
            </w:r>
            <w:r>
              <w:rPr>
                <w:spacing w:val="-5"/>
                <w:sz w:val="16"/>
                <w:szCs w:val="16"/>
              </w:rPr>
              <w:t>业调整振兴规划。</w:t>
            </w:r>
            <w:r>
              <w:rPr>
                <w:spacing w:val="13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2 </w:t>
            </w:r>
            <w:r>
              <w:rPr>
                <w:spacing w:val="-5"/>
                <w:sz w:val="16"/>
                <w:szCs w:val="16"/>
              </w:rPr>
              <w:t xml:space="preserve">月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日，《汽车行</w:t>
            </w:r>
          </w:p>
          <w:p>
            <w:pPr>
              <w:pStyle w:val="TableText"/>
              <w:spacing w:before="38" w:line="198" w:lineRule="auto"/>
              <w:ind w:left="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业调整振兴规划》全文细则对外公布，主要内容为培育汽车消费</w:t>
            </w:r>
            <w:r>
              <w:rPr>
                <w:spacing w:val="-1"/>
                <w:sz w:val="16"/>
                <w:szCs w:val="16"/>
              </w:rPr>
              <w:t>市场、推进汽车产业重</w:t>
            </w:r>
          </w:p>
          <w:p>
            <w:pPr>
              <w:pStyle w:val="TableText"/>
              <w:spacing w:before="40" w:line="198" w:lineRule="auto"/>
              <w:ind w:right="5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组、支持企业自技术改造、实施新能源汽车战略、支持汽车生产企业发展自主</w:t>
            </w:r>
            <w:r>
              <w:rPr>
                <w:spacing w:val="-1"/>
                <w:sz w:val="16"/>
                <w:szCs w:val="16"/>
              </w:rPr>
              <w:t>品牌等五方</w:t>
            </w:r>
          </w:p>
          <w:p>
            <w:pPr>
              <w:pStyle w:val="TableText"/>
              <w:spacing w:before="50" w:line="181" w:lineRule="auto"/>
              <w:ind w:left="3157"/>
              <w:rPr>
                <w:sz w:val="16"/>
                <w:szCs w:val="16"/>
              </w:rPr>
            </w:pPr>
            <w:r>
              <w:rPr>
                <w:spacing w:val="-8"/>
                <w:sz w:val="16"/>
                <w:szCs w:val="16"/>
              </w:rPr>
              <w:t>面。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1127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219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2009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219" w:lineRule="auto"/>
              <w:ind w:left="777" w:right="47" w:hanging="717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汽车产业调整和振兴规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划</w:t>
            </w:r>
          </w:p>
        </w:tc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56" w:line="198" w:lineRule="auto"/>
              <w:ind w:left="38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国务院</w:t>
            </w:r>
          </w:p>
        </w:tc>
        <w:tc>
          <w:tcPr>
            <w:tcW w:w="6432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7" w:line="230" w:lineRule="auto"/>
              <w:ind w:left="237" w:right="44" w:firstLine="73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 xml:space="preserve">减免购置税：  自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2009 </w:t>
            </w:r>
            <w:r>
              <w:rPr>
                <w:spacing w:val="-5"/>
                <w:sz w:val="16"/>
                <w:szCs w:val="16"/>
              </w:rPr>
              <w:t>年</w:t>
            </w:r>
            <w:r>
              <w:rPr>
                <w:spacing w:val="2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1 </w:t>
            </w:r>
            <w:r>
              <w:rPr>
                <w:spacing w:val="-5"/>
                <w:sz w:val="16"/>
                <w:szCs w:val="16"/>
              </w:rPr>
              <w:t xml:space="preserve">月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>20</w:t>
            </w:r>
            <w:r>
              <w:rPr>
                <w:rFonts w:ascii="Arial" w:eastAsia="Arial" w:hAnsi="Arial" w:cs="Arial"/>
                <w:spacing w:val="22"/>
                <w:w w:val="102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日至</w:t>
            </w:r>
            <w:r>
              <w:rPr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12 </w:t>
            </w:r>
            <w:r>
              <w:rPr>
                <w:spacing w:val="-5"/>
                <w:sz w:val="16"/>
                <w:szCs w:val="16"/>
              </w:rPr>
              <w:t>月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>31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 xml:space="preserve">日，对 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1.6 </w:t>
            </w:r>
            <w:r>
              <w:rPr>
                <w:spacing w:val="-5"/>
                <w:sz w:val="16"/>
                <w:szCs w:val="16"/>
              </w:rPr>
              <w:t xml:space="preserve">升及以下小排量乘用车减按  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5%</w:t>
            </w:r>
            <w:r>
              <w:rPr>
                <w:spacing w:val="-2"/>
                <w:sz w:val="16"/>
                <w:szCs w:val="16"/>
              </w:rPr>
              <w:t xml:space="preserve">征收车辆购置税。开展“汽车下乡”：在新增中央投资中安排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50 </w:t>
            </w:r>
            <w:r>
              <w:rPr>
                <w:spacing w:val="-2"/>
                <w:sz w:val="16"/>
                <w:szCs w:val="16"/>
              </w:rPr>
              <w:t>亿元资金，</w:t>
            </w:r>
            <w:r>
              <w:rPr>
                <w:spacing w:val="-3"/>
                <w:sz w:val="16"/>
                <w:szCs w:val="16"/>
              </w:rPr>
              <w:t xml:space="preserve">自 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2009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  <w:r>
              <w:rPr>
                <w:spacing w:val="-3"/>
                <w:sz w:val="16"/>
                <w:szCs w:val="16"/>
              </w:rPr>
              <w:t xml:space="preserve">年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3 </w:t>
            </w:r>
            <w:r>
              <w:rPr>
                <w:spacing w:val="-3"/>
                <w:sz w:val="16"/>
                <w:szCs w:val="16"/>
              </w:rPr>
              <w:t>月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日至</w:t>
            </w:r>
            <w:r>
              <w:rPr>
                <w:spacing w:val="18"/>
                <w:w w:val="10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12 </w:t>
            </w:r>
            <w:r>
              <w:rPr>
                <w:spacing w:val="-3"/>
                <w:sz w:val="16"/>
                <w:szCs w:val="16"/>
              </w:rPr>
              <w:t xml:space="preserve">月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31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日， 对农民购买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1.3 </w:t>
            </w:r>
            <w:r>
              <w:rPr>
                <w:spacing w:val="-3"/>
                <w:sz w:val="16"/>
                <w:szCs w:val="16"/>
              </w:rPr>
              <w:t>升</w:t>
            </w:r>
            <w:r>
              <w:rPr>
                <w:spacing w:val="-4"/>
                <w:sz w:val="16"/>
                <w:szCs w:val="16"/>
              </w:rPr>
              <w:t>及以下排量的微型客车，以及将三轮汽车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或低速货车报废换购轻型载货车的，给予一次性财政补贴。加快老</w:t>
            </w:r>
            <w:r>
              <w:rPr>
                <w:spacing w:val="-1"/>
                <w:sz w:val="16"/>
                <w:szCs w:val="16"/>
              </w:rPr>
              <w:t>旧汽车报废：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2009 </w:t>
            </w:r>
            <w:r>
              <w:rPr>
                <w:spacing w:val="-1"/>
                <w:sz w:val="16"/>
                <w:szCs w:val="16"/>
              </w:rPr>
              <w:t>年</w:t>
            </w:r>
          </w:p>
          <w:p>
            <w:pPr>
              <w:pStyle w:val="TableText"/>
              <w:spacing w:before="37" w:line="195" w:lineRule="auto"/>
              <w:ind w:left="878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 xml:space="preserve">老旧汽车报废更新补贴资金总额由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2008 </w:t>
            </w:r>
            <w:r>
              <w:rPr>
                <w:spacing w:val="-1"/>
                <w:sz w:val="16"/>
                <w:szCs w:val="16"/>
              </w:rPr>
              <w:t xml:space="preserve">年的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6 </w:t>
            </w:r>
            <w:r>
              <w:rPr>
                <w:spacing w:val="-1"/>
                <w:sz w:val="16"/>
                <w:szCs w:val="16"/>
              </w:rPr>
              <w:t>亿元</w:t>
            </w:r>
            <w:r>
              <w:rPr>
                <w:spacing w:val="-2"/>
                <w:sz w:val="16"/>
                <w:szCs w:val="16"/>
              </w:rPr>
              <w:t>增加到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10 </w:t>
            </w:r>
            <w:r>
              <w:rPr>
                <w:spacing w:val="-2"/>
                <w:sz w:val="16"/>
                <w:szCs w:val="16"/>
              </w:rPr>
              <w:t>亿元。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453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9" w:line="216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2009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7"/>
                <w:sz w:val="16"/>
                <w:szCs w:val="16"/>
              </w:rPr>
              <w:t>月</w:t>
            </w:r>
            <w:r>
              <w:rPr>
                <w:spacing w:val="19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>13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7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1" w:line="198" w:lineRule="auto"/>
              <w:ind w:left="6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汽车以旧换新实施办法</w:t>
            </w:r>
          </w:p>
        </w:tc>
        <w:tc>
          <w:tcPr>
            <w:tcW w:w="747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9" w:line="216" w:lineRule="auto"/>
              <w:ind w:left="168" w:hanging="11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财政部会同商务</w:t>
            </w:r>
            <w:r>
              <w:rPr>
                <w:spacing w:val="12"/>
                <w:w w:val="10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 xml:space="preserve">在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2009 </w:t>
            </w:r>
            <w:r>
              <w:rPr>
                <w:spacing w:val="-2"/>
                <w:sz w:val="16"/>
                <w:szCs w:val="16"/>
              </w:rPr>
              <w:t xml:space="preserve">年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6 </w:t>
            </w:r>
            <w:r>
              <w:rPr>
                <w:spacing w:val="-2"/>
                <w:sz w:val="16"/>
                <w:szCs w:val="16"/>
              </w:rPr>
              <w:t>月</w:t>
            </w:r>
            <w:r>
              <w:rPr>
                <w:spacing w:val="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日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-2010 </w:t>
            </w:r>
            <w:r>
              <w:rPr>
                <w:spacing w:val="-2"/>
                <w:sz w:val="16"/>
                <w:szCs w:val="16"/>
              </w:rPr>
              <w:t xml:space="preserve">年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5 </w:t>
            </w:r>
            <w:r>
              <w:rPr>
                <w:spacing w:val="-2"/>
                <w:sz w:val="16"/>
                <w:szCs w:val="16"/>
              </w:rPr>
              <w:t>月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31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日期间四类汽车可享以旧换新补贴，金额从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3000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元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部等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10 </w:t>
            </w:r>
            <w:r>
              <w:rPr>
                <w:spacing w:val="-1"/>
                <w:sz w:val="16"/>
                <w:szCs w:val="16"/>
              </w:rPr>
              <w:t xml:space="preserve">部委                             </w:t>
            </w:r>
            <w:r>
              <w:rPr>
                <w:spacing w:val="-2"/>
                <w:sz w:val="16"/>
                <w:szCs w:val="16"/>
              </w:rPr>
              <w:t xml:space="preserve">                                        到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6000 </w:t>
            </w:r>
            <w:r>
              <w:rPr>
                <w:spacing w:val="-2"/>
                <w:sz w:val="16"/>
                <w:szCs w:val="16"/>
              </w:rPr>
              <w:t>元不等。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453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39" w:line="216" w:lineRule="auto"/>
              <w:ind w:left="203" w:right="34" w:hanging="146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>2009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年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月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0" w:line="215" w:lineRule="auto"/>
              <w:ind w:left="535" w:right="47" w:hanging="477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扩大节能与新能源汽车</w:t>
            </w:r>
            <w:r>
              <w:rPr>
                <w:spacing w:val="4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示范工作</w:t>
            </w:r>
          </w:p>
        </w:tc>
        <w:tc>
          <w:tcPr>
            <w:tcW w:w="747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1" w:line="199" w:lineRule="auto"/>
              <w:ind w:left="386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国务院           将减征</w:t>
            </w:r>
            <w:r>
              <w:rPr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1.6 </w:t>
            </w:r>
            <w:r>
              <w:rPr>
                <w:spacing w:val="-1"/>
                <w:sz w:val="16"/>
                <w:szCs w:val="16"/>
              </w:rPr>
              <w:t xml:space="preserve">升及以下小排量乘用车车辆购置税的政策延长至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2010 </w:t>
            </w:r>
            <w:r>
              <w:rPr>
                <w:spacing w:val="-1"/>
                <w:sz w:val="16"/>
                <w:szCs w:val="16"/>
              </w:rPr>
              <w:t xml:space="preserve">年底，按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7.5%</w:t>
            </w:r>
            <w:r>
              <w:rPr>
                <w:spacing w:val="-1"/>
                <w:sz w:val="16"/>
                <w:szCs w:val="16"/>
              </w:rPr>
              <w:t>征收。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902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66" w:line="218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2010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26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2" w:line="225" w:lineRule="auto"/>
              <w:ind w:left="64" w:firstLine="10"/>
              <w:jc w:val="both"/>
              <w:rPr>
                <w:sz w:val="16"/>
                <w:szCs w:val="16"/>
              </w:rPr>
            </w:pPr>
            <w:r>
              <w:rPr>
                <w:spacing w:val="2"/>
                <w:sz w:val="16"/>
                <w:szCs w:val="16"/>
              </w:rPr>
              <w:t>“节能产品惠民工程”</w:t>
            </w:r>
            <w:r>
              <w:rPr>
                <w:spacing w:val="6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节能汽车（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1.6 </w:t>
            </w:r>
            <w:r>
              <w:rPr>
                <w:spacing w:val="-2"/>
                <w:sz w:val="16"/>
                <w:szCs w:val="16"/>
              </w:rPr>
              <w:t>升及以</w:t>
            </w:r>
            <w:r>
              <w:rPr>
                <w:spacing w:val="1"/>
                <w:sz w:val="16"/>
                <w:szCs w:val="16"/>
              </w:rPr>
              <w:t xml:space="preserve">    </w:t>
            </w:r>
            <w:r>
              <w:rPr>
                <w:spacing w:val="-5"/>
                <w:sz w:val="16"/>
                <w:szCs w:val="16"/>
              </w:rPr>
              <w:t>下乘用车）推广实施细</w:t>
            </w:r>
          </w:p>
          <w:p>
            <w:pPr>
              <w:pStyle w:val="TableText"/>
              <w:spacing w:before="42" w:line="188" w:lineRule="auto"/>
              <w:ind w:left="7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则</w:t>
            </w:r>
          </w:p>
        </w:tc>
        <w:tc>
          <w:tcPr>
            <w:tcW w:w="747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25"/>
              <w:ind w:left="216" w:right="4" w:hanging="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财政部、发改   对消费者购买节能汽车给予一次性定额补助，补助标准为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3000 </w:t>
            </w:r>
            <w:r>
              <w:rPr>
                <w:sz w:val="16"/>
                <w:szCs w:val="16"/>
              </w:rPr>
              <w:t>元</w:t>
            </w:r>
            <w:r>
              <w:rPr>
                <w:rFonts w:ascii="Arial" w:eastAsia="Arial" w:hAnsi="Arial" w:cs="Arial"/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辆，由生产企业在销售</w:t>
            </w:r>
            <w:r>
              <w:rPr>
                <w:spacing w:val="6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 xml:space="preserve">委、工信部              </w:t>
            </w:r>
            <w:r>
              <w:rPr>
                <w:spacing w:val="-2"/>
                <w:sz w:val="16"/>
                <w:szCs w:val="16"/>
              </w:rPr>
              <w:t xml:space="preserve">                   时兑付给购买者，到</w:t>
            </w:r>
            <w:r>
              <w:rPr>
                <w:spacing w:val="19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2012 </w:t>
            </w:r>
            <w:r>
              <w:rPr>
                <w:spacing w:val="-2"/>
                <w:sz w:val="16"/>
                <w:szCs w:val="16"/>
              </w:rPr>
              <w:t>年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7 </w:t>
            </w:r>
            <w:r>
              <w:rPr>
                <w:spacing w:val="-2"/>
                <w:sz w:val="16"/>
                <w:szCs w:val="16"/>
              </w:rPr>
              <w:t>月</w:t>
            </w:r>
            <w:r>
              <w:rPr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10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日共执行八批目录。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679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4" w:line="219" w:lineRule="auto"/>
              <w:ind w:left="203" w:right="85" w:hanging="96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2011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月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4" w:line="219" w:lineRule="auto"/>
              <w:ind w:left="297" w:right="47" w:hanging="232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关于调整节能汽车推广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补贴政策的通知</w:t>
            </w:r>
          </w:p>
        </w:tc>
        <w:tc>
          <w:tcPr>
            <w:tcW w:w="1171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4" w:line="219" w:lineRule="auto"/>
              <w:ind w:left="216" w:right="80" w:hanging="84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财政部、发改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委、工信部</w:t>
            </w:r>
          </w:p>
        </w:tc>
        <w:tc>
          <w:tcPr>
            <w:tcW w:w="6299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1" w:line="199" w:lineRule="auto"/>
              <w:ind w:left="112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 xml:space="preserve">从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2011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29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10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2"/>
                <w:w w:val="10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日起实施新的节能汽车推广补贴政策，  推广车辆要达到产品综合燃料</w:t>
            </w:r>
          </w:p>
          <w:p>
            <w:pPr>
              <w:pStyle w:val="TableText"/>
              <w:spacing w:before="37" w:line="216" w:lineRule="auto"/>
              <w:ind w:left="1658" w:right="25" w:hanging="157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消耗量标准；推广补贴标准不变，</w:t>
            </w:r>
            <w:r>
              <w:rPr>
                <w:spacing w:val="32"/>
                <w:w w:val="10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 xml:space="preserve">即对消费者购买节能汽车继续给予一次性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3000 </w:t>
            </w:r>
            <w:r>
              <w:rPr>
                <w:spacing w:val="-2"/>
                <w:sz w:val="16"/>
                <w:szCs w:val="16"/>
              </w:rPr>
              <w:t>元定额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补助，由生产企业在销售时兑付给购买者。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902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66" w:line="218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2013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30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5" w:line="195" w:lineRule="auto"/>
              <w:ind w:left="74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关于开展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1.6 </w:t>
            </w:r>
            <w:r>
              <w:rPr>
                <w:spacing w:val="-3"/>
                <w:sz w:val="16"/>
                <w:szCs w:val="16"/>
              </w:rPr>
              <w:t>升及以下</w:t>
            </w:r>
          </w:p>
          <w:p>
            <w:pPr>
              <w:pStyle w:val="TableText"/>
              <w:spacing w:before="40" w:line="198" w:lineRule="auto"/>
              <w:ind w:left="59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节能环保汽车推广工作</w:t>
            </w:r>
          </w:p>
          <w:p>
            <w:pPr>
              <w:pStyle w:val="TableText"/>
              <w:spacing w:before="38" w:line="197" w:lineRule="auto"/>
              <w:ind w:left="624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的通知</w:t>
            </w:r>
          </w:p>
        </w:tc>
        <w:tc>
          <w:tcPr>
            <w:tcW w:w="1171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266" w:line="218" w:lineRule="auto"/>
              <w:ind w:left="216" w:right="80" w:hanging="84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财政部、发改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委、工信部</w:t>
            </w:r>
          </w:p>
        </w:tc>
        <w:tc>
          <w:tcPr>
            <w:tcW w:w="6299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0" w:line="226" w:lineRule="auto"/>
              <w:ind w:left="108" w:right="57" w:firstLine="3"/>
              <w:jc w:val="both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 xml:space="preserve">从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2013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10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2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-2015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12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31</w:t>
            </w:r>
            <w:r>
              <w:rPr>
                <w:rFonts w:ascii="Arial" w:eastAsia="Arial" w:hAnsi="Arial" w:cs="Arial"/>
                <w:spacing w:val="25"/>
                <w:w w:val="10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日，</w:t>
            </w:r>
            <w:r>
              <w:rPr>
                <w:spacing w:val="12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实施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1.6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升及以下节能环保汽车推广补贴政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策。</w:t>
            </w:r>
            <w:r>
              <w:rPr>
                <w:spacing w:val="31"/>
                <w:w w:val="10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1</w:t>
            </w:r>
            <w:r>
              <w:rPr>
                <w:spacing w:val="-4"/>
                <w:sz w:val="16"/>
                <w:szCs w:val="16"/>
              </w:rPr>
              <w:t>、现行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1.6 </w:t>
            </w:r>
            <w:r>
              <w:rPr>
                <w:spacing w:val="-4"/>
                <w:sz w:val="16"/>
                <w:szCs w:val="16"/>
              </w:rPr>
              <w:t xml:space="preserve">升及以下节能汽车推广补贴政策执行到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2013 </w:t>
            </w:r>
            <w:r>
              <w:rPr>
                <w:spacing w:val="-4"/>
                <w:sz w:val="16"/>
                <w:szCs w:val="16"/>
              </w:rPr>
              <w:t xml:space="preserve">年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9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30</w:t>
            </w:r>
            <w:r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 xml:space="preserve">日。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</w:t>
            </w:r>
            <w:r>
              <w:rPr>
                <w:spacing w:val="-4"/>
                <w:sz w:val="16"/>
                <w:szCs w:val="16"/>
              </w:rPr>
              <w:t>、推广补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1"/>
                <w:sz w:val="16"/>
                <w:szCs w:val="16"/>
              </w:rPr>
              <w:t>贴标准不变，对消费者购买</w:t>
            </w:r>
            <w:r>
              <w:rPr>
                <w:spacing w:val="1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1.6 </w:t>
            </w:r>
            <w:r>
              <w:rPr>
                <w:spacing w:val="1"/>
                <w:sz w:val="16"/>
                <w:szCs w:val="16"/>
              </w:rPr>
              <w:t>升及以下节能环保汽车继续给</w:t>
            </w:r>
            <w:r>
              <w:rPr>
                <w:sz w:val="16"/>
                <w:szCs w:val="16"/>
              </w:rPr>
              <w:t xml:space="preserve">予一次性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3000 </w:t>
            </w:r>
            <w:r>
              <w:rPr>
                <w:sz w:val="16"/>
                <w:szCs w:val="16"/>
              </w:rPr>
              <w:t>元定额补</w:t>
            </w:r>
          </w:p>
          <w:p>
            <w:pPr>
              <w:pStyle w:val="TableText"/>
              <w:spacing w:before="39" w:line="191" w:lineRule="auto"/>
              <w:ind w:left="1736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助，由生产企业在销售时兑付给购买者。</w:t>
            </w:r>
          </w:p>
        </w:tc>
      </w:tr>
      <w:tr>
        <w:tblPrEx>
          <w:tblW w:w="10036" w:type="dxa"/>
          <w:tblInd w:w="0" w:type="dxa"/>
          <w:tblLayout w:type="fixed"/>
        </w:tblPrEx>
        <w:trPr>
          <w:trHeight w:val="455"/>
        </w:trPr>
        <w:tc>
          <w:tcPr>
            <w:tcW w:w="864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2" w:after="0" w:line="215" w:lineRule="auto"/>
              <w:ind w:left="160" w:right="78" w:hanging="57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2015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年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3" w:line="198" w:lineRule="auto"/>
              <w:ind w:left="309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国务院常务会议</w:t>
            </w:r>
          </w:p>
        </w:tc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153" w:line="198" w:lineRule="auto"/>
              <w:ind w:left="386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国务院</w:t>
            </w:r>
          </w:p>
        </w:tc>
        <w:tc>
          <w:tcPr>
            <w:tcW w:w="6432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top"/>
          </w:tcPr>
          <w:p>
            <w:pPr>
              <w:pStyle w:val="TableText"/>
              <w:spacing w:before="42" w:after="0" w:line="215" w:lineRule="auto"/>
              <w:ind w:left="2755" w:right="64" w:hanging="2503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 xml:space="preserve">从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2015 </w:t>
            </w:r>
            <w:r>
              <w:rPr>
                <w:spacing w:val="-3"/>
                <w:sz w:val="16"/>
                <w:szCs w:val="16"/>
              </w:rPr>
              <w:t>年</w:t>
            </w:r>
            <w:r>
              <w:rPr>
                <w:spacing w:val="19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10 </w:t>
            </w:r>
            <w:r>
              <w:rPr>
                <w:spacing w:val="-3"/>
                <w:sz w:val="16"/>
                <w:szCs w:val="16"/>
              </w:rPr>
              <w:t>月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22"/>
                <w:w w:val="101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 xml:space="preserve">日到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2016 </w:t>
            </w:r>
            <w:r>
              <w:rPr>
                <w:spacing w:val="-3"/>
                <w:sz w:val="16"/>
                <w:szCs w:val="16"/>
              </w:rPr>
              <w:t>年</w:t>
            </w:r>
            <w:r>
              <w:rPr>
                <w:spacing w:val="18"/>
                <w:w w:val="10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12 </w:t>
            </w:r>
            <w:r>
              <w:rPr>
                <w:spacing w:val="-4"/>
                <w:sz w:val="16"/>
                <w:szCs w:val="16"/>
              </w:rPr>
              <w:t>月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31</w:t>
            </w:r>
            <w:r>
              <w:rPr>
                <w:rFonts w:ascii="Arial" w:eastAsia="Arial" w:hAnsi="Arial" w:cs="Arial"/>
                <w:spacing w:val="25"/>
                <w:w w:val="10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 xml:space="preserve">日，对  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1.6 </w:t>
            </w:r>
            <w:r>
              <w:rPr>
                <w:spacing w:val="-4"/>
                <w:sz w:val="16"/>
                <w:szCs w:val="16"/>
              </w:rPr>
              <w:t>升及以下排量的乘用车实施减半征</w:t>
            </w:r>
            <w:r>
              <w:rPr>
                <w:sz w:val="16"/>
                <w:szCs w:val="16"/>
              </w:rPr>
              <w:t xml:space="preserve"> </w:t>
            </w:r>
          </w:p>
        </w:tc>
      </w:tr>
    </w:tbl>
    <w:p>
      <w:r>
        <w:br/>
      </w:r>
      <w: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https://d.book118.com/278043057126006045</w:t>
        </w:r>
      </w:hyperlink>
    </w:p>
    <w:p/>
    <w:sectPr>
      <w:headerReference w:type="default" r:id="rId33"/>
      <w:footerReference w:type="default" r:id="rId34"/>
      <w:pgSz w:w="11907" w:h="16839"/>
      <w:pgMar w:top="400" w:right="748" w:bottom="970" w:left="837" w:header="0" w:footer="713" w:gutter="0"/>
      <w:pgNumType w:start="1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6"/>
      <w:rPr>
        <w:rFonts w:ascii="SimHei" w:eastAsia="SimHei" w:hAnsi="SimHei" w:cs="SimHei"/>
        <w:sz w:val="16"/>
        <w:szCs w:val="16"/>
      </w:rPr>
    </w:pPr>
    <w:r>
      <w:pict>
        <v:shape id="_x0000_s2050" style="width:510.5pt;height:0.5pt;margin-top:793.42pt;margin-left:42.12pt;mso-position-horizontal-relative:page;mso-position-vertical-relative:page;position:absolute;z-index:251658240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2.05pt;height:9.65pt;margin-top:3.17pt;margin-left:489.47pt;position:absolute;z-index:251659264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1"/>
                    <w:sz w:val="16"/>
                    <w:szCs w:val="16"/>
                  </w:rPr>
                  <w:t>4 /</w:t>
                </w:r>
                <w:r>
                  <w:rPr>
                    <w:b/>
                    <w:bCs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1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6"/>
      <w:rPr>
        <w:rFonts w:ascii="SimHei" w:eastAsia="SimHei" w:hAnsi="SimHei" w:cs="SimHei"/>
        <w:sz w:val="16"/>
        <w:szCs w:val="16"/>
      </w:rPr>
    </w:pPr>
    <w:r>
      <w:pict>
        <v:shape id="_x0000_s2053" style="width:510.5pt;height:0.5pt;margin-top:793.42pt;margin-left:42.12pt;mso-position-horizontal-relative:page;mso-position-vertical-relative:page;position:absolute;z-index:251660288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2.05pt;height:9.65pt;margin-top:3.17pt;margin-left:489.47pt;position:absolute;z-index:251661312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1"/>
                    <w:sz w:val="16"/>
                    <w:szCs w:val="16"/>
                  </w:rPr>
                  <w:t>4 /</w:t>
                </w:r>
                <w:r>
                  <w:rPr>
                    <w:b/>
                    <w:bCs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1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6"/>
      <w:rPr>
        <w:rFonts w:ascii="SimHei" w:eastAsia="SimHei" w:hAnsi="SimHei" w:cs="SimHei"/>
        <w:sz w:val="16"/>
        <w:szCs w:val="16"/>
      </w:rPr>
    </w:pPr>
    <w:r>
      <w:pict>
        <v:shape id="_x0000_s2055" style="width:510.5pt;height:0.5pt;margin-top:793.42pt;margin-left:42.12pt;mso-position-horizontal-relative:page;mso-position-vertical-relative:page;position:absolute;z-index:251662336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1.85pt;height:9.65pt;margin-top:3.17pt;margin-left:489.67pt;position:absolute;z-index:251663360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5 /</w:t>
                </w:r>
                <w:r>
                  <w:rPr>
                    <w:b/>
                    <w:bCs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6"/>
      <w:rPr>
        <w:rFonts w:ascii="SimHei" w:eastAsia="SimHei" w:hAnsi="SimHei" w:cs="SimHei"/>
        <w:sz w:val="16"/>
        <w:szCs w:val="16"/>
      </w:rPr>
    </w:pPr>
    <w:r>
      <w:pict>
        <v:shape id="_x0000_s2058" style="width:510.5pt;height:0.5pt;margin-top:793.42pt;margin-left:42.12pt;mso-position-horizontal-relative:page;mso-position-vertical-relative:page;position:absolute;z-index:251664384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1.85pt;height:9.65pt;margin-top:3.17pt;margin-left:489.67pt;position:absolute;z-index:251665408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5 /</w:t>
                </w:r>
                <w:r>
                  <w:rPr>
                    <w:b/>
                    <w:bCs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6"/>
      <w:rPr>
        <w:rFonts w:ascii="SimHei" w:eastAsia="SimHei" w:hAnsi="SimHei" w:cs="SimHei"/>
        <w:sz w:val="16"/>
        <w:szCs w:val="16"/>
      </w:rPr>
    </w:pPr>
    <w:r>
      <w:pict>
        <v:shape id="_x0000_s2061" style="width:510.5pt;height:0.5pt;margin-top:793.42pt;margin-left:42.12pt;mso-position-horizontal-relative:page;mso-position-vertical-relative:page;position:absolute;z-index:251666432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1.9pt;height:9.65pt;margin-top:3.17pt;margin-left:489.66pt;position:absolute;z-index:251667456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6 /</w:t>
                </w:r>
                <w:r>
                  <w:rPr>
                    <w:b/>
                    <w:bCs/>
                    <w:spacing w:val="7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64" w:line="210" w:lineRule="auto"/>
      <w:ind w:left="11"/>
      <w:rPr>
        <w:rFonts w:ascii="SimHei" w:eastAsia="SimHei" w:hAnsi="SimHei" w:cs="SimHei"/>
        <w:sz w:val="16"/>
        <w:szCs w:val="16"/>
      </w:rPr>
    </w:pPr>
    <w:r>
      <w:pict>
        <v:shape id="_x0000_s2064" style="width:510.5pt;height:0.5pt;margin-top:793.42pt;margin-left:42.12pt;mso-position-horizontal-relative:page;mso-position-vertical-relative:page;position:absolute;z-index:251668480" coordorigin="0,0" coordsize="10210,10" o:allowincell="f" path="m,9l5103,9l5103,l,l,9xem5103,9l5113,9l5113,l5103,l5103,9xem5113,9l10209,9l10209,l5113,l5113,9xe" filled="t" fillcolor="#e10000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21.9pt;height:9.65pt;margin-top:3.17pt;margin-left:489.9pt;position:absolute;z-index:251669504" filled="f" stroked="f">
          <o:lock v:ext="edit" aspectratio="f"/>
          <v:textbox inset="0,0,0,0">
            <w:txbxContent>
              <w:p>
                <w:pPr>
                  <w:pStyle w:val="BodyText"/>
                  <w:spacing w:before="19" w:line="199" w:lineRule="auto"/>
                  <w:ind w:left="20"/>
                  <w:rPr>
                    <w:sz w:val="16"/>
                    <w:szCs w:val="16"/>
                  </w:rPr>
                </w:pP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7 /</w:t>
                </w:r>
                <w:r>
                  <w:rPr>
                    <w:b/>
                    <w:bCs/>
                    <w:spacing w:val="7"/>
                    <w:sz w:val="16"/>
                    <w:szCs w:val="16"/>
                  </w:rPr>
                  <w:t xml:space="preserve"> </w:t>
                </w:r>
                <w:r>
                  <w:rPr>
                    <w:b/>
                    <w:bCs/>
                    <w:spacing w:val="-2"/>
                    <w:sz w:val="16"/>
                    <w:szCs w:val="16"/>
                  </w:rPr>
                  <w:t>40</w:t>
                </w:r>
              </w:p>
            </w:txbxContent>
          </v:textbox>
        </v:shape>
      </w:pict>
    </w:r>
    <w:r>
      <w:rPr>
        <w:rFonts w:ascii="SimHei" w:eastAsia="SimHei" w:hAnsi="SimHei" w:cs="SimHei"/>
        <w:spacing w:val="-1"/>
        <w:sz w:val="16"/>
        <w:szCs w:val="16"/>
      </w:rPr>
      <w:t>请阅读最后评级说明和重要声明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58240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59264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1299998467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9998467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4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 4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2131664333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664333" name="IM 4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299816468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9816468" name="IM 4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0859"/>
          <wp:effectExtent l="0" t="0" r="0" b="0"/>
          <wp:wrapNone/>
          <wp:docPr id="752036456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2036456" name="IM 4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0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92" w:line="220" w:lineRule="exact"/>
      <w:ind w:right="5"/>
      <w:jc w:val="right"/>
      <w:rPr>
        <w:rFonts w:ascii="SimHei" w:eastAsia="SimHei" w:hAnsi="SimHei" w:cs="SimHei"/>
        <w:sz w:val="16"/>
        <w:szCs w:val="16"/>
      </w:rPr>
    </w:pP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541020</wp:posOffset>
          </wp:positionH>
          <wp:positionV relativeFrom="page">
            <wp:posOffset>541021</wp:posOffset>
          </wp:positionV>
          <wp:extent cx="976883" cy="254507"/>
          <wp:effectExtent l="0" t="0" r="0" b="0"/>
          <wp:wrapNone/>
          <wp:docPr id="16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6883" cy="254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Hei" w:eastAsia="SimHei" w:hAnsi="SimHei" w:cs="SimHei"/>
        <w:spacing w:val="-3"/>
        <w:position w:val="2"/>
        <w:sz w:val="16"/>
        <w:szCs w:val="16"/>
      </w:rPr>
      <w:t>行业研究</w:t>
    </w:r>
    <w:r>
      <w:rPr>
        <w:rFonts w:ascii="SimHei" w:eastAsia="SimHei" w:hAnsi="SimHei" w:cs="SimHei"/>
        <w:spacing w:val="18"/>
        <w:position w:val="2"/>
        <w:sz w:val="16"/>
        <w:szCs w:val="16"/>
      </w:rPr>
      <w:t xml:space="preserve"> </w:t>
    </w:r>
    <w:r>
      <w:rPr>
        <w:spacing w:val="-3"/>
        <w:position w:val="2"/>
        <w:sz w:val="16"/>
        <w:szCs w:val="16"/>
      </w:rPr>
      <w:t>|</w:t>
    </w:r>
    <w:r>
      <w:rPr>
        <w:spacing w:val="40"/>
        <w:w w:val="102"/>
        <w:position w:val="2"/>
        <w:sz w:val="16"/>
        <w:szCs w:val="16"/>
      </w:rPr>
      <w:t xml:space="preserve"> </w:t>
    </w:r>
    <w:r>
      <w:rPr>
        <w:rFonts w:ascii="SimHei" w:eastAsia="SimHei" w:hAnsi="SimHei" w:cs="SimHei"/>
        <w:spacing w:val="-3"/>
        <w:position w:val="2"/>
        <w:sz w:val="16"/>
        <w:szCs w:val="16"/>
      </w:rPr>
      <w:t>深度报告</w:t>
    </w:r>
  </w:p>
  <w:p>
    <w:pPr>
      <w:spacing w:before="60" w:line="14" w:lineRule="exact"/>
      <w:ind w:firstLine="9"/>
    </w:pPr>
    <w:r>
      <w:rPr>
        <w:position w:val="-1"/>
      </w:rPr>
      <w:pict>
        <v:shape id="_x0000_i2049" style="width:515.35pt;height:1.25pt;mso-position-horizontal-relative:char;mso-position-vertical-relative:line" coordorigin="0,0" coordsize="10306,25" path="m,11l10306,11e" filled="f" strokecolor="#e10000" strokeweight="1.2pt">
          <v:stroke joinstyle="miter"/>
          <w10:wrap type="non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92" w:line="220" w:lineRule="exact"/>
      <w:ind w:right="5"/>
      <w:jc w:val="right"/>
      <w:rPr>
        <w:rFonts w:ascii="SimHei" w:eastAsia="SimHei" w:hAnsi="SimHei" w:cs="SimHei"/>
        <w:sz w:val="16"/>
        <w:szCs w:val="16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541020</wp:posOffset>
          </wp:positionH>
          <wp:positionV relativeFrom="page">
            <wp:posOffset>541021</wp:posOffset>
          </wp:positionV>
          <wp:extent cx="976883" cy="254507"/>
          <wp:effectExtent l="0" t="0" r="0" b="0"/>
          <wp:wrapNone/>
          <wp:docPr id="2133584426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3584426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6883" cy="254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Hei" w:eastAsia="SimHei" w:hAnsi="SimHei" w:cs="SimHei"/>
        <w:spacing w:val="-3"/>
        <w:position w:val="2"/>
        <w:sz w:val="16"/>
        <w:szCs w:val="16"/>
      </w:rPr>
      <w:t>行业研究</w:t>
    </w:r>
    <w:r>
      <w:rPr>
        <w:rFonts w:ascii="SimHei" w:eastAsia="SimHei" w:hAnsi="SimHei" w:cs="SimHei"/>
        <w:spacing w:val="18"/>
        <w:position w:val="2"/>
        <w:sz w:val="16"/>
        <w:szCs w:val="16"/>
      </w:rPr>
      <w:t xml:space="preserve"> </w:t>
    </w:r>
    <w:r>
      <w:rPr>
        <w:spacing w:val="-3"/>
        <w:position w:val="2"/>
        <w:sz w:val="16"/>
        <w:szCs w:val="16"/>
      </w:rPr>
      <w:t>|</w:t>
    </w:r>
    <w:r>
      <w:rPr>
        <w:spacing w:val="40"/>
        <w:w w:val="102"/>
        <w:position w:val="2"/>
        <w:sz w:val="16"/>
        <w:szCs w:val="16"/>
      </w:rPr>
      <w:t xml:space="preserve"> </w:t>
    </w:r>
    <w:r>
      <w:rPr>
        <w:rFonts w:ascii="SimHei" w:eastAsia="SimHei" w:hAnsi="SimHei" w:cs="SimHei"/>
        <w:spacing w:val="-3"/>
        <w:position w:val="2"/>
        <w:sz w:val="16"/>
        <w:szCs w:val="16"/>
      </w:rPr>
      <w:t>深度报告</w:t>
    </w:r>
  </w:p>
  <w:p>
    <w:pPr>
      <w:spacing w:before="60" w:line="14" w:lineRule="exact"/>
      <w:ind w:firstLine="9"/>
    </w:pPr>
    <w:r>
      <w:rPr>
        <w:position w:val="-1"/>
      </w:rPr>
      <w:pict>
        <v:shape id="_x0000_i2052" style="width:515.35pt;height:1.25pt;mso-position-horizontal-relative:char;mso-position-vertical-relative:line" coordorigin="0,0" coordsize="10306,25" path="m,11l10306,11e" filled="f" strokecolor="#e10000" strokeweight="1.2pt">
          <v:stroke joinstyle="miter"/>
          <w10:wrap type="non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92" w:line="220" w:lineRule="exact"/>
      <w:ind w:right="5"/>
      <w:jc w:val="right"/>
      <w:rPr>
        <w:rFonts w:ascii="SimHei" w:eastAsia="SimHei" w:hAnsi="SimHei" w:cs="SimHei"/>
        <w:sz w:val="16"/>
        <w:szCs w:val="16"/>
      </w:rPr>
    </w:pPr>
    <w:r>
      <w:drawing>
        <wp:anchor distT="0" distB="0" distL="0" distR="0" simplePos="0" relativeHeight="251666432" behindDoc="0" locked="0" layoutInCell="0" allowOverlap="1">
          <wp:simplePos x="0" y="0"/>
          <wp:positionH relativeFrom="page">
            <wp:posOffset>541020</wp:posOffset>
          </wp:positionH>
          <wp:positionV relativeFrom="page">
            <wp:posOffset>541021</wp:posOffset>
          </wp:positionV>
          <wp:extent cx="976883" cy="254507"/>
          <wp:effectExtent l="0" t="0" r="0" b="0"/>
          <wp:wrapNone/>
          <wp:docPr id="1496728954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6728954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6883" cy="254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Hei" w:eastAsia="SimHei" w:hAnsi="SimHei" w:cs="SimHei"/>
        <w:spacing w:val="-3"/>
        <w:position w:val="2"/>
        <w:sz w:val="16"/>
        <w:szCs w:val="16"/>
      </w:rPr>
      <w:t>行业研究</w:t>
    </w:r>
    <w:r>
      <w:rPr>
        <w:rFonts w:ascii="SimHei" w:eastAsia="SimHei" w:hAnsi="SimHei" w:cs="SimHei"/>
        <w:spacing w:val="18"/>
        <w:position w:val="2"/>
        <w:sz w:val="16"/>
        <w:szCs w:val="16"/>
      </w:rPr>
      <w:t xml:space="preserve"> </w:t>
    </w:r>
    <w:r>
      <w:rPr>
        <w:spacing w:val="-3"/>
        <w:position w:val="2"/>
        <w:sz w:val="16"/>
        <w:szCs w:val="16"/>
      </w:rPr>
      <w:t>|</w:t>
    </w:r>
    <w:r>
      <w:rPr>
        <w:spacing w:val="40"/>
        <w:w w:val="102"/>
        <w:position w:val="2"/>
        <w:sz w:val="16"/>
        <w:szCs w:val="16"/>
      </w:rPr>
      <w:t xml:space="preserve"> </w:t>
    </w:r>
    <w:r>
      <w:rPr>
        <w:rFonts w:ascii="SimHei" w:eastAsia="SimHei" w:hAnsi="SimHei" w:cs="SimHei"/>
        <w:spacing w:val="-3"/>
        <w:position w:val="2"/>
        <w:sz w:val="16"/>
        <w:szCs w:val="16"/>
      </w:rPr>
      <w:t>深度报告</w:t>
    </w:r>
  </w:p>
  <w:p>
    <w:pPr>
      <w:spacing w:before="60" w:line="14" w:lineRule="exact"/>
      <w:ind w:firstLine="9"/>
    </w:pPr>
    <w:r>
      <w:rPr>
        <w:position w:val="-1"/>
      </w:rPr>
      <w:pict>
        <v:shape id="_x0000_i2057" style="width:515.35pt;height:1.25pt;mso-position-horizontal-relative:char;mso-position-vertical-relative:line" coordorigin="0,0" coordsize="10306,25" path="m,11l10306,11e" filled="f" strokecolor="#e10000" strokeweight="1.2pt">
          <v:stroke joinstyle="miter"/>
          <w10:wrap type="non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92" w:line="220" w:lineRule="exact"/>
      <w:ind w:right="5"/>
      <w:jc w:val="right"/>
      <w:rPr>
        <w:rFonts w:ascii="SimHei" w:eastAsia="SimHei" w:hAnsi="SimHei" w:cs="SimHei"/>
        <w:sz w:val="16"/>
        <w:szCs w:val="16"/>
      </w:rPr>
    </w:pPr>
    <w:r>
      <w:drawing>
        <wp:anchor distT="0" distB="0" distL="0" distR="0" simplePos="0" relativeHeight="251667456" behindDoc="0" locked="0" layoutInCell="0" allowOverlap="1">
          <wp:simplePos x="0" y="0"/>
          <wp:positionH relativeFrom="page">
            <wp:posOffset>541020</wp:posOffset>
          </wp:positionH>
          <wp:positionV relativeFrom="page">
            <wp:posOffset>541021</wp:posOffset>
          </wp:positionV>
          <wp:extent cx="976883" cy="254507"/>
          <wp:effectExtent l="0" t="0" r="0" b="0"/>
          <wp:wrapNone/>
          <wp:docPr id="1108833243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8833243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6883" cy="254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Hei" w:eastAsia="SimHei" w:hAnsi="SimHei" w:cs="SimHei"/>
        <w:spacing w:val="-3"/>
        <w:position w:val="2"/>
        <w:sz w:val="16"/>
        <w:szCs w:val="16"/>
      </w:rPr>
      <w:t>行业研究</w:t>
    </w:r>
    <w:r>
      <w:rPr>
        <w:rFonts w:ascii="SimHei" w:eastAsia="SimHei" w:hAnsi="SimHei" w:cs="SimHei"/>
        <w:spacing w:val="18"/>
        <w:position w:val="2"/>
        <w:sz w:val="16"/>
        <w:szCs w:val="16"/>
      </w:rPr>
      <w:t xml:space="preserve"> </w:t>
    </w:r>
    <w:r>
      <w:rPr>
        <w:spacing w:val="-3"/>
        <w:position w:val="2"/>
        <w:sz w:val="16"/>
        <w:szCs w:val="16"/>
      </w:rPr>
      <w:t>|</w:t>
    </w:r>
    <w:r>
      <w:rPr>
        <w:spacing w:val="40"/>
        <w:w w:val="102"/>
        <w:position w:val="2"/>
        <w:sz w:val="16"/>
        <w:szCs w:val="16"/>
      </w:rPr>
      <w:t xml:space="preserve"> </w:t>
    </w:r>
    <w:r>
      <w:rPr>
        <w:rFonts w:ascii="SimHei" w:eastAsia="SimHei" w:hAnsi="SimHei" w:cs="SimHei"/>
        <w:spacing w:val="-3"/>
        <w:position w:val="2"/>
        <w:sz w:val="16"/>
        <w:szCs w:val="16"/>
      </w:rPr>
      <w:t>深度报告</w:t>
    </w:r>
  </w:p>
  <w:p>
    <w:pPr>
      <w:spacing w:before="60" w:line="14" w:lineRule="exact"/>
      <w:ind w:firstLine="9"/>
    </w:pPr>
    <w:r>
      <w:rPr>
        <w:position w:val="-1"/>
      </w:rPr>
      <w:pict>
        <v:shape id="_x0000_i2060" style="width:515.35pt;height:1.25pt;mso-position-horizontal-relative:char;mso-position-vertical-relative:line" coordorigin="0,0" coordsize="10306,25" path="m,11l10306,11e" filled="f" strokecolor="#e10000" strokeweight="1.2pt">
          <v:stroke joinstyle="miter"/>
          <w10:wrap type="non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92" w:line="220" w:lineRule="exact"/>
      <w:ind w:right="5"/>
      <w:jc w:val="right"/>
      <w:rPr>
        <w:rFonts w:ascii="SimHei" w:eastAsia="SimHei" w:hAnsi="SimHei" w:cs="SimHei"/>
        <w:sz w:val="16"/>
        <w:szCs w:val="16"/>
      </w:rPr>
    </w:pPr>
    <w:r>
      <w:drawing>
        <wp:anchor distT="0" distB="0" distL="0" distR="0" simplePos="0" relativeHeight="251668480" behindDoc="0" locked="0" layoutInCell="0" allowOverlap="1">
          <wp:simplePos x="0" y="0"/>
          <wp:positionH relativeFrom="page">
            <wp:posOffset>541020</wp:posOffset>
          </wp:positionH>
          <wp:positionV relativeFrom="page">
            <wp:posOffset>541021</wp:posOffset>
          </wp:positionV>
          <wp:extent cx="976883" cy="254507"/>
          <wp:effectExtent l="0" t="0" r="0" b="0"/>
          <wp:wrapNone/>
          <wp:docPr id="1818965191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8965191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6883" cy="254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Hei" w:eastAsia="SimHei" w:hAnsi="SimHei" w:cs="SimHei"/>
        <w:spacing w:val="-3"/>
        <w:position w:val="2"/>
        <w:sz w:val="16"/>
        <w:szCs w:val="16"/>
      </w:rPr>
      <w:t>行业研究</w:t>
    </w:r>
    <w:r>
      <w:rPr>
        <w:rFonts w:ascii="SimHei" w:eastAsia="SimHei" w:hAnsi="SimHei" w:cs="SimHei"/>
        <w:spacing w:val="18"/>
        <w:position w:val="2"/>
        <w:sz w:val="16"/>
        <w:szCs w:val="16"/>
      </w:rPr>
      <w:t xml:space="preserve"> </w:t>
    </w:r>
    <w:r>
      <w:rPr>
        <w:spacing w:val="-3"/>
        <w:position w:val="2"/>
        <w:sz w:val="16"/>
        <w:szCs w:val="16"/>
      </w:rPr>
      <w:t>|</w:t>
    </w:r>
    <w:r>
      <w:rPr>
        <w:spacing w:val="40"/>
        <w:w w:val="102"/>
        <w:position w:val="2"/>
        <w:sz w:val="16"/>
        <w:szCs w:val="16"/>
      </w:rPr>
      <w:t xml:space="preserve"> </w:t>
    </w:r>
    <w:r>
      <w:rPr>
        <w:rFonts w:ascii="SimHei" w:eastAsia="SimHei" w:hAnsi="SimHei" w:cs="SimHei"/>
        <w:spacing w:val="-3"/>
        <w:position w:val="2"/>
        <w:sz w:val="16"/>
        <w:szCs w:val="16"/>
      </w:rPr>
      <w:t>深度报告</w:t>
    </w:r>
  </w:p>
  <w:p>
    <w:pPr>
      <w:spacing w:before="60" w:line="14" w:lineRule="exact"/>
      <w:ind w:firstLine="9"/>
    </w:pPr>
    <w:r>
      <w:rPr>
        <w:position w:val="-1"/>
      </w:rPr>
      <w:pict>
        <v:shape id="_x0000_i2063" style="width:515.35pt;height:1.25pt;mso-position-horizontal-relative:char;mso-position-vertical-relative:line" coordorigin="0,0" coordsize="10306,25" path="m,11l10306,11e" filled="f" strokecolor="#e10000" strokeweight="1.2pt">
          <v:stroke joinstyle="miter"/>
          <w10:wrap type="non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STXihei" w:eastAsia="STXihei" w:hAnsi="STXihei" w:cs="STXihei"/>
      <w:sz w:val="18"/>
      <w:szCs w:val="18"/>
      <w:lang w:val="en-US" w:eastAsia="en-US" w:bidi="ar-SA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image" Target="media/image6.png" /><Relationship Id="rId14" Type="http://schemas.openxmlformats.org/officeDocument/2006/relationships/header" Target="header7.xml" /><Relationship Id="rId15" Type="http://schemas.openxmlformats.org/officeDocument/2006/relationships/footer" Target="footer1.xml" /><Relationship Id="rId16" Type="http://schemas.openxmlformats.org/officeDocument/2006/relationships/header" Target="header8.xml" /><Relationship Id="rId17" Type="http://schemas.openxmlformats.org/officeDocument/2006/relationships/footer" Target="footer2.xml" /><Relationship Id="rId18" Type="http://schemas.openxmlformats.org/officeDocument/2006/relationships/image" Target="media/image7.png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3.xml" /><Relationship Id="rId22" Type="http://schemas.openxmlformats.org/officeDocument/2006/relationships/header" Target="header10.xml" /><Relationship Id="rId23" Type="http://schemas.openxmlformats.org/officeDocument/2006/relationships/footer" Target="footer4.xml" /><Relationship Id="rId24" Type="http://schemas.openxmlformats.org/officeDocument/2006/relationships/header" Target="header11.xml" /><Relationship Id="rId25" Type="http://schemas.openxmlformats.org/officeDocument/2006/relationships/footer" Target="footer5.xml" /><Relationship Id="rId26" Type="http://schemas.openxmlformats.org/officeDocument/2006/relationships/header" Target="header12.xml" /><Relationship Id="rId27" Type="http://schemas.openxmlformats.org/officeDocument/2006/relationships/footer" Target="footer6.xml" /><Relationship Id="rId28" Type="http://schemas.openxmlformats.org/officeDocument/2006/relationships/header" Target="header13.xml" /><Relationship Id="rId29" Type="http://schemas.openxmlformats.org/officeDocument/2006/relationships/footer" Target="footer7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8.xml" /><Relationship Id="rId32" Type="http://schemas.openxmlformats.org/officeDocument/2006/relationships/hyperlink" Target="https://d.book118.com/278043057126006045" TargetMode="External" /><Relationship Id="rId33" Type="http://schemas.openxmlformats.org/officeDocument/2006/relationships/header" Target="header15.xml" /><Relationship Id="rId34" Type="http://schemas.openxmlformats.org/officeDocument/2006/relationships/footer" Target="footer9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image" Target="media/image2.png" /><Relationship Id="rId7" Type="http://schemas.openxmlformats.org/officeDocument/2006/relationships/header" Target="header3.xml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2024-03-15T09:03:11Z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2024-03-15T09:10:38Z</vt:filetime>
  </property>
  <property fmtid="{D5CDD505-2E9C-101B-9397-08002B2CF9AE}" pid="3" name="CRO">
    <vt:lpwstr>wqlLaW5nc29mdCBQREYgdG8gV1BTIDkw</vt:lpwstr>
  </property>
</Properties>
</file>