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2018-2023年襄阳职业技术学院高职单招（数学／语文／英语）历年常考试题库含答案解析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《李将军列传》中作者将李广和李蔡对比的目的是凸显李广（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A.勇猛善射的武功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B.体恤部下的武德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C.终生未封的遭遇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D.治军简易的特点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先秦诸子中最善于采用“欲擒故纵、引君入彀”论辩手法的是（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战国后期产生的一种新诗体是（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A.《诗经》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C.《楚辞》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北宋第一个专事写词的词人是（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B.秦观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《种树郭橐驼传》一文中“故不我若也”一句从语法上看属于（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A.被动句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B.判断句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C.宾语前置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D.双宾语句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《我爱这土地》中诗人着力刻画的一个象征形象是（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A.土地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B.暴风雨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D.温柔的黎明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在“送别”这折戏中，莺莺深深忧虑的是（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A.离愁别恨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B.母亲干涉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C.金榜无名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D.婚姻悲剧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43396" cy="209572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396" cy="20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提出“创造这中国历史上未曾有过的第三样时代，则是现在的青年的使命！”的是（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B.胡适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D.陈独秀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A.19世纪俄国作家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B.19世纪法国作家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C.19世纪英国作家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D.19世纪德国作家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我国先秦时期，认为“民为贵，社稷次之，君为轻”的思想家是（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https://d.book118.com/285031320331011112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285031320331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