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2018-2023年濮阳石油化工职业技术学院高职单招（数学／语文／英语）历年常考试题库含答案解析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闻一多曾提出新格律诗的“三美”主张，即新诗要有（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A.理想美、思想美、形式美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B.色彩浓、回味永、意境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C.音乐的美、绘画的美、建筑的美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D.节奏、韵味、意境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艾青的成名作是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下列带点的字解释错误的是（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439116" cy="140032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9116" cy="140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代表沈从文艺术创作高峰的一部中篇小说是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A.《萧萧》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B.《湘西》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C.《边城》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D.《长河》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《选择与安排》一文选自朱光潜的论文集（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A.《悲剧心理学》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B.《谈美》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C.《谈文学》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D.《诗论》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“日薄西山，气息奄奄”出自（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中唐新乐府运动的倡导者是（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“人有悲欢离合，月有阴晴圆缺”这两句诗出自（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A.李煜《虞美人》（春花秋月何时了）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B.柳永《八声甘州》（对潇潇暮雨洒江天）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C.苏轼《水调歌头》（明月几时有）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D.李清照《声声慢》（寻寻觅觅）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屈原的《国殇》选自（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A.《离骚》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D.《天问》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《麦琪的礼物》运用的结构方法是（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A.一虚一实，双线并行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下列属于曹操的作品是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A.《长歌行》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D.《兵车行》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《五代史伶官传序》是一篇史论典范，其作者是（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《种树郭橐驼传》主要的创作意图是（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https://d.book118.com/285041004330011112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285041004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