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24"/>
        </w:rPr>
      </w:pPr>
    </w:p>
    <w:p>
      <w:pPr>
        <w:spacing w:before="0" w:line="795" w:lineRule="exact"/>
        <w:ind w:left="487" w:right="490" w:firstLine="0"/>
        <w:jc w:val="center"/>
        <w:rPr>
          <w:b/>
          <w:i/>
          <w:sz w:val="44"/>
        </w:rPr>
      </w:pPr>
      <w:r>
        <w:rPr>
          <w:b/>
          <w:i/>
          <w:color w:val="C00000"/>
          <w:sz w:val="44"/>
        </w:rPr>
        <w:t>目录</w:t>
      </w:r>
    </w:p>
    <w:sdt>
      <w:sdtPr>
        <w:id w:val="1419901715"/>
        <w:docPartObj>
          <w:docPartGallery w:val="Table of Contents"/>
          <w:docPartUnique/>
        </w:docPartObj>
      </w:sdtPr>
      <w:sdtContent>
        <w:p>
          <w:pPr>
            <w:pStyle w:val="TOC3"/>
            <w:tabs>
              <w:tab w:val="right" w:leader="dot" w:pos="10588"/>
            </w:tabs>
            <w:spacing w:before="69" w:line="355" w:lineRule="exact"/>
            <w:rPr>
              <w:i w:val="0"/>
              <w:sz w:val="20"/>
            </w:rPr>
          </w:pPr>
          <w:hyperlink w:anchor="_TOC_250014" w:history="1">
            <w:r>
              <w:rPr>
                <w:color w:val="C00000"/>
                <w:sz w:val="20"/>
              </w:rPr>
              <w:t>引言</w:t>
              <w:tab/>
            </w:r>
            <w:r>
              <w:rPr>
                <w:i w:val="0"/>
                <w:color w:val="C00000"/>
                <w:sz w:val="20"/>
              </w:rPr>
              <w:t>3</w:t>
            </w:r>
          </w:hyperlink>
        </w:p>
        <w:p>
          <w:pPr>
            <w:pStyle w:val="TOC1"/>
            <w:numPr>
              <w:ilvl w:val="0"/>
              <w:numId w:val="11"/>
            </w:numPr>
            <w:tabs>
              <w:tab w:val="left" w:pos="332"/>
              <w:tab w:val="right" w:leader="dot" w:pos="10588"/>
            </w:tabs>
            <w:spacing w:before="0" w:after="0" w:line="341" w:lineRule="exact"/>
            <w:ind w:left="331" w:right="0" w:hanging="225"/>
            <w:jc w:val="left"/>
            <w:rPr>
              <w:i w:val="0"/>
            </w:rPr>
          </w:pPr>
          <w:hyperlink w:anchor="_TOC_250013" w:history="1">
            <w:r>
              <w:rPr>
                <w:color w:val="C00000"/>
              </w:rPr>
              <w:t>垃圾焚烧：专业化、双密集、垄断性</w:t>
              <w:tab/>
            </w:r>
            <w:r>
              <w:rPr>
                <w:i w:val="0"/>
                <w:color w:val="C00000"/>
              </w:rPr>
              <w:t>4</w:t>
            </w:r>
          </w:hyperlink>
        </w:p>
        <w:p>
          <w:pPr>
            <w:pStyle w:val="TOC1"/>
            <w:numPr>
              <w:ilvl w:val="0"/>
              <w:numId w:val="11"/>
            </w:numPr>
            <w:tabs>
              <w:tab w:val="left" w:pos="332"/>
              <w:tab w:val="right" w:leader="dot" w:pos="10588"/>
            </w:tabs>
            <w:spacing w:before="0" w:after="0" w:line="340" w:lineRule="exact"/>
            <w:ind w:left="331" w:right="0" w:hanging="225"/>
            <w:jc w:val="left"/>
            <w:rPr>
              <w:i w:val="0"/>
            </w:rPr>
          </w:pPr>
          <w:hyperlink w:anchor="_TOC_250012" w:history="1">
            <w:r>
              <w:rPr>
                <w:color w:val="C00000"/>
              </w:rPr>
              <w:t>投产高峰已过，</w:t>
            </w:r>
            <w:r>
              <w:rPr>
                <w:rFonts w:ascii="Calibri" w:eastAsia="Calibri" w:hAnsi="Calibri"/>
                <w:i w:val="0"/>
                <w:color w:val="C00000"/>
              </w:rPr>
              <w:t>“</w:t>
            </w:r>
            <w:r>
              <w:rPr>
                <w:color w:val="C00000"/>
              </w:rPr>
              <w:t>运营为王</w:t>
            </w:r>
            <w:r>
              <w:rPr>
                <w:rFonts w:ascii="Calibri" w:eastAsia="Calibri" w:hAnsi="Calibri"/>
                <w:i w:val="0"/>
                <w:color w:val="C00000"/>
              </w:rPr>
              <w:t>”</w:t>
            </w:r>
            <w:r>
              <w:rPr>
                <w:color w:val="C00000"/>
              </w:rPr>
              <w:t>开启</w:t>
              <w:tab/>
            </w:r>
            <w:r>
              <w:rPr>
                <w:i w:val="0"/>
                <w:color w:val="C00000"/>
              </w:rPr>
              <w:t>7</w:t>
            </w:r>
          </w:hyperlink>
        </w:p>
        <w:p>
          <w:pPr>
            <w:pStyle w:val="TOC2"/>
            <w:numPr>
              <w:ilvl w:val="1"/>
              <w:numId w:val="11"/>
            </w:numPr>
            <w:tabs>
              <w:tab w:val="left" w:pos="492"/>
              <w:tab w:val="right" w:leader="dot" w:pos="10587"/>
            </w:tabs>
            <w:spacing w:before="0" w:after="0" w:line="340" w:lineRule="exact"/>
            <w:ind w:left="492" w:right="0" w:hanging="385"/>
            <w:jc w:val="left"/>
          </w:pPr>
          <w:hyperlink w:anchor="_TOC_250011" w:history="1">
            <w:r>
              <w:rPr>
                <w:color w:val="4B4D4F"/>
              </w:rPr>
              <w:t>行业步入成熟期，关注项目运营能力</w:t>
              <w:tab/>
              <w:t>7</w:t>
            </w:r>
          </w:hyperlink>
        </w:p>
        <w:p>
          <w:pPr>
            <w:pStyle w:val="TOC2"/>
            <w:numPr>
              <w:ilvl w:val="1"/>
              <w:numId w:val="11"/>
            </w:numPr>
            <w:tabs>
              <w:tab w:val="left" w:pos="492"/>
              <w:tab w:val="right" w:leader="dot" w:pos="10588"/>
            </w:tabs>
            <w:spacing w:before="0" w:after="0" w:line="341" w:lineRule="exact"/>
            <w:ind w:left="492" w:right="0" w:hanging="385"/>
            <w:jc w:val="left"/>
          </w:pPr>
          <w:hyperlink w:anchor="_TOC_250010" w:history="1">
            <w:r>
              <w:rPr>
                <w:color w:val="4B4D4F"/>
              </w:rPr>
              <w:t>增量项目竞价上网，绿证交易有望保障盈利</w:t>
              <w:tab/>
              <w:t>10</w:t>
            </w:r>
          </w:hyperlink>
        </w:p>
        <w:p>
          <w:pPr>
            <w:pStyle w:val="TOC1"/>
            <w:numPr>
              <w:ilvl w:val="0"/>
              <w:numId w:val="11"/>
            </w:numPr>
            <w:tabs>
              <w:tab w:val="left" w:pos="332"/>
              <w:tab w:val="right" w:leader="dot" w:pos="10585"/>
            </w:tabs>
            <w:spacing w:before="0" w:after="0" w:line="340" w:lineRule="exact"/>
            <w:ind w:left="331" w:right="0" w:hanging="225"/>
            <w:jc w:val="left"/>
            <w:rPr>
              <w:i w:val="0"/>
            </w:rPr>
          </w:pPr>
          <w:hyperlink w:anchor="_TOC_250009" w:history="1">
            <w:r>
              <w:rPr>
                <w:color w:val="C00000"/>
              </w:rPr>
              <w:t>垃圾焚烧发电助力“双碳”经济</w:t>
              <w:tab/>
            </w:r>
            <w:r>
              <w:rPr>
                <w:i w:val="0"/>
                <w:color w:val="C00000"/>
              </w:rPr>
              <w:t>12</w:t>
            </w:r>
          </w:hyperlink>
        </w:p>
        <w:p>
          <w:pPr>
            <w:pStyle w:val="TOC2"/>
            <w:numPr>
              <w:ilvl w:val="1"/>
              <w:numId w:val="11"/>
            </w:numPr>
            <w:tabs>
              <w:tab w:val="left" w:pos="492"/>
              <w:tab w:val="right" w:leader="dot" w:pos="10588"/>
            </w:tabs>
            <w:spacing w:before="0" w:after="0" w:line="340" w:lineRule="exact"/>
            <w:ind w:left="492" w:right="0" w:hanging="385"/>
            <w:jc w:val="left"/>
          </w:pPr>
          <w:hyperlink w:anchor="_TOC_250008" w:history="1">
            <w:r>
              <w:rPr>
                <w:color w:val="4B4D4F"/>
              </w:rPr>
              <w:t>热电联产具有经济和生态效益</w:t>
              <w:tab/>
              <w:t>12</w:t>
            </w:r>
          </w:hyperlink>
        </w:p>
        <w:p>
          <w:pPr>
            <w:pStyle w:val="TOC2"/>
            <w:numPr>
              <w:ilvl w:val="1"/>
              <w:numId w:val="11"/>
            </w:numPr>
            <w:tabs>
              <w:tab w:val="left" w:pos="492"/>
              <w:tab w:val="right" w:leader="dot" w:pos="10588"/>
            </w:tabs>
            <w:spacing w:before="0" w:after="0" w:line="341" w:lineRule="exact"/>
            <w:ind w:left="492" w:right="0" w:hanging="385"/>
            <w:jc w:val="left"/>
          </w:pPr>
          <w:hyperlink w:anchor="_TOC_250007" w:history="1">
            <w:r>
              <w:rPr>
                <w:color w:val="4B4D4F"/>
              </w:rPr>
              <w:t>打造资源节约集约型“无废城</w:t>
            </w:r>
            <w:r>
              <w:rPr>
                <w:color w:val="4B4D4F"/>
                <w:spacing w:val="3"/>
              </w:rPr>
              <w:t>市</w:t>
            </w:r>
            <w:r>
              <w:rPr>
                <w:color w:val="4B4D4F"/>
              </w:rPr>
              <w:t>”样板</w:t>
              <w:tab/>
              <w:t>13</w:t>
            </w:r>
          </w:hyperlink>
        </w:p>
        <w:p>
          <w:pPr>
            <w:pStyle w:val="TOC1"/>
            <w:numPr>
              <w:ilvl w:val="0"/>
              <w:numId w:val="11"/>
            </w:numPr>
            <w:tabs>
              <w:tab w:val="left" w:pos="332"/>
              <w:tab w:val="right" w:leader="dot" w:pos="10585"/>
            </w:tabs>
            <w:spacing w:before="0" w:after="0" w:line="340" w:lineRule="exact"/>
            <w:ind w:left="331" w:right="0" w:hanging="225"/>
            <w:jc w:val="left"/>
            <w:rPr>
              <w:i w:val="0"/>
            </w:rPr>
          </w:pPr>
          <w:hyperlink w:anchor="_TOC_250006" w:history="1">
            <w:r>
              <w:rPr>
                <w:color w:val="C00000"/>
              </w:rPr>
              <w:t>探寻垃圾焚烧发电分红潜力</w:t>
              <w:tab/>
            </w:r>
            <w:r>
              <w:rPr>
                <w:i w:val="0"/>
                <w:color w:val="C00000"/>
              </w:rPr>
              <w:t>17</w:t>
            </w:r>
          </w:hyperlink>
        </w:p>
        <w:p>
          <w:pPr>
            <w:pStyle w:val="TOC2"/>
            <w:numPr>
              <w:ilvl w:val="1"/>
              <w:numId w:val="11"/>
            </w:numPr>
            <w:tabs>
              <w:tab w:val="left" w:pos="492"/>
              <w:tab w:val="right" w:leader="dot" w:pos="10588"/>
            </w:tabs>
            <w:spacing w:before="0" w:after="0" w:line="340" w:lineRule="exact"/>
            <w:ind w:left="492" w:right="0" w:hanging="385"/>
            <w:jc w:val="left"/>
          </w:pPr>
          <w:hyperlink w:anchor="_TOC_250005" w:history="1">
            <w:r>
              <w:rPr>
                <w:color w:val="4B4D4F"/>
              </w:rPr>
              <w:t>存量阶段：盈利稳定、现金流好转、资本开支减少</w:t>
              <w:tab/>
              <w:t>17</w:t>
            </w:r>
          </w:hyperlink>
        </w:p>
        <w:p>
          <w:pPr>
            <w:pStyle w:val="TOC2"/>
            <w:numPr>
              <w:ilvl w:val="1"/>
              <w:numId w:val="11"/>
            </w:numPr>
            <w:tabs>
              <w:tab w:val="left" w:pos="492"/>
              <w:tab w:val="right" w:leader="dot" w:pos="10588"/>
            </w:tabs>
            <w:spacing w:before="0" w:after="0" w:line="341" w:lineRule="exact"/>
            <w:ind w:left="492" w:right="0" w:hanging="385"/>
            <w:jc w:val="left"/>
          </w:pPr>
          <w:hyperlink w:anchor="_TOC_250004" w:history="1">
            <w:r>
              <w:rPr>
                <w:color w:val="4B4D4F"/>
              </w:rPr>
              <w:t>多因素叠加，垃圾焚烧有望成为下一个</w:t>
            </w:r>
            <w:r>
              <w:rPr>
                <w:rFonts w:ascii="Calibri" w:eastAsia="Calibri" w:hAnsi="Calibri"/>
                <w:color w:val="4B4D4F"/>
                <w:spacing w:val="3"/>
              </w:rPr>
              <w:t>“</w:t>
            </w:r>
            <w:r>
              <w:rPr>
                <w:color w:val="4B4D4F"/>
              </w:rPr>
              <w:t>水务</w:t>
            </w:r>
            <w:r>
              <w:rPr>
                <w:rFonts w:ascii="Calibri" w:eastAsia="Calibri" w:hAnsi="Calibri"/>
                <w:color w:val="4B4D4F"/>
              </w:rPr>
              <w:t>”</w:t>
              <w:tab/>
            </w:r>
            <w:r>
              <w:rPr>
                <w:color w:val="4B4D4F"/>
              </w:rPr>
              <w:t>20</w:t>
            </w:r>
          </w:hyperlink>
        </w:p>
        <w:p>
          <w:pPr>
            <w:pStyle w:val="TOC3"/>
            <w:numPr>
              <w:ilvl w:val="0"/>
              <w:numId w:val="11"/>
            </w:numPr>
            <w:tabs>
              <w:tab w:val="left" w:pos="332"/>
              <w:tab w:val="right" w:leader="dot" w:pos="10585"/>
            </w:tabs>
            <w:spacing w:before="0" w:after="0" w:line="340" w:lineRule="exact"/>
            <w:ind w:left="331" w:right="0" w:hanging="225"/>
            <w:jc w:val="left"/>
            <w:rPr>
              <w:i w:val="0"/>
              <w:sz w:val="20"/>
            </w:rPr>
          </w:pPr>
          <w:hyperlink w:anchor="_TOC_250003" w:history="1">
            <w:r>
              <w:rPr>
                <w:color w:val="C00000"/>
                <w:sz w:val="20"/>
              </w:rPr>
              <w:t>投资建议</w:t>
              <w:tab/>
            </w:r>
            <w:r>
              <w:rPr>
                <w:i w:val="0"/>
                <w:color w:val="C00000"/>
                <w:sz w:val="20"/>
              </w:rPr>
              <w:t>23</w:t>
            </w:r>
          </w:hyperlink>
        </w:p>
        <w:p>
          <w:pPr>
            <w:pStyle w:val="TOC3"/>
            <w:numPr>
              <w:ilvl w:val="0"/>
              <w:numId w:val="11"/>
            </w:numPr>
            <w:tabs>
              <w:tab w:val="left" w:pos="332"/>
              <w:tab w:val="right" w:leader="dot" w:pos="10585"/>
            </w:tabs>
            <w:spacing w:before="0" w:after="0" w:line="340" w:lineRule="exact"/>
            <w:ind w:left="331" w:right="0" w:hanging="225"/>
            <w:jc w:val="left"/>
            <w:rPr>
              <w:i w:val="0"/>
              <w:sz w:val="20"/>
            </w:rPr>
          </w:pPr>
          <w:hyperlink w:anchor="_TOC_250002" w:history="1">
            <w:r>
              <w:rPr>
                <w:color w:val="C00000"/>
                <w:sz w:val="20"/>
              </w:rPr>
              <w:t>风险提示</w:t>
              <w:tab/>
            </w:r>
            <w:r>
              <w:rPr>
                <w:i w:val="0"/>
                <w:color w:val="C00000"/>
                <w:sz w:val="20"/>
              </w:rPr>
              <w:t>24</w:t>
            </w:r>
          </w:hyperlink>
        </w:p>
        <w:p>
          <w:pPr>
            <w:pStyle w:val="TOC3"/>
            <w:tabs>
              <w:tab w:val="right" w:leader="dot" w:pos="10585"/>
            </w:tabs>
            <w:spacing w:line="341" w:lineRule="exact"/>
            <w:rPr>
              <w:i w:val="0"/>
              <w:sz w:val="20"/>
            </w:rPr>
          </w:pPr>
          <w:hyperlink w:anchor="_TOC_250001" w:history="1">
            <w:r>
              <w:rPr>
                <w:color w:val="C00000"/>
                <w:sz w:val="20"/>
              </w:rPr>
              <w:t>插图目录</w:t>
              <w:tab/>
            </w:r>
            <w:r>
              <w:rPr>
                <w:i w:val="0"/>
                <w:color w:val="C00000"/>
                <w:sz w:val="20"/>
              </w:rPr>
              <w:t>25</w:t>
            </w:r>
          </w:hyperlink>
        </w:p>
        <w:p>
          <w:pPr>
            <w:pStyle w:val="TOC3"/>
            <w:tabs>
              <w:tab w:val="right" w:leader="dot" w:pos="10585"/>
            </w:tabs>
            <w:spacing w:line="355" w:lineRule="exact"/>
            <w:rPr>
              <w:i w:val="0"/>
              <w:sz w:val="20"/>
            </w:rPr>
          </w:pPr>
          <w:hyperlink w:anchor="_TOC_250000" w:history="1">
            <w:r>
              <w:rPr>
                <w:color w:val="C00000"/>
                <w:sz w:val="20"/>
              </w:rPr>
              <w:t>表格目录</w:t>
              <w:tab/>
            </w:r>
            <w:r>
              <w:rPr>
                <w:i w:val="0"/>
                <w:color w:val="C00000"/>
                <w:sz w:val="20"/>
              </w:rPr>
              <w:t>26</w:t>
            </w:r>
          </w:hyperlink>
        </w:p>
      </w:sdtContent>
    </w:sdt>
    <w:p>
      <w:pPr>
        <w:spacing w:after="0" w:line="355" w:lineRule="exact"/>
        <w:rPr>
          <w:sz w:val="20"/>
        </w:rPr>
        <w:sectPr>
          <w:headerReference w:type="default" r:id="rId4"/>
          <w:footerReference w:type="default" r:id="rId5"/>
          <w:type w:val="continuous"/>
          <w:pgSz w:w="11910" w:h="16840"/>
          <w:pgMar w:top="1660" w:right="600" w:bottom="740" w:left="600" w:header="708" w:footer="708"/>
          <w:cols w:space="708"/>
        </w:sectPr>
      </w:pPr>
    </w:p>
    <w:p>
      <w:pPr>
        <w:pStyle w:val="Heading1"/>
        <w:spacing w:before="268"/>
        <w:ind w:left="107" w:firstLine="0"/>
      </w:pPr>
      <w:bookmarkStart w:id="0" w:name="_TOC_250014"/>
      <w:bookmarkEnd w:id="0"/>
      <w:r>
        <w:rPr>
          <w:color w:val="C00000"/>
        </w:rPr>
        <w:t>引言</w:t>
      </w:r>
    </w:p>
    <w:p>
      <w:pPr>
        <w:pStyle w:val="BodyText"/>
        <w:spacing w:before="96" w:line="364" w:lineRule="exact"/>
        <w:ind w:left="508"/>
      </w:pPr>
      <w:r>
        <w:rPr>
          <w:color w:val="4B4D4F"/>
        </w:rPr>
        <w:t>近一年来，水务及水治理（申万）指数表现明显优于大盘。截至 2024 年 1 月</w:t>
      </w:r>
    </w:p>
    <w:p>
      <w:pPr>
        <w:spacing w:before="1" w:line="235" w:lineRule="auto"/>
        <w:ind w:left="107" w:right="3411" w:firstLine="0"/>
        <w:jc w:val="left"/>
        <w:rPr>
          <w:sz w:val="20"/>
        </w:rPr>
      </w:pPr>
      <w:r>
        <w:rPr>
          <w:color w:val="4B4D4F"/>
          <w:sz w:val="20"/>
        </w:rPr>
        <w:t>12</w:t>
      </w:r>
      <w:r>
        <w:rPr>
          <w:color w:val="4B4D4F"/>
          <w:spacing w:val="-12"/>
          <w:sz w:val="20"/>
        </w:rPr>
        <w:t xml:space="preserve"> 日，水务及水治理</w:t>
      </w:r>
      <w:r>
        <w:rPr>
          <w:color w:val="4B4D4F"/>
          <w:sz w:val="20"/>
        </w:rPr>
        <w:t>（申万</w:t>
      </w:r>
      <w:r>
        <w:rPr>
          <w:color w:val="4B4D4F"/>
          <w:spacing w:val="-41"/>
          <w:sz w:val="20"/>
        </w:rPr>
        <w:t>）</w:t>
      </w:r>
      <w:r>
        <w:rPr>
          <w:color w:val="4B4D4F"/>
          <w:spacing w:val="-2"/>
          <w:sz w:val="20"/>
        </w:rPr>
        <w:t xml:space="preserve">指数跑赢沪深 </w:t>
      </w:r>
      <w:r>
        <w:rPr>
          <w:color w:val="4B4D4F"/>
          <w:sz w:val="20"/>
        </w:rPr>
        <w:t>300</w:t>
      </w:r>
      <w:r>
        <w:rPr>
          <w:color w:val="4B4D4F"/>
          <w:spacing w:val="-6"/>
          <w:sz w:val="20"/>
        </w:rPr>
        <w:t xml:space="preserve"> 指数 </w:t>
      </w:r>
      <w:r>
        <w:rPr>
          <w:color w:val="4B4D4F"/>
          <w:spacing w:val="-5"/>
          <w:sz w:val="20"/>
        </w:rPr>
        <w:t>17.7pct</w:t>
      </w:r>
      <w:r>
        <w:rPr>
          <w:color w:val="4B4D4F"/>
          <w:spacing w:val="-10"/>
          <w:sz w:val="20"/>
        </w:rPr>
        <w:t>，跑赢环保</w:t>
      </w:r>
      <w:r>
        <w:rPr>
          <w:color w:val="4B4D4F"/>
          <w:sz w:val="20"/>
        </w:rPr>
        <w:t xml:space="preserve">（申万） </w:t>
      </w:r>
      <w:r>
        <w:rPr>
          <w:color w:val="4B4D4F"/>
          <w:spacing w:val="12"/>
          <w:sz w:val="20"/>
        </w:rPr>
        <w:t xml:space="preserve">指数 </w:t>
      </w:r>
      <w:r>
        <w:rPr>
          <w:color w:val="4B4D4F"/>
          <w:sz w:val="20"/>
        </w:rPr>
        <w:t>7.9pct，市场表现位居环保行业首位。其中，水务及水治理高分红、高股息</w:t>
      </w:r>
      <w:r>
        <w:rPr>
          <w:color w:val="4B4D4F"/>
          <w:spacing w:val="-16"/>
          <w:sz w:val="20"/>
        </w:rPr>
        <w:t>标的洪城环境、重庆水务市场表现较为突出，</w:t>
      </w:r>
      <w:r>
        <w:rPr>
          <w:b/>
          <w:i/>
          <w:color w:val="4B4D4F"/>
          <w:spacing w:val="-2"/>
          <w:sz w:val="20"/>
        </w:rPr>
        <w:t xml:space="preserve">分别跑赢水务及水治理指数 </w:t>
      </w:r>
      <w:r>
        <w:rPr>
          <w:b/>
          <w:color w:val="4B4D4F"/>
          <w:sz w:val="20"/>
        </w:rPr>
        <w:t>43.4pct</w:t>
      </w:r>
      <w:r>
        <w:rPr>
          <w:b/>
          <w:i/>
          <w:color w:val="4B4D4F"/>
          <w:spacing w:val="-11"/>
          <w:sz w:val="20"/>
        </w:rPr>
        <w:t>、</w:t>
      </w:r>
      <w:r>
        <w:rPr>
          <w:b/>
          <w:color w:val="4B4D4F"/>
          <w:spacing w:val="-3"/>
          <w:sz w:val="20"/>
        </w:rPr>
        <w:t>21.4pct</w:t>
      </w:r>
      <w:r>
        <w:rPr>
          <w:b/>
          <w:i/>
          <w:color w:val="4B4D4F"/>
          <w:spacing w:val="-4"/>
          <w:sz w:val="20"/>
        </w:rPr>
        <w:t xml:space="preserve">，分别跑赢沪深 </w:t>
      </w:r>
      <w:r>
        <w:rPr>
          <w:b/>
          <w:color w:val="4B4D4F"/>
          <w:sz w:val="20"/>
        </w:rPr>
        <w:t>300</w:t>
      </w:r>
      <w:r>
        <w:rPr>
          <w:b/>
          <w:color w:val="4B4D4F"/>
          <w:spacing w:val="-11"/>
          <w:sz w:val="20"/>
        </w:rPr>
        <w:t xml:space="preserve"> </w:t>
      </w:r>
      <w:r>
        <w:rPr>
          <w:b/>
          <w:i/>
          <w:color w:val="4B4D4F"/>
          <w:spacing w:val="-4"/>
          <w:sz w:val="20"/>
        </w:rPr>
        <w:t xml:space="preserve">指数 </w:t>
      </w:r>
      <w:r>
        <w:rPr>
          <w:b/>
          <w:color w:val="4B4D4F"/>
          <w:sz w:val="20"/>
        </w:rPr>
        <w:t>61.1pct</w:t>
      </w:r>
      <w:r>
        <w:rPr>
          <w:b/>
          <w:i/>
          <w:color w:val="4B4D4F"/>
          <w:spacing w:val="-17"/>
          <w:sz w:val="20"/>
        </w:rPr>
        <w:t>、</w:t>
      </w:r>
      <w:r>
        <w:rPr>
          <w:b/>
          <w:color w:val="4B4D4F"/>
          <w:sz w:val="20"/>
        </w:rPr>
        <w:t>39.5pct</w:t>
      </w:r>
      <w:r>
        <w:rPr>
          <w:color w:val="4B4D4F"/>
          <w:spacing w:val="-7"/>
          <w:sz w:val="20"/>
        </w:rPr>
        <w:t>。鉴于此，我们将深入探讨</w:t>
      </w:r>
      <w:r>
        <w:rPr>
          <w:color w:val="4B4D4F"/>
          <w:spacing w:val="-14"/>
          <w:sz w:val="20"/>
        </w:rPr>
        <w:t>环保行业潜在的高分红、高股息机遇，</w:t>
      </w:r>
      <w:r>
        <w:rPr>
          <w:b/>
          <w:i/>
          <w:color w:val="4B4D4F"/>
          <w:sz w:val="20"/>
        </w:rPr>
        <w:t>垃圾焚烧发电行业和水务行业具有相似性， 同样具备项目运营稳定、现金流充沛、资本开支下降等特点</w:t>
      </w:r>
      <w:r>
        <w:rPr>
          <w:color w:val="4B4D4F"/>
          <w:sz w:val="20"/>
        </w:rPr>
        <w:t>，值得市场关注。</w:t>
      </w:r>
    </w:p>
    <w:p>
      <w:pPr>
        <w:tabs>
          <w:tab w:val="left" w:pos="10420"/>
        </w:tabs>
        <w:spacing w:before="132"/>
        <w:ind w:left="107" w:right="0" w:firstLine="0"/>
        <w:jc w:val="left"/>
        <w:rPr>
          <w:b/>
          <w:sz w:val="20"/>
        </w:rPr>
      </w:pPr>
      <w:r>
        <w:rPr>
          <w:rFonts w:ascii="Times New Roman" w:eastAsia="Times New Roman"/>
          <w:color w:val="4B4D4F"/>
          <w:w w:val="99"/>
          <w:sz w:val="20"/>
          <w:u w:val="single" w:color="4B4D4F"/>
        </w:rPr>
        <w:t xml:space="preserve"> </w:t>
      </w:r>
      <w:r>
        <w:rPr>
          <w:rFonts w:ascii="Times New Roman" w:eastAsia="Times New Roman"/>
          <w:color w:val="4B4D4F"/>
          <w:spacing w:val="8"/>
          <w:sz w:val="20"/>
          <w:u w:val="single" w:color="4B4D4F"/>
        </w:rPr>
        <w:t xml:space="preserve"> </w:t>
      </w:r>
      <w:r>
        <w:rPr>
          <w:b/>
          <w:i/>
          <w:color w:val="4B4D4F"/>
          <w:sz w:val="20"/>
          <w:u w:val="single" w:color="4B4D4F"/>
        </w:rPr>
        <w:t>图</w:t>
      </w:r>
      <w:r>
        <w:rPr>
          <w:b/>
          <w:color w:val="4B4D4F"/>
          <w:sz w:val="20"/>
          <w:u w:val="single" w:color="4B4D4F"/>
        </w:rPr>
        <w:t>1</w:t>
      </w:r>
      <w:r>
        <w:rPr>
          <w:b/>
          <w:i/>
          <w:color w:val="4B4D4F"/>
          <w:sz w:val="20"/>
          <w:u w:val="single" w:color="4B4D4F"/>
        </w:rPr>
        <w:t>：</w:t>
      </w:r>
      <w:r>
        <w:rPr>
          <w:b/>
          <w:color w:val="4B4D4F"/>
          <w:sz w:val="20"/>
          <w:u w:val="single" w:color="4B4D4F"/>
        </w:rPr>
        <w:t>2023</w:t>
      </w:r>
      <w:r>
        <w:rPr>
          <w:b/>
          <w:color w:val="4B4D4F"/>
          <w:spacing w:val="37"/>
          <w:sz w:val="20"/>
          <w:u w:val="single" w:color="4B4D4F"/>
        </w:rPr>
        <w:t xml:space="preserve"> </w:t>
      </w:r>
      <w:r>
        <w:rPr>
          <w:b/>
          <w:i/>
          <w:color w:val="4B4D4F"/>
          <w:sz w:val="20"/>
          <w:u w:val="single" w:color="4B4D4F"/>
        </w:rPr>
        <w:t>年</w:t>
      </w:r>
      <w:r>
        <w:rPr>
          <w:b/>
          <w:i/>
          <w:color w:val="4B4D4F"/>
          <w:spacing w:val="-12"/>
          <w:sz w:val="20"/>
          <w:u w:val="single" w:color="4B4D4F"/>
        </w:rPr>
        <w:t xml:space="preserve"> </w:t>
      </w:r>
      <w:r>
        <w:rPr>
          <w:b/>
          <w:color w:val="4B4D4F"/>
          <w:sz w:val="20"/>
          <w:u w:val="single" w:color="4B4D4F"/>
        </w:rPr>
        <w:t>1</w:t>
      </w:r>
      <w:r>
        <w:rPr>
          <w:b/>
          <w:color w:val="4B4D4F"/>
          <w:spacing w:val="-12"/>
          <w:sz w:val="20"/>
          <w:u w:val="single" w:color="4B4D4F"/>
        </w:rPr>
        <w:t xml:space="preserve"> </w:t>
      </w:r>
      <w:r>
        <w:rPr>
          <w:b/>
          <w:i/>
          <w:color w:val="4B4D4F"/>
          <w:sz w:val="20"/>
          <w:u w:val="single" w:color="4B4D4F"/>
        </w:rPr>
        <w:t>月</w:t>
      </w:r>
      <w:r>
        <w:rPr>
          <w:b/>
          <w:i/>
          <w:color w:val="4B4D4F"/>
          <w:spacing w:val="-11"/>
          <w:sz w:val="20"/>
          <w:u w:val="single" w:color="4B4D4F"/>
        </w:rPr>
        <w:t xml:space="preserve"> </w:t>
      </w:r>
      <w:r>
        <w:rPr>
          <w:b/>
          <w:color w:val="4B4D4F"/>
          <w:sz w:val="20"/>
          <w:u w:val="single" w:color="4B4D4F"/>
        </w:rPr>
        <w:t>13</w:t>
      </w:r>
      <w:r>
        <w:rPr>
          <w:b/>
          <w:color w:val="4B4D4F"/>
          <w:spacing w:val="-10"/>
          <w:sz w:val="20"/>
          <w:u w:val="single" w:color="4B4D4F"/>
        </w:rPr>
        <w:t xml:space="preserve"> </w:t>
      </w:r>
      <w:r>
        <w:rPr>
          <w:b/>
          <w:i/>
          <w:color w:val="4B4D4F"/>
          <w:sz w:val="20"/>
          <w:u w:val="single" w:color="4B4D4F"/>
        </w:rPr>
        <w:t>日</w:t>
      </w:r>
      <w:r>
        <w:rPr>
          <w:b/>
          <w:color w:val="4B4D4F"/>
          <w:sz w:val="20"/>
          <w:u w:val="single" w:color="4B4D4F"/>
        </w:rPr>
        <w:t>-2024</w:t>
      </w:r>
      <w:r>
        <w:rPr>
          <w:b/>
          <w:color w:val="4B4D4F"/>
          <w:spacing w:val="-10"/>
          <w:sz w:val="20"/>
          <w:u w:val="single" w:color="4B4D4F"/>
        </w:rPr>
        <w:t xml:space="preserve"> </w:t>
      </w:r>
      <w:r>
        <w:rPr>
          <w:b/>
          <w:i/>
          <w:color w:val="4B4D4F"/>
          <w:sz w:val="20"/>
          <w:u w:val="single" w:color="4B4D4F"/>
        </w:rPr>
        <w:t>年</w:t>
      </w:r>
      <w:r>
        <w:rPr>
          <w:b/>
          <w:i/>
          <w:color w:val="4B4D4F"/>
          <w:spacing w:val="-10"/>
          <w:sz w:val="20"/>
          <w:u w:val="single" w:color="4B4D4F"/>
        </w:rPr>
        <w:t xml:space="preserve"> </w:t>
      </w:r>
      <w:r>
        <w:rPr>
          <w:b/>
          <w:color w:val="4B4D4F"/>
          <w:sz w:val="20"/>
          <w:u w:val="single" w:color="4B4D4F"/>
        </w:rPr>
        <w:t>1</w:t>
      </w:r>
      <w:r>
        <w:rPr>
          <w:b/>
          <w:color w:val="4B4D4F"/>
          <w:spacing w:val="-12"/>
          <w:sz w:val="20"/>
          <w:u w:val="single" w:color="4B4D4F"/>
        </w:rPr>
        <w:t xml:space="preserve"> </w:t>
      </w:r>
      <w:r>
        <w:rPr>
          <w:b/>
          <w:i/>
          <w:color w:val="4B4D4F"/>
          <w:sz w:val="20"/>
          <w:u w:val="single" w:color="4B4D4F"/>
        </w:rPr>
        <w:t>月</w:t>
      </w:r>
      <w:r>
        <w:rPr>
          <w:b/>
          <w:i/>
          <w:color w:val="4B4D4F"/>
          <w:spacing w:val="-12"/>
          <w:sz w:val="20"/>
          <w:u w:val="single" w:color="4B4D4F"/>
        </w:rPr>
        <w:t xml:space="preserve"> </w:t>
      </w:r>
      <w:r>
        <w:rPr>
          <w:b/>
          <w:color w:val="4B4D4F"/>
          <w:sz w:val="20"/>
          <w:u w:val="single" w:color="4B4D4F"/>
        </w:rPr>
        <w:t>12</w:t>
      </w:r>
      <w:r>
        <w:rPr>
          <w:b/>
          <w:color w:val="4B4D4F"/>
          <w:spacing w:val="-9"/>
          <w:sz w:val="20"/>
          <w:u w:val="single" w:color="4B4D4F"/>
        </w:rPr>
        <w:t xml:space="preserve"> </w:t>
      </w:r>
      <w:r>
        <w:rPr>
          <w:b/>
          <w:i/>
          <w:color w:val="4B4D4F"/>
          <w:sz w:val="20"/>
          <w:u w:val="single" w:color="4B4D4F"/>
        </w:rPr>
        <w:t>日，水务及水治理指数跑赢沪深</w:t>
      </w:r>
      <w:r>
        <w:rPr>
          <w:b/>
          <w:i/>
          <w:color w:val="4B4D4F"/>
          <w:spacing w:val="-8"/>
          <w:sz w:val="20"/>
          <w:u w:val="single" w:color="4B4D4F"/>
        </w:rPr>
        <w:t xml:space="preserve"> </w:t>
      </w:r>
      <w:r>
        <w:rPr>
          <w:b/>
          <w:color w:val="4B4D4F"/>
          <w:sz w:val="20"/>
          <w:u w:val="single" w:color="4B4D4F"/>
        </w:rPr>
        <w:t>300</w:t>
      </w:r>
      <w:r>
        <w:rPr>
          <w:b/>
          <w:color w:val="4B4D4F"/>
          <w:spacing w:val="-10"/>
          <w:sz w:val="20"/>
          <w:u w:val="single" w:color="4B4D4F"/>
        </w:rPr>
        <w:t xml:space="preserve"> </w:t>
      </w:r>
      <w:r>
        <w:rPr>
          <w:b/>
          <w:i/>
          <w:color w:val="4B4D4F"/>
          <w:sz w:val="20"/>
          <w:u w:val="single" w:color="4B4D4F"/>
        </w:rPr>
        <w:t>指数</w:t>
      </w:r>
      <w:r>
        <w:rPr>
          <w:b/>
          <w:i/>
          <w:color w:val="4B4D4F"/>
          <w:spacing w:val="-12"/>
          <w:sz w:val="20"/>
          <w:u w:val="single" w:color="4B4D4F"/>
        </w:rPr>
        <w:t xml:space="preserve"> </w:t>
      </w:r>
      <w:r>
        <w:rPr>
          <w:b/>
          <w:color w:val="4B4D4F"/>
          <w:sz w:val="20"/>
          <w:u w:val="single" w:color="4B4D4F"/>
        </w:rPr>
        <w:t>17.7pct</w:t>
        <w:tab/>
      </w:r>
    </w:p>
    <w:p>
      <w:pPr>
        <w:tabs>
          <w:tab w:val="left" w:pos="1424"/>
          <w:tab w:val="left" w:pos="2619"/>
          <w:tab w:val="left" w:pos="3567"/>
          <w:tab w:val="left" w:pos="4796"/>
          <w:tab w:val="left" w:pos="6304"/>
          <w:tab w:val="left" w:pos="7533"/>
          <w:tab w:val="left" w:pos="9041"/>
        </w:tabs>
        <w:spacing w:before="184"/>
        <w:ind w:left="385" w:right="0" w:firstLine="0"/>
        <w:jc w:val="left"/>
        <w:rPr>
          <w:sz w:val="14"/>
        </w:rPr>
      </w:pPr>
      <w:r>
        <w:pict>
          <v:group id="_x0000_s1025" style="width:480.65pt;height:159.3pt;margin-top:23.77pt;margin-left:46.25pt;mso-position-horizontal-relative:page;position:absolute;z-index:-251658240" coordorigin="925,475" coordsize="9613,3186">
            <v:shape id="_x0000_s1026" style="width:9114;height:3103;left:1415;position:absolute;top:475" coordorigin="1416,475" coordsize="9114,3103" path="m1416,475l1416,3578m1416,3578l1465,3578m1416,3230l1465,3230m1416,2882l1465,2882m1416,2534l1465,2534m1416,2186l1465,2186m1416,1838l1465,1838m1416,1488l1465,1488m1416,1140l1465,1140m1416,792l1465,792m1416,1489l10529,1489e" filled="f" stroked="t" strokecolor="black" strokeweight="0.25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9435;height:2544;left:1102;position:absolute;top:665" stroked="f">
              <v:imagedata r:id="rId6" o:title=""/>
            </v:shape>
            <v:shapetype id="_x0000_t202" coordsize="21600,21600" o:spt="202" path="m,l,21600r21600,l21600,xe">
              <v:stroke joinstyle="miter"/>
              <v:path gradientshapeok="t" o:connecttype="rect"/>
            </v:shapetype>
            <v:shape id="_x0000_s1028" type="#_x0000_t202" style="width:370;height:2971;left:924;position:absolute;top:690" filled="f" stroked="f">
              <v:textbox inset="0,0,0,0">
                <w:txbxContent>
                  <w:p>
                    <w:pPr>
                      <w:spacing w:before="0" w:line="221" w:lineRule="exact"/>
                      <w:ind w:left="0" w:right="20" w:firstLine="0"/>
                      <w:jc w:val="right"/>
                      <w:rPr>
                        <w:sz w:val="14"/>
                      </w:rPr>
                    </w:pPr>
                    <w:r>
                      <w:rPr>
                        <w:spacing w:val="-2"/>
                        <w:sz w:val="14"/>
                      </w:rPr>
                      <w:t>10%</w:t>
                    </w:r>
                  </w:p>
                  <w:p>
                    <w:pPr>
                      <w:spacing w:before="90"/>
                      <w:ind w:left="0" w:right="18" w:firstLine="0"/>
                      <w:jc w:val="right"/>
                      <w:rPr>
                        <w:sz w:val="14"/>
                      </w:rPr>
                    </w:pPr>
                    <w:r>
                      <w:rPr>
                        <w:w w:val="95"/>
                        <w:sz w:val="14"/>
                      </w:rPr>
                      <w:t>5%</w:t>
                    </w:r>
                  </w:p>
                  <w:p>
                    <w:pPr>
                      <w:spacing w:before="91"/>
                      <w:ind w:left="0" w:right="18" w:firstLine="0"/>
                      <w:jc w:val="right"/>
                      <w:rPr>
                        <w:sz w:val="14"/>
                      </w:rPr>
                    </w:pPr>
                    <w:r>
                      <w:rPr>
                        <w:w w:val="95"/>
                        <w:sz w:val="14"/>
                      </w:rPr>
                      <w:t>0%</w:t>
                    </w:r>
                  </w:p>
                  <w:p>
                    <w:pPr>
                      <w:spacing w:before="90"/>
                      <w:ind w:left="0" w:right="19" w:firstLine="0"/>
                      <w:jc w:val="right"/>
                      <w:rPr>
                        <w:sz w:val="14"/>
                      </w:rPr>
                    </w:pPr>
                    <w:r>
                      <w:rPr>
                        <w:spacing w:val="-1"/>
                        <w:sz w:val="14"/>
                      </w:rPr>
                      <w:t>-5%</w:t>
                    </w:r>
                  </w:p>
                  <w:p>
                    <w:pPr>
                      <w:spacing w:before="90"/>
                      <w:ind w:left="0" w:right="18" w:firstLine="0"/>
                      <w:jc w:val="right"/>
                      <w:rPr>
                        <w:sz w:val="14"/>
                      </w:rPr>
                    </w:pPr>
                    <w:r>
                      <w:rPr>
                        <w:sz w:val="14"/>
                      </w:rPr>
                      <w:t>-10%</w:t>
                    </w:r>
                  </w:p>
                  <w:p>
                    <w:pPr>
                      <w:spacing w:before="90"/>
                      <w:ind w:left="0" w:right="18" w:firstLine="0"/>
                      <w:jc w:val="right"/>
                      <w:rPr>
                        <w:sz w:val="14"/>
                      </w:rPr>
                    </w:pPr>
                    <w:r>
                      <w:rPr>
                        <w:sz w:val="14"/>
                      </w:rPr>
                      <w:t>-15%</w:t>
                    </w:r>
                  </w:p>
                  <w:p>
                    <w:pPr>
                      <w:spacing w:before="90"/>
                      <w:ind w:left="0" w:right="18" w:firstLine="0"/>
                      <w:jc w:val="right"/>
                      <w:rPr>
                        <w:sz w:val="14"/>
                      </w:rPr>
                    </w:pPr>
                    <w:r>
                      <w:rPr>
                        <w:sz w:val="14"/>
                      </w:rPr>
                      <w:t>-20%</w:t>
                    </w:r>
                  </w:p>
                  <w:p>
                    <w:pPr>
                      <w:spacing w:before="91"/>
                      <w:ind w:left="0" w:right="18" w:firstLine="0"/>
                      <w:jc w:val="right"/>
                      <w:rPr>
                        <w:sz w:val="14"/>
                      </w:rPr>
                    </w:pPr>
                    <w:r>
                      <w:rPr>
                        <w:sz w:val="14"/>
                      </w:rPr>
                      <w:t>-25%</w:t>
                    </w:r>
                  </w:p>
                  <w:p>
                    <w:pPr>
                      <w:spacing w:before="90" w:line="221" w:lineRule="exact"/>
                      <w:ind w:left="0" w:right="18" w:firstLine="0"/>
                      <w:jc w:val="right"/>
                      <w:rPr>
                        <w:sz w:val="14"/>
                      </w:rPr>
                    </w:pPr>
                    <w:r>
                      <w:rPr>
                        <w:spacing w:val="-1"/>
                        <w:sz w:val="14"/>
                      </w:rPr>
                      <w:t>-30%</w:t>
                    </w:r>
                  </w:p>
                </w:txbxContent>
              </v:textbox>
            </v:shape>
          </v:group>
        </w:pict>
      </w:r>
      <w:r>
        <w:pict>
          <v:line id="_x0000_s1029" style="mso-position-horizontal-relative:page;position:absolute;z-index:-251657216" from="80pt,16.2pt" to="99.2pt,16.2pt" stroked="t" strokecolor="#bd0000" strokeweight="2pt">
            <v:stroke dashstyle="solid"/>
          </v:line>
        </w:pict>
      </w:r>
      <w:r>
        <w:pict>
          <v:line id="_x0000_s1030" style="mso-position-horizontal-relative:page;position:absolute;z-index:-251656192" from="139.7pt,16.2pt" to="158.9pt,16.2pt" stroked="t" strokecolor="#505050" strokeweight="2.25pt">
            <v:stroke dashstyle="solid"/>
          </v:line>
        </w:pict>
      </w:r>
      <w:r>
        <w:pict>
          <v:line id="_x0000_s1031" style="mso-position-horizontal-relative:page;position:absolute;z-index:-251655168" from="187.1pt,16.2pt" to="206.3pt,16.2pt" stroked="t" strokecolor="#dc7878" strokeweight="2.25pt">
            <v:stroke dashstyle="solid"/>
          </v:line>
        </w:pict>
      </w:r>
      <w:r>
        <w:pict>
          <v:line id="_x0000_s1032" style="mso-position-horizontal-relative:page;position:absolute;z-index:-251654144" from="248.55pt,16.2pt" to="267.75pt,16.2pt" stroked="t" strokecolor="#828282" strokeweight="2.25pt">
            <v:stroke dashstyle="solid"/>
          </v:line>
        </w:pict>
      </w:r>
      <w:r>
        <w:pict>
          <v:line id="_x0000_s1033" style="mso-position-horizontal-relative:page;position:absolute;z-index:-251653120" from="323.95pt,16.2pt" to="343.15pt,16.2pt" stroked="t" strokecolor="#e6b4b4" strokeweight="2.25pt">
            <v:stroke dashstyle="solid"/>
          </v:line>
        </w:pict>
      </w:r>
      <w:r>
        <w:pict>
          <v:line id="_x0000_s1034" style="mso-position-horizontal-relative:page;position:absolute;z-index:-251652096" from="385.35pt,16.2pt" to="404.55pt,16.2pt" stroked="t" strokecolor="#b4b4b4" strokeweight="2.25pt">
            <v:stroke dashstyle="solid"/>
          </v:line>
        </w:pict>
      </w:r>
      <w:r>
        <w:pict>
          <v:line id="_x0000_s1035" style="mso-position-horizontal-relative:page;position:absolute;z-index:-251651072" from="460.75pt,16.2pt" to="479.95pt,16.2pt" stroked="t" strokecolor="#f9dcdc" strokeweight="2.25pt">
            <v:stroke dashstyle="solid"/>
          </v:line>
        </w:pict>
      </w:r>
      <w:r>
        <w:rPr>
          <w:position w:val="-11"/>
          <w:sz w:val="14"/>
        </w:rPr>
        <w:t>15%</w:t>
        <w:tab/>
      </w:r>
      <w:r>
        <w:rPr>
          <w:sz w:val="14"/>
        </w:rPr>
        <w:t>沪深300</w:t>
        <w:tab/>
        <w:t>环保</w:t>
        <w:tab/>
        <w:t>固废治理</w:t>
        <w:tab/>
        <w:t>水务及水治理</w:t>
        <w:tab/>
        <w:t>大气治理</w:t>
        <w:tab/>
        <w:t>综合环境治理</w:t>
        <w:tab/>
        <w:t>环保设备</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7"/>
        <w:rPr>
          <w:sz w:val="12"/>
        </w:rPr>
      </w:pPr>
      <w:r>
        <w:pict>
          <v:shape id="_x0000_s1036" style="width:515.65pt;height:0.1pt;margin-top:14.36pt;margin-left:35.4pt;mso-position-horizontal-relative:page;mso-wrap-distance-left:0;mso-wrap-distance-right:0;position:absolute;z-index:-251645952" coordorigin="708,287" coordsize="10313,0" path="m708,287l11020,287e" filled="f" stroked="t" strokecolor="#4b4d4f" strokeweight="0.96pt">
            <v:stroke dashstyle="solid"/>
            <v:path arrowok="t"/>
            <w10:wrap type="topAndBottom"/>
          </v:shape>
        </w:pict>
      </w:r>
    </w:p>
    <w:p>
      <w:pPr>
        <w:spacing w:before="0" w:line="236" w:lineRule="exact"/>
        <w:ind w:left="215" w:right="0" w:firstLine="0"/>
        <w:jc w:val="left"/>
        <w:rPr>
          <w:sz w:val="15"/>
        </w:rPr>
      </w:pPr>
      <w:r>
        <w:t xml:space="preserve">资料来源：wind， </w:t>
      </w:r>
    </w:p>
    <w:p>
      <w:pPr>
        <w:pStyle w:val="BodyText"/>
      </w:pPr>
    </w:p>
    <w:p>
      <w:pPr>
        <w:pStyle w:val="BodyText"/>
        <w:spacing w:before="4"/>
        <w:rPr>
          <w:sz w:val="12"/>
        </w:rPr>
      </w:pPr>
    </w:p>
    <w:p>
      <w:pPr>
        <w:spacing w:before="47"/>
        <w:ind w:left="107" w:right="0" w:firstLine="0"/>
        <w:jc w:val="left"/>
        <w:rPr>
          <w:b/>
          <w:sz w:val="20"/>
        </w:rPr>
      </w:pPr>
      <w:r>
        <w:rPr>
          <w:rFonts w:ascii="Times New Roman" w:eastAsia="Times New Roman"/>
          <w:color w:val="4B4D4F"/>
          <w:w w:val="99"/>
          <w:sz w:val="20"/>
          <w:u w:val="single" w:color="4B4D4F"/>
        </w:rPr>
        <w:t xml:space="preserve"> </w:t>
      </w:r>
      <w:r>
        <w:rPr>
          <w:rFonts w:ascii="Times New Roman" w:eastAsia="Times New Roman"/>
          <w:color w:val="4B4D4F"/>
          <w:sz w:val="20"/>
          <w:u w:val="single" w:color="4B4D4F"/>
        </w:rPr>
        <w:t xml:space="preserve"> </w:t>
      </w:r>
      <w:r>
        <w:rPr>
          <w:b/>
          <w:i/>
          <w:color w:val="4B4D4F"/>
          <w:sz w:val="20"/>
          <w:u w:val="single" w:color="4B4D4F"/>
        </w:rPr>
        <w:t>图</w:t>
      </w:r>
      <w:r>
        <w:rPr>
          <w:b/>
          <w:color w:val="4B4D4F"/>
          <w:sz w:val="20"/>
          <w:u w:val="single" w:color="4B4D4F"/>
        </w:rPr>
        <w:t>2</w:t>
      </w:r>
      <w:r>
        <w:rPr>
          <w:b/>
          <w:i/>
          <w:color w:val="4B4D4F"/>
          <w:sz w:val="20"/>
          <w:u w:val="single" w:color="4B4D4F"/>
        </w:rPr>
        <w:t>：</w:t>
      </w:r>
      <w:r>
        <w:rPr>
          <w:b/>
          <w:color w:val="4B4D4F"/>
          <w:sz w:val="20"/>
          <w:u w:val="single" w:color="4B4D4F"/>
        </w:rPr>
        <w:t xml:space="preserve">2023 </w:t>
      </w:r>
      <w:r>
        <w:rPr>
          <w:b/>
          <w:i/>
          <w:color w:val="4B4D4F"/>
          <w:spacing w:val="-6"/>
          <w:sz w:val="20"/>
          <w:u w:val="single" w:color="4B4D4F"/>
        </w:rPr>
        <w:t xml:space="preserve">年 </w:t>
      </w:r>
      <w:r>
        <w:rPr>
          <w:b/>
          <w:color w:val="4B4D4F"/>
          <w:sz w:val="20"/>
          <w:u w:val="single" w:color="4B4D4F"/>
        </w:rPr>
        <w:t xml:space="preserve">1 </w:t>
      </w:r>
      <w:r>
        <w:rPr>
          <w:b/>
          <w:i/>
          <w:color w:val="4B4D4F"/>
          <w:spacing w:val="-6"/>
          <w:sz w:val="20"/>
          <w:u w:val="single" w:color="4B4D4F"/>
        </w:rPr>
        <w:t xml:space="preserve">月 </w:t>
      </w:r>
      <w:r>
        <w:rPr>
          <w:b/>
          <w:color w:val="4B4D4F"/>
          <w:sz w:val="20"/>
          <w:u w:val="single" w:color="4B4D4F"/>
        </w:rPr>
        <w:t xml:space="preserve">13 </w:t>
      </w:r>
      <w:r>
        <w:rPr>
          <w:b/>
          <w:i/>
          <w:color w:val="4B4D4F"/>
          <w:sz w:val="20"/>
          <w:u w:val="single" w:color="4B4D4F"/>
        </w:rPr>
        <w:t>日</w:t>
      </w:r>
      <w:r>
        <w:rPr>
          <w:b/>
          <w:color w:val="4B4D4F"/>
          <w:sz w:val="20"/>
          <w:u w:val="single" w:color="4B4D4F"/>
        </w:rPr>
        <w:t xml:space="preserve">-2024 </w:t>
      </w:r>
      <w:r>
        <w:rPr>
          <w:b/>
          <w:i/>
          <w:color w:val="4B4D4F"/>
          <w:spacing w:val="-5"/>
          <w:sz w:val="20"/>
          <w:u w:val="single" w:color="4B4D4F"/>
        </w:rPr>
        <w:t xml:space="preserve">年 </w:t>
      </w:r>
      <w:r>
        <w:rPr>
          <w:b/>
          <w:color w:val="4B4D4F"/>
          <w:sz w:val="20"/>
          <w:u w:val="single" w:color="4B4D4F"/>
        </w:rPr>
        <w:t xml:space="preserve">1 </w:t>
      </w:r>
      <w:r>
        <w:rPr>
          <w:b/>
          <w:i/>
          <w:color w:val="4B4D4F"/>
          <w:spacing w:val="-6"/>
          <w:sz w:val="20"/>
          <w:u w:val="single" w:color="4B4D4F"/>
        </w:rPr>
        <w:t xml:space="preserve">月 </w:t>
      </w:r>
      <w:r>
        <w:rPr>
          <w:b/>
          <w:color w:val="4B4D4F"/>
          <w:sz w:val="20"/>
          <w:u w:val="single" w:color="4B4D4F"/>
        </w:rPr>
        <w:t xml:space="preserve">12 </w:t>
      </w:r>
      <w:r>
        <w:rPr>
          <w:b/>
          <w:i/>
          <w:color w:val="4B4D4F"/>
          <w:spacing w:val="-9"/>
          <w:sz w:val="20"/>
          <w:u w:val="single" w:color="4B4D4F"/>
        </w:rPr>
        <w:t xml:space="preserve">日，洪城环境和重庆水务分别跑赢水务及水治理指数 </w:t>
      </w:r>
      <w:r>
        <w:rPr>
          <w:b/>
          <w:color w:val="4B4D4F"/>
          <w:sz w:val="20"/>
          <w:u w:val="single" w:color="4B4D4F"/>
        </w:rPr>
        <w:t>43.4pct</w:t>
      </w:r>
      <w:r>
        <w:rPr>
          <w:b/>
          <w:i/>
          <w:color w:val="4B4D4F"/>
          <w:spacing w:val="-65"/>
          <w:sz w:val="20"/>
          <w:u w:val="single" w:color="4B4D4F"/>
        </w:rPr>
        <w:t>、</w:t>
      </w:r>
      <w:r>
        <w:rPr>
          <w:b/>
          <w:color w:val="4B4D4F"/>
          <w:sz w:val="20"/>
          <w:u w:val="single" w:color="4B4D4F"/>
        </w:rPr>
        <w:t>21.4pct</w:t>
      </w:r>
      <w:r>
        <w:rPr>
          <w:b/>
          <w:color w:val="4B4D4F"/>
          <w:spacing w:val="-12"/>
          <w:sz w:val="20"/>
          <w:u w:val="single" w:color="4B4D4F"/>
        </w:rPr>
        <w:t xml:space="preserve"> </w:t>
      </w:r>
    </w:p>
    <w:p>
      <w:pPr>
        <w:pStyle w:val="BodyText"/>
        <w:rPr>
          <w:b/>
          <w:sz w:val="10"/>
        </w:rPr>
      </w:pPr>
    </w:p>
    <w:p>
      <w:pPr>
        <w:tabs>
          <w:tab w:val="left" w:pos="3882"/>
          <w:tab w:val="left" w:pos="5093"/>
          <w:tab w:val="left" w:pos="6303"/>
        </w:tabs>
        <w:spacing w:before="62"/>
        <w:ind w:left="408" w:right="0" w:firstLine="0"/>
        <w:jc w:val="left"/>
        <w:rPr>
          <w:sz w:val="14"/>
        </w:rPr>
      </w:pPr>
      <w:r>
        <w:pict>
          <v:group id="_x0000_s1037" style="width:469.6pt;height:158.85pt;margin-top:14.99pt;margin-left:56.21pt;mso-position-horizontal-relative:page;position:absolute;z-index:-251650048" coordorigin="1124,300" coordsize="9392,3177">
            <v:shape id="_x0000_s1038" style="width:9064;height:3053;left:1439;position:absolute;top:302" coordorigin="1439,302" coordsize="9064,3053" path="m1439,3355l1439,302m1439,3355l1489,3355m1439,2918l1489,2918m1439,2484l1489,2484m1439,2047l1489,2047m1439,1610l1489,1610m1439,1174l1489,1174m1439,739l1489,739m1439,302l1489,302m1439,2919l10503,2919e" filled="f" stroked="t" strokecolor="black" strokeweight="0.25pt">
              <v:stroke dashstyle="solid"/>
              <v:path arrowok="t"/>
            </v:shape>
            <v:shape id="_x0000_s1039" type="#_x0000_t75" style="width:9392;height:2666;left:1124;position:absolute;top:810" stroked="f">
              <v:imagedata r:id="rId7" o:title=""/>
            </v:shape>
          </v:group>
        </w:pict>
      </w:r>
      <w:r>
        <w:pict>
          <v:line id="_x0000_s1040" style="mso-position-horizontal-relative:page;position:absolute;z-index:-251649024" from="202.85pt,10.05pt" to="222.05pt,10.05pt" stroked="t" strokecolor="#bd0000" strokeweight="2pt">
            <v:stroke dashstyle="solid"/>
          </v:line>
        </w:pict>
      </w:r>
      <w:r>
        <w:pict>
          <v:line id="_x0000_s1041" style="mso-position-horizontal-relative:page;position:absolute;z-index:-251648000" from="263.35pt,10.05pt" to="282.55pt,10.05pt" stroked="t" strokecolor="#505050" strokeweight="2.25pt">
            <v:stroke dashstyle="solid"/>
          </v:line>
        </w:pict>
      </w:r>
      <w:r>
        <w:pict>
          <v:line id="_x0000_s1042" style="mso-position-horizontal-relative:page;position:absolute;z-index:-251646976" from="323.85pt,10.05pt" to="343.05pt,10.05pt" stroked="t" strokecolor="#dc7878" strokeweight="2.25pt">
            <v:stroke dashstyle="solid"/>
          </v:line>
        </w:pict>
      </w:r>
      <w:r>
        <w:rPr>
          <w:position w:val="-9"/>
          <w:sz w:val="14"/>
        </w:rPr>
        <w:t>60%</w:t>
        <w:tab/>
      </w:r>
      <w:r>
        <w:rPr>
          <w:sz w:val="14"/>
        </w:rPr>
        <w:t>洪城环境</w:t>
        <w:tab/>
        <w:t>重庆水务</w:t>
        <w:tab/>
        <w:t>水务及水治理</w:t>
      </w:r>
    </w:p>
    <w:p>
      <w:pPr>
        <w:pStyle w:val="BodyText"/>
        <w:spacing w:before="7"/>
        <w:rPr>
          <w:sz w:val="6"/>
        </w:rPr>
      </w:pPr>
    </w:p>
    <w:p>
      <w:pPr>
        <w:spacing w:before="63"/>
        <w:ind w:left="408" w:right="0" w:firstLine="0"/>
        <w:jc w:val="left"/>
        <w:rPr>
          <w:sz w:val="14"/>
        </w:rPr>
      </w:pPr>
      <w:r>
        <w:rPr>
          <w:sz w:val="14"/>
        </w:rPr>
        <w:t>50%</w:t>
      </w:r>
    </w:p>
    <w:p>
      <w:pPr>
        <w:pStyle w:val="BodyText"/>
        <w:spacing w:before="5"/>
        <w:rPr>
          <w:sz w:val="6"/>
        </w:rPr>
      </w:pPr>
    </w:p>
    <w:p>
      <w:pPr>
        <w:spacing w:before="63"/>
        <w:ind w:left="408" w:right="0" w:firstLine="0"/>
        <w:jc w:val="left"/>
        <w:rPr>
          <w:sz w:val="14"/>
        </w:rPr>
      </w:pPr>
      <w:r>
        <w:rPr>
          <w:sz w:val="14"/>
        </w:rPr>
        <w:t>40%</w:t>
      </w:r>
    </w:p>
    <w:p>
      <w:pPr>
        <w:pStyle w:val="BodyText"/>
        <w:spacing w:before="5"/>
        <w:rPr>
          <w:sz w:val="6"/>
        </w:rPr>
      </w:pPr>
    </w:p>
    <w:p>
      <w:pPr>
        <w:spacing w:before="63"/>
        <w:ind w:left="408" w:right="0" w:firstLine="0"/>
        <w:jc w:val="left"/>
        <w:rPr>
          <w:sz w:val="14"/>
        </w:rPr>
      </w:pPr>
      <w:r>
        <w:rPr>
          <w:sz w:val="14"/>
        </w:rPr>
        <w:t>30%</w:t>
      </w:r>
    </w:p>
    <w:p>
      <w:pPr>
        <w:pStyle w:val="BodyText"/>
        <w:spacing w:before="4"/>
        <w:rPr>
          <w:sz w:val="6"/>
        </w:rPr>
      </w:pPr>
    </w:p>
    <w:p>
      <w:pPr>
        <w:spacing w:before="63"/>
        <w:ind w:left="408" w:right="0" w:firstLine="0"/>
        <w:jc w:val="left"/>
        <w:rPr>
          <w:sz w:val="14"/>
        </w:rPr>
      </w:pPr>
      <w:r>
        <w:rPr>
          <w:sz w:val="14"/>
        </w:rPr>
        <w:t>20%</w:t>
      </w:r>
    </w:p>
    <w:p>
      <w:pPr>
        <w:pStyle w:val="BodyText"/>
        <w:spacing w:before="5"/>
        <w:rPr>
          <w:sz w:val="6"/>
        </w:rPr>
      </w:pPr>
    </w:p>
    <w:p>
      <w:pPr>
        <w:spacing w:before="62"/>
        <w:ind w:left="408" w:right="0" w:firstLine="0"/>
        <w:jc w:val="left"/>
        <w:rPr>
          <w:sz w:val="14"/>
        </w:rPr>
      </w:pPr>
      <w:r>
        <w:rPr>
          <w:sz w:val="14"/>
        </w:rPr>
        <w:t>10%</w:t>
      </w:r>
    </w:p>
    <w:p>
      <w:pPr>
        <w:pStyle w:val="BodyText"/>
        <w:spacing w:before="5"/>
        <w:rPr>
          <w:sz w:val="6"/>
        </w:rPr>
      </w:pPr>
    </w:p>
    <w:p>
      <w:pPr>
        <w:spacing w:before="63"/>
        <w:ind w:left="491" w:right="0" w:firstLine="0"/>
        <w:jc w:val="left"/>
        <w:rPr>
          <w:sz w:val="14"/>
        </w:rPr>
      </w:pPr>
      <w:r>
        <w:rPr>
          <w:sz w:val="14"/>
        </w:rPr>
        <w:t>0%</w:t>
      </w:r>
    </w:p>
    <w:p>
      <w:pPr>
        <w:pStyle w:val="BodyText"/>
        <w:spacing w:before="5"/>
        <w:rPr>
          <w:sz w:val="6"/>
        </w:rPr>
      </w:pPr>
    </w:p>
    <w:p>
      <w:pPr>
        <w:spacing w:before="63"/>
        <w:ind w:left="348" w:right="0" w:firstLine="0"/>
        <w:jc w:val="left"/>
        <w:rPr>
          <w:sz w:val="14"/>
        </w:rPr>
      </w:pPr>
      <w:r>
        <w:rPr>
          <w:sz w:val="14"/>
        </w:rPr>
        <w:t>-10%</w:t>
      </w:r>
    </w:p>
    <w:p>
      <w:pPr>
        <w:pStyle w:val="BodyText"/>
        <w:spacing w:before="6"/>
        <w:rPr>
          <w:sz w:val="17"/>
        </w:rPr>
      </w:pPr>
      <w:r>
        <w:pict>
          <v:shape id="_x0000_s1043" style="width:515.65pt;height:0.1pt;margin-top:18.42pt;margin-left:35.4pt;mso-position-horizontal-relative:page;mso-wrap-distance-left:0;mso-wrap-distance-right:0;position:absolute;z-index:-251644928" coordorigin="708,368" coordsize="10313,0" path="m708,368l11020,368e" filled="f" stroked="t" strokecolor="#4b4d4f" strokeweight="0.96pt">
            <v:stroke dashstyle="solid"/>
            <v:path arrowok="t"/>
            <w10:wrap type="topAndBottom"/>
          </v:shape>
        </w:pict>
      </w:r>
    </w:p>
    <w:p>
      <w:pPr>
        <w:spacing w:before="0" w:line="236" w:lineRule="exact"/>
        <w:ind w:left="215" w:right="0" w:firstLine="0"/>
        <w:jc w:val="left"/>
        <w:rPr>
          <w:sz w:val="15"/>
        </w:rPr>
      </w:pPr>
      <w:r>
        <w:t xml:space="preserve">资料来源：wind， </w:t>
      </w:r>
    </w:p>
    <w:p>
      <w:pPr>
        <w:spacing w:after="0" w:line="236" w:lineRule="exact"/>
        <w:jc w:val="left"/>
        <w:rPr>
          <w:sz w:val="15"/>
        </w:rPr>
        <w:sectPr>
          <w:headerReference w:type="default" r:id="rId8"/>
          <w:footerReference w:type="default" r:id="rId9"/>
          <w:pgSz w:w="11910" w:h="16840"/>
          <w:pgMar w:top="1660" w:right="600" w:bottom="740" w:left="600" w:header="708" w:footer="708"/>
          <w:pgNumType w:start="2"/>
          <w:cols w:space="708"/>
        </w:sectPr>
      </w:pPr>
    </w:p>
    <w:p>
      <w:pPr>
        <w:pStyle w:val="BodyText"/>
        <w:spacing w:before="1"/>
        <w:rPr>
          <w:sz w:val="13"/>
        </w:rPr>
      </w:pPr>
    </w:p>
    <w:p>
      <w:pPr>
        <w:pStyle w:val="Heading1"/>
        <w:numPr>
          <w:ilvl w:val="0"/>
          <w:numId w:val="10"/>
        </w:numPr>
        <w:tabs>
          <w:tab w:val="left" w:pos="394"/>
        </w:tabs>
        <w:spacing w:before="15" w:after="0" w:line="240" w:lineRule="auto"/>
        <w:ind w:left="393" w:right="0" w:hanging="287"/>
        <w:jc w:val="left"/>
      </w:pPr>
      <w:bookmarkStart w:id="1" w:name="_TOC_250013"/>
      <w:bookmarkEnd w:id="1"/>
      <w:r>
        <w:rPr>
          <w:color w:val="C00000"/>
        </w:rPr>
        <w:t>垃圾焚烧：专业化、双密集、垄断性</w:t>
      </w:r>
    </w:p>
    <w:p>
      <w:pPr>
        <w:pStyle w:val="BodyText"/>
        <w:spacing w:before="100" w:line="235" w:lineRule="auto"/>
        <w:ind w:left="107" w:right="3512" w:firstLine="420"/>
        <w:jc w:val="both"/>
      </w:pPr>
      <w:r>
        <w:rPr>
          <w:color w:val="333333"/>
          <w:spacing w:val="-1"/>
        </w:rPr>
        <w:t>垃圾焚烧发电企业上游主要包括环卫服务</w:t>
      </w:r>
      <w:r>
        <w:rPr>
          <w:color w:val="333333"/>
        </w:rPr>
        <w:t>（收转运</w:t>
      </w:r>
      <w:r>
        <w:rPr>
          <w:color w:val="333333"/>
          <w:spacing w:val="-99"/>
        </w:rPr>
        <w:t>）</w:t>
      </w:r>
      <w:r>
        <w:rPr>
          <w:color w:val="333333"/>
          <w:spacing w:val="-6"/>
        </w:rPr>
        <w:t>、垃圾处理设备；中游包</w:t>
      </w:r>
      <w:r>
        <w:rPr>
          <w:color w:val="333333"/>
          <w:spacing w:val="-7"/>
        </w:rPr>
        <w:t>括以垃圾焚烧发电厂为核心的相关招标代理、建设、监理等机构；下游既包括用电</w:t>
      </w:r>
      <w:r>
        <w:rPr>
          <w:color w:val="333333"/>
          <w:w w:val="99"/>
        </w:rPr>
        <w:t>单位（居民、工商业等</w:t>
      </w:r>
      <w:r>
        <w:rPr>
          <w:color w:val="333333"/>
          <w:spacing w:val="-101"/>
          <w:w w:val="99"/>
        </w:rPr>
        <w:t>）</w:t>
      </w:r>
      <w:r>
        <w:rPr>
          <w:color w:val="333333"/>
          <w:w w:val="99"/>
        </w:rPr>
        <w:t>，也包括再生资源化产品用户（建筑业、冶炼行业等</w:t>
      </w:r>
      <w:r>
        <w:rPr>
          <w:color w:val="333333"/>
          <w:spacing w:val="-100"/>
          <w:w w:val="99"/>
        </w:rPr>
        <w:t>）</w:t>
      </w:r>
      <w:r>
        <w:rPr>
          <w:color w:val="333333"/>
          <w:w w:val="99"/>
        </w:rPr>
        <w:t>。</w:t>
      </w:r>
    </w:p>
    <w:p>
      <w:pPr>
        <w:pStyle w:val="BodyText"/>
        <w:spacing w:before="118" w:line="235" w:lineRule="auto"/>
        <w:ind w:left="107" w:right="3515" w:firstLine="420"/>
        <w:jc w:val="both"/>
      </w:pPr>
      <w:r>
        <w:rPr>
          <w:color w:val="333333"/>
          <w:spacing w:val="-8"/>
        </w:rPr>
        <w:t>垃圾焚烧发电行业能够有效的解决垃圾处置问题，将污染物“变废为宝”并向</w:t>
      </w:r>
      <w:r>
        <w:rPr>
          <w:color w:val="333333"/>
          <w:spacing w:val="-11"/>
        </w:rPr>
        <w:t>下游用户供电，进而实现垃圾的减量化、无害化及资源化，是当前最主要的垃圾处</w:t>
      </w:r>
      <w:r>
        <w:rPr>
          <w:color w:val="333333"/>
          <w:spacing w:val="-12"/>
        </w:rPr>
        <w:t>理方式。其中，垃圾焚烧产生的炉渣、飞灰主要采用卫生填埋的处置方式，由于近</w:t>
      </w:r>
      <w:r>
        <w:rPr>
          <w:color w:val="333333"/>
          <w:spacing w:val="-8"/>
        </w:rPr>
        <w:t>几年填埋场负荷较高，炉渣、飞灰等资源化利用受到重视，可用于建筑施工、金属</w:t>
      </w:r>
      <w:r>
        <w:rPr>
          <w:color w:val="333333"/>
        </w:rPr>
        <w:t>冶炼等行业。</w:t>
      </w:r>
    </w:p>
    <w:p>
      <w:pPr>
        <w:pStyle w:val="Heading4"/>
        <w:tabs>
          <w:tab w:val="left" w:pos="10420"/>
        </w:tabs>
        <w:spacing w:before="133"/>
      </w:pPr>
      <w:r>
        <w:pict>
          <v:group id="_x0000_s1044" style="width:130.35pt;height:22.35pt;margin-top:30.76pt;margin-left:68.35pt;mso-position-horizontal-relative:page;mso-wrap-distance-left:0;mso-wrap-distance-right:0;position:absolute;z-index:-251643904" coordorigin="1367,615" coordsize="2607,447">
            <v:shape id="_x0000_s1045" style="width:2607;height:447;left:1367;position:absolute;top:615" coordorigin="1367,615" coordsize="2607,447" path="m3750,615l1367,615,1590,838,1367,1062,3750,1062,3974,838,3750,615xe" filled="t" fillcolor="#c00000" stroked="f">
              <v:fill type="solid"/>
              <v:path arrowok="t"/>
            </v:shape>
            <v:shape id="_x0000_s1046" type="#_x0000_t202" style="width:2607;height:447;left:1367;position:absolute;top:615" filled="f" stroked="f">
              <v:textbox inset="0,0,0,0">
                <w:txbxContent>
                  <w:p>
                    <w:pPr>
                      <w:spacing w:before="103"/>
                      <w:ind w:left="1124" w:right="1122" w:firstLine="0"/>
                      <w:jc w:val="center"/>
                      <w:rPr>
                        <w:b/>
                        <w:i/>
                        <w:sz w:val="16"/>
                      </w:rPr>
                    </w:pPr>
                    <w:r>
                      <w:rPr>
                        <w:b/>
                        <w:i/>
                        <w:color w:val="FFFFFF"/>
                        <w:sz w:val="16"/>
                      </w:rPr>
                      <w:t>上游</w:t>
                    </w:r>
                  </w:p>
                </w:txbxContent>
              </v:textbox>
            </v:shape>
            <w10:wrap type="topAndBottom"/>
          </v:group>
        </w:pict>
      </w:r>
      <w:r>
        <w:pict>
          <v:group id="_x0000_s1047" style="width:130.3pt;height:22.3pt;margin-top:31.26pt;margin-left:220.15pt;mso-position-horizontal-relative:page;mso-wrap-distance-left:0;mso-wrap-distance-right:0;position:absolute;z-index:-251642880" coordorigin="4403,625" coordsize="2606,446">
            <v:shape id="_x0000_s1048" style="width:2606;height:446;left:4403;position:absolute;top:625" coordorigin="4403,625" coordsize="2606,446" path="m6786,625l4403,625,4626,848,4403,1071,6786,1071,7009,848,6786,625xe" filled="t" fillcolor="#c00000" stroked="f">
              <v:fill type="solid"/>
              <v:path arrowok="t"/>
            </v:shape>
            <v:shape id="_x0000_s1049" type="#_x0000_t202" style="width:2606;height:446;left:4403;position:absolute;top:625" filled="f" stroked="f">
              <v:textbox inset="0,0,0,0">
                <w:txbxContent>
                  <w:p>
                    <w:pPr>
                      <w:spacing w:before="103"/>
                      <w:ind w:left="1124" w:right="1120" w:firstLine="0"/>
                      <w:jc w:val="center"/>
                      <w:rPr>
                        <w:b/>
                        <w:i/>
                        <w:sz w:val="16"/>
                      </w:rPr>
                    </w:pPr>
                    <w:r>
                      <w:rPr>
                        <w:b/>
                        <w:i/>
                        <w:color w:val="FFFFFF"/>
                        <w:sz w:val="16"/>
                      </w:rPr>
                      <w:t>中游</w:t>
                    </w:r>
                  </w:p>
                </w:txbxContent>
              </v:textbox>
            </v:shape>
            <w10:wrap type="topAndBottom"/>
          </v:group>
        </w:pict>
      </w:r>
      <w:r>
        <w:pict>
          <v:group id="_x0000_s1050" style="width:130.3pt;height:22.25pt;margin-top:31.31pt;margin-left:370.98pt;mso-position-horizontal-relative:page;mso-wrap-distance-left:0;mso-wrap-distance-right:0;position:absolute;z-index:-251641856" coordorigin="7420,626" coordsize="2606,445">
            <v:shape id="_x0000_s1051" style="width:2606;height:445;left:7419;position:absolute;top:626" coordorigin="7420,626" coordsize="2606,445" path="m9803,626l7420,626,7642,849,7420,1071,9803,1071,10026,849,9803,626xe" filled="t" fillcolor="#c00000" stroked="f">
              <v:fill type="solid"/>
              <v:path arrowok="t"/>
            </v:shape>
            <v:shape id="_x0000_s1052" type="#_x0000_t202" style="width:2606;height:445;left:7419;position:absolute;top:626" filled="f" stroked="f">
              <v:textbox inset="0,0,0,0">
                <w:txbxContent>
                  <w:p>
                    <w:pPr>
                      <w:spacing w:before="102"/>
                      <w:ind w:left="1125" w:right="1120" w:firstLine="0"/>
                      <w:jc w:val="center"/>
                      <w:rPr>
                        <w:b/>
                        <w:i/>
                        <w:sz w:val="16"/>
                      </w:rPr>
                    </w:pPr>
                    <w:r>
                      <w:rPr>
                        <w:b/>
                        <w:i/>
                        <w:color w:val="FFFFFF"/>
                        <w:sz w:val="16"/>
                      </w:rPr>
                      <w:t>下游</w:t>
                    </w:r>
                  </w:p>
                </w:txbxContent>
              </v:textbox>
            </v:shape>
            <w10:wrap type="topAndBottom"/>
          </v:group>
        </w:pict>
      </w: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图</w:t>
      </w:r>
      <w:r>
        <w:rPr>
          <w:i w:val="0"/>
          <w:color w:val="4B4D4F"/>
          <w:w w:val="95"/>
          <w:u w:val="single" w:color="4B4D4F"/>
        </w:rPr>
        <w:t>3</w:t>
      </w:r>
      <w:r>
        <w:rPr>
          <w:color w:val="4B4D4F"/>
          <w:w w:val="95"/>
          <w:u w:val="single" w:color="4B4D4F"/>
        </w:rPr>
        <w:t>：</w:t>
      </w:r>
      <w:r>
        <w:rPr>
          <w:color w:val="585858"/>
          <w:w w:val="95"/>
          <w:u w:val="single" w:color="4B4D4F"/>
        </w:rPr>
        <w:t>垃圾焚烧发电产业</w:t>
      </w:r>
      <w:r>
        <w:rPr>
          <w:color w:val="4B4D4F"/>
          <w:w w:val="95"/>
          <w:u w:val="single" w:color="4B4D4F"/>
        </w:rPr>
        <w:t>链分析</w:t>
      </w:r>
      <w:r>
        <w:rPr>
          <w:color w:val="4B4D4F"/>
          <w:u w:val="single" w:color="4B4D4F"/>
        </w:rPr>
        <w:tab/>
      </w:r>
    </w:p>
    <w:p>
      <w:pPr>
        <w:pStyle w:val="BodyText"/>
        <w:spacing w:before="4"/>
        <w:rPr>
          <w:b/>
          <w:i/>
          <w:sz w:val="11"/>
        </w:rPr>
      </w:pPr>
    </w:p>
    <w:p>
      <w:pPr>
        <w:tabs>
          <w:tab w:val="left" w:pos="1745"/>
          <w:tab w:val="left" w:pos="2815"/>
          <w:tab w:val="left" w:pos="4395"/>
          <w:tab w:val="left" w:pos="4752"/>
          <w:tab w:val="left" w:pos="5823"/>
          <w:tab w:val="left" w:pos="7421"/>
          <w:tab w:val="left" w:pos="7813"/>
          <w:tab w:val="left" w:pos="8849"/>
        </w:tabs>
        <w:spacing w:before="61"/>
        <w:ind w:left="1387" w:right="0" w:firstLine="0"/>
        <w:jc w:val="left"/>
        <w:rPr>
          <w:b/>
          <w:i/>
          <w:sz w:val="16"/>
        </w:rPr>
      </w:pPr>
      <w:r>
        <w:rPr>
          <w:rFonts w:ascii="Times New Roman" w:eastAsia="Times New Roman"/>
          <w:color w:val="FFFFFF"/>
          <w:w w:val="100"/>
          <w:position w:val="1"/>
          <w:sz w:val="16"/>
          <w:shd w:val="clear" w:color="auto" w:fill="C00000"/>
        </w:rPr>
        <w:t xml:space="preserve"> </w:t>
      </w:r>
      <w:r>
        <w:rPr>
          <w:rFonts w:ascii="Times New Roman" w:eastAsia="Times New Roman"/>
          <w:color w:val="FFFFFF"/>
          <w:position w:val="1"/>
          <w:sz w:val="16"/>
          <w:shd w:val="clear" w:color="auto" w:fill="C00000"/>
        </w:rPr>
        <w:tab/>
      </w:r>
      <w:r>
        <w:rPr>
          <w:b/>
          <w:i/>
          <w:color w:val="FFFFFF"/>
          <w:position w:val="1"/>
          <w:sz w:val="16"/>
          <w:shd w:val="clear" w:color="auto" w:fill="C00000"/>
        </w:rPr>
        <w:t>转运</w:t>
      </w:r>
      <w:r>
        <w:rPr>
          <w:b/>
          <w:color w:val="FFFFFF"/>
          <w:position w:val="1"/>
          <w:sz w:val="16"/>
          <w:shd w:val="clear" w:color="auto" w:fill="C00000"/>
        </w:rPr>
        <w:t>/</w:t>
      </w:r>
      <w:r>
        <w:rPr>
          <w:b/>
          <w:i/>
          <w:color w:val="FFFFFF"/>
          <w:spacing w:val="-3"/>
          <w:position w:val="1"/>
          <w:sz w:val="16"/>
          <w:shd w:val="clear" w:color="auto" w:fill="C00000"/>
        </w:rPr>
        <w:t>设</w:t>
      </w:r>
      <w:r>
        <w:rPr>
          <w:b/>
          <w:i/>
          <w:color w:val="FFFFFF"/>
          <w:position w:val="1"/>
          <w:sz w:val="16"/>
          <w:shd w:val="clear" w:color="auto" w:fill="C00000"/>
        </w:rPr>
        <w:t>备</w:t>
        <w:tab/>
      </w:r>
      <w:r>
        <w:rPr>
          <w:b/>
          <w:i/>
          <w:color w:val="FFFFFF"/>
          <w:position w:val="1"/>
          <w:sz w:val="16"/>
        </w:rPr>
        <w:tab/>
      </w:r>
      <w:r>
        <w:rPr>
          <w:b/>
          <w:i/>
          <w:color w:val="FFFFFF"/>
          <w:sz w:val="16"/>
          <w:shd w:val="clear" w:color="auto" w:fill="C00000"/>
        </w:rPr>
        <w:tab/>
        <w:t>建设</w:t>
      </w:r>
      <w:r>
        <w:rPr>
          <w:b/>
          <w:color w:val="FFFFFF"/>
          <w:sz w:val="16"/>
          <w:shd w:val="clear" w:color="auto" w:fill="C00000"/>
        </w:rPr>
        <w:t>/</w:t>
      </w:r>
      <w:r>
        <w:rPr>
          <w:b/>
          <w:i/>
          <w:color w:val="FFFFFF"/>
          <w:spacing w:val="-3"/>
          <w:sz w:val="16"/>
          <w:shd w:val="clear" w:color="auto" w:fill="C00000"/>
        </w:rPr>
        <w:t>运</w:t>
      </w:r>
      <w:r>
        <w:rPr>
          <w:b/>
          <w:i/>
          <w:color w:val="FFFFFF"/>
          <w:sz w:val="16"/>
          <w:shd w:val="clear" w:color="auto" w:fill="C00000"/>
        </w:rPr>
        <w:t>维</w:t>
        <w:tab/>
      </w:r>
      <w:r>
        <w:rPr>
          <w:b/>
          <w:i/>
          <w:color w:val="FFFFFF"/>
          <w:sz w:val="16"/>
        </w:rPr>
        <w:tab/>
      </w:r>
      <w:r>
        <w:rPr>
          <w:b/>
          <w:i/>
          <w:color w:val="FFFFFF"/>
          <w:position w:val="1"/>
          <w:sz w:val="16"/>
          <w:shd w:val="clear" w:color="auto" w:fill="C00000"/>
        </w:rPr>
        <w:tab/>
        <w:t>终端用户</w:t>
        <w:tab/>
      </w:r>
    </w:p>
    <w:p>
      <w:pPr>
        <w:pStyle w:val="BodyText"/>
        <w:spacing w:before="18"/>
        <w:rPr>
          <w:b/>
          <w:i/>
          <w:sz w:val="15"/>
        </w:rPr>
      </w:pPr>
    </w:p>
    <w:p>
      <w:pPr>
        <w:spacing w:after="0"/>
        <w:rPr>
          <w:sz w:val="15"/>
        </w:rPr>
        <w:sectPr>
          <w:headerReference w:type="default" r:id="rId10"/>
          <w:footerReference w:type="default" r:id="rId11"/>
          <w:pgSz w:w="11910" w:h="16840"/>
          <w:pgMar w:top="1660" w:right="600" w:bottom="740" w:left="600" w:header="708" w:footer="708"/>
          <w:pgNumType w:start="3"/>
          <w:cols w:space="708"/>
        </w:sectPr>
      </w:pPr>
    </w:p>
    <w:p>
      <w:pPr>
        <w:tabs>
          <w:tab w:val="left" w:pos="2594"/>
          <w:tab w:val="left" w:pos="3629"/>
        </w:tabs>
        <w:spacing w:before="59"/>
        <w:ind w:left="2201" w:right="0" w:firstLine="0"/>
        <w:jc w:val="left"/>
        <w:rPr>
          <w:b/>
          <w:i/>
          <w:sz w:val="16"/>
        </w:rPr>
      </w:pPr>
      <w:r>
        <w:pict>
          <v:shape id="_x0000_s1053" type="#_x0000_t202" style="width:71.4pt;height:20.2pt;margin-top:0.32pt;margin-left:58.37pt;mso-position-horizontal-relative:page;position:absolute;z-index:251676672" filled="t" fillcolor="#c00000" stroked="f">
            <v:fill type="solid"/>
            <v:textbox inset="0,0,0,0">
              <w:txbxContent>
                <w:p>
                  <w:pPr>
                    <w:spacing w:before="52"/>
                    <w:ind w:left="234" w:right="0" w:firstLine="0"/>
                    <w:jc w:val="left"/>
                    <w:rPr>
                      <w:b/>
                      <w:i/>
                      <w:sz w:val="16"/>
                    </w:rPr>
                  </w:pPr>
                  <w:r>
                    <w:rPr>
                      <w:b/>
                      <w:i/>
                      <w:color w:val="FFFFFF"/>
                      <w:sz w:val="16"/>
                    </w:rPr>
                    <w:t>城市生活垃圾</w:t>
                  </w:r>
                </w:p>
              </w:txbxContent>
            </v:textbox>
          </v:shape>
        </w:pict>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工业固废</w:t>
        <w:tab/>
      </w:r>
    </w:p>
    <w:p>
      <w:pPr>
        <w:pStyle w:val="BodyText"/>
        <w:rPr>
          <w:b/>
          <w:i/>
          <w:sz w:val="2"/>
        </w:rPr>
      </w:pPr>
    </w:p>
    <w:p>
      <w:pPr>
        <w:pStyle w:val="BodyText"/>
        <w:tabs>
          <w:tab w:val="left" w:pos="2486"/>
        </w:tabs>
        <w:ind w:left="1620"/>
      </w:pPr>
      <w:r>
        <w:pict>
          <v:group id="_x0000_i1054" style="width:6pt;height:22.15pt;mso-position-horizontal-relative:char;mso-position-vertical-relative:line" coordorigin="0,0" coordsize="120,443">
            <v:shape id="_x0000_s1055" style="width:120;height:443;position:absolute" coordorigin="0,0" coordsize="120,443" path="m48,323l,323,60,443,110,343,48,343,48,323xm73,l48,,48,343,73,343,73,xm120,323l73,323,73,343,110,343,120,323xe" filled="t" fillcolor="#7e7e7e" stroked="f">
              <v:fill type="solid"/>
              <v:path arrowok="t"/>
            </v:shape>
            <w10:wrap type="none"/>
          </v:group>
        </w:pict>
      </w:r>
      <w:r>
        <w:tab/>
      </w:r>
      <w:r>
        <w:pict>
          <v:group id="_x0000_i1056" style="width:6pt;height:22.1pt;mso-position-horizontal-relative:char;mso-position-vertical-relative:line" coordorigin="0,0" coordsize="120,442">
            <v:shape id="_x0000_s1057" style="width:120;height:442;position:absolute" coordorigin="0,0" coordsize="120,442" path="m48,322l,322,60,442,110,342,48,342,48,322xm73,l48,,48,342,73,342,73,xm120,322l73,322,73,342,110,342,120,322xe" filled="t" fillcolor="#7e7e7e" stroked="f">
              <v:fill type="solid"/>
              <v:path arrowok="t"/>
            </v:shape>
            <w10:wrap type="none"/>
          </v:group>
        </w:pict>
      </w:r>
    </w:p>
    <w:p>
      <w:pPr>
        <w:tabs>
          <w:tab w:val="left" w:pos="912"/>
          <w:tab w:val="left" w:pos="2292"/>
        </w:tabs>
        <w:spacing w:before="59"/>
        <w:ind w:left="651" w:right="0" w:firstLine="0"/>
        <w:jc w:val="left"/>
        <w:rPr>
          <w:b/>
          <w:i/>
          <w:sz w:val="16"/>
        </w:rPr>
      </w:pPr>
      <w:r>
        <w:br w:type="column"/>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工程施</w:t>
      </w:r>
      <w:r>
        <w:rPr>
          <w:b/>
          <w:i/>
          <w:color w:val="FFFFFF"/>
          <w:spacing w:val="-3"/>
          <w:sz w:val="16"/>
          <w:shd w:val="clear" w:color="auto" w:fill="C00000"/>
        </w:rPr>
        <w:t>工</w:t>
      </w:r>
      <w:r>
        <w:rPr>
          <w:b/>
          <w:i/>
          <w:color w:val="FFFFFF"/>
          <w:sz w:val="16"/>
          <w:shd w:val="clear" w:color="auto" w:fill="C00000"/>
        </w:rPr>
        <w:t>、监理</w:t>
        <w:tab/>
      </w:r>
    </w:p>
    <w:p>
      <w:pPr>
        <w:pStyle w:val="BodyText"/>
        <w:spacing w:before="13"/>
        <w:rPr>
          <w:b/>
          <w:i/>
          <w:sz w:val="18"/>
        </w:rPr>
      </w:pPr>
      <w:r>
        <w:br w:type="column"/>
      </w:r>
    </w:p>
    <w:p>
      <w:pPr>
        <w:spacing w:before="0" w:line="282" w:lineRule="exact"/>
        <w:ind w:left="791" w:right="0" w:firstLine="0"/>
        <w:jc w:val="left"/>
        <w:rPr>
          <w:b/>
          <w:i/>
          <w:sz w:val="16"/>
        </w:rPr>
      </w:pPr>
      <w:r>
        <w:rPr>
          <w:b/>
          <w:i/>
          <w:sz w:val="16"/>
        </w:rPr>
        <w:t>用电</w:t>
      </w:r>
    </w:p>
    <w:p>
      <w:pPr>
        <w:tabs>
          <w:tab w:val="left" w:pos="1660"/>
          <w:tab w:val="left" w:pos="2958"/>
        </w:tabs>
        <w:spacing w:before="0" w:line="282" w:lineRule="exact"/>
        <w:ind w:left="1318" w:right="0" w:firstLine="0"/>
        <w:jc w:val="left"/>
        <w:rPr>
          <w:b/>
          <w:i/>
          <w:sz w:val="16"/>
        </w:rPr>
      </w:pPr>
      <w:r>
        <w:pict>
          <v:group id="_x0000_s1058" style="width:80.35pt;height:104.85pt;margin-top:4.01pt;margin-left:322.26pt;mso-position-horizontal-relative:page;position:absolute;z-index:-251640832" coordorigin="6445,80" coordsize="1607,2097">
            <v:shape id="_x0000_s1059" style="width:611;height:120;left:7272;position:absolute;top:80" coordorigin="7273,80" coordsize="611,120" path="m7763,80l7763,200,7858,153,7783,153,7783,128,7859,128,7763,80xm7763,128l7273,128,7273,153,7763,153,7763,128xm7859,128l7783,128,7783,153,7858,153,7883,140,7859,128xe" filled="t" fillcolor="#7e7e7e" stroked="f">
              <v:fill type="solid"/>
              <v:path arrowok="t"/>
            </v:shape>
            <v:shape id="_x0000_s1060" style="width:850;height:2006;left:6445;position:absolute;top:125" coordorigin="6445,126" coordsize="850,2006" path="m6445,1064l7273,1064m7294,126l7294,2131e" filled="f" stroked="t" strokecolor="#7e7e7e" strokeweight="1.5pt">
              <v:stroke dashstyle="solid"/>
              <v:path arrowok="t"/>
            </v:shape>
            <v:shape id="_x0000_s1061" style="width:613;height:1169;left:7291;position:absolute;top:1008" coordorigin="7292,1009" coordsize="613,1169" path="m7902,2117l7877,2105,7782,2057,7782,2105,7292,2105,7292,2130,7782,2130,7782,2177,7877,2130,7902,2117m7904,1069l7880,1056,7784,1009,7784,1056,7294,1056,7294,1081,7784,1081,7784,1129,7879,1081,7904,1069e" filled="t" fillcolor="#7e7e7e" stroked="f">
              <v:fill type="solid"/>
              <v:path arrowok="t"/>
            </v:shape>
            <v:shape id="_x0000_s1062" type="#_x0000_t202" style="width:822;height:213;left:7230;position:absolute;top:642" filled="f" stroked="f">
              <v:textbox inset="0,0,0,0">
                <w:txbxContent>
                  <w:p>
                    <w:pPr>
                      <w:spacing w:before="0" w:line="212" w:lineRule="exact"/>
                      <w:ind w:left="0" w:right="0" w:firstLine="0"/>
                      <w:jc w:val="left"/>
                      <w:rPr>
                        <w:b/>
                        <w:i/>
                        <w:sz w:val="16"/>
                      </w:rPr>
                    </w:pPr>
                    <w:r>
                      <w:rPr>
                        <w:b/>
                        <w:i/>
                        <w:sz w:val="16"/>
                      </w:rPr>
                      <w:t>炉渣资源化</w:t>
                    </w:r>
                  </w:p>
                </w:txbxContent>
              </v:textbox>
            </v:shape>
            <v:shape id="_x0000_s1063" type="#_x0000_t202" style="width:822;height:213;left:7175;position:absolute;top:1720" filled="f" stroked="f">
              <v:textbox inset="0,0,0,0">
                <w:txbxContent>
                  <w:p>
                    <w:pPr>
                      <w:spacing w:before="0" w:line="212" w:lineRule="exact"/>
                      <w:ind w:left="0" w:right="0" w:firstLine="0"/>
                      <w:jc w:val="left"/>
                      <w:rPr>
                        <w:b/>
                        <w:i/>
                        <w:sz w:val="16"/>
                      </w:rPr>
                    </w:pPr>
                    <w:r>
                      <w:rPr>
                        <w:b/>
                        <w:i/>
                        <w:sz w:val="16"/>
                      </w:rPr>
                      <w:t>飞灰资源化</w:t>
                    </w:r>
                  </w:p>
                </w:txbxContent>
              </v:textbox>
            </v:shape>
          </v:group>
        </w:pict>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居民、</w:t>
      </w:r>
      <w:r>
        <w:rPr>
          <w:b/>
          <w:i/>
          <w:color w:val="FFFFFF"/>
          <w:spacing w:val="-3"/>
          <w:sz w:val="16"/>
          <w:shd w:val="clear" w:color="auto" w:fill="C00000"/>
        </w:rPr>
        <w:t>工</w:t>
      </w:r>
      <w:r>
        <w:rPr>
          <w:b/>
          <w:i/>
          <w:color w:val="FFFFFF"/>
          <w:sz w:val="16"/>
          <w:shd w:val="clear" w:color="auto" w:fill="C00000"/>
        </w:rPr>
        <w:t>商业</w:t>
        <w:tab/>
      </w:r>
    </w:p>
    <w:p>
      <w:pPr>
        <w:spacing w:after="0" w:line="282" w:lineRule="exact"/>
        <w:jc w:val="left"/>
        <w:rPr>
          <w:sz w:val="16"/>
        </w:rPr>
        <w:sectPr>
          <w:headerReference w:type="default" r:id="rId12"/>
          <w:footerReference w:type="default" r:id="rId13"/>
          <w:type w:val="continuous"/>
          <w:pgSz w:w="11910" w:h="16840"/>
          <w:pgMar w:top="1660" w:right="600" w:bottom="740" w:left="600" w:header="708" w:footer="708"/>
          <w:pgNumType w:start="4"/>
          <w:cols w:num="3" w:space="708" w:equalWidth="0">
            <w:col w:w="3630" w:space="40"/>
            <w:col w:w="2293" w:space="39"/>
            <w:col w:w="4708" w:space="0"/>
          </w:cols>
        </w:sectPr>
      </w:pPr>
    </w:p>
    <w:p>
      <w:pPr>
        <w:pStyle w:val="BodyText"/>
        <w:rPr>
          <w:b/>
          <w:i/>
        </w:rPr>
      </w:pPr>
    </w:p>
    <w:p>
      <w:pPr>
        <w:pStyle w:val="BodyText"/>
        <w:spacing w:before="2"/>
        <w:rPr>
          <w:b/>
          <w:i/>
          <w:sz w:val="12"/>
        </w:rPr>
      </w:pPr>
    </w:p>
    <w:p>
      <w:pPr>
        <w:tabs>
          <w:tab w:val="left" w:pos="340"/>
          <w:tab w:val="left" w:pos="1639"/>
        </w:tabs>
        <w:spacing w:before="59"/>
        <w:ind w:left="0" w:right="1707" w:firstLine="0"/>
        <w:jc w:val="right"/>
        <w:rPr>
          <w:b/>
          <w:i/>
          <w:sz w:val="16"/>
        </w:rPr>
      </w:pPr>
      <w:r>
        <w:pict>
          <v:group id="_x0000_s1064" style="width:221.15pt;height:73.9pt;margin-top:-32.63pt;margin-left:101.82pt;mso-position-horizontal-relative:page;position:absolute;z-index:-251638784" coordorigin="2036,-653" coordsize="4423,1478">
            <v:shape id="_x0000_s1065" style="width:600;height:1294;left:3457;position:absolute;top:-484" coordorigin="3458,-483" coordsize="600,1294" path="m3464,-483l4057,-483m3458,810l4050,810m4050,-483l4050,810e" filled="f" stroked="t" strokecolor="#7e7e7e" strokeweight="1.5pt">
              <v:stroke dashstyle="solid"/>
              <v:path arrowok="t"/>
            </v:shape>
            <v:shape id="_x0000_s1066" style="width:963;height:120;left:4068;position:absolute;top:97" coordorigin="4068,97" coordsize="963,120" path="m4911,97l4911,217,5006,170,4931,170,4931,145,5006,145,4911,97xm4911,145l4068,145,4068,170,4911,170,4911,145xm5006,145l4931,145,4931,170,5006,170,5031,157,5006,145xe" filled="t" fillcolor="#7e7e7e" stroked="f">
              <v:fill type="solid"/>
              <v:path arrowok="t"/>
            </v:shape>
            <v:shape id="_x0000_s1067" type="#_x0000_t202" style="width:1428;height:684;left:5030;position:absolute;top:-119" filled="t" fillcolor="#c00000" stroked="f">
              <v:fill type="solid"/>
              <v:textbox inset="0,0,0,0">
                <w:txbxContent>
                  <w:p>
                    <w:pPr>
                      <w:spacing w:before="7" w:line="240" w:lineRule="auto"/>
                      <w:rPr>
                        <w:sz w:val="10"/>
                      </w:rPr>
                    </w:pPr>
                  </w:p>
                  <w:p>
                    <w:pPr>
                      <w:spacing w:before="0"/>
                      <w:ind w:left="235" w:right="0" w:firstLine="0"/>
                      <w:jc w:val="left"/>
                      <w:rPr>
                        <w:b/>
                        <w:i/>
                        <w:sz w:val="16"/>
                      </w:rPr>
                    </w:pPr>
                    <w:r>
                      <w:rPr>
                        <w:b/>
                        <w:i/>
                        <w:color w:val="FFFFFF"/>
                        <w:sz w:val="16"/>
                      </w:rPr>
                      <w:t>垃圾焚烧发电</w:t>
                    </w:r>
                  </w:p>
                </w:txbxContent>
              </v:textbox>
            </v:shape>
            <v:shape id="_x0000_s1068" type="#_x0000_t202" style="width:1422;height:402;left:2036;position:absolute;top:-653" filled="t" fillcolor="#c00000" stroked="f">
              <v:fill type="solid"/>
              <v:textbox inset="0,0,0,0">
                <w:txbxContent>
                  <w:p>
                    <w:pPr>
                      <w:spacing w:before="51"/>
                      <w:ind w:left="313" w:right="0" w:firstLine="0"/>
                      <w:jc w:val="left"/>
                      <w:rPr>
                        <w:b/>
                        <w:i/>
                        <w:sz w:val="16"/>
                      </w:rPr>
                    </w:pPr>
                    <w:r>
                      <w:rPr>
                        <w:b/>
                        <w:i/>
                        <w:color w:val="FFFFFF"/>
                        <w:sz w:val="16"/>
                      </w:rPr>
                      <w:t>垃圾收转运</w:t>
                    </w:r>
                  </w:p>
                </w:txbxContent>
              </v:textbox>
            </v:shape>
          </v:group>
        </w:pict>
      </w:r>
      <w:r>
        <w:pict>
          <v:shape id="_x0000_s1069" style="width:6pt;height:48.65pt;margin-top:-54.52pt;margin-left:284.22pt;mso-position-horizontal-relative:page;position:absolute;z-index:251678720" coordorigin="5684,-1090" coordsize="120,973" path="m5732,-238l5684,-238,5745,-118,5794,-218,5732,-218,5732,-238xm5757,-238l5732,-238,5732,-218,5757,-218,5757,-238xm5804,-238l5757,-238,5757,-218,5732,-218,5794,-218,5804,-238xm5754,-1090l5729,-1090,5732,-238,5757,-238,5754,-1090xe" filled="t" fillcolor="#7e7e7e" stroked="f">
            <v:fill type="solid"/>
            <v:path arrowok="t"/>
          </v:shape>
        </w:pict>
      </w:r>
      <w:r>
        <w:pict>
          <v:shape id="_x0000_s1070" style="width:6pt;height:60.2pt;margin-top:27.01pt;margin-left:285.04pt;mso-position-horizontal-relative:page;position:absolute;z-index:251679744" coordorigin="5701,540" coordsize="120,1204" path="m5773,640l5748,640,5748,1744,5773,1744,5773,640xm5761,540l5701,660,5748,660,5748,640,5811,640,5761,540xm5811,640l5773,640,5773,660,5821,660,5811,640xe" filled="t" fillcolor="#7e7e7e" stroked="f">
            <v:fill type="solid"/>
            <v:path arrowok="t"/>
          </v:shape>
        </w:pict>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建筑施</w:t>
      </w:r>
      <w:r>
        <w:rPr>
          <w:b/>
          <w:i/>
          <w:color w:val="FFFFFF"/>
          <w:spacing w:val="-3"/>
          <w:sz w:val="16"/>
          <w:shd w:val="clear" w:color="auto" w:fill="C00000"/>
        </w:rPr>
        <w:t>工</w:t>
      </w:r>
      <w:r>
        <w:rPr>
          <w:b/>
          <w:i/>
          <w:color w:val="FFFFFF"/>
          <w:sz w:val="16"/>
          <w:shd w:val="clear" w:color="auto" w:fill="C00000"/>
        </w:rPr>
        <w:t>单位</w:t>
        <w:tab/>
      </w:r>
    </w:p>
    <w:p>
      <w:pPr>
        <w:pStyle w:val="BodyText"/>
        <w:spacing w:before="9"/>
        <w:rPr>
          <w:b/>
          <w:i/>
          <w:sz w:val="14"/>
        </w:rPr>
      </w:pPr>
    </w:p>
    <w:p>
      <w:pPr>
        <w:spacing w:after="0"/>
        <w:rPr>
          <w:sz w:val="14"/>
        </w:rPr>
        <w:sectPr>
          <w:headerReference w:type="default" r:id="rId14"/>
          <w:footerReference w:type="default" r:id="rId15"/>
          <w:type w:val="continuous"/>
          <w:pgSz w:w="11910" w:h="16840"/>
          <w:pgMar w:top="1660" w:right="600" w:bottom="740" w:left="600" w:header="708" w:footer="708"/>
          <w:pgNumType w:start="5"/>
          <w:cols w:space="708"/>
        </w:sectPr>
      </w:pPr>
    </w:p>
    <w:p>
      <w:pPr>
        <w:tabs>
          <w:tab w:val="left" w:pos="2852"/>
        </w:tabs>
        <w:spacing w:before="60"/>
        <w:ind w:left="1424" w:right="0" w:firstLine="0"/>
        <w:jc w:val="left"/>
        <w:rPr>
          <w:b/>
          <w:i/>
          <w:sz w:val="16"/>
        </w:rPr>
      </w:pP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 xml:space="preserve">    </w:t>
      </w:r>
      <w:r>
        <w:rPr>
          <w:rFonts w:ascii="Times New Roman" w:eastAsia="Times New Roman"/>
          <w:color w:val="FFFFFF"/>
          <w:spacing w:val="-6"/>
          <w:sz w:val="16"/>
          <w:shd w:val="clear" w:color="auto" w:fill="C00000"/>
        </w:rPr>
        <w:t xml:space="preserve"> </w:t>
      </w:r>
      <w:r>
        <w:rPr>
          <w:b/>
          <w:i/>
          <w:color w:val="FFFFFF"/>
          <w:sz w:val="16"/>
          <w:shd w:val="clear" w:color="auto" w:fill="C00000"/>
        </w:rPr>
        <w:t>垃圾处</w:t>
      </w:r>
      <w:r>
        <w:rPr>
          <w:b/>
          <w:i/>
          <w:color w:val="FFFFFF"/>
          <w:spacing w:val="-3"/>
          <w:sz w:val="16"/>
          <w:shd w:val="clear" w:color="auto" w:fill="C00000"/>
        </w:rPr>
        <w:t>理</w:t>
      </w:r>
      <w:r>
        <w:rPr>
          <w:b/>
          <w:i/>
          <w:color w:val="FFFFFF"/>
          <w:sz w:val="16"/>
          <w:shd w:val="clear" w:color="auto" w:fill="C00000"/>
        </w:rPr>
        <w:t>设备</w:t>
        <w:tab/>
      </w:r>
    </w:p>
    <w:p>
      <w:pPr>
        <w:pStyle w:val="BodyText"/>
        <w:rPr>
          <w:b/>
          <w:i/>
          <w:sz w:val="2"/>
        </w:rPr>
      </w:pPr>
    </w:p>
    <w:p>
      <w:pPr>
        <w:pStyle w:val="BodyText"/>
        <w:ind w:left="2049"/>
      </w:pPr>
      <w:r>
        <w:pict>
          <v:group id="_x0000_i1071" style="width:6pt;height:22.1pt;mso-position-horizontal-relative:char;mso-position-vertical-relative:line" coordorigin="0,0" coordsize="120,442">
            <v:shape id="_x0000_s1072" style="width:120;height:442;position:absolute" coordorigin="0,0" coordsize="120,442" path="m48,322l,322,60,442,110,342,48,342,48,322xm73,l48,,48,342,73,342,73,xm120,322l73,322,73,342,110,342,120,322xe" filled="t" fillcolor="#7e7e7e" stroked="f">
              <v:fill type="solid"/>
              <v:path arrowok="t"/>
            </v:shape>
            <w10:wrap type="none"/>
          </v:group>
        </w:pict>
      </w:r>
    </w:p>
    <w:p>
      <w:pPr>
        <w:pStyle w:val="BodyText"/>
        <w:rPr>
          <w:b/>
          <w:i/>
        </w:rPr>
      </w:pPr>
      <w:r>
        <w:br w:type="column"/>
      </w:r>
    </w:p>
    <w:p>
      <w:pPr>
        <w:pStyle w:val="BodyText"/>
        <w:rPr>
          <w:b/>
          <w:i/>
        </w:rPr>
      </w:pPr>
    </w:p>
    <w:p>
      <w:pPr>
        <w:pStyle w:val="BodyText"/>
        <w:spacing w:before="9"/>
        <w:rPr>
          <w:b/>
          <w:i/>
          <w:sz w:val="22"/>
        </w:rPr>
      </w:pPr>
    </w:p>
    <w:p>
      <w:pPr>
        <w:tabs>
          <w:tab w:val="left" w:pos="1724"/>
          <w:tab w:val="left" w:pos="2988"/>
        </w:tabs>
        <w:spacing w:before="0"/>
        <w:ind w:left="1424" w:right="0" w:firstLine="0"/>
        <w:jc w:val="left"/>
        <w:rPr>
          <w:b/>
          <w:i/>
          <w:sz w:val="16"/>
        </w:rPr>
      </w:pP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招标代</w:t>
      </w:r>
      <w:r>
        <w:rPr>
          <w:b/>
          <w:i/>
          <w:color w:val="FFFFFF"/>
          <w:spacing w:val="-3"/>
          <w:sz w:val="16"/>
          <w:shd w:val="clear" w:color="auto" w:fill="C00000"/>
        </w:rPr>
        <w:t>理</w:t>
      </w:r>
      <w:r>
        <w:rPr>
          <w:b/>
          <w:i/>
          <w:color w:val="FFFFFF"/>
          <w:sz w:val="16"/>
          <w:shd w:val="clear" w:color="auto" w:fill="C00000"/>
        </w:rPr>
        <w:t>机构</w:t>
        <w:tab/>
      </w:r>
    </w:p>
    <w:p>
      <w:pPr>
        <w:pStyle w:val="BodyText"/>
        <w:spacing w:before="16"/>
        <w:rPr>
          <w:b/>
          <w:i/>
          <w:sz w:val="25"/>
        </w:rPr>
      </w:pPr>
      <w:r>
        <w:br w:type="column"/>
      </w:r>
    </w:p>
    <w:p>
      <w:pPr>
        <w:tabs>
          <w:tab w:val="left" w:pos="1799"/>
          <w:tab w:val="left" w:pos="3016"/>
        </w:tabs>
        <w:spacing w:before="0"/>
        <w:ind w:left="1376" w:right="0" w:firstLine="0"/>
        <w:jc w:val="left"/>
        <w:rPr>
          <w:b/>
          <w:i/>
          <w:sz w:val="16"/>
        </w:rPr>
      </w:pPr>
      <w:r>
        <w:pict>
          <v:shape id="_x0000_s1073" type="#_x0000_t202" style="width:75.95pt;height:67pt;margin-top:19.34pt;margin-left:100.45pt;mso-position-horizontal-relative:page;position:absolute;z-index:251680768" filled="t" fillcolor="#c00000" stroked="f">
            <v:fill type="solid"/>
            <v:textbox inset="0,0,0,0">
              <w:txbxContent>
                <w:p>
                  <w:pPr>
                    <w:spacing w:before="174" w:line="211" w:lineRule="auto"/>
                    <w:ind w:left="357" w:right="356" w:firstLine="0"/>
                    <w:jc w:val="center"/>
                    <w:rPr>
                      <w:b/>
                      <w:i/>
                      <w:sz w:val="16"/>
                    </w:rPr>
                  </w:pPr>
                  <w:r>
                    <w:rPr>
                      <w:b/>
                      <w:i/>
                      <w:color w:val="FFFFFF"/>
                      <w:sz w:val="16"/>
                    </w:rPr>
                    <w:t>垃圾焚烧炉发电设备</w:t>
                  </w:r>
                </w:p>
                <w:p>
                  <w:pPr>
                    <w:spacing w:before="1" w:line="211" w:lineRule="auto"/>
                    <w:ind w:left="196" w:right="195" w:firstLine="2"/>
                    <w:jc w:val="center"/>
                    <w:rPr>
                      <w:b/>
                      <w:i/>
                      <w:sz w:val="16"/>
                    </w:rPr>
                  </w:pPr>
                  <w:r>
                    <w:rPr>
                      <w:b/>
                      <w:i/>
                      <w:color w:val="FFFFFF"/>
                      <w:spacing w:val="-1"/>
                      <w:sz w:val="16"/>
                    </w:rPr>
                    <w:t xml:space="preserve">烟气处理设备 </w:t>
                  </w:r>
                  <w:r>
                    <w:rPr>
                      <w:b/>
                      <w:i/>
                      <w:color w:val="FFFFFF"/>
                      <w:spacing w:val="-4"/>
                      <w:sz w:val="16"/>
                    </w:rPr>
                    <w:t>渗滤液处理系统</w:t>
                  </w:r>
                </w:p>
              </w:txbxContent>
            </v:textbox>
          </v:shape>
        </w:pict>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建筑、</w:t>
      </w:r>
      <w:r>
        <w:rPr>
          <w:b/>
          <w:i/>
          <w:color w:val="FFFFFF"/>
          <w:spacing w:val="-3"/>
          <w:sz w:val="16"/>
          <w:shd w:val="clear" w:color="auto" w:fill="C00000"/>
        </w:rPr>
        <w:t>冶</w:t>
      </w:r>
      <w:r>
        <w:rPr>
          <w:b/>
          <w:i/>
          <w:color w:val="FFFFFF"/>
          <w:sz w:val="16"/>
          <w:shd w:val="clear" w:color="auto" w:fill="C00000"/>
        </w:rPr>
        <w:t>金</w:t>
        <w:tab/>
      </w:r>
    </w:p>
    <w:p>
      <w:pPr>
        <w:spacing w:after="0"/>
        <w:jc w:val="left"/>
        <w:rPr>
          <w:sz w:val="16"/>
        </w:rPr>
        <w:sectPr>
          <w:headerReference w:type="default" r:id="rId16"/>
          <w:footerReference w:type="default" r:id="rId17"/>
          <w:type w:val="continuous"/>
          <w:pgSz w:w="11910" w:h="16840"/>
          <w:pgMar w:top="1660" w:right="600" w:bottom="740" w:left="600" w:header="708" w:footer="708"/>
          <w:pgNumType w:start="6"/>
          <w:cols w:num="3" w:space="708" w:equalWidth="0">
            <w:col w:w="2893" w:space="68"/>
            <w:col w:w="2989" w:space="40"/>
            <w:col w:w="4720" w:space="0"/>
          </w:cols>
        </w:sectPr>
      </w:pPr>
    </w:p>
    <w:p>
      <w:pPr>
        <w:pStyle w:val="BodyText"/>
        <w:rPr>
          <w:b/>
          <w:i/>
        </w:rPr>
      </w:pPr>
    </w:p>
    <w:p>
      <w:pPr>
        <w:pStyle w:val="BodyText"/>
        <w:spacing w:before="8" w:after="1"/>
        <w:rPr>
          <w:b/>
          <w:i/>
          <w:sz w:val="26"/>
        </w:rPr>
      </w:pPr>
    </w:p>
    <w:p>
      <w:pPr>
        <w:pStyle w:val="BodyText"/>
        <w:spacing w:line="20" w:lineRule="exact"/>
        <w:ind w:left="98"/>
        <w:rPr>
          <w:sz w:val="2"/>
        </w:rPr>
      </w:pPr>
      <w:r>
        <w:rPr>
          <w:sz w:val="2"/>
        </w:rPr>
        <w:pict>
          <v:group id="_x0000_i1074" style="width:515.65pt;height:1pt;mso-position-horizontal-relative:char;mso-position-vertical-relative:line" coordorigin="0,0" coordsize="10313,20">
            <v:line id="_x0000_s1075" style="position:absolute" from="0,10" to="10312,10" stroked="t" strokecolor="#4b4d4f" strokeweight="0.96pt">
              <v:stroke dashstyle="solid"/>
            </v:line>
            <w10:wrap type="none"/>
          </v:group>
        </w:pict>
      </w:r>
    </w:p>
    <w:p>
      <w:pPr>
        <w:spacing w:before="0" w:line="255" w:lineRule="exact"/>
        <w:ind w:left="215" w:right="0" w:firstLine="0"/>
        <w:jc w:val="left"/>
        <w:rPr>
          <w:sz w:val="15"/>
        </w:rPr>
      </w:pPr>
      <w:r>
        <w:t xml:space="preserve">资料来源：  </w:t>
      </w:r>
    </w:p>
    <w:p>
      <w:pPr>
        <w:spacing w:before="0" w:line="267" w:lineRule="exact"/>
        <w:ind w:left="215" w:right="0" w:firstLine="0"/>
        <w:jc w:val="left"/>
        <w:rPr>
          <w:sz w:val="15"/>
        </w:rPr>
      </w:pPr>
      <w:r>
        <w:rPr>
          <w:color w:val="4B4D4F"/>
          <w:sz w:val="15"/>
        </w:rPr>
        <w:t>注：目前，炉渣、飞灰以填埋为主，此处考虑资源化利用途径</w:t>
      </w:r>
    </w:p>
    <w:p>
      <w:pPr>
        <w:pStyle w:val="BodyText"/>
      </w:pPr>
    </w:p>
    <w:p>
      <w:pPr>
        <w:pStyle w:val="BodyText"/>
        <w:spacing w:before="18"/>
        <w:rPr>
          <w:sz w:val="10"/>
        </w:rPr>
      </w:pPr>
    </w:p>
    <w:p>
      <w:pPr>
        <w:pStyle w:val="BodyText"/>
        <w:spacing w:before="52" w:line="235" w:lineRule="auto"/>
        <w:ind w:left="107" w:right="3509" w:firstLine="420"/>
        <w:jc w:val="both"/>
      </w:pPr>
      <w:r>
        <w:rPr>
          <w:color w:val="333333"/>
          <w:spacing w:val="-1"/>
        </w:rPr>
        <w:t xml:space="preserve">垃圾焚烧发电项目主要以 </w:t>
      </w:r>
      <w:r>
        <w:rPr>
          <w:color w:val="333333"/>
          <w:spacing w:val="-3"/>
        </w:rPr>
        <w:t>BOT</w:t>
      </w:r>
      <w:r>
        <w:rPr>
          <w:color w:val="333333"/>
          <w:spacing w:val="-6"/>
        </w:rPr>
        <w:t xml:space="preserve"> 和 </w:t>
      </w:r>
      <w:r>
        <w:rPr>
          <w:color w:val="333333"/>
        </w:rPr>
        <w:t>PPP</w:t>
      </w:r>
      <w:r>
        <w:rPr>
          <w:color w:val="333333"/>
          <w:spacing w:val="-4"/>
        </w:rPr>
        <w:t xml:space="preserve"> 模式为主，在此基础上延伸出 </w:t>
      </w:r>
      <w:r>
        <w:rPr>
          <w:color w:val="333333"/>
        </w:rPr>
        <w:t>DBO、EPC+O</w:t>
      </w:r>
      <w:r>
        <w:rPr>
          <w:color w:val="333333"/>
          <w:spacing w:val="1"/>
        </w:rPr>
        <w:t xml:space="preserve"> 等模式，其中 </w:t>
      </w:r>
      <w:r>
        <w:rPr>
          <w:color w:val="333333"/>
          <w:spacing w:val="-3"/>
        </w:rPr>
        <w:t>BOT</w:t>
      </w:r>
      <w:r>
        <w:rPr>
          <w:color w:val="333333"/>
        </w:rPr>
        <w:t xml:space="preserve"> 特许经营模式最为常见。地方政府指派环保平台与社</w:t>
      </w:r>
      <w:r>
        <w:rPr>
          <w:color w:val="333333"/>
          <w:spacing w:val="-1"/>
        </w:rPr>
        <w:t xml:space="preserve">会资本方组建 </w:t>
      </w:r>
      <w:r>
        <w:rPr>
          <w:color w:val="333333"/>
        </w:rPr>
        <w:t>SPV</w:t>
      </w:r>
      <w:r>
        <w:rPr>
          <w:color w:val="333333"/>
          <w:spacing w:val="-2"/>
        </w:rPr>
        <w:t xml:space="preserve"> 公司，共同投资垃圾焚烧发电项目，其中自有资金量占比约为</w:t>
      </w:r>
      <w:r>
        <w:rPr>
          <w:color w:val="333333"/>
          <w:spacing w:val="-7"/>
        </w:rPr>
        <w:t>30%</w:t>
      </w:r>
      <w:r>
        <w:rPr>
          <w:color w:val="333333"/>
          <w:spacing w:val="-6"/>
        </w:rPr>
        <w:t xml:space="preserve">，剩余 </w:t>
      </w:r>
      <w:r>
        <w:rPr>
          <w:color w:val="333333"/>
        </w:rPr>
        <w:t>70%</w:t>
      </w:r>
      <w:r>
        <w:rPr>
          <w:color w:val="333333"/>
          <w:spacing w:val="-4"/>
        </w:rPr>
        <w:t xml:space="preserve">则通过银行贷款的方式，一般银行贷款利率为基准利率上浮 </w:t>
      </w:r>
      <w:r>
        <w:rPr>
          <w:color w:val="333333"/>
        </w:rPr>
        <w:t xml:space="preserve">10% </w:t>
      </w:r>
      <w:r>
        <w:rPr>
          <w:color w:val="333333"/>
          <w:spacing w:val="-9"/>
        </w:rPr>
        <w:t>左右。由于垃圾焚烧发电项目投资额较高，项目前期占用资金量较大，对社会资本方的资金实力要求较高。</w:t>
      </w:r>
    </w:p>
    <w:p>
      <w:pPr>
        <w:spacing w:after="0" w:line="235" w:lineRule="auto"/>
        <w:jc w:val="both"/>
        <w:sectPr>
          <w:headerReference w:type="default" r:id="rId18"/>
          <w:footerReference w:type="default" r:id="rId19"/>
          <w:type w:val="continuous"/>
          <w:pgSz w:w="11910" w:h="16840"/>
          <w:pgMar w:top="1660" w:right="600" w:bottom="740" w:left="600" w:header="708" w:footer="708"/>
          <w:pgNumType w:start="7"/>
          <w:cols w:space="708"/>
        </w:sectPr>
      </w:pPr>
    </w:p>
    <w:p>
      <w:pPr>
        <w:pStyle w:val="BodyText"/>
        <w:spacing w:before="15"/>
        <w:rPr>
          <w:sz w:val="10"/>
        </w:rPr>
      </w:pPr>
    </w:p>
    <w:p>
      <w:pPr>
        <w:pStyle w:val="Heading4"/>
        <w:tabs>
          <w:tab w:val="left" w:pos="10420"/>
        </w:tabs>
      </w:pPr>
      <w:r>
        <w:pict>
          <v:shape id="_x0000_s1076" type="#_x0000_t202" style="width:63.5pt;height:21.2pt;margin-top:27.23pt;margin-left:263.4pt;mso-position-horizontal-relative:page;position:absolute;z-index:251686912" filled="t" fillcolor="#c00000" stroked="f">
            <v:fill type="solid"/>
            <v:textbox inset="0,0,0,0">
              <w:txbxContent>
                <w:p>
                  <w:pPr>
                    <w:spacing w:before="61"/>
                    <w:ind w:left="315" w:right="0" w:firstLine="0"/>
                    <w:jc w:val="left"/>
                    <w:rPr>
                      <w:b/>
                      <w:i/>
                      <w:sz w:val="16"/>
                    </w:rPr>
                  </w:pPr>
                  <w:r>
                    <w:rPr>
                      <w:b/>
                      <w:i/>
                      <w:color w:val="FFFFFF"/>
                      <w:sz w:val="16"/>
                    </w:rPr>
                    <w:t>相关机构</w:t>
                  </w:r>
                </w:p>
              </w:txbxContent>
            </v:textbox>
          </v:shape>
        </w:pict>
      </w:r>
      <w:r>
        <w:pict>
          <v:shape id="_x0000_s1077" type="#_x0000_t202" style="width:71.45pt;height:20.25pt;margin-top:28.16pt;margin-left:99.37pt;mso-position-horizontal-relative:page;position:absolute;z-index:251687936" filled="t" fillcolor="#c00000" stroked="f">
            <v:fill type="solid"/>
            <v:textbox inset="0,0,0,0">
              <w:txbxContent>
                <w:p>
                  <w:pPr>
                    <w:spacing w:before="52"/>
                    <w:ind w:left="393" w:right="0" w:firstLine="0"/>
                    <w:jc w:val="left"/>
                    <w:rPr>
                      <w:b/>
                      <w:i/>
                      <w:sz w:val="16"/>
                    </w:rPr>
                  </w:pPr>
                  <w:r>
                    <w:rPr>
                      <w:b/>
                      <w:i/>
                      <w:color w:val="FFFFFF"/>
                      <w:sz w:val="16"/>
                    </w:rPr>
                    <w:t>地方政府</w:t>
                  </w:r>
                </w:p>
              </w:txbxContent>
            </v:textbox>
          </v:shape>
        </w:pict>
      </w: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图</w:t>
      </w:r>
      <w:r>
        <w:rPr>
          <w:i w:val="0"/>
          <w:color w:val="4B4D4F"/>
          <w:w w:val="95"/>
          <w:u w:val="single" w:color="4B4D4F"/>
        </w:rPr>
        <w:t>4</w:t>
      </w:r>
      <w:r>
        <w:rPr>
          <w:color w:val="4B4D4F"/>
          <w:w w:val="95"/>
          <w:u w:val="single" w:color="4B4D4F"/>
        </w:rPr>
        <w:t>：</w:t>
      </w:r>
      <w:r>
        <w:rPr>
          <w:color w:val="585858"/>
          <w:w w:val="95"/>
          <w:u w:val="single" w:color="4B4D4F"/>
        </w:rPr>
        <w:t>垃圾焚烧发电</w:t>
      </w:r>
      <w:r>
        <w:rPr>
          <w:color w:val="4B4D4F"/>
          <w:w w:val="95"/>
          <w:u w:val="single" w:color="4B4D4F"/>
        </w:rPr>
        <w:t>项目</w:t>
      </w:r>
      <w:r>
        <w:rPr>
          <w:color w:val="585858"/>
          <w:w w:val="95"/>
          <w:u w:val="single" w:color="4B4D4F"/>
        </w:rPr>
        <w:t>商业模式图</w:t>
      </w:r>
      <w:r>
        <w:rPr>
          <w:color w:val="585858"/>
          <w:u w:val="single" w:color="4B4D4F"/>
        </w:rPr>
        <w:tab/>
      </w:r>
    </w:p>
    <w:p>
      <w:pPr>
        <w:pStyle w:val="BodyText"/>
        <w:spacing w:before="14"/>
        <w:rPr>
          <w:b/>
          <w:i/>
          <w:sz w:val="17"/>
        </w:rPr>
      </w:pPr>
    </w:p>
    <w:p>
      <w:pPr>
        <w:spacing w:before="0" w:line="264" w:lineRule="exact"/>
        <w:ind w:left="487" w:right="3547" w:firstLine="0"/>
        <w:jc w:val="center"/>
        <w:rPr>
          <w:b/>
          <w:i/>
          <w:sz w:val="16"/>
        </w:rPr>
      </w:pPr>
      <w:r>
        <w:pict>
          <v:shape id="_x0000_s1078" style="width:92.6pt;height:6pt;margin-top:-2.3pt;margin-left:170.82pt;mso-position-horizontal-relative:page;position:absolute;z-index:-251634688" coordorigin="3416,-46" coordsize="1852,120" path="m5238,-1l5168,-1,5168,29,5148,29,5148,74,5268,13,5238,-1xm5148,-1l3416,8,3416,38,5148,29,5148,-1xm5168,-1l5148,-1,5148,29,5168,29,5168,-1xm5148,-46l5148,-1,5238,-1,5148,-46xe" filled="t" fillcolor="#7e7e7e" stroked="f">
            <v:fill type="solid"/>
            <v:path arrowok="t"/>
          </v:shape>
        </w:pict>
      </w:r>
      <w:r>
        <w:pict>
          <v:shape id="_x0000_s1079" style="width:6pt;height:47.6pt;margin-top:11.25pt;margin-left:131.64pt;mso-position-horizontal-relative:page;position:absolute;z-index:-251633664" coordorigin="2633,225" coordsize="120,952" path="m2633,1056l2691,1176,2743,1077,2705,1077,2680,1076,2680,1056,2633,1056xm2680,1056l2680,1076,2705,1077,2705,1057,2680,1056xm2705,1057l2705,1077,2743,1077,2753,1057,2705,1057xm2689,225l2680,1056,2705,1057,2714,225,2689,225xe" filled="t" fillcolor="#7e7e7e" stroked="f">
            <v:fill type="solid"/>
            <v:path arrowok="t"/>
          </v:shape>
        </w:pict>
      </w:r>
      <w:r>
        <w:pict>
          <v:shape id="_x0000_s1080" style="width:6pt;height:47.6pt;margin-top:11.25pt;margin-left:292.15pt;mso-position-horizontal-relative:page;position:absolute;z-index:-251632640" coordorigin="5843,225" coordsize="120,952" path="m5890,1056l5843,1056,5903,1176,5953,1076,5890,1076,5890,1056xm5915,225l5890,225,5890,1076,5915,1076,5915,225xm5963,1056l5915,1056,5915,1076,5953,1076,5963,1056xe" filled="t" fillcolor="#7e7e7e" stroked="f">
            <v:fill type="solid"/>
            <v:path arrowok="t"/>
          </v:shape>
        </w:pict>
      </w:r>
      <w:r>
        <w:pict>
          <v:group id="_x0000_s1081" style="width:98pt;height:58.9pt;margin-top:-0.08pt;margin-left:326.9pt;mso-position-horizontal-relative:page;position:absolute;z-index:-251631616" coordorigin="6538,-2" coordsize="1960,1178">
            <v:line id="_x0000_s1082" style="position:absolute" from="6538,13" to="8460,13" stroked="t" strokecolor="#7e7e7e" strokeweight="1.5pt">
              <v:stroke dashstyle="solid"/>
            </v:line>
            <v:shape id="_x0000_s1083" style="width:120;height:1169;left:8378;position:absolute;top:8" coordorigin="8378,8" coordsize="120,1169" path="m8425,1056l8378,1056,8438,1176,8488,1076,8425,1076,8425,1056xm8450,8l8425,8,8425,1076,8450,1076,8450,8xm8498,1056l8450,1056,8450,1076,8488,1076,8498,1056xe" filled="t" fillcolor="#7e7e7e" stroked="f">
              <v:fill type="solid"/>
              <v:path arrowok="t"/>
            </v:shape>
          </v:group>
        </w:pict>
      </w:r>
      <w:r>
        <w:pict>
          <v:group id="_x0000_s1084" style="width:98.35pt;height:44.25pt;margin-top:11.58pt;margin-left:162.39pt;mso-position-horizontal-relative:page;position:absolute;z-index:-251630592" coordorigin="3248,232" coordsize="1967,885">
            <v:shape id="_x0000_s1085" style="width:1967;height:885;left:3247;position:absolute;top:231" coordorigin="3248,232" coordsize="1967,885" path="m5099,1075l5081,1116,5215,1109,5193,1083,5117,1083,5099,1075xm5111,1047l5099,1075,5117,1083,5129,1055,5111,1047xm5129,1006l5111,1047,5129,1055,5117,1083,5193,1083,5129,1006xm3260,232l3248,259,5099,1075,5111,1047,3260,232xe" filled="t" fillcolor="#7e7e7e" stroked="f">
              <v:fill type="solid"/>
              <v:path arrowok="t"/>
            </v:shape>
            <v:shape id="_x0000_s1086" type="#_x0000_t202" style="width:1967;height:885;left:3247;position:absolute;top:231" filled="f" stroked="f">
              <v:textbox inset="0,0,0,0">
                <w:txbxContent>
                  <w:p>
                    <w:pPr>
                      <w:spacing w:before="4" w:line="240" w:lineRule="auto"/>
                      <w:rPr>
                        <w:sz w:val="10"/>
                      </w:rPr>
                    </w:pPr>
                  </w:p>
                  <w:p>
                    <w:pPr>
                      <w:spacing w:before="0" w:line="254" w:lineRule="auto"/>
                      <w:ind w:left="309" w:right="693" w:firstLine="0"/>
                      <w:jc w:val="left"/>
                      <w:rPr>
                        <w:b/>
                        <w:i/>
                        <w:sz w:val="16"/>
                      </w:rPr>
                    </w:pPr>
                    <w:r>
                      <w:rPr>
                        <w:b/>
                        <w:i/>
                        <w:sz w:val="16"/>
                      </w:rPr>
                      <w:t>特许经营协议支付处理贴费</w:t>
                    </w:r>
                  </w:p>
                </w:txbxContent>
              </v:textbox>
            </v:shape>
          </v:group>
        </w:pict>
      </w:r>
      <w:r>
        <w:rPr>
          <w:b/>
          <w:i/>
          <w:sz w:val="16"/>
        </w:rPr>
        <w:t>授权</w:t>
      </w:r>
    </w:p>
    <w:p>
      <w:pPr>
        <w:spacing w:after="0" w:line="264" w:lineRule="exact"/>
        <w:jc w:val="center"/>
        <w:rPr>
          <w:sz w:val="16"/>
        </w:rPr>
        <w:sectPr>
          <w:headerReference w:type="default" r:id="rId20"/>
          <w:footerReference w:type="default" r:id="rId21"/>
          <w:pgSz w:w="11910" w:h="16840"/>
          <w:pgMar w:top="1660" w:right="600" w:bottom="740" w:left="600" w:header="708" w:footer="708"/>
          <w:pgNumType w:start="8"/>
          <w:cols w:space="708"/>
        </w:sectPr>
      </w:pPr>
    </w:p>
    <w:p>
      <w:pPr>
        <w:tabs>
          <w:tab w:val="left" w:pos="5595"/>
        </w:tabs>
        <w:spacing w:before="187"/>
        <w:ind w:left="1596" w:right="0" w:firstLine="0"/>
        <w:jc w:val="left"/>
        <w:rPr>
          <w:b/>
          <w:i/>
          <w:sz w:val="16"/>
        </w:rPr>
      </w:pPr>
      <w:r>
        <w:rPr>
          <w:b/>
          <w:i/>
          <w:sz w:val="16"/>
        </w:rPr>
        <w:t>指派</w:t>
        <w:tab/>
      </w:r>
      <w:r>
        <w:rPr>
          <w:b/>
          <w:i/>
          <w:position w:val="1"/>
          <w:sz w:val="16"/>
        </w:rPr>
        <w:t>监管考核</w:t>
      </w:r>
    </w:p>
    <w:p>
      <w:pPr>
        <w:spacing w:before="0" w:line="254" w:lineRule="exact"/>
        <w:ind w:left="1596" w:right="0" w:firstLine="0"/>
        <w:jc w:val="left"/>
        <w:rPr>
          <w:b/>
          <w:i/>
          <w:sz w:val="16"/>
        </w:rPr>
      </w:pPr>
      <w:r>
        <w:br w:type="column"/>
      </w:r>
      <w:r>
        <w:rPr>
          <w:b/>
          <w:i/>
          <w:sz w:val="16"/>
        </w:rPr>
        <w:t>招投标</w:t>
      </w:r>
    </w:p>
    <w:p>
      <w:pPr>
        <w:spacing w:before="17"/>
        <w:ind w:left="1596" w:right="0" w:firstLine="0"/>
        <w:jc w:val="left"/>
        <w:rPr>
          <w:b/>
          <w:i/>
          <w:sz w:val="16"/>
        </w:rPr>
      </w:pPr>
      <w:r>
        <w:rPr>
          <w:b/>
          <w:i/>
          <w:sz w:val="16"/>
        </w:rPr>
        <w:t>设置保底量</w:t>
      </w:r>
    </w:p>
    <w:p>
      <w:pPr>
        <w:spacing w:after="0"/>
        <w:jc w:val="left"/>
        <w:rPr>
          <w:sz w:val="16"/>
        </w:rPr>
        <w:sectPr>
          <w:headerReference w:type="default" r:id="rId22"/>
          <w:footerReference w:type="default" r:id="rId23"/>
          <w:type w:val="continuous"/>
          <w:pgSz w:w="11910" w:h="16840"/>
          <w:pgMar w:top="1660" w:right="600" w:bottom="740" w:left="600" w:header="708" w:footer="708"/>
          <w:pgNumType w:start="9"/>
          <w:cols w:num="2" w:space="708" w:equalWidth="0">
            <w:col w:w="6279" w:space="168"/>
            <w:col w:w="4263" w:space="0"/>
          </w:cols>
        </w:sectPr>
      </w:pPr>
    </w:p>
    <w:p>
      <w:pPr>
        <w:pStyle w:val="BodyText"/>
        <w:spacing w:before="10"/>
        <w:rPr>
          <w:b/>
          <w:i/>
          <w:sz w:val="25"/>
        </w:rPr>
      </w:pPr>
    </w:p>
    <w:p>
      <w:pPr>
        <w:spacing w:before="60"/>
        <w:ind w:left="3526" w:right="0" w:firstLine="0"/>
        <w:jc w:val="left"/>
        <w:rPr>
          <w:b/>
          <w:i/>
          <w:sz w:val="16"/>
        </w:rPr>
      </w:pPr>
      <w:r>
        <w:pict>
          <v:group id="_x0000_s1087" style="width:128.95pt;height:21.15pt;margin-top:-5.82pt;margin-left:326.9pt;mso-position-horizontal-relative:page;position:absolute;z-index:251691008" coordorigin="6538,-116" coordsize="2579,423">
            <v:shape id="_x0000_s1088" style="width:1309;height:120;left:6538;position:absolute;top:27" coordorigin="6538,28" coordsize="1309,120" path="m6658,28l6538,87,6658,148,6658,103,6638,103,6638,73,6658,73,6658,28xm6658,73l6658,103,7846,110,7846,80,6658,73xm6638,73l6638,103,6658,103,6658,73,6638,73xm6658,73l6638,73,6658,73,6658,73xe" filled="t" fillcolor="#7e7e7e" stroked="f">
              <v:fill type="solid"/>
              <v:path arrowok="t"/>
            </v:shape>
            <v:rect id="_x0000_s1089" style="width:1270;height:423;left:7846;position:absolute;top:-117" filled="t" fillcolor="#c00000" stroked="f">
              <v:fill type="solid"/>
            </v:rect>
          </v:group>
        </w:pict>
      </w:r>
      <w:r>
        <w:pict>
          <v:shape id="_x0000_s1090" style="width:92.6pt;height:6pt;margin-top:1.34pt;margin-left:170.82pt;mso-position-horizontal-relative:page;position:absolute;z-index:-251627520" coordorigin="3416,27" coordsize="1852,120" path="m5148,102l5148,147,5239,102,5168,102,5148,102xm5148,72l5148,102,5168,102,5168,72,5148,72xm5148,27l5148,72,5168,72,5168,102,5239,102,5268,87,5148,27xm3416,67l3416,97,5148,102,5148,72,3416,67xe" filled="t" fillcolor="#7e7e7e" stroked="f">
            <v:fill type="solid"/>
            <v:path arrowok="t"/>
          </v:shape>
        </w:pict>
      </w:r>
      <w:r>
        <w:pict>
          <v:group id="_x0000_s1091" style="width:176.7pt;height:51.1pt;margin-top:49.68pt;margin-left:335.5pt;mso-position-horizontal-relative:page;position:absolute;z-index:-251626496" coordorigin="6710,994" coordsize="3534,1022">
            <v:shape id="_x0000_s1092" style="width:2641;height:614;left:6710;position:absolute;top:1401" coordorigin="6710,1402" coordsize="2641,614" path="m6830,1895l6710,1955,6830,2015,6830,1970,6810,1970,6810,1940,6830,1940,6830,1895xm6830,1940l6810,1940,6810,1970,6830,1970,6830,1940xm9320,1940l6830,1940,6830,1970,9343,1970,9350,1963,9350,1955,9320,1955,9320,1940xm9320,1417l9320,1955,9335,1940,9350,1940,9350,1432,9324,1432,9324,1420,9320,1417xm9350,1940l9335,1940,9320,1955,9350,1955,9350,1940xm9324,1420l9324,1432,9335,1432,9324,1420xm9343,1402l9324,1402,9324,1420,9335,1432,9350,1432,9350,1408,9343,1402xe" filled="t" fillcolor="#7e7e7e" stroked="f">
              <v:fill type="solid"/>
              <v:path arrowok="t"/>
            </v:shape>
            <v:shape id="_x0000_s1093" type="#_x0000_t202" style="width:1839;height:423;left:8404;position:absolute;top:993" filled="t" fillcolor="#c00000" stroked="f">
              <v:fill type="solid"/>
              <v:textbox inset="0,0,0,0">
                <w:txbxContent>
                  <w:p>
                    <w:pPr>
                      <w:spacing w:before="62"/>
                      <w:ind w:left="198" w:right="0" w:firstLine="0"/>
                      <w:jc w:val="left"/>
                      <w:rPr>
                        <w:b/>
                        <w:i/>
                        <w:sz w:val="16"/>
                      </w:rPr>
                    </w:pPr>
                    <w:r>
                      <w:rPr>
                        <w:b/>
                        <w:i/>
                        <w:color w:val="FFFFFF"/>
                        <w:sz w:val="16"/>
                      </w:rPr>
                      <w:t>工程建设及设备采购</w:t>
                    </w:r>
                  </w:p>
                </w:txbxContent>
              </v:textbox>
            </v:shape>
          </v:group>
        </w:pict>
      </w:r>
      <w:r>
        <w:pict>
          <v:shape id="_x0000_s1094" type="#_x0000_t202" style="width:72.5pt;height:20.7pt;margin-top:-6.22pt;margin-left:98.32pt;mso-position-horizontal-relative:page;position:absolute;z-index:251692032" filled="t" fillcolor="#c00000" stroked="f">
            <v:fill type="solid"/>
            <v:textbox inset="0,0,0,0">
              <w:txbxContent>
                <w:p>
                  <w:pPr>
                    <w:spacing w:before="57"/>
                    <w:ind w:left="246" w:right="0" w:firstLine="0"/>
                    <w:jc w:val="left"/>
                    <w:rPr>
                      <w:b/>
                      <w:i/>
                      <w:sz w:val="16"/>
                    </w:rPr>
                  </w:pPr>
                  <w:r>
                    <w:rPr>
                      <w:b/>
                      <w:i/>
                      <w:color w:val="FFFFFF"/>
                      <w:sz w:val="16"/>
                    </w:rPr>
                    <w:t>地方环保平台</w:t>
                  </w:r>
                </w:p>
              </w:txbxContent>
            </v:textbox>
          </v:shape>
        </w:pict>
      </w:r>
      <w:r>
        <w:pict>
          <v:shape id="_x0000_s1095" type="#_x0000_t202" style="width:203.55pt;height:40.05pt;margin-top:-6.22pt;margin-left:263.4pt;mso-position-horizontal-relative:page;position:absolute;z-index:251693056"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0"/>
                    <w:gridCol w:w="670"/>
                    <w:gridCol w:w="280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3"/>
                      <w:jc w:val="left"/>
                    </w:trPr>
                    <w:tc>
                      <w:tcPr>
                        <w:tcW w:w="1270" w:type="dxa"/>
                        <w:gridSpan w:val="2"/>
                        <w:shd w:val="clear" w:color="auto" w:fill="C00000"/>
                      </w:tcPr>
                      <w:p>
                        <w:pPr>
                          <w:pStyle w:val="TableParagraph"/>
                          <w:spacing w:before="62"/>
                          <w:ind w:left="296"/>
                          <w:jc w:val="left"/>
                          <w:rPr>
                            <w:b/>
                            <w:i/>
                            <w:sz w:val="16"/>
                          </w:rPr>
                        </w:pPr>
                        <w:r>
                          <w:rPr>
                            <w:b/>
                            <w:color w:val="FFFFFF"/>
                            <w:sz w:val="16"/>
                          </w:rPr>
                          <w:t xml:space="preserve">SPV </w:t>
                        </w:r>
                        <w:r>
                          <w:rPr>
                            <w:b/>
                            <w:i/>
                            <w:color w:val="FFFFFF"/>
                            <w:sz w:val="16"/>
                          </w:rPr>
                          <w:t>公司</w:t>
                        </w:r>
                      </w:p>
                    </w:tc>
                    <w:tc>
                      <w:tcPr>
                        <w:tcW w:w="2801" w:type="dxa"/>
                      </w:tcPr>
                      <w:p>
                        <w:pPr>
                          <w:pStyle w:val="TableParagraph"/>
                          <w:spacing w:before="69" w:line="227" w:lineRule="exact"/>
                          <w:ind w:left="1546"/>
                          <w:jc w:val="left"/>
                          <w:rPr>
                            <w:b/>
                            <w:i/>
                            <w:sz w:val="16"/>
                          </w:rPr>
                        </w:pPr>
                        <w:r>
                          <w:rPr>
                            <w:b/>
                            <w:i/>
                            <w:color w:val="FFFFFF"/>
                            <w:sz w:val="16"/>
                          </w:rPr>
                          <w:t>社会资本方</w:t>
                        </w:r>
                      </w:p>
                      <w:p>
                        <w:pPr>
                          <w:pStyle w:val="TableParagraph"/>
                          <w:spacing w:line="107" w:lineRule="exact"/>
                          <w:ind w:left="442"/>
                          <w:jc w:val="left"/>
                          <w:rPr>
                            <w:b/>
                            <w:i/>
                            <w:sz w:val="16"/>
                          </w:rPr>
                        </w:pPr>
                        <w:r>
                          <w:rPr>
                            <w:b/>
                            <w:i/>
                            <w:sz w:val="16"/>
                          </w:rPr>
                          <w:t>出资</w:t>
                        </w:r>
                      </w:p>
                    </w:tc>
                  </w:tr>
                  <w:tr>
                    <w:tblPrEx>
                      <w:tblW w:w="0" w:type="auto"/>
                      <w:jc w:val="left"/>
                      <w:tblInd w:w="7" w:type="dxa"/>
                      <w:tblLayout w:type="fixed"/>
                      <w:tblCellMar>
                        <w:top w:w="0" w:type="dxa"/>
                        <w:left w:w="0" w:type="dxa"/>
                        <w:bottom w:w="0" w:type="dxa"/>
                        <w:right w:w="0" w:type="dxa"/>
                      </w:tblCellMar>
                      <w:tblLook w:val="01E0"/>
                    </w:tblPrEx>
                    <w:trPr>
                      <w:trHeight w:val="334"/>
                      <w:jc w:val="left"/>
                    </w:trPr>
                    <w:tc>
                      <w:tcPr>
                        <w:tcW w:w="600" w:type="dxa"/>
                        <w:tcBorders>
                          <w:right w:val="single" w:sz="12" w:space="0" w:color="7E7E7E"/>
                        </w:tcBorders>
                      </w:tcPr>
                      <w:p>
                        <w:pPr>
                          <w:pStyle w:val="TableParagraph"/>
                          <w:jc w:val="left"/>
                          <w:rPr>
                            <w:rFonts w:ascii="Times New Roman"/>
                            <w:sz w:val="18"/>
                          </w:rPr>
                        </w:pPr>
                      </w:p>
                    </w:tc>
                    <w:tc>
                      <w:tcPr>
                        <w:tcW w:w="3471" w:type="dxa"/>
                        <w:gridSpan w:val="2"/>
                        <w:tcBorders>
                          <w:left w:val="single" w:sz="12" w:space="0" w:color="7E7E7E"/>
                          <w:bottom w:val="single" w:sz="18" w:space="0" w:color="7E7E7E"/>
                        </w:tcBorders>
                      </w:tcPr>
                      <w:p>
                        <w:pPr>
                          <w:pStyle w:val="TableParagraph"/>
                          <w:jc w:val="left"/>
                          <w:rPr>
                            <w:rFonts w:ascii="Times New Roman"/>
                            <w:sz w:val="18"/>
                          </w:rPr>
                        </w:pPr>
                      </w:p>
                    </w:tc>
                  </w:tr>
                </w:tbl>
                <w:p>
                  <w:pPr>
                    <w:pStyle w:val="BodyText"/>
                  </w:pPr>
                </w:p>
              </w:txbxContent>
            </v:textbox>
          </v:shape>
        </w:pict>
      </w:r>
      <w:r>
        <w:rPr>
          <w:b/>
          <w:i/>
          <w:sz w:val="16"/>
        </w:rPr>
        <w:t>出资</w:t>
      </w:r>
    </w:p>
    <w:p>
      <w:pPr>
        <w:pStyle w:val="BodyText"/>
        <w:tabs>
          <w:tab w:val="left" w:pos="4988"/>
          <w:tab w:val="left" w:pos="8644"/>
        </w:tabs>
        <w:ind w:left="2084"/>
      </w:pPr>
      <w:r>
        <w:pict>
          <v:group id="_x0000_i1096" style="width:129.2pt;height:71.35pt;mso-position-horizontal-relative:char;mso-position-vertical-relative:line" coordorigin="0,0" coordsize="2584,1427">
            <v:shape id="_x0000_s1097" style="width:2584;height:1427;position:absolute" coordorigin="0,0" coordsize="2584,1427" path="m2471,45l,1400,14,1426,2486,71,2471,45xm2560,35l2489,35,2503,61,2486,71,2507,110,2560,35xm2489,35l2471,45,2486,71,2503,61,2489,35xm2584,l2450,5,2471,45,2489,35,2560,35,2584,xe" filled="t" fillcolor="#7e7e7e" stroked="f">
              <v:fill type="solid"/>
              <v:path arrowok="t"/>
            </v:shape>
            <v:shape id="_x0000_s1098" type="#_x0000_t202" style="width:2584;height:1427;position:absolute" filled="f" stroked="f">
              <v:textbox inset="0,0,0,0">
                <w:txbxContent>
                  <w:p>
                    <w:pPr>
                      <w:spacing w:before="15" w:line="240" w:lineRule="auto"/>
                      <w:rPr>
                        <w:b/>
                        <w:i/>
                        <w:sz w:val="23"/>
                      </w:rPr>
                    </w:pPr>
                  </w:p>
                  <w:p>
                    <w:pPr>
                      <w:spacing w:before="1" w:line="252" w:lineRule="auto"/>
                      <w:ind w:left="1171" w:right="400" w:firstLine="0"/>
                      <w:jc w:val="left"/>
                      <w:rPr>
                        <w:b/>
                        <w:i/>
                        <w:sz w:val="16"/>
                      </w:rPr>
                    </w:pPr>
                    <w:r>
                      <w:rPr>
                        <w:b/>
                        <w:i/>
                        <w:sz w:val="16"/>
                      </w:rPr>
                      <w:t>支付上网电费和部分补贴</w:t>
                    </w:r>
                  </w:p>
                </w:txbxContent>
              </v:textbox>
            </v:shape>
            <w10:wrap type="none"/>
          </v:group>
        </w:pict>
      </w:r>
      <w:r>
        <w:tab/>
      </w:r>
      <w:r>
        <w:pict>
          <v:group id="_x0000_i1099" style="width:123.7pt;height:56.65pt;mso-position-horizontal-relative:char;mso-position-vertical-relative:line" coordorigin="0,0" coordsize="2474,1133">
            <v:shape id="_x0000_s1100" style="width:120;height:1133;left:219;position:absolute" coordorigin="220,0" coordsize="120,1133" path="m265,1013l220,1013,280,1133,330,1033,265,1033,265,1013xm295,l265,,265,1033,295,1033,295,xm340,1013l295,1013,295,1033,330,1033,340,1013xe" filled="t" fillcolor="#7e7e7e" stroked="f">
              <v:fill type="solid"/>
              <v:path arrowok="t"/>
            </v:shape>
            <v:line id="_x0000_s1101" style="position:absolute" from="283,559" to="915,559" stroked="t" strokecolor="#7e7e7e" strokeweight="1.5pt">
              <v:stroke dashstyle="solid"/>
            </v:line>
            <v:shape id="_x0000_s1102" type="#_x0000_t202" style="width:916;height:1133;position:absolute" filled="f" stroked="f">
              <v:textbox inset="0,0,0,0">
                <w:txbxContent>
                  <w:p>
                    <w:pPr>
                      <w:spacing w:before="131"/>
                      <w:ind w:left="0" w:right="271" w:firstLine="0"/>
                      <w:jc w:val="right"/>
                      <w:rPr>
                        <w:b/>
                        <w:i/>
                        <w:sz w:val="16"/>
                      </w:rPr>
                    </w:pPr>
                    <w:r>
                      <w:rPr>
                        <w:b/>
                        <w:i/>
                        <w:sz w:val="16"/>
                      </w:rPr>
                      <w:t>自有资金</w:t>
                    </w:r>
                  </w:p>
                  <w:p>
                    <w:pPr>
                      <w:spacing w:before="178"/>
                      <w:ind w:left="0" w:right="175" w:firstLine="0"/>
                      <w:jc w:val="right"/>
                      <w:rPr>
                        <w:b/>
                        <w:i/>
                        <w:sz w:val="16"/>
                      </w:rPr>
                    </w:pPr>
                    <w:r>
                      <w:rPr>
                        <w:b/>
                        <w:i/>
                        <w:sz w:val="16"/>
                      </w:rPr>
                      <w:t>融资</w:t>
                    </w:r>
                  </w:p>
                </w:txbxContent>
              </v:textbox>
            </v:shape>
            <v:shape id="_x0000_s1103" type="#_x0000_t202" style="width:1558;height:423;left:915;position:absolute;top:359" filled="t" fillcolor="#c00000" stroked="f">
              <v:fill type="solid"/>
              <v:textbox inset="0,0,0,0">
                <w:txbxContent>
                  <w:p>
                    <w:pPr>
                      <w:spacing w:before="62"/>
                      <w:ind w:left="220" w:right="0" w:firstLine="0"/>
                      <w:jc w:val="left"/>
                      <w:rPr>
                        <w:b/>
                        <w:i/>
                        <w:sz w:val="16"/>
                      </w:rPr>
                    </w:pPr>
                    <w:r>
                      <w:rPr>
                        <w:b/>
                        <w:i/>
                        <w:color w:val="FFFFFF"/>
                        <w:sz w:val="16"/>
                      </w:rPr>
                      <w:t>银行等金融机构</w:t>
                    </w:r>
                  </w:p>
                </w:txbxContent>
              </v:textbox>
            </v:shape>
            <w10:wrap type="none"/>
          </v:group>
        </w:pict>
      </w:r>
      <w:r>
        <w:tab/>
      </w:r>
      <w:r>
        <w:rPr>
          <w:position w:val="78"/>
        </w:rPr>
        <w:drawing>
          <wp:inline distT="0" distB="0" distL="0" distR="0">
            <wp:extent cx="76711" cy="209550"/>
            <wp:effectExtent l="0" t="0" r="0" b="0"/>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24" cstate="print"/>
                    <a:stretch>
                      <a:fillRect/>
                    </a:stretch>
                  </pic:blipFill>
                  <pic:spPr>
                    <a:xfrm>
                      <a:off x="0" y="0"/>
                      <a:ext cx="76711" cy="209550"/>
                    </a:xfrm>
                    <a:prstGeom prst="rect">
                      <a:avLst/>
                    </a:prstGeom>
                  </pic:spPr>
                </pic:pic>
              </a:graphicData>
            </a:graphic>
          </wp:inline>
        </w:drawing>
      </w:r>
    </w:p>
    <w:p>
      <w:pPr>
        <w:spacing w:after="0"/>
        <w:sectPr>
          <w:headerReference w:type="default" r:id="rId25"/>
          <w:footerReference w:type="default" r:id="rId26"/>
          <w:type w:val="continuous"/>
          <w:pgSz w:w="11910" w:h="16840"/>
          <w:pgMar w:top="1660" w:right="600" w:bottom="740" w:left="600" w:header="708" w:footer="708"/>
          <w:pgNumType w:start="10"/>
          <w:cols w:space="708"/>
        </w:sectPr>
      </w:pPr>
    </w:p>
    <w:p>
      <w:pPr>
        <w:tabs>
          <w:tab w:val="left" w:pos="1800"/>
          <w:tab w:val="left" w:pos="2952"/>
        </w:tabs>
        <w:spacing w:before="0" w:line="285" w:lineRule="exact"/>
        <w:ind w:left="1286" w:right="0" w:firstLine="0"/>
        <w:jc w:val="left"/>
        <w:rPr>
          <w:b/>
          <w:i/>
          <w:sz w:val="16"/>
        </w:rPr>
      </w:pPr>
      <w:r>
        <w:pict>
          <v:shape id="_x0000_s1104" style="width:74.55pt;height:6pt;margin-top:3.96pt;margin-left:177.65pt;mso-position-horizontal-relative:page;position:absolute;z-index:251694080" coordorigin="3553,79" coordsize="1491,120" path="m3673,79l3553,140,3673,199,3673,154,3653,154,3653,124,3673,124,3673,79xm3673,124l3653,124,3653,154,3673,154,3673,124xm3673,154l3653,154,3673,154,3673,154xm5044,120l3673,124,3673,154,5044,150,5044,120xe" filled="t" fillcolor="#7e7e7e" stroked="f">
            <v:fill type="solid"/>
            <v:path arrowok="t"/>
          </v:shape>
        </w:pict>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ab/>
      </w:r>
      <w:r>
        <w:rPr>
          <w:b/>
          <w:i/>
          <w:color w:val="FFFFFF"/>
          <w:sz w:val="16"/>
          <w:shd w:val="clear" w:color="auto" w:fill="C00000"/>
        </w:rPr>
        <w:t>地方电网</w:t>
        <w:tab/>
      </w:r>
    </w:p>
    <w:p>
      <w:pPr>
        <w:spacing w:before="177"/>
        <w:ind w:left="476" w:right="0" w:firstLine="0"/>
        <w:jc w:val="left"/>
        <w:rPr>
          <w:b/>
          <w:i/>
          <w:sz w:val="16"/>
        </w:rPr>
      </w:pPr>
      <w:r>
        <w:br w:type="column"/>
      </w:r>
      <w:r>
        <w:rPr>
          <w:b/>
          <w:i/>
          <w:sz w:val="16"/>
        </w:rPr>
        <w:t>上网发电</w:t>
      </w:r>
    </w:p>
    <w:p>
      <w:pPr>
        <w:spacing w:before="0" w:line="280" w:lineRule="exact"/>
        <w:ind w:left="291" w:right="0" w:firstLine="0"/>
        <w:jc w:val="left"/>
        <w:rPr>
          <w:b/>
          <w:i/>
          <w:sz w:val="16"/>
        </w:rPr>
      </w:pPr>
      <w:r>
        <w:br w:type="column"/>
      </w:r>
      <w:r>
        <w:rPr>
          <w:rFonts w:ascii="Times New Roman" w:eastAsia="Times New Roman"/>
          <w:color w:val="FFFFFF"/>
          <w:w w:val="100"/>
          <w:sz w:val="16"/>
          <w:shd w:val="clear" w:color="auto" w:fill="C00000"/>
        </w:rPr>
        <w:t xml:space="preserve"> </w:t>
      </w:r>
      <w:r>
        <w:rPr>
          <w:rFonts w:ascii="Times New Roman" w:eastAsia="Times New Roman"/>
          <w:color w:val="FFFFFF"/>
          <w:sz w:val="16"/>
          <w:shd w:val="clear" w:color="auto" w:fill="C00000"/>
        </w:rPr>
        <w:t xml:space="preserve">    </w:t>
      </w:r>
      <w:r>
        <w:rPr>
          <w:b/>
          <w:i/>
          <w:color w:val="FFFFFF"/>
          <w:sz w:val="16"/>
          <w:shd w:val="clear" w:color="auto" w:fill="C00000"/>
        </w:rPr>
        <w:t xml:space="preserve">垃圾焚烧发电项目 </w:t>
      </w:r>
    </w:p>
    <w:p>
      <w:pPr>
        <w:spacing w:after="0" w:line="280" w:lineRule="exact"/>
        <w:jc w:val="left"/>
        <w:rPr>
          <w:sz w:val="16"/>
        </w:rPr>
        <w:sectPr>
          <w:headerReference w:type="default" r:id="rId27"/>
          <w:footerReference w:type="default" r:id="rId28"/>
          <w:type w:val="continuous"/>
          <w:pgSz w:w="11910" w:h="16840"/>
          <w:pgMar w:top="1660" w:right="600" w:bottom="740" w:left="600" w:header="708" w:footer="708"/>
          <w:pgNumType w:start="11"/>
          <w:cols w:num="3" w:space="708" w:equalWidth="0">
            <w:col w:w="2953" w:space="40"/>
            <w:col w:w="1120" w:space="39"/>
            <w:col w:w="6558" w:space="0"/>
          </w:cols>
        </w:sectPr>
      </w:pPr>
    </w:p>
    <w:p>
      <w:pPr>
        <w:pStyle w:val="BodyText"/>
        <w:rPr>
          <w:b/>
          <w:i/>
          <w:sz w:val="25"/>
        </w:rPr>
      </w:pPr>
    </w:p>
    <w:p>
      <w:pPr>
        <w:pStyle w:val="BodyText"/>
        <w:spacing w:line="20" w:lineRule="exact"/>
        <w:ind w:left="98"/>
        <w:rPr>
          <w:sz w:val="2"/>
        </w:rPr>
      </w:pPr>
      <w:r>
        <w:rPr>
          <w:sz w:val="2"/>
        </w:rPr>
        <w:pict>
          <v:group id="_x0000_i1105" style="width:515.65pt;height:1pt;mso-position-horizontal-relative:char;mso-position-vertical-relative:line" coordorigin="0,0" coordsize="10313,20">
            <v:line id="_x0000_s1106" style="position:absolute" from="0,10" to="10312,10" stroked="t" strokecolor="#4b4d4f" strokeweight="0.96pt">
              <v:stroke dashstyle="solid"/>
            </v:line>
            <w10:wrap type="none"/>
          </v:group>
        </w:pict>
      </w:r>
    </w:p>
    <w:p>
      <w:pPr>
        <w:spacing w:before="0" w:line="265" w:lineRule="exact"/>
        <w:ind w:left="215" w:right="0" w:firstLine="0"/>
        <w:jc w:val="left"/>
        <w:rPr>
          <w:sz w:val="15"/>
        </w:rPr>
      </w:pPr>
      <w:r>
        <w:t xml:space="preserve">资料来源：E20， </w:t>
      </w:r>
    </w:p>
    <w:p>
      <w:pPr>
        <w:pStyle w:val="Heading4"/>
        <w:spacing w:before="135" w:line="364" w:lineRule="exact"/>
        <w:ind w:left="528"/>
      </w:pPr>
      <w:r>
        <w:rPr>
          <w:color w:val="333333"/>
        </w:rPr>
        <w:t xml:space="preserve">垃圾焚烧发电项目收入主要来自发电收入（占比约 </w:t>
      </w:r>
      <w:r>
        <w:rPr>
          <w:i w:val="0"/>
          <w:color w:val="333333"/>
        </w:rPr>
        <w:t>65-75%</w:t>
      </w:r>
      <w:r>
        <w:rPr>
          <w:color w:val="333333"/>
        </w:rPr>
        <w:t>）和垃圾处置费</w:t>
      </w:r>
    </w:p>
    <w:p>
      <w:pPr>
        <w:pStyle w:val="BodyText"/>
        <w:spacing w:before="1" w:line="235" w:lineRule="auto"/>
        <w:ind w:left="107" w:right="3410"/>
      </w:pPr>
      <w:r>
        <w:rPr>
          <w:b/>
          <w:i/>
          <w:color w:val="333333"/>
          <w:w w:val="99"/>
        </w:rPr>
        <w:t>（占比约</w:t>
      </w:r>
      <w:r>
        <w:rPr>
          <w:b/>
          <w:i/>
          <w:color w:val="333333"/>
        </w:rPr>
        <w:t xml:space="preserve"> </w:t>
      </w:r>
      <w:r>
        <w:rPr>
          <w:b/>
          <w:color w:val="333333"/>
          <w:spacing w:val="-1"/>
          <w:w w:val="99"/>
        </w:rPr>
        <w:t>25</w:t>
      </w:r>
      <w:r>
        <w:rPr>
          <w:b/>
          <w:color w:val="333333"/>
          <w:spacing w:val="1"/>
          <w:w w:val="99"/>
        </w:rPr>
        <w:t>-</w:t>
      </w:r>
      <w:r>
        <w:rPr>
          <w:b/>
          <w:color w:val="333333"/>
          <w:w w:val="99"/>
        </w:rPr>
        <w:t>3</w:t>
      </w:r>
      <w:r>
        <w:rPr>
          <w:b/>
          <w:color w:val="333333"/>
          <w:spacing w:val="1"/>
          <w:w w:val="99"/>
        </w:rPr>
        <w:t>5</w:t>
      </w:r>
      <w:r>
        <w:rPr>
          <w:b/>
          <w:color w:val="333333"/>
          <w:spacing w:val="-1"/>
          <w:w w:val="99"/>
        </w:rPr>
        <w:t>%</w:t>
      </w:r>
      <w:r>
        <w:rPr>
          <w:b/>
          <w:i/>
          <w:color w:val="333333"/>
          <w:spacing w:val="-99"/>
          <w:w w:val="99"/>
        </w:rPr>
        <w:t>）</w:t>
      </w:r>
      <w:r>
        <w:rPr>
          <w:color w:val="333333"/>
          <w:w w:val="99"/>
        </w:rPr>
        <w:t>，项目筹建及建设期一般需要</w:t>
      </w:r>
      <w:r>
        <w:rPr>
          <w:color w:val="333333"/>
        </w:rPr>
        <w:t xml:space="preserve"> </w:t>
      </w:r>
      <w:r>
        <w:rPr>
          <w:color w:val="333333"/>
          <w:w w:val="99"/>
        </w:rPr>
        <w:t>18</w:t>
      </w:r>
      <w:r>
        <w:rPr>
          <w:color w:val="333333"/>
          <w:spacing w:val="2"/>
          <w:w w:val="99"/>
        </w:rPr>
        <w:t>-</w:t>
      </w:r>
      <w:r>
        <w:rPr>
          <w:color w:val="333333"/>
          <w:w w:val="99"/>
        </w:rPr>
        <w:t>24</w:t>
      </w:r>
      <w:r>
        <w:rPr>
          <w:color w:val="333333"/>
        </w:rPr>
        <w:t xml:space="preserve"> </w:t>
      </w:r>
      <w:r>
        <w:rPr>
          <w:color w:val="333333"/>
          <w:w w:val="99"/>
        </w:rPr>
        <w:t>个月。对于</w:t>
      </w:r>
      <w:r>
        <w:rPr>
          <w:color w:val="333333"/>
        </w:rPr>
        <w:t xml:space="preserve"> </w:t>
      </w:r>
      <w:r>
        <w:rPr>
          <w:color w:val="333333"/>
          <w:w w:val="99"/>
        </w:rPr>
        <w:t>A</w:t>
      </w:r>
      <w:r>
        <w:rPr>
          <w:color w:val="333333"/>
        </w:rPr>
        <w:t xml:space="preserve"> </w:t>
      </w:r>
      <w:r>
        <w:rPr>
          <w:color w:val="333333"/>
          <w:w w:val="99"/>
        </w:rPr>
        <w:t>股上市公</w:t>
      </w:r>
      <w:r>
        <w:rPr>
          <w:color w:val="333333"/>
          <w:spacing w:val="-12"/>
        </w:rPr>
        <w:t>司，一般要求项目的</w:t>
      </w:r>
      <w:r>
        <w:rPr>
          <w:b/>
          <w:i/>
          <w:color w:val="333333"/>
          <w:spacing w:val="-2"/>
        </w:rPr>
        <w:t xml:space="preserve">内部收益率需达到 </w:t>
      </w:r>
      <w:r>
        <w:rPr>
          <w:b/>
          <w:color w:val="333333"/>
        </w:rPr>
        <w:t>8%</w:t>
      </w:r>
      <w:r>
        <w:rPr>
          <w:b/>
          <w:i/>
          <w:color w:val="333333"/>
        </w:rPr>
        <w:t>及以上</w:t>
      </w:r>
      <w:r>
        <w:rPr>
          <w:color w:val="333333"/>
          <w:spacing w:val="-11"/>
        </w:rPr>
        <w:t xml:space="preserve">。单个项目的质量受多方面影响， </w:t>
      </w:r>
      <w:r>
        <w:rPr>
          <w:color w:val="333333"/>
          <w:spacing w:val="-7"/>
        </w:rPr>
        <w:t>主要参考以下几类因素：项目所在地</w:t>
      </w:r>
      <w:r>
        <w:rPr>
          <w:color w:val="333333"/>
        </w:rPr>
        <w:t>（</w:t>
      </w:r>
      <w:r>
        <w:rPr>
          <w:color w:val="333333"/>
          <w:spacing w:val="-6"/>
        </w:rPr>
        <w:t>影响垃圾热值、垃圾处理量及处理服务费回款情况</w:t>
      </w:r>
      <w:r>
        <w:rPr>
          <w:color w:val="333333"/>
          <w:spacing w:val="-101"/>
        </w:rPr>
        <w:t>）</w:t>
      </w:r>
      <w:r>
        <w:rPr>
          <w:color w:val="333333"/>
          <w:spacing w:val="-4"/>
        </w:rPr>
        <w:t>、项目规模及总投资额、垃圾处理服务费、红线外投资比重及能否实现热电联产等。</w:t>
      </w:r>
    </w:p>
    <w:p>
      <w:pPr>
        <w:pStyle w:val="BodyText"/>
        <w:spacing w:before="114" w:line="235" w:lineRule="auto"/>
        <w:ind w:left="107" w:right="3515" w:firstLine="420"/>
        <w:jc w:val="both"/>
      </w:pPr>
      <w:r>
        <w:rPr>
          <w:color w:val="333333"/>
        </w:rPr>
        <w:t>发电收入由当地</w:t>
      </w:r>
      <w:r>
        <w:rPr>
          <w:b/>
          <w:i/>
          <w:color w:val="333333"/>
        </w:rPr>
        <w:t>燃煤发电标杆电价、省补、国补</w:t>
      </w:r>
      <w:r>
        <w:rPr>
          <w:color w:val="333333"/>
        </w:rPr>
        <w:t>三部分组成，在回款能力方</w:t>
      </w:r>
      <w:r>
        <w:rPr>
          <w:color w:val="333333"/>
          <w:spacing w:val="-13"/>
        </w:rPr>
        <w:t>面，前两者由电网支付，回款较快。国补部分需要项目进入补贴目录，一般项目运</w:t>
      </w:r>
      <w:r>
        <w:rPr>
          <w:color w:val="333333"/>
          <w:spacing w:val="-12"/>
        </w:rPr>
        <w:t>营一段时间后，符合条件的可申请进入补贴目录，前期运营产生的国补部分金额一</w:t>
      </w:r>
      <w:r>
        <w:rPr>
          <w:color w:val="333333"/>
          <w:spacing w:val="-11"/>
        </w:rPr>
        <w:t>次性补贴完成。垃圾处理费受当地经济条件及财政收入影响较大，经济发达地区及</w:t>
      </w:r>
      <w:r>
        <w:rPr>
          <w:color w:val="333333"/>
          <w:spacing w:val="-7"/>
        </w:rPr>
        <w:t>省会级城市项目回款情况较优，中西部以及经济欠发达地区，回款情况较慢，对项</w:t>
      </w:r>
      <w:r>
        <w:rPr>
          <w:color w:val="333333"/>
        </w:rPr>
        <w:t>目的现金流产生较大压力。</w:t>
      </w:r>
    </w:p>
    <w:p>
      <w:pPr>
        <w:pStyle w:val="BodyText"/>
        <w:spacing w:before="112" w:line="235" w:lineRule="auto"/>
        <w:ind w:left="107" w:right="3512" w:firstLine="420"/>
        <w:jc w:val="both"/>
      </w:pPr>
      <w:r>
        <w:rPr>
          <w:color w:val="333333"/>
          <w:spacing w:val="-21"/>
        </w:rPr>
        <w:t xml:space="preserve">在税费方面，垃圾焚烧发电项目享受“三免三减半“及增值税 </w:t>
      </w:r>
      <w:r>
        <w:rPr>
          <w:color w:val="333333"/>
        </w:rPr>
        <w:t>100%即征即退， 发生的增值税缴纳退还后计入其他收益。</w:t>
      </w:r>
    </w:p>
    <w:p>
      <w:pPr>
        <w:pStyle w:val="Heading4"/>
        <w:spacing w:before="103" w:after="30"/>
        <w:ind w:left="215"/>
      </w:pPr>
      <w:r>
        <w:rPr>
          <w:color w:val="4B4D4F"/>
        </w:rPr>
        <w:t>表</w:t>
      </w:r>
      <w:r>
        <w:rPr>
          <w:i w:val="0"/>
          <w:color w:val="4B4D4F"/>
        </w:rPr>
        <w:t>1</w:t>
      </w:r>
      <w:r>
        <w:rPr>
          <w:color w:val="4B4D4F"/>
        </w:rPr>
        <w:t>：垃圾焚烧发电收入构成分析</w:t>
      </w:r>
    </w:p>
    <w:tbl>
      <w:tblPr>
        <w:tblStyle w:val="TableNormal0"/>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98"/>
        <w:gridCol w:w="1683"/>
        <w:gridCol w:w="1299"/>
        <w:gridCol w:w="3921"/>
        <w:gridCol w:w="1592"/>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2"/>
          <w:jc w:val="left"/>
        </w:trPr>
        <w:tc>
          <w:tcPr>
            <w:tcW w:w="1998" w:type="dxa"/>
            <w:shd w:val="clear" w:color="auto" w:fill="C00000"/>
          </w:tcPr>
          <w:p>
            <w:pPr>
              <w:pStyle w:val="TableParagraph"/>
              <w:spacing w:line="292" w:lineRule="exact"/>
              <w:ind w:left="631"/>
              <w:jc w:val="left"/>
              <w:rPr>
                <w:b/>
                <w:i/>
                <w:sz w:val="18"/>
              </w:rPr>
            </w:pPr>
            <w:r>
              <w:rPr>
                <w:b/>
                <w:i/>
                <w:color w:val="FFFFFF"/>
                <w:sz w:val="18"/>
              </w:rPr>
              <w:t>收入构成</w:t>
            </w:r>
          </w:p>
        </w:tc>
        <w:tc>
          <w:tcPr>
            <w:tcW w:w="1683" w:type="dxa"/>
            <w:shd w:val="clear" w:color="auto" w:fill="C00000"/>
          </w:tcPr>
          <w:p>
            <w:pPr>
              <w:pStyle w:val="TableParagraph"/>
              <w:spacing w:line="292" w:lineRule="exact"/>
              <w:ind w:left="93" w:right="100"/>
              <w:rPr>
                <w:b/>
                <w:i/>
                <w:sz w:val="18"/>
              </w:rPr>
            </w:pPr>
            <w:r>
              <w:rPr>
                <w:b/>
                <w:i/>
                <w:color w:val="FFFFFF"/>
                <w:sz w:val="18"/>
              </w:rPr>
              <w:t>价格标准</w:t>
            </w:r>
          </w:p>
        </w:tc>
        <w:tc>
          <w:tcPr>
            <w:tcW w:w="1299" w:type="dxa"/>
            <w:shd w:val="clear" w:color="auto" w:fill="C00000"/>
          </w:tcPr>
          <w:p>
            <w:pPr>
              <w:pStyle w:val="TableParagraph"/>
              <w:spacing w:line="292" w:lineRule="exact"/>
              <w:ind w:left="111" w:right="118"/>
              <w:rPr>
                <w:b/>
                <w:i/>
                <w:sz w:val="18"/>
              </w:rPr>
            </w:pPr>
            <w:r>
              <w:rPr>
                <w:b/>
                <w:i/>
                <w:color w:val="FFFFFF"/>
                <w:sz w:val="18"/>
              </w:rPr>
              <w:t>付费单位</w:t>
            </w:r>
          </w:p>
        </w:tc>
        <w:tc>
          <w:tcPr>
            <w:tcW w:w="3921" w:type="dxa"/>
            <w:shd w:val="clear" w:color="auto" w:fill="C00000"/>
          </w:tcPr>
          <w:p>
            <w:pPr>
              <w:pStyle w:val="TableParagraph"/>
              <w:spacing w:line="292" w:lineRule="exact"/>
              <w:ind w:left="116" w:right="240"/>
              <w:rPr>
                <w:b/>
                <w:i/>
                <w:sz w:val="18"/>
              </w:rPr>
            </w:pPr>
            <w:r>
              <w:rPr>
                <w:b/>
                <w:i/>
                <w:color w:val="FFFFFF"/>
                <w:sz w:val="18"/>
              </w:rPr>
              <w:t>结算方式</w:t>
            </w:r>
          </w:p>
        </w:tc>
        <w:tc>
          <w:tcPr>
            <w:tcW w:w="1592" w:type="dxa"/>
            <w:shd w:val="clear" w:color="auto" w:fill="C00000"/>
          </w:tcPr>
          <w:p>
            <w:pPr>
              <w:pStyle w:val="TableParagraph"/>
              <w:spacing w:line="292" w:lineRule="exact"/>
              <w:ind w:left="239" w:right="350"/>
              <w:rPr>
                <w:b/>
                <w:i/>
                <w:sz w:val="18"/>
              </w:rPr>
            </w:pPr>
            <w:r>
              <w:rPr>
                <w:b/>
                <w:i/>
                <w:color w:val="FFFFFF"/>
                <w:sz w:val="18"/>
              </w:rPr>
              <w:t>资金来源</w:t>
            </w:r>
          </w:p>
        </w:tc>
      </w:tr>
      <w:tr>
        <w:tblPrEx>
          <w:tblW w:w="0" w:type="auto"/>
          <w:jc w:val="left"/>
          <w:tblInd w:w="115" w:type="dxa"/>
          <w:tblLayout w:type="fixed"/>
          <w:tblCellMar>
            <w:top w:w="0" w:type="dxa"/>
            <w:left w:w="0" w:type="dxa"/>
            <w:bottom w:w="0" w:type="dxa"/>
            <w:right w:w="0" w:type="dxa"/>
          </w:tblCellMar>
          <w:tblLook w:val="01E0"/>
        </w:tblPrEx>
        <w:trPr>
          <w:trHeight w:val="312"/>
          <w:jc w:val="left"/>
        </w:trPr>
        <w:tc>
          <w:tcPr>
            <w:tcW w:w="1998" w:type="dxa"/>
          </w:tcPr>
          <w:p>
            <w:pPr>
              <w:pStyle w:val="TableParagraph"/>
              <w:spacing w:before="9" w:line="282" w:lineRule="exact"/>
              <w:ind w:left="593"/>
              <w:jc w:val="left"/>
              <w:rPr>
                <w:sz w:val="16"/>
              </w:rPr>
            </w:pPr>
            <w:r>
              <w:rPr>
                <w:sz w:val="16"/>
              </w:rPr>
              <w:t>垃圾处置费</w:t>
            </w:r>
          </w:p>
        </w:tc>
        <w:tc>
          <w:tcPr>
            <w:tcW w:w="1683" w:type="dxa"/>
          </w:tcPr>
          <w:p>
            <w:pPr>
              <w:pStyle w:val="TableParagraph"/>
              <w:spacing w:before="9" w:line="282" w:lineRule="exact"/>
              <w:ind w:left="96" w:right="100"/>
              <w:rPr>
                <w:sz w:val="16"/>
              </w:rPr>
            </w:pPr>
            <w:r>
              <w:rPr>
                <w:sz w:val="16"/>
              </w:rPr>
              <w:t>70-80 元/吨</w:t>
            </w:r>
          </w:p>
        </w:tc>
        <w:tc>
          <w:tcPr>
            <w:tcW w:w="1299" w:type="dxa"/>
          </w:tcPr>
          <w:p>
            <w:pPr>
              <w:pStyle w:val="TableParagraph"/>
              <w:spacing w:before="9" w:line="282" w:lineRule="exact"/>
              <w:ind w:left="111" w:right="118"/>
              <w:rPr>
                <w:sz w:val="16"/>
              </w:rPr>
            </w:pPr>
            <w:r>
              <w:rPr>
                <w:sz w:val="16"/>
              </w:rPr>
              <w:t>环卫/城管部门</w:t>
            </w:r>
          </w:p>
        </w:tc>
        <w:tc>
          <w:tcPr>
            <w:tcW w:w="3921" w:type="dxa"/>
          </w:tcPr>
          <w:p>
            <w:pPr>
              <w:pStyle w:val="TableParagraph"/>
              <w:spacing w:before="9" w:line="282" w:lineRule="exact"/>
              <w:ind w:left="119" w:right="240"/>
              <w:rPr>
                <w:sz w:val="16"/>
              </w:rPr>
            </w:pPr>
            <w:r>
              <w:rPr>
                <w:sz w:val="16"/>
              </w:rPr>
              <w:t>月结/季结</w:t>
            </w:r>
          </w:p>
        </w:tc>
        <w:tc>
          <w:tcPr>
            <w:tcW w:w="1592" w:type="dxa"/>
          </w:tcPr>
          <w:p>
            <w:pPr>
              <w:pStyle w:val="TableParagraph"/>
              <w:spacing w:before="9" w:line="282" w:lineRule="exact"/>
              <w:ind w:left="242" w:right="350"/>
              <w:rPr>
                <w:sz w:val="16"/>
              </w:rPr>
            </w:pPr>
            <w:r>
              <w:rPr>
                <w:sz w:val="16"/>
              </w:rPr>
              <w:t>地方财政收入</w:t>
            </w:r>
          </w:p>
        </w:tc>
      </w:tr>
      <w:tr>
        <w:tblPrEx>
          <w:tblW w:w="0" w:type="auto"/>
          <w:jc w:val="left"/>
          <w:tblInd w:w="115" w:type="dxa"/>
          <w:tblLayout w:type="fixed"/>
          <w:tblCellMar>
            <w:top w:w="0" w:type="dxa"/>
            <w:left w:w="0" w:type="dxa"/>
            <w:bottom w:w="0" w:type="dxa"/>
            <w:right w:w="0" w:type="dxa"/>
          </w:tblCellMar>
          <w:tblLook w:val="01E0"/>
        </w:tblPrEx>
        <w:trPr>
          <w:trHeight w:val="405"/>
          <w:jc w:val="left"/>
        </w:trPr>
        <w:tc>
          <w:tcPr>
            <w:tcW w:w="10493" w:type="dxa"/>
            <w:gridSpan w:val="5"/>
            <w:shd w:val="clear" w:color="auto" w:fill="D9D9D9"/>
          </w:tcPr>
          <w:p>
            <w:pPr>
              <w:pStyle w:val="TableParagraph"/>
              <w:tabs>
                <w:tab w:val="left" w:pos="2143"/>
              </w:tabs>
              <w:spacing w:before="55"/>
              <w:ind w:left="833"/>
              <w:jc w:val="left"/>
              <w:rPr>
                <w:sz w:val="16"/>
              </w:rPr>
            </w:pPr>
            <w:r>
              <w:rPr>
                <w:sz w:val="16"/>
              </w:rPr>
              <w:t>电费</w:t>
              <w:tab/>
              <w:t>吨垃圾</w:t>
            </w:r>
            <w:r>
              <w:rPr>
                <w:spacing w:val="-3"/>
                <w:sz w:val="16"/>
              </w:rPr>
              <w:t>折</w:t>
            </w:r>
            <w:r>
              <w:rPr>
                <w:sz w:val="16"/>
              </w:rPr>
              <w:t>算上</w:t>
            </w:r>
            <w:r>
              <w:rPr>
                <w:spacing w:val="-3"/>
                <w:sz w:val="16"/>
              </w:rPr>
              <w:t>网</w:t>
            </w:r>
            <w:r>
              <w:rPr>
                <w:sz w:val="16"/>
              </w:rPr>
              <w:t>电</w:t>
            </w:r>
            <w:r>
              <w:rPr>
                <w:spacing w:val="-3"/>
                <w:sz w:val="16"/>
              </w:rPr>
              <w:t>量</w:t>
            </w:r>
            <w:r>
              <w:rPr>
                <w:sz w:val="16"/>
              </w:rPr>
              <w:t>为</w:t>
            </w:r>
            <w:r>
              <w:rPr>
                <w:spacing w:val="-2"/>
                <w:sz w:val="16"/>
              </w:rPr>
              <w:t xml:space="preserve"> </w:t>
            </w:r>
            <w:r>
              <w:rPr>
                <w:sz w:val="16"/>
              </w:rPr>
              <w:t>280</w:t>
            </w:r>
            <w:r>
              <w:rPr>
                <w:spacing w:val="-4"/>
                <w:sz w:val="16"/>
              </w:rPr>
              <w:t xml:space="preserve"> </w:t>
            </w:r>
            <w:r>
              <w:rPr>
                <w:sz w:val="16"/>
              </w:rPr>
              <w:t>度</w:t>
            </w:r>
            <w:r>
              <w:rPr>
                <w:spacing w:val="-3"/>
                <w:sz w:val="16"/>
              </w:rPr>
              <w:t>，执</w:t>
            </w:r>
            <w:r>
              <w:rPr>
                <w:sz w:val="16"/>
              </w:rPr>
              <w:t>行全国</w:t>
            </w:r>
            <w:r>
              <w:rPr>
                <w:spacing w:val="-3"/>
                <w:sz w:val="16"/>
              </w:rPr>
              <w:t>统</w:t>
            </w:r>
            <w:r>
              <w:rPr>
                <w:sz w:val="16"/>
              </w:rPr>
              <w:t>一补</w:t>
            </w:r>
            <w:r>
              <w:rPr>
                <w:spacing w:val="-3"/>
                <w:sz w:val="16"/>
              </w:rPr>
              <w:t>贴</w:t>
            </w:r>
            <w:r>
              <w:rPr>
                <w:sz w:val="16"/>
              </w:rPr>
              <w:t>价</w:t>
            </w:r>
            <w:r>
              <w:rPr>
                <w:spacing w:val="-2"/>
                <w:sz w:val="16"/>
              </w:rPr>
              <w:t xml:space="preserve"> </w:t>
            </w:r>
            <w:r>
              <w:rPr>
                <w:sz w:val="16"/>
              </w:rPr>
              <w:t>0.65</w:t>
            </w:r>
            <w:r>
              <w:rPr>
                <w:spacing w:val="-4"/>
                <w:sz w:val="16"/>
              </w:rPr>
              <w:t xml:space="preserve"> </w:t>
            </w:r>
            <w:r>
              <w:rPr>
                <w:spacing w:val="-3"/>
                <w:sz w:val="16"/>
              </w:rPr>
              <w:t>元</w:t>
            </w:r>
            <w:r>
              <w:rPr>
                <w:sz w:val="16"/>
              </w:rPr>
              <w:t>/度</w:t>
            </w:r>
            <w:r>
              <w:rPr>
                <w:spacing w:val="-3"/>
                <w:sz w:val="16"/>
              </w:rPr>
              <w:t>，其</w:t>
            </w:r>
            <w:r>
              <w:rPr>
                <w:sz w:val="16"/>
              </w:rPr>
              <w:t>余上网</w:t>
            </w:r>
            <w:r>
              <w:rPr>
                <w:spacing w:val="-3"/>
                <w:sz w:val="16"/>
              </w:rPr>
              <w:t>电</w:t>
            </w:r>
            <w:r>
              <w:rPr>
                <w:sz w:val="16"/>
              </w:rPr>
              <w:t>量执</w:t>
            </w:r>
            <w:r>
              <w:rPr>
                <w:spacing w:val="-3"/>
                <w:sz w:val="16"/>
              </w:rPr>
              <w:t>行</w:t>
            </w:r>
            <w:r>
              <w:rPr>
                <w:sz w:val="16"/>
              </w:rPr>
              <w:t>当地</w:t>
            </w:r>
            <w:r>
              <w:rPr>
                <w:spacing w:val="-3"/>
                <w:sz w:val="16"/>
              </w:rPr>
              <w:t>同</w:t>
            </w:r>
            <w:r>
              <w:rPr>
                <w:sz w:val="16"/>
              </w:rPr>
              <w:t>类燃</w:t>
            </w:r>
            <w:r>
              <w:rPr>
                <w:spacing w:val="-3"/>
                <w:sz w:val="16"/>
              </w:rPr>
              <w:t>煤</w:t>
            </w:r>
            <w:r>
              <w:rPr>
                <w:sz w:val="16"/>
              </w:rPr>
              <w:t>发</w:t>
            </w:r>
            <w:r>
              <w:rPr>
                <w:spacing w:val="-3"/>
                <w:sz w:val="16"/>
              </w:rPr>
              <w:t>电</w:t>
            </w:r>
            <w:r>
              <w:rPr>
                <w:sz w:val="16"/>
              </w:rPr>
              <w:t>机组上</w:t>
            </w:r>
            <w:r>
              <w:rPr>
                <w:spacing w:val="-3"/>
                <w:sz w:val="16"/>
              </w:rPr>
              <w:t>网</w:t>
            </w:r>
            <w:r>
              <w:rPr>
                <w:sz w:val="16"/>
              </w:rPr>
              <w:t>电价</w:t>
            </w:r>
          </w:p>
        </w:tc>
      </w:tr>
      <w:tr>
        <w:tblPrEx>
          <w:tblW w:w="0" w:type="auto"/>
          <w:jc w:val="left"/>
          <w:tblInd w:w="115" w:type="dxa"/>
          <w:tblLayout w:type="fixed"/>
          <w:tblCellMar>
            <w:top w:w="0" w:type="dxa"/>
            <w:left w:w="0" w:type="dxa"/>
            <w:bottom w:w="0" w:type="dxa"/>
            <w:right w:w="0" w:type="dxa"/>
          </w:tblCellMar>
          <w:tblLook w:val="01E0"/>
        </w:tblPrEx>
        <w:trPr>
          <w:trHeight w:val="396"/>
          <w:jc w:val="left"/>
        </w:trPr>
        <w:tc>
          <w:tcPr>
            <w:tcW w:w="1998" w:type="dxa"/>
          </w:tcPr>
          <w:p>
            <w:pPr>
              <w:pStyle w:val="TableParagraph"/>
              <w:spacing w:before="50"/>
              <w:ind w:left="112"/>
              <w:jc w:val="left"/>
              <w:rPr>
                <w:sz w:val="16"/>
              </w:rPr>
            </w:pPr>
            <w:r>
              <w:rPr>
                <w:sz w:val="16"/>
              </w:rPr>
              <w:t>其中：当地燃煤标杆电价</w:t>
            </w:r>
          </w:p>
        </w:tc>
        <w:tc>
          <w:tcPr>
            <w:tcW w:w="1683" w:type="dxa"/>
          </w:tcPr>
          <w:p>
            <w:pPr>
              <w:pStyle w:val="TableParagraph"/>
              <w:spacing w:before="50"/>
              <w:ind w:left="96" w:right="100"/>
              <w:rPr>
                <w:sz w:val="16"/>
              </w:rPr>
            </w:pPr>
            <w:r>
              <w:rPr>
                <w:sz w:val="16"/>
              </w:rPr>
              <w:t>0.25-0.45 元/度</w:t>
            </w:r>
          </w:p>
        </w:tc>
        <w:tc>
          <w:tcPr>
            <w:tcW w:w="1299" w:type="dxa"/>
          </w:tcPr>
          <w:p>
            <w:pPr>
              <w:pStyle w:val="TableParagraph"/>
              <w:spacing w:before="50"/>
              <w:ind w:left="111" w:right="118"/>
              <w:rPr>
                <w:sz w:val="16"/>
              </w:rPr>
            </w:pPr>
            <w:r>
              <w:rPr>
                <w:sz w:val="16"/>
              </w:rPr>
              <w:t>当地电网</w:t>
            </w:r>
          </w:p>
        </w:tc>
        <w:tc>
          <w:tcPr>
            <w:tcW w:w="3921" w:type="dxa"/>
          </w:tcPr>
          <w:p>
            <w:pPr>
              <w:pStyle w:val="TableParagraph"/>
              <w:spacing w:before="50"/>
              <w:ind w:left="120" w:right="239"/>
              <w:rPr>
                <w:sz w:val="16"/>
              </w:rPr>
            </w:pPr>
            <w:r>
              <w:rPr>
                <w:sz w:val="16"/>
              </w:rPr>
              <w:t>月度结算</w:t>
            </w:r>
          </w:p>
        </w:tc>
        <w:tc>
          <w:tcPr>
            <w:tcW w:w="1592" w:type="dxa"/>
          </w:tcPr>
          <w:p>
            <w:pPr>
              <w:pStyle w:val="TableParagraph"/>
              <w:spacing w:before="50"/>
              <w:ind w:left="242" w:right="348"/>
              <w:rPr>
                <w:sz w:val="16"/>
              </w:rPr>
            </w:pPr>
            <w:r>
              <w:rPr>
                <w:sz w:val="16"/>
              </w:rPr>
              <w:t>电力消费</w:t>
            </w:r>
          </w:p>
        </w:tc>
      </w:tr>
      <w:tr>
        <w:tblPrEx>
          <w:tblW w:w="0" w:type="auto"/>
          <w:jc w:val="left"/>
          <w:tblInd w:w="115" w:type="dxa"/>
          <w:tblLayout w:type="fixed"/>
          <w:tblCellMar>
            <w:top w:w="0" w:type="dxa"/>
            <w:left w:w="0" w:type="dxa"/>
            <w:bottom w:w="0" w:type="dxa"/>
            <w:right w:w="0" w:type="dxa"/>
          </w:tblCellMar>
          <w:tblLook w:val="01E0"/>
        </w:tblPrEx>
        <w:trPr>
          <w:trHeight w:val="398"/>
          <w:jc w:val="left"/>
        </w:trPr>
        <w:tc>
          <w:tcPr>
            <w:tcW w:w="1998" w:type="dxa"/>
            <w:shd w:val="clear" w:color="auto" w:fill="D9D9D9"/>
          </w:tcPr>
          <w:p>
            <w:pPr>
              <w:pStyle w:val="TableParagraph"/>
              <w:spacing w:before="53"/>
              <w:ind w:left="1073"/>
              <w:jc w:val="left"/>
              <w:rPr>
                <w:sz w:val="16"/>
              </w:rPr>
            </w:pPr>
            <w:r>
              <w:rPr>
                <w:sz w:val="16"/>
              </w:rPr>
              <w:t>省补</w:t>
            </w:r>
          </w:p>
        </w:tc>
        <w:tc>
          <w:tcPr>
            <w:tcW w:w="1683" w:type="dxa"/>
            <w:shd w:val="clear" w:color="auto" w:fill="D9D9D9"/>
          </w:tcPr>
          <w:p>
            <w:pPr>
              <w:pStyle w:val="TableParagraph"/>
              <w:spacing w:before="53"/>
              <w:ind w:left="510"/>
              <w:jc w:val="left"/>
              <w:rPr>
                <w:sz w:val="16"/>
              </w:rPr>
            </w:pPr>
            <w:r>
              <w:rPr>
                <w:sz w:val="16"/>
              </w:rPr>
              <w:t>0.1 元/度</w:t>
            </w:r>
          </w:p>
        </w:tc>
        <w:tc>
          <w:tcPr>
            <w:tcW w:w="1299" w:type="dxa"/>
            <w:shd w:val="clear" w:color="auto" w:fill="D9D9D9"/>
          </w:tcPr>
          <w:p>
            <w:pPr>
              <w:pStyle w:val="TableParagraph"/>
              <w:spacing w:before="53"/>
              <w:ind w:left="111" w:right="118"/>
              <w:rPr>
                <w:sz w:val="16"/>
              </w:rPr>
            </w:pPr>
            <w:r>
              <w:rPr>
                <w:sz w:val="16"/>
              </w:rPr>
              <w:t>省级电网</w:t>
            </w:r>
          </w:p>
        </w:tc>
        <w:tc>
          <w:tcPr>
            <w:tcW w:w="3921" w:type="dxa"/>
            <w:shd w:val="clear" w:color="auto" w:fill="D9D9D9"/>
          </w:tcPr>
          <w:p>
            <w:pPr>
              <w:pStyle w:val="TableParagraph"/>
              <w:spacing w:before="53"/>
              <w:ind w:left="120" w:right="239"/>
              <w:rPr>
                <w:sz w:val="16"/>
              </w:rPr>
            </w:pPr>
            <w:r>
              <w:rPr>
                <w:sz w:val="16"/>
              </w:rPr>
              <w:t>季度或半年结算</w:t>
            </w:r>
          </w:p>
        </w:tc>
        <w:tc>
          <w:tcPr>
            <w:tcW w:w="1592" w:type="dxa"/>
            <w:shd w:val="clear" w:color="auto" w:fill="D9D9D9"/>
          </w:tcPr>
          <w:p>
            <w:pPr>
              <w:pStyle w:val="TableParagraph"/>
              <w:spacing w:before="53"/>
              <w:ind w:left="242" w:right="348"/>
              <w:rPr>
                <w:sz w:val="16"/>
              </w:rPr>
            </w:pPr>
            <w:r>
              <w:rPr>
                <w:sz w:val="16"/>
              </w:rPr>
              <w:t>电力消费</w:t>
            </w:r>
          </w:p>
        </w:tc>
      </w:tr>
      <w:tr>
        <w:tblPrEx>
          <w:tblW w:w="0" w:type="auto"/>
          <w:jc w:val="left"/>
          <w:tblInd w:w="115" w:type="dxa"/>
          <w:tblLayout w:type="fixed"/>
          <w:tblCellMar>
            <w:top w:w="0" w:type="dxa"/>
            <w:left w:w="0" w:type="dxa"/>
            <w:bottom w:w="0" w:type="dxa"/>
            <w:right w:w="0" w:type="dxa"/>
          </w:tblCellMar>
          <w:tblLook w:val="01E0"/>
        </w:tblPrEx>
        <w:trPr>
          <w:trHeight w:val="429"/>
          <w:jc w:val="left"/>
        </w:trPr>
        <w:tc>
          <w:tcPr>
            <w:tcW w:w="1998" w:type="dxa"/>
            <w:tcBorders>
              <w:bottom w:val="single" w:sz="8" w:space="0" w:color="C00000"/>
            </w:tcBorders>
          </w:tcPr>
          <w:p>
            <w:pPr>
              <w:pStyle w:val="TableParagraph"/>
              <w:spacing w:before="67"/>
              <w:ind w:left="1073"/>
              <w:jc w:val="left"/>
              <w:rPr>
                <w:sz w:val="16"/>
              </w:rPr>
            </w:pPr>
            <w:r>
              <w:rPr>
                <w:sz w:val="16"/>
              </w:rPr>
              <w:t>国补</w:t>
            </w:r>
          </w:p>
        </w:tc>
        <w:tc>
          <w:tcPr>
            <w:tcW w:w="1683" w:type="dxa"/>
            <w:tcBorders>
              <w:bottom w:val="single" w:sz="8" w:space="0" w:color="C00000"/>
            </w:tcBorders>
          </w:tcPr>
          <w:p>
            <w:pPr>
              <w:pStyle w:val="TableParagraph"/>
              <w:spacing w:before="67"/>
              <w:ind w:left="98" w:right="100"/>
              <w:rPr>
                <w:sz w:val="16"/>
              </w:rPr>
            </w:pPr>
            <w:r>
              <w:rPr>
                <w:sz w:val="16"/>
              </w:rPr>
              <w:t>补齐 0.65 元/度差额</w:t>
            </w:r>
          </w:p>
        </w:tc>
        <w:tc>
          <w:tcPr>
            <w:tcW w:w="1299" w:type="dxa"/>
            <w:tcBorders>
              <w:bottom w:val="single" w:sz="8" w:space="0" w:color="C00000"/>
            </w:tcBorders>
          </w:tcPr>
          <w:p>
            <w:pPr>
              <w:pStyle w:val="TableParagraph"/>
              <w:spacing w:before="67"/>
              <w:ind w:left="111" w:right="117"/>
              <w:rPr>
                <w:sz w:val="16"/>
              </w:rPr>
            </w:pPr>
            <w:r>
              <w:rPr>
                <w:sz w:val="16"/>
              </w:rPr>
              <w:t>财政部</w:t>
            </w:r>
          </w:p>
        </w:tc>
        <w:tc>
          <w:tcPr>
            <w:tcW w:w="3921" w:type="dxa"/>
            <w:tcBorders>
              <w:bottom w:val="single" w:sz="8" w:space="0" w:color="C00000"/>
            </w:tcBorders>
          </w:tcPr>
          <w:p>
            <w:pPr>
              <w:pStyle w:val="TableParagraph"/>
              <w:spacing w:before="67"/>
              <w:ind w:left="120" w:right="240"/>
              <w:rPr>
                <w:sz w:val="16"/>
              </w:rPr>
            </w:pPr>
            <w:r>
              <w:rPr>
                <w:sz w:val="16"/>
              </w:rPr>
              <w:t>进入补贴目录后，原则上实行按季拨付、年终清算</w:t>
            </w:r>
          </w:p>
        </w:tc>
        <w:tc>
          <w:tcPr>
            <w:tcW w:w="1592" w:type="dxa"/>
            <w:tcBorders>
              <w:bottom w:val="single" w:sz="8" w:space="0" w:color="C00000"/>
            </w:tcBorders>
          </w:tcPr>
          <w:p>
            <w:pPr>
              <w:pStyle w:val="TableParagraph"/>
              <w:spacing w:before="67"/>
              <w:ind w:left="242" w:right="348"/>
              <w:rPr>
                <w:sz w:val="16"/>
              </w:rPr>
            </w:pPr>
            <w:r>
              <w:rPr>
                <w:sz w:val="16"/>
              </w:rPr>
              <w:t>电网公司</w:t>
            </w:r>
          </w:p>
        </w:tc>
      </w:tr>
    </w:tbl>
    <w:p>
      <w:pPr>
        <w:spacing w:before="0"/>
        <w:ind w:left="215" w:right="0" w:firstLine="0"/>
        <w:jc w:val="left"/>
        <w:rPr>
          <w:sz w:val="15"/>
        </w:rPr>
      </w:pPr>
      <w:r>
        <w:t xml:space="preserve">资料来源：国家发改委， </w:t>
      </w:r>
    </w:p>
    <w:p>
      <w:pPr>
        <w:spacing w:after="0"/>
        <w:jc w:val="left"/>
        <w:rPr>
          <w:sz w:val="15"/>
        </w:rPr>
        <w:sectPr>
          <w:headerReference w:type="default" r:id="rId29"/>
          <w:footerReference w:type="default" r:id="rId30"/>
          <w:type w:val="continuous"/>
          <w:pgSz w:w="11910" w:h="16840"/>
          <w:pgMar w:top="1660" w:right="600" w:bottom="740" w:left="600" w:header="708" w:footer="708"/>
          <w:pgNumType w:start="12"/>
          <w:cols w:space="708"/>
        </w:sectPr>
      </w:pPr>
    </w:p>
    <w:p>
      <w:pPr>
        <w:pStyle w:val="BodyText"/>
        <w:spacing w:before="9"/>
        <w:rPr>
          <w:sz w:val="9"/>
        </w:rPr>
      </w:pPr>
    </w:p>
    <w:p>
      <w:pPr>
        <w:pStyle w:val="Heading4"/>
        <w:ind w:left="929"/>
      </w:pPr>
      <w:r>
        <w:rPr>
          <w:color w:val="333333"/>
        </w:rPr>
        <w:t>垃圾焚烧发电项目表现出以下特点：</w:t>
      </w:r>
    </w:p>
    <w:p>
      <w:pPr>
        <w:pStyle w:val="ListParagraph"/>
        <w:numPr>
          <w:ilvl w:val="1"/>
          <w:numId w:val="10"/>
        </w:numPr>
        <w:tabs>
          <w:tab w:val="left" w:pos="930"/>
        </w:tabs>
        <w:spacing w:before="117" w:after="0" w:line="235" w:lineRule="auto"/>
        <w:ind w:left="929" w:right="3512" w:hanging="421"/>
        <w:jc w:val="both"/>
        <w:rPr>
          <w:sz w:val="20"/>
        </w:rPr>
      </w:pPr>
      <w:r>
        <w:rPr>
          <w:b/>
          <w:i/>
          <w:color w:val="333333"/>
          <w:spacing w:val="-9"/>
          <w:sz w:val="20"/>
        </w:rPr>
        <w:t>具有区域垄断性：</w:t>
      </w:r>
      <w:r>
        <w:rPr>
          <w:color w:val="333333"/>
          <w:spacing w:val="-6"/>
          <w:sz w:val="20"/>
        </w:rPr>
        <w:t>项目主要采取特许经营协议的模式，项目投资由地方政</w:t>
      </w:r>
      <w:r>
        <w:rPr>
          <w:color w:val="333333"/>
          <w:spacing w:val="-9"/>
          <w:sz w:val="20"/>
        </w:rPr>
        <w:t>府和社会资本方共同承担。由于行业的自然属性，为实现规模经济，单个</w:t>
      </w:r>
      <w:r>
        <w:rPr>
          <w:color w:val="333333"/>
          <w:sz w:val="20"/>
        </w:rPr>
        <w:t>区域的垃圾处理主要由一家垃圾焚烧发电项目负责，特许经营期限一般</w:t>
      </w:r>
      <w:r>
        <w:rPr>
          <w:color w:val="333333"/>
          <w:spacing w:val="-4"/>
          <w:sz w:val="20"/>
        </w:rPr>
        <w:t xml:space="preserve">为 </w:t>
      </w:r>
      <w:r>
        <w:rPr>
          <w:color w:val="333333"/>
          <w:sz w:val="20"/>
        </w:rPr>
        <w:t>25-30</w:t>
      </w:r>
      <w:r>
        <w:rPr>
          <w:color w:val="333333"/>
          <w:spacing w:val="-4"/>
          <w:sz w:val="20"/>
        </w:rPr>
        <w:t xml:space="preserve"> 年，项目建成投产后，会对一定区域范围内的垃圾处理形成垄</w:t>
      </w:r>
      <w:r>
        <w:rPr>
          <w:color w:val="333333"/>
          <w:sz w:val="20"/>
        </w:rPr>
        <w:t>断。</w:t>
      </w:r>
    </w:p>
    <w:p>
      <w:pPr>
        <w:pStyle w:val="ListParagraph"/>
        <w:numPr>
          <w:ilvl w:val="1"/>
          <w:numId w:val="10"/>
        </w:numPr>
        <w:tabs>
          <w:tab w:val="left" w:pos="929"/>
          <w:tab w:val="left" w:pos="930"/>
        </w:tabs>
        <w:spacing w:before="114" w:after="0" w:line="235" w:lineRule="auto"/>
        <w:ind w:left="929" w:right="3414" w:hanging="421"/>
        <w:jc w:val="left"/>
        <w:rPr>
          <w:sz w:val="20"/>
        </w:rPr>
      </w:pPr>
      <w:r>
        <w:rPr>
          <w:b/>
          <w:i/>
          <w:color w:val="333333"/>
          <w:sz w:val="20"/>
        </w:rPr>
        <w:t>属于资金</w:t>
      </w:r>
      <w:r>
        <w:rPr>
          <w:b/>
          <w:color w:val="333333"/>
          <w:sz w:val="20"/>
        </w:rPr>
        <w:t>+</w:t>
      </w:r>
      <w:r>
        <w:rPr>
          <w:b/>
          <w:i/>
          <w:color w:val="333333"/>
          <w:sz w:val="20"/>
        </w:rPr>
        <w:t>技术密集型行业：</w:t>
      </w:r>
      <w:r>
        <w:rPr>
          <w:color w:val="333333"/>
          <w:spacing w:val="-1"/>
          <w:sz w:val="20"/>
        </w:rPr>
        <w:t xml:space="preserve">项目前期投入较高，对自有资金占用较大， </w:t>
      </w:r>
      <w:r>
        <w:rPr>
          <w:color w:val="333333"/>
          <w:sz w:val="20"/>
        </w:rPr>
        <w:t>单位投资额在 45-80</w:t>
      </w:r>
      <w:r>
        <w:rPr>
          <w:color w:val="333333"/>
          <w:spacing w:val="2"/>
          <w:sz w:val="20"/>
        </w:rPr>
        <w:t xml:space="preserve"> 万元</w:t>
      </w:r>
      <w:r>
        <w:rPr>
          <w:color w:val="333333"/>
          <w:sz w:val="20"/>
        </w:rPr>
        <w:t>/吨，以处理能力 1000</w:t>
      </w:r>
      <w:r>
        <w:rPr>
          <w:color w:val="333333"/>
          <w:spacing w:val="3"/>
          <w:sz w:val="20"/>
        </w:rPr>
        <w:t xml:space="preserve"> 吨</w:t>
      </w:r>
      <w:r>
        <w:rPr>
          <w:color w:val="333333"/>
          <w:sz w:val="20"/>
        </w:rPr>
        <w:t>/日的项目为例，总</w:t>
      </w:r>
      <w:r>
        <w:rPr>
          <w:color w:val="333333"/>
          <w:spacing w:val="-3"/>
          <w:sz w:val="20"/>
        </w:rPr>
        <w:t xml:space="preserve">投资额在 </w:t>
      </w:r>
      <w:r>
        <w:rPr>
          <w:color w:val="333333"/>
          <w:sz w:val="20"/>
        </w:rPr>
        <w:t>4.5-8.0</w:t>
      </w:r>
      <w:r>
        <w:rPr>
          <w:color w:val="333333"/>
          <w:spacing w:val="-10"/>
          <w:sz w:val="20"/>
        </w:rPr>
        <w:t xml:space="preserve"> 亿元。生活垃圾处理涉及焚烧、热能发电、尾气处理等</w:t>
      </w:r>
      <w:r>
        <w:rPr>
          <w:color w:val="333333"/>
          <w:spacing w:val="-14"/>
          <w:sz w:val="20"/>
        </w:rPr>
        <w:t>环节，其中，垃圾焚烧发电设备生产工艺要求较高且自动化程度高，国内</w:t>
      </w:r>
      <w:r>
        <w:rPr>
          <w:color w:val="333333"/>
          <w:spacing w:val="-7"/>
          <w:sz w:val="20"/>
        </w:rPr>
        <w:t>拥有核心焚烧设备生产制造能力的项目运营商主要有光大国际、康恒环境、三峰环境、伟明环保等。</w:t>
      </w:r>
    </w:p>
    <w:p>
      <w:pPr>
        <w:pStyle w:val="ListParagraph"/>
        <w:numPr>
          <w:ilvl w:val="1"/>
          <w:numId w:val="10"/>
        </w:numPr>
        <w:tabs>
          <w:tab w:val="left" w:pos="930"/>
        </w:tabs>
        <w:spacing w:before="113" w:after="0" w:line="235" w:lineRule="auto"/>
        <w:ind w:left="929" w:right="3510" w:hanging="421"/>
        <w:jc w:val="both"/>
        <w:rPr>
          <w:sz w:val="20"/>
        </w:rPr>
      </w:pPr>
      <w:r>
        <w:rPr>
          <w:b/>
          <w:i/>
          <w:color w:val="333333"/>
          <w:spacing w:val="-10"/>
          <w:sz w:val="20"/>
        </w:rPr>
        <w:t>专业化程度高：</w:t>
      </w:r>
      <w:r>
        <w:rPr>
          <w:color w:val="333333"/>
          <w:spacing w:val="-5"/>
          <w:sz w:val="20"/>
        </w:rPr>
        <w:t>垃圾焚烧发电厂的运营技术难度相对较高，需要企业积累</w:t>
      </w:r>
      <w:r>
        <w:rPr>
          <w:color w:val="333333"/>
          <w:spacing w:val="-12"/>
          <w:sz w:val="20"/>
        </w:rPr>
        <w:t>大量的项目经验，运营中需考虑如何提高吨垃圾发电量、降低厂用电率、减少非停次数等，同时满足日益趋严的环保监管要求。随着垃圾焚烧发电</w:t>
      </w:r>
      <w:r>
        <w:rPr>
          <w:color w:val="333333"/>
          <w:spacing w:val="-11"/>
          <w:sz w:val="20"/>
        </w:rPr>
        <w:t>项目存量市场增加，委托运营的市场需求有望提升，专业的垃圾焚烧发电</w:t>
      </w:r>
      <w:r>
        <w:rPr>
          <w:color w:val="333333"/>
          <w:sz w:val="20"/>
        </w:rPr>
        <w:t>企业将承接更多地方环保平台项目的委托运营，进而有利于企业的轻资产化运作</w:t>
      </w:r>
    </w:p>
    <w:p>
      <w:pPr>
        <w:spacing w:after="0" w:line="235" w:lineRule="auto"/>
        <w:jc w:val="both"/>
        <w:rPr>
          <w:sz w:val="20"/>
        </w:rPr>
        <w:sectPr>
          <w:headerReference w:type="default" r:id="rId31"/>
          <w:footerReference w:type="default" r:id="rId32"/>
          <w:pgSz w:w="11910" w:h="16840"/>
          <w:pgMar w:top="1660" w:right="600" w:bottom="740" w:left="600" w:header="708" w:footer="708"/>
          <w:pgNumType w:start="13"/>
          <w:cols w:space="708"/>
        </w:sectPr>
      </w:pPr>
    </w:p>
    <w:p>
      <w:pPr>
        <w:pStyle w:val="BodyText"/>
        <w:spacing w:before="1"/>
        <w:rPr>
          <w:sz w:val="13"/>
        </w:rPr>
      </w:pPr>
    </w:p>
    <w:p>
      <w:pPr>
        <w:pStyle w:val="Heading1"/>
        <w:numPr>
          <w:ilvl w:val="0"/>
          <w:numId w:val="10"/>
        </w:numPr>
        <w:tabs>
          <w:tab w:val="left" w:pos="394"/>
        </w:tabs>
        <w:spacing w:before="15" w:after="0" w:line="240" w:lineRule="auto"/>
        <w:ind w:left="393" w:right="0" w:hanging="287"/>
        <w:jc w:val="both"/>
      </w:pPr>
      <w:bookmarkStart w:id="2" w:name="_TOC_250012"/>
      <w:bookmarkEnd w:id="2"/>
      <w:r>
        <w:rPr>
          <w:color w:val="C00000"/>
          <w:spacing w:val="-13"/>
          <w:w w:val="99"/>
        </w:rPr>
        <w:t>投产高峰已过，“运营为王”开启</w:t>
      </w:r>
    </w:p>
    <w:p>
      <w:pPr>
        <w:pStyle w:val="Heading2"/>
        <w:ind w:firstLine="0"/>
      </w:pPr>
      <w:bookmarkStart w:id="3" w:name="_TOC_250011"/>
      <w:r>
        <w:rPr>
          <w:i w:val="0"/>
          <w:color w:val="4B4D4F"/>
        </w:rPr>
        <w:t xml:space="preserve">2.1 </w:t>
      </w:r>
      <w:bookmarkEnd w:id="3"/>
      <w:r>
        <w:rPr>
          <w:color w:val="4B4D4F"/>
        </w:rPr>
        <w:t>行业步入成熟期，关注项目运营能力</w:t>
      </w:r>
    </w:p>
    <w:p>
      <w:pPr>
        <w:pStyle w:val="BodyText"/>
        <w:spacing w:before="250" w:line="235" w:lineRule="auto"/>
        <w:ind w:left="107" w:right="3507" w:firstLine="420"/>
        <w:jc w:val="both"/>
      </w:pPr>
      <w:r>
        <w:rPr>
          <w:color w:val="333333"/>
        </w:rPr>
        <w:t>根据住建部数据，2022 年我国城市、县城生活垃圾清运量分别达到 2.44</w:t>
      </w:r>
      <w:r>
        <w:rPr>
          <w:color w:val="333333"/>
          <w:spacing w:val="3"/>
        </w:rPr>
        <w:t xml:space="preserve"> 亿</w:t>
      </w:r>
      <w:r>
        <w:rPr>
          <w:color w:val="333333"/>
          <w:spacing w:val="-13"/>
        </w:rPr>
        <w:t>吨、</w:t>
      </w:r>
      <w:r>
        <w:rPr>
          <w:color w:val="333333"/>
        </w:rPr>
        <w:t>0.67</w:t>
      </w:r>
      <w:r>
        <w:rPr>
          <w:color w:val="333333"/>
          <w:spacing w:val="-10"/>
        </w:rPr>
        <w:t xml:space="preserve"> 亿吨，自 </w:t>
      </w:r>
      <w:r>
        <w:rPr>
          <w:color w:val="333333"/>
        </w:rPr>
        <w:t>2019</w:t>
      </w:r>
      <w:r>
        <w:rPr>
          <w:color w:val="333333"/>
          <w:spacing w:val="-9"/>
        </w:rPr>
        <w:t xml:space="preserve"> 年以来，城市、县城生活垃圾清运量基本稳定。我国生活</w:t>
      </w:r>
      <w:r>
        <w:rPr>
          <w:color w:val="333333"/>
          <w:spacing w:val="-8"/>
        </w:rPr>
        <w:t xml:space="preserve">垃圾清运量与城镇化率关联性高，我国总人口城镇化率由 </w:t>
      </w:r>
      <w:r>
        <w:rPr>
          <w:color w:val="333333"/>
        </w:rPr>
        <w:t>2012</w:t>
      </w:r>
      <w:r>
        <w:rPr>
          <w:color w:val="333333"/>
          <w:spacing w:val="9"/>
        </w:rPr>
        <w:t xml:space="preserve"> 年的 </w:t>
      </w:r>
      <w:r>
        <w:rPr>
          <w:color w:val="333333"/>
        </w:rPr>
        <w:t>53.1%提高</w:t>
      </w:r>
      <w:r>
        <w:rPr>
          <w:color w:val="333333"/>
          <w:spacing w:val="-6"/>
        </w:rPr>
        <w:t xml:space="preserve">至 </w:t>
      </w:r>
      <w:r>
        <w:rPr>
          <w:color w:val="333333"/>
        </w:rPr>
        <w:t>2022</w:t>
      </w:r>
      <w:r>
        <w:rPr>
          <w:color w:val="333333"/>
          <w:spacing w:val="-6"/>
        </w:rPr>
        <w:t xml:space="preserve"> 年的 </w:t>
      </w:r>
      <w:r>
        <w:rPr>
          <w:color w:val="333333"/>
        </w:rPr>
        <w:t>65.2%，2020</w:t>
      </w:r>
      <w:r>
        <w:rPr>
          <w:color w:val="333333"/>
          <w:spacing w:val="-3"/>
        </w:rPr>
        <w:t xml:space="preserve"> 年以来，人口城镇化率整体呈现平缓上升的趋势。</w:t>
      </w:r>
    </w:p>
    <w:p>
      <w:pPr>
        <w:tabs>
          <w:tab w:val="left" w:pos="5156"/>
          <w:tab w:val="left" w:pos="10485"/>
        </w:tabs>
        <w:spacing w:before="134"/>
        <w:ind w:left="107" w:right="0" w:firstLine="0"/>
        <w:jc w:val="both"/>
        <w:rPr>
          <w:b/>
          <w:i/>
          <w:sz w:val="20"/>
        </w:rPr>
      </w:pPr>
      <w:r>
        <w:rPr>
          <w:rFonts w:ascii="Times New Roman" w:eastAsia="Times New Roman"/>
          <w:color w:val="4B4D4F"/>
          <w:w w:val="99"/>
          <w:sz w:val="20"/>
          <w:u w:val="single" w:color="4B4D4F"/>
        </w:rPr>
        <w:t xml:space="preserve"> </w:t>
      </w:r>
      <w:r>
        <w:rPr>
          <w:rFonts w:ascii="Times New Roman" w:eastAsia="Times New Roman"/>
          <w:color w:val="4B4D4F"/>
          <w:spacing w:val="8"/>
          <w:sz w:val="20"/>
          <w:u w:val="single" w:color="4B4D4F"/>
        </w:rPr>
        <w:t xml:space="preserve"> </w:t>
      </w:r>
      <w:r>
        <w:rPr>
          <w:b/>
          <w:i/>
          <w:color w:val="4B4D4F"/>
          <w:sz w:val="20"/>
          <w:u w:val="single" w:color="4B4D4F"/>
        </w:rPr>
        <w:t>图</w:t>
      </w:r>
      <w:r>
        <w:rPr>
          <w:b/>
          <w:color w:val="4B4D4F"/>
          <w:sz w:val="20"/>
          <w:u w:val="single" w:color="4B4D4F"/>
        </w:rPr>
        <w:t>5</w:t>
      </w:r>
      <w:r>
        <w:rPr>
          <w:b/>
          <w:i/>
          <w:color w:val="4B4D4F"/>
          <w:sz w:val="20"/>
          <w:u w:val="single" w:color="4B4D4F"/>
        </w:rPr>
        <w:t>：</w:t>
      </w:r>
      <w:r>
        <w:rPr>
          <w:b/>
          <w:color w:val="4B4D4F"/>
          <w:sz w:val="20"/>
          <w:u w:val="single" w:color="4B4D4F"/>
        </w:rPr>
        <w:t>2012</w:t>
      </w:r>
      <w:r>
        <w:rPr>
          <w:b/>
          <w:color w:val="4B4D4F"/>
          <w:spacing w:val="-11"/>
          <w:sz w:val="20"/>
          <w:u w:val="single" w:color="4B4D4F"/>
        </w:rPr>
        <w:t xml:space="preserve"> </w:t>
      </w:r>
      <w:r>
        <w:rPr>
          <w:b/>
          <w:i/>
          <w:color w:val="4B4D4F"/>
          <w:sz w:val="20"/>
          <w:u w:val="single" w:color="4B4D4F"/>
        </w:rPr>
        <w:t>年以来，全国城市生活垃圾清运量</w:t>
        <w:tab/>
        <w:t xml:space="preserve"> 图</w:t>
      </w:r>
      <w:r>
        <w:rPr>
          <w:b/>
          <w:color w:val="4B4D4F"/>
          <w:sz w:val="20"/>
          <w:u w:val="single" w:color="4B4D4F"/>
        </w:rPr>
        <w:t>6</w:t>
      </w:r>
      <w:r>
        <w:rPr>
          <w:b/>
          <w:i/>
          <w:color w:val="4B4D4F"/>
          <w:sz w:val="20"/>
          <w:u w:val="single" w:color="4B4D4F"/>
        </w:rPr>
        <w:t>：</w:t>
      </w:r>
      <w:r>
        <w:rPr>
          <w:b/>
          <w:color w:val="4B4D4F"/>
          <w:sz w:val="20"/>
          <w:u w:val="single" w:color="4B4D4F"/>
        </w:rPr>
        <w:t>2012</w:t>
      </w:r>
      <w:r>
        <w:rPr>
          <w:b/>
          <w:color w:val="4B4D4F"/>
          <w:spacing w:val="-18"/>
          <w:sz w:val="20"/>
          <w:u w:val="single" w:color="4B4D4F"/>
        </w:rPr>
        <w:t xml:space="preserve"> </w:t>
      </w:r>
      <w:r>
        <w:rPr>
          <w:b/>
          <w:i/>
          <w:color w:val="4B4D4F"/>
          <w:sz w:val="20"/>
          <w:u w:val="single" w:color="4B4D4F"/>
        </w:rPr>
        <w:t>年以来，全国县城生活垃圾清运量</w:t>
        <w:tab/>
      </w:r>
    </w:p>
    <w:p>
      <w:pPr>
        <w:spacing w:after="0"/>
        <w:jc w:val="both"/>
        <w:rPr>
          <w:sz w:val="20"/>
        </w:rPr>
        <w:sectPr>
          <w:headerReference w:type="default" r:id="rId33"/>
          <w:footerReference w:type="default" r:id="rId34"/>
          <w:pgSz w:w="11910" w:h="16840"/>
          <w:pgMar w:top="1660" w:right="600" w:bottom="740" w:left="600" w:header="708" w:footer="708"/>
          <w:pgNumType w:start="14"/>
          <w:cols w:space="708"/>
        </w:sectPr>
      </w:pPr>
    </w:p>
    <w:p>
      <w:pPr>
        <w:pStyle w:val="BodyText"/>
        <w:spacing w:before="14"/>
        <w:rPr>
          <w:b/>
          <w:i/>
        </w:rPr>
      </w:pPr>
    </w:p>
    <w:p>
      <w:pPr>
        <w:spacing w:before="0"/>
        <w:ind w:left="0" w:right="38" w:firstLine="0"/>
        <w:jc w:val="right"/>
        <w:rPr>
          <w:sz w:val="14"/>
        </w:rPr>
      </w:pPr>
      <w:r>
        <w:pict>
          <v:line id="_x0000_s1107" style="mso-position-horizontal-relative:page;position:absolute;z-index:251698176" from="65.1pt,-5.6pt" to="84.3pt,-5.6pt" stroked="t" strokecolor="#bd0000" strokeweight="4.16pt">
            <v:stroke dashstyle="solid"/>
          </v:line>
        </w:pict>
      </w:r>
      <w:r>
        <w:pict>
          <v:line id="_x0000_s1108" style="mso-position-horizontal-relative:page;position:absolute;z-index:-251621376" from="192.05pt,-5.6pt" to="211.25pt,-5.6pt" stroked="t" strokecolor="#505050" strokeweight="2.25pt">
            <v:stroke dashstyle="solid"/>
          </v:line>
        </w:pict>
      </w:r>
      <w:r>
        <w:pict>
          <v:line id="_x0000_s1109" style="mso-position-horizontal-relative:page;position:absolute;z-index:251700224" from="336.6pt,-5.6pt" to="355.8pt,-5.6pt" stroked="t" strokecolor="#bd0000" strokeweight="4.16pt">
            <v:stroke dashstyle="solid"/>
          </v:line>
        </w:pict>
      </w:r>
      <w:r>
        <w:pict>
          <v:line id="_x0000_s1110" style="mso-position-horizontal-relative:page;position:absolute;z-index:-251620352" from="463.55pt,-5.6pt" to="482.75pt,-5.6pt" stroked="t" strokecolor="#505050" strokeweight="2.25pt">
            <v:stroke dashstyle="solid"/>
          </v:line>
        </w:pict>
      </w:r>
      <w:r>
        <w:rPr>
          <w:spacing w:val="-1"/>
          <w:sz w:val="14"/>
        </w:rPr>
        <w:t>30000</w:t>
      </w:r>
    </w:p>
    <w:p>
      <w:pPr>
        <w:spacing w:before="83"/>
        <w:ind w:left="0" w:right="38" w:firstLine="0"/>
        <w:jc w:val="right"/>
        <w:rPr>
          <w:sz w:val="14"/>
        </w:rPr>
      </w:pPr>
      <w:r>
        <w:rPr>
          <w:spacing w:val="-1"/>
          <w:sz w:val="14"/>
        </w:rPr>
        <w:t>25000</w:t>
      </w:r>
    </w:p>
    <w:p>
      <w:pPr>
        <w:spacing w:before="83"/>
        <w:ind w:left="0" w:right="38" w:firstLine="0"/>
        <w:jc w:val="right"/>
        <w:rPr>
          <w:sz w:val="14"/>
        </w:rPr>
      </w:pPr>
      <w:r>
        <w:rPr>
          <w:spacing w:val="-1"/>
          <w:sz w:val="14"/>
        </w:rPr>
        <w:t>20000</w:t>
      </w:r>
    </w:p>
    <w:p>
      <w:pPr>
        <w:spacing w:before="83"/>
        <w:ind w:left="0" w:right="38" w:firstLine="0"/>
        <w:jc w:val="right"/>
        <w:rPr>
          <w:sz w:val="14"/>
        </w:rPr>
      </w:pPr>
      <w:r>
        <w:rPr>
          <w:spacing w:val="-1"/>
          <w:sz w:val="14"/>
        </w:rPr>
        <w:t>15000</w:t>
      </w:r>
    </w:p>
    <w:p>
      <w:pPr>
        <w:spacing w:before="83"/>
        <w:ind w:left="0" w:right="38" w:firstLine="0"/>
        <w:jc w:val="right"/>
        <w:rPr>
          <w:sz w:val="14"/>
        </w:rPr>
      </w:pPr>
      <w:r>
        <w:rPr>
          <w:spacing w:val="-1"/>
          <w:sz w:val="14"/>
        </w:rPr>
        <w:t>10000</w:t>
      </w:r>
    </w:p>
    <w:p>
      <w:pPr>
        <w:spacing w:before="82"/>
        <w:ind w:left="0" w:right="38" w:firstLine="0"/>
        <w:jc w:val="right"/>
        <w:rPr>
          <w:sz w:val="14"/>
        </w:rPr>
      </w:pPr>
      <w:r>
        <w:rPr>
          <w:w w:val="95"/>
          <w:sz w:val="14"/>
        </w:rPr>
        <w:t>5000</w:t>
      </w:r>
    </w:p>
    <w:p>
      <w:pPr>
        <w:spacing w:before="84"/>
        <w:ind w:left="0" w:right="38" w:firstLine="0"/>
        <w:jc w:val="right"/>
        <w:rPr>
          <w:sz w:val="14"/>
        </w:rPr>
      </w:pPr>
      <w:r>
        <w:rPr>
          <w:w w:val="99"/>
          <w:sz w:val="14"/>
        </w:rPr>
        <w:t>0</w:t>
      </w:r>
    </w:p>
    <w:p>
      <w:pPr>
        <w:tabs>
          <w:tab w:val="left" w:pos="2785"/>
        </w:tabs>
        <w:spacing w:before="131"/>
        <w:ind w:left="247" w:right="0" w:firstLine="0"/>
        <w:jc w:val="left"/>
        <w:rPr>
          <w:sz w:val="14"/>
        </w:rPr>
      </w:pPr>
      <w:r>
        <w:br w:type="column"/>
      </w:r>
      <w:r>
        <w:rPr>
          <w:sz w:val="14"/>
        </w:rPr>
        <w:t>城市生活垃圾清运量（左轴）</w:t>
        <w:tab/>
        <w:t>yoy（右轴</w:t>
      </w:r>
      <w:r>
        <w:rPr>
          <w:spacing w:val="-17"/>
          <w:sz w:val="14"/>
        </w:rPr>
        <w:t>）</w:t>
      </w:r>
    </w:p>
    <w:p>
      <w:pPr>
        <w:pStyle w:val="BodyText"/>
        <w:spacing w:before="14"/>
      </w:pPr>
      <w:r>
        <w:br w:type="column"/>
      </w:r>
    </w:p>
    <w:p>
      <w:pPr>
        <w:spacing w:before="0"/>
        <w:ind w:left="149" w:right="0" w:firstLine="0"/>
        <w:jc w:val="left"/>
        <w:rPr>
          <w:sz w:val="14"/>
        </w:rPr>
      </w:pPr>
      <w:r>
        <w:pict>
          <v:group id="_x0000_s1111" style="width:185.75pt;height:103.1pt;margin-top:6.26pt;margin-left:69.84pt;mso-position-horizontal-relative:page;position:absolute;z-index:251697152" coordorigin="1397,125" coordsize="3715,2062">
            <v:line id="_x0000_s1112" style="position:absolute" from="1567,1019" to="1567,2184" stroked="t" strokecolor="#bd0000" strokeweight="6.72pt">
              <v:stroke dashstyle="solid"/>
            </v:line>
            <v:shape id="_x0000_s1113" style="width:50;height:2045;left:1399;position:absolute;top:138" coordorigin="1399,139" coordsize="50,2045" path="m1399,2184l1399,139m1399,2184l1449,2184m1399,1842l1449,1842m1399,1501l1449,1501m1399,1161l1449,1161m1399,820l1449,820m1399,479l1449,479m1399,139l1449,139e" filled="f" stroked="t" strokecolor="black" strokeweight="0.25pt">
              <v:stroke dashstyle="solid"/>
              <v:path arrowok="t"/>
            </v:shape>
            <v:shape id="_x0000_s1114" style="width:336;height:1218;left:1905;position:absolute;top:966" coordorigin="1906,966" coordsize="336,1218" path="m1906,1009l1906,2184m2242,966l2242,2184e" filled="f" stroked="t" strokecolor="#bd0000" strokeweight="6.72pt">
              <v:stroke dashstyle="solid"/>
              <v:path arrowok="t"/>
            </v:shape>
            <v:line id="_x0000_s1115" style="position:absolute" from="2580,880" to="2580,2184" stroked="t" strokecolor="#bd0000" strokeweight="6.72pt">
              <v:stroke dashstyle="solid"/>
            </v:line>
            <v:shape id="_x0000_s1116" style="width:1013;height:1650;left:2916;position:absolute;top:534" coordorigin="2916,534" coordsize="1013,1650" path="m2916,796l2916,2184m3254,717l3254,2184m3590,630l3590,2184m3929,534l3929,2184e" filled="f" stroked="t" strokecolor="#bd0000" strokeweight="6.72pt">
              <v:stroke dashstyle="solid"/>
              <v:path arrowok="t"/>
            </v:shape>
            <v:rect id="_x0000_s1117" style="width:137;height:1602;left:4197;position:absolute;top:582" filled="t" fillcolor="#bd0000" stroked="f">
              <v:fill type="solid"/>
            </v:rect>
            <v:line id="_x0000_s1118" style="position:absolute" from="4603,489" to="4603,2184" stroked="t" strokecolor="#bd0000" strokeweight="6.72pt">
              <v:stroke dashstyle="solid"/>
            </v:line>
            <v:rect id="_x0000_s1119" style="width:137;height:1667;left:4872;position:absolute;top:517" filled="t" fillcolor="#bd0000" stroked="f">
              <v:fill type="solid"/>
            </v:rect>
            <v:shape id="_x0000_s1120" style="width:3710;height:2045;left:1399;position:absolute;top:138" coordorigin="1399,139" coordsize="3710,2045" path="m5109,2184l5109,139m5060,2184l5109,2184m5060,1842l5109,1842m5060,1501l5109,1501m5060,1161l5109,1161m5060,820l5109,820m5060,479l5109,479m5060,139l5109,139m1399,2184l5109,2184m1399,2135l1399,2184m1738,2135l1738,2184m2074,2135l2074,2184m2412,2135l2412,2184m2748,2135l2748,2184m3086,2135l3086,2184m3422,2135l3422,2184m3761,2135l3761,2184m4097,2135l4097,2184m4435,2135l4435,2184m4771,2135l4771,2184m5109,2135l5109,2184e" filled="f" stroked="t" strokecolor="black" strokeweight="0.25pt">
              <v:stroke dashstyle="solid"/>
              <v:path arrowok="t"/>
            </v:shape>
            <v:shape id="_x0000_s1121" style="width:3036;height:1712;left:1905;position:absolute;top:279" coordorigin="1905,279" coordsize="3036,1712" path="m1905,1345l2242,887,2580,279,2916,417,3254,532,3590,489,3929,453,4265,1991,4603,517,4940,1794e" filled="f" stroked="t" strokecolor="#505050" strokeweight="2.25pt">
              <v:stroke dashstyle="solid"/>
              <v:path arrowok="t"/>
            </v:shape>
            <v:shape id="_x0000_s1122" type="#_x0000_t202" style="width:299;height:184;left:1506;position:absolute;top:125" filled="f" stroked="f">
              <v:textbox inset="0,0,0,0">
                <w:txbxContent>
                  <w:p>
                    <w:pPr>
                      <w:spacing w:before="0" w:line="184" w:lineRule="exact"/>
                      <w:ind w:left="0" w:right="0" w:firstLine="0"/>
                      <w:jc w:val="left"/>
                      <w:rPr>
                        <w:sz w:val="14"/>
                      </w:rPr>
                    </w:pPr>
                    <w:r>
                      <w:rPr>
                        <w:sz w:val="14"/>
                      </w:rPr>
                      <w:t>万吨</w:t>
                    </w:r>
                  </w:p>
                </w:txbxContent>
              </v:textbox>
            </v:shape>
          </v:group>
        </w:pict>
      </w:r>
      <w:r>
        <w:rPr>
          <w:sz w:val="14"/>
        </w:rPr>
        <w:t>8%</w:t>
      </w:r>
    </w:p>
    <w:p>
      <w:pPr>
        <w:spacing w:before="83"/>
        <w:ind w:left="149" w:right="0" w:firstLine="0"/>
        <w:jc w:val="left"/>
        <w:rPr>
          <w:sz w:val="14"/>
        </w:rPr>
      </w:pPr>
      <w:r>
        <w:rPr>
          <w:sz w:val="14"/>
        </w:rPr>
        <w:t>6%</w:t>
      </w:r>
    </w:p>
    <w:p>
      <w:pPr>
        <w:spacing w:before="83"/>
        <w:ind w:left="149" w:right="0" w:firstLine="0"/>
        <w:jc w:val="left"/>
        <w:rPr>
          <w:sz w:val="14"/>
        </w:rPr>
      </w:pPr>
      <w:r>
        <w:rPr>
          <w:sz w:val="14"/>
        </w:rPr>
        <w:t>4%</w:t>
      </w:r>
    </w:p>
    <w:p>
      <w:pPr>
        <w:spacing w:before="83"/>
        <w:ind w:left="149" w:right="0" w:firstLine="0"/>
        <w:jc w:val="left"/>
        <w:rPr>
          <w:sz w:val="14"/>
        </w:rPr>
      </w:pPr>
      <w:r>
        <w:rPr>
          <w:sz w:val="14"/>
        </w:rPr>
        <w:t>2%</w:t>
      </w:r>
    </w:p>
    <w:p>
      <w:pPr>
        <w:spacing w:before="83"/>
        <w:ind w:left="149" w:right="0" w:firstLine="0"/>
        <w:jc w:val="left"/>
        <w:rPr>
          <w:sz w:val="14"/>
        </w:rPr>
      </w:pPr>
      <w:r>
        <w:rPr>
          <w:sz w:val="14"/>
        </w:rPr>
        <w:t>0%</w:t>
      </w:r>
    </w:p>
    <w:p>
      <w:pPr>
        <w:spacing w:before="82"/>
        <w:ind w:left="149" w:right="0" w:firstLine="0"/>
        <w:jc w:val="left"/>
        <w:rPr>
          <w:sz w:val="14"/>
        </w:rPr>
      </w:pPr>
      <w:r>
        <w:rPr>
          <w:sz w:val="14"/>
        </w:rPr>
        <w:t>-2%</w:t>
      </w:r>
    </w:p>
    <w:p>
      <w:pPr>
        <w:spacing w:before="84"/>
        <w:ind w:left="149" w:right="0" w:firstLine="0"/>
        <w:jc w:val="left"/>
        <w:rPr>
          <w:sz w:val="14"/>
        </w:rPr>
      </w:pPr>
      <w:r>
        <w:rPr>
          <w:sz w:val="14"/>
        </w:rPr>
        <w:t>-4%</w:t>
      </w:r>
    </w:p>
    <w:p>
      <w:pPr>
        <w:pStyle w:val="BodyText"/>
        <w:spacing w:before="14"/>
      </w:pPr>
      <w:r>
        <w:br w:type="column"/>
      </w:r>
    </w:p>
    <w:p>
      <w:pPr>
        <w:spacing w:before="0"/>
        <w:ind w:left="0" w:right="38" w:firstLine="0"/>
        <w:jc w:val="right"/>
        <w:rPr>
          <w:sz w:val="14"/>
        </w:rPr>
      </w:pPr>
      <w:r>
        <w:rPr>
          <w:w w:val="95"/>
          <w:sz w:val="14"/>
        </w:rPr>
        <w:t>8000</w:t>
      </w:r>
    </w:p>
    <w:p>
      <w:pPr>
        <w:pStyle w:val="BodyText"/>
        <w:spacing w:before="14"/>
        <w:rPr>
          <w:sz w:val="13"/>
        </w:rPr>
      </w:pPr>
    </w:p>
    <w:p>
      <w:pPr>
        <w:spacing w:before="0"/>
        <w:ind w:left="0" w:right="38" w:firstLine="0"/>
        <w:jc w:val="right"/>
        <w:rPr>
          <w:sz w:val="14"/>
        </w:rPr>
      </w:pPr>
      <w:r>
        <w:rPr>
          <w:w w:val="95"/>
          <w:sz w:val="14"/>
        </w:rPr>
        <w:t>6000</w:t>
      </w:r>
    </w:p>
    <w:p>
      <w:pPr>
        <w:pStyle w:val="BodyText"/>
        <w:spacing w:before="14"/>
        <w:rPr>
          <w:sz w:val="13"/>
        </w:rPr>
      </w:pPr>
    </w:p>
    <w:p>
      <w:pPr>
        <w:spacing w:before="0"/>
        <w:ind w:left="0" w:right="38" w:firstLine="0"/>
        <w:jc w:val="right"/>
        <w:rPr>
          <w:sz w:val="14"/>
        </w:rPr>
      </w:pPr>
      <w:r>
        <w:rPr>
          <w:w w:val="95"/>
          <w:sz w:val="14"/>
        </w:rPr>
        <w:t>4000</w:t>
      </w:r>
    </w:p>
    <w:p>
      <w:pPr>
        <w:pStyle w:val="BodyText"/>
        <w:spacing w:before="13"/>
        <w:rPr>
          <w:sz w:val="13"/>
        </w:rPr>
      </w:pPr>
    </w:p>
    <w:p>
      <w:pPr>
        <w:spacing w:before="0"/>
        <w:ind w:left="0" w:right="38" w:firstLine="0"/>
        <w:jc w:val="right"/>
        <w:rPr>
          <w:sz w:val="14"/>
        </w:rPr>
      </w:pPr>
      <w:r>
        <w:rPr>
          <w:w w:val="95"/>
          <w:sz w:val="14"/>
        </w:rPr>
        <w:t>2000</w:t>
      </w:r>
    </w:p>
    <w:p>
      <w:pPr>
        <w:pStyle w:val="BodyText"/>
        <w:spacing w:before="14"/>
        <w:rPr>
          <w:sz w:val="13"/>
        </w:rPr>
      </w:pPr>
    </w:p>
    <w:p>
      <w:pPr>
        <w:spacing w:before="0"/>
        <w:ind w:left="0" w:right="38" w:firstLine="0"/>
        <w:jc w:val="right"/>
        <w:rPr>
          <w:sz w:val="14"/>
        </w:rPr>
      </w:pPr>
      <w:r>
        <w:rPr>
          <w:w w:val="99"/>
          <w:sz w:val="14"/>
        </w:rPr>
        <w:t>0</w:t>
      </w:r>
    </w:p>
    <w:p>
      <w:pPr>
        <w:tabs>
          <w:tab w:val="left" w:pos="2786"/>
        </w:tabs>
        <w:spacing w:before="131"/>
        <w:ind w:left="247" w:right="0" w:firstLine="0"/>
        <w:jc w:val="left"/>
        <w:rPr>
          <w:sz w:val="14"/>
        </w:rPr>
      </w:pPr>
      <w:r>
        <w:br w:type="column"/>
      </w:r>
      <w:r>
        <w:rPr>
          <w:sz w:val="14"/>
        </w:rPr>
        <w:t>县城生活垃圾清运量（左轴）</w:t>
        <w:tab/>
        <w:t>yoy（右轴</w:t>
      </w:r>
      <w:r>
        <w:rPr>
          <w:spacing w:val="-19"/>
          <w:sz w:val="14"/>
        </w:rPr>
        <w:t>）</w:t>
      </w:r>
    </w:p>
    <w:p>
      <w:pPr>
        <w:pStyle w:val="BodyText"/>
        <w:spacing w:before="14"/>
      </w:pPr>
      <w:r>
        <w:br w:type="column"/>
      </w:r>
    </w:p>
    <w:p>
      <w:pPr>
        <w:spacing w:before="0"/>
        <w:ind w:left="-32" w:right="0" w:firstLine="0"/>
        <w:jc w:val="left"/>
        <w:rPr>
          <w:sz w:val="14"/>
        </w:rPr>
      </w:pPr>
      <w:r>
        <w:pict>
          <v:group id="_x0000_s1123" style="width:185.75pt;height:103.1pt;margin-top:6.26pt;margin-left:332.23pt;mso-position-horizontal-relative:page;position:absolute;z-index:251699200" coordorigin="6645,125" coordsize="3715,2062">
            <v:line id="_x0000_s1124" style="position:absolute" from="6816,436" to="6816,2184" stroked="t" strokecolor="#bd0000" strokeweight="6.72pt">
              <v:stroke dashstyle="solid"/>
            </v:line>
            <v:shape id="_x0000_s1125" style="width:50;height:2045;left:6647;position:absolute;top:138" coordorigin="6647,139" coordsize="50,2045" path="m6647,2184l6647,139m6647,2184l6696,2184m6647,1672l6696,1672m6647,1161l6696,1161m6647,649l6696,649m6647,139l6696,139e" filled="f" stroked="t" strokecolor="black" strokeweight="0.25pt">
              <v:stroke dashstyle="solid"/>
              <v:path arrowok="t"/>
            </v:shape>
            <v:rect id="_x0000_s1126" style="width:137;height:1665;left:7084;position:absolute;top:519" filled="t" fillcolor="#bd0000" stroked="f">
              <v:fill type="solid"/>
            </v:rect>
            <v:line id="_x0000_s1127" style="position:absolute" from="7490,481" to="7490,2184" stroked="t" strokecolor="#bd0000" strokeweight="6.72pt">
              <v:stroke dashstyle="solid"/>
            </v:line>
            <v:rect id="_x0000_s1128" style="width:137;height:1701;left:7759;position:absolute;top:483" filled="t" fillcolor="#bd0000" stroked="f">
              <v:fill type="solid"/>
            </v:rect>
            <v:line id="_x0000_s1129" style="position:absolute" from="8165,479" to="8165,2184" stroked="t" strokecolor="#bd0000" strokeweight="6.72pt">
              <v:stroke dashstyle="solid"/>
            </v:line>
            <v:rect id="_x0000_s1130" style="width:137;height:1725;left:8433;position:absolute;top:459" filled="t" fillcolor="#bd0000" stroked="f">
              <v:fill type="solid"/>
            </v:rect>
            <v:line id="_x0000_s1131" style="position:absolute" from="8839,481" to="8839,2184" stroked="t" strokecolor="#bd0000" strokeweight="6.72pt">
              <v:stroke dashstyle="solid"/>
            </v:line>
            <v:rect id="_x0000_s1132" style="width:137;height:1756;left:9108;position:absolute;top:428" filled="t" fillcolor="#bd0000" stroked="f">
              <v:fill type="solid"/>
            </v:rect>
            <v:line id="_x0000_s1133" style="position:absolute" from="9514,443" to="9514,2184" stroked="t" strokecolor="#bd0000" strokeweight="6.72pt">
              <v:stroke dashstyle="solid"/>
            </v:line>
            <v:rect id="_x0000_s1134" style="width:137;height:1737;left:9782;position:absolute;top:447" filled="t" fillcolor="#bd0000" stroked="f">
              <v:fill type="solid"/>
            </v:rect>
            <v:line id="_x0000_s1135" style="position:absolute" from="10188,469" to="10188,2184" stroked="t" strokecolor="#bd0000" strokeweight="6.72pt">
              <v:stroke dashstyle="solid"/>
            </v:line>
            <v:shape id="_x0000_s1136" style="width:3710;height:2045;left:6647;position:absolute;top:138" coordorigin="6647,139" coordsize="3710,2045" path="m10357,2184l10357,139m10307,2184l10357,2184m10307,1775l10357,1775m10307,1367l10357,1367m10307,957l10357,957m10307,549l10357,549m10307,139l10357,139m6647,2184l10357,2184m6647,2135l6647,2184m6984,2135l6984,2184m7322,2135l7322,2184m7658,2135l7658,2184m7997,2135l7997,2184m8333,2135l8333,2184m8671,2135l8671,2184m9007,2135l9007,2184m9346,2135l9346,2184m9682,2135l9682,2184m10020,2135l10020,2184m10357,2135l10357,2184e" filled="f" stroked="t" strokecolor="black" strokeweight="0.25pt">
              <v:stroke dashstyle="solid"/>
              <v:path arrowok="t"/>
            </v:shape>
            <v:shape id="_x0000_s1137" style="width:3036;height:1641;left:7153;position:absolute;top:308" coordorigin="7153,309" coordsize="3036,1641" path="m7153,1950l7490,481,7826,964,8165,923,8501,709,8839,1221,9178,309,9514,1139,9852,1014,10188,1216e" filled="f" stroked="t" strokecolor="#505050" strokeweight="2.25pt">
              <v:stroke dashstyle="solid"/>
              <v:path arrowok="t"/>
            </v:shape>
            <v:shape id="_x0000_s1138" type="#_x0000_t202" style="width:299;height:184;left:6837;position:absolute;top:125" filled="f" stroked="f">
              <v:textbox inset="0,0,0,0">
                <w:txbxContent>
                  <w:p>
                    <w:pPr>
                      <w:spacing w:before="0" w:line="184" w:lineRule="exact"/>
                      <w:ind w:left="0" w:right="0" w:firstLine="0"/>
                      <w:jc w:val="left"/>
                      <w:rPr>
                        <w:sz w:val="14"/>
                      </w:rPr>
                    </w:pPr>
                    <w:r>
                      <w:rPr>
                        <w:sz w:val="14"/>
                      </w:rPr>
                      <w:t>万吨</w:t>
                    </w:r>
                  </w:p>
                </w:txbxContent>
              </v:textbox>
            </v:shape>
          </v:group>
        </w:pict>
      </w:r>
      <w:r>
        <w:rPr>
          <w:sz w:val="14"/>
        </w:rPr>
        <w:t>4%</w:t>
      </w:r>
    </w:p>
    <w:p>
      <w:pPr>
        <w:spacing w:before="152"/>
        <w:ind w:left="-32" w:right="0" w:firstLine="0"/>
        <w:jc w:val="left"/>
        <w:rPr>
          <w:sz w:val="14"/>
        </w:rPr>
      </w:pPr>
      <w:r>
        <w:rPr>
          <w:sz w:val="14"/>
        </w:rPr>
        <w:t>2%</w:t>
      </w:r>
    </w:p>
    <w:p>
      <w:pPr>
        <w:spacing w:before="151"/>
        <w:ind w:left="-32" w:right="0" w:firstLine="0"/>
        <w:jc w:val="left"/>
        <w:rPr>
          <w:sz w:val="14"/>
        </w:rPr>
      </w:pPr>
      <w:r>
        <w:rPr>
          <w:sz w:val="14"/>
        </w:rPr>
        <w:t>0%</w:t>
      </w:r>
    </w:p>
    <w:p>
      <w:pPr>
        <w:spacing w:before="151"/>
        <w:ind w:left="-32" w:right="0" w:firstLine="0"/>
        <w:jc w:val="left"/>
        <w:rPr>
          <w:sz w:val="14"/>
        </w:rPr>
      </w:pPr>
      <w:r>
        <w:rPr>
          <w:sz w:val="14"/>
        </w:rPr>
        <w:t>-2%</w:t>
      </w:r>
    </w:p>
    <w:p>
      <w:pPr>
        <w:spacing w:before="150"/>
        <w:ind w:left="-32" w:right="0" w:firstLine="0"/>
        <w:jc w:val="left"/>
        <w:rPr>
          <w:sz w:val="14"/>
        </w:rPr>
      </w:pPr>
      <w:r>
        <w:rPr>
          <w:sz w:val="14"/>
        </w:rPr>
        <w:t>-4%</w:t>
      </w:r>
    </w:p>
    <w:p>
      <w:pPr>
        <w:spacing w:before="152"/>
        <w:ind w:left="-32" w:right="0" w:firstLine="0"/>
        <w:jc w:val="left"/>
        <w:rPr>
          <w:sz w:val="14"/>
        </w:rPr>
      </w:pPr>
      <w:r>
        <w:rPr>
          <w:sz w:val="14"/>
        </w:rPr>
        <w:t>-6%</w:t>
      </w:r>
    </w:p>
    <w:p>
      <w:pPr>
        <w:spacing w:after="0"/>
        <w:jc w:val="left"/>
        <w:rPr>
          <w:sz w:val="14"/>
        </w:rPr>
        <w:sectPr>
          <w:headerReference w:type="default" r:id="rId35"/>
          <w:footerReference w:type="default" r:id="rId36"/>
          <w:type w:val="continuous"/>
          <w:pgSz w:w="11910" w:h="16840"/>
          <w:pgMar w:top="1660" w:right="600" w:bottom="740" w:left="600" w:header="708" w:footer="708"/>
          <w:pgNumType w:start="15"/>
          <w:cols w:num="6" w:space="708" w:equalWidth="0">
            <w:col w:w="698" w:space="181"/>
            <w:col w:w="3583" w:space="40"/>
            <w:col w:w="456" w:space="373"/>
            <w:col w:w="616" w:space="363"/>
            <w:col w:w="3581" w:space="40"/>
            <w:col w:w="779" w:space="0"/>
          </w:cols>
        </w:sectPr>
      </w:pPr>
    </w:p>
    <w:p>
      <w:pPr>
        <w:pStyle w:val="BodyText"/>
        <w:spacing w:before="2"/>
        <w:rPr>
          <w:sz w:val="2"/>
        </w:rPr>
      </w:pPr>
    </w:p>
    <w:p>
      <w:pPr>
        <w:pStyle w:val="BodyText"/>
        <w:tabs>
          <w:tab w:val="left" w:pos="5894"/>
        </w:tabs>
        <w:spacing w:line="344" w:lineRule="exact"/>
        <w:ind w:left="646"/>
      </w:pPr>
      <w:r>
        <w:rPr>
          <w:position w:val="-6"/>
        </w:rPr>
        <w:drawing>
          <wp:inline distT="0" distB="0" distL="0" distR="0">
            <wp:extent cx="2392547" cy="218598"/>
            <wp:effectExtent l="0" t="0" r="0" b="0"/>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37" cstate="print"/>
                    <a:stretch>
                      <a:fillRect/>
                    </a:stretch>
                  </pic:blipFill>
                  <pic:spPr>
                    <a:xfrm>
                      <a:off x="0" y="0"/>
                      <a:ext cx="2392547" cy="218598"/>
                    </a:xfrm>
                    <a:prstGeom prst="rect">
                      <a:avLst/>
                    </a:prstGeom>
                  </pic:spPr>
                </pic:pic>
              </a:graphicData>
            </a:graphic>
          </wp:inline>
        </w:drawing>
      </w:r>
      <w:r>
        <w:rPr>
          <w:position w:val="-6"/>
        </w:rPr>
        <w:tab/>
      </w:r>
      <w:r>
        <w:rPr>
          <w:position w:val="-6"/>
        </w:rPr>
        <w:drawing>
          <wp:inline distT="0" distB="0" distL="0" distR="0">
            <wp:extent cx="2392406" cy="218598"/>
            <wp:effectExtent l="0" t="0" r="0" b="0"/>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38" cstate="print"/>
                    <a:stretch>
                      <a:fillRect/>
                    </a:stretch>
                  </pic:blipFill>
                  <pic:spPr>
                    <a:xfrm>
                      <a:off x="0" y="0"/>
                      <a:ext cx="2392406" cy="218598"/>
                    </a:xfrm>
                    <a:prstGeom prst="rect">
                      <a:avLst/>
                    </a:prstGeom>
                  </pic:spPr>
                </pic:pic>
              </a:graphicData>
            </a:graphic>
          </wp:inline>
        </w:drawing>
      </w:r>
    </w:p>
    <w:p>
      <w:pPr>
        <w:pStyle w:val="BodyText"/>
        <w:spacing w:before="11"/>
        <w:rPr>
          <w:sz w:val="15"/>
        </w:rPr>
      </w:pPr>
      <w:r>
        <w:pict>
          <v:shape id="_x0000_s1139" style="width:252.45pt;height:0.1pt;margin-top:16.86pt;margin-left:35.4pt;mso-position-horizontal-relative:page;mso-wrap-distance-left:0;mso-wrap-distance-right:0;position:absolute;z-index:-251603968" coordorigin="708,337" coordsize="5049,0" path="m708,337l5756,337e" filled="f" stroked="t" strokecolor="#4b4d4f" strokeweight="0.96pt">
            <v:stroke dashstyle="solid"/>
            <v:path arrowok="t"/>
            <w10:wrap type="topAndBottom"/>
          </v:shape>
        </w:pict>
      </w:r>
      <w:r>
        <w:pict>
          <v:shape id="_x0000_s1140" style="width:252.3pt;height:0.1pt;margin-top:16.86pt;margin-left:301.97pt;mso-position-horizontal-relative:page;mso-wrap-distance-left:0;mso-wrap-distance-right:0;position:absolute;z-index:-251602944" coordorigin="6039,337" coordsize="5046,0" path="m6039,337l11085,337e" filled="f" stroked="t" strokecolor="#4b4d4f" strokeweight="0.96pt">
            <v:stroke dashstyle="solid"/>
            <v:path arrowok="t"/>
            <w10:wrap type="topAndBottom"/>
          </v:shape>
        </w:pict>
      </w:r>
    </w:p>
    <w:p>
      <w:pPr>
        <w:tabs>
          <w:tab w:val="left" w:pos="5547"/>
        </w:tabs>
        <w:spacing w:before="0" w:line="236" w:lineRule="exact"/>
        <w:ind w:left="215" w:right="0" w:firstLine="0"/>
        <w:jc w:val="left"/>
        <w:rPr>
          <w:sz w:val="15"/>
        </w:rPr>
      </w:pPr>
      <w:r>
        <w:t xml:space="preserve">资料来源：住建部， </w:t>
        <w:tab/>
        <w:t xml:space="preserve">资料来源：住建部， </w:t>
      </w:r>
    </w:p>
    <w:p>
      <w:pPr>
        <w:pStyle w:val="BodyText"/>
      </w:pPr>
    </w:p>
    <w:p>
      <w:pPr>
        <w:pStyle w:val="BodyText"/>
        <w:spacing w:before="2"/>
        <w:rPr>
          <w:sz w:val="12"/>
        </w:rPr>
      </w:pPr>
    </w:p>
    <w:p>
      <w:pPr>
        <w:tabs>
          <w:tab w:val="left" w:pos="7213"/>
        </w:tabs>
        <w:spacing w:before="47"/>
        <w:ind w:left="107" w:right="0" w:firstLine="0"/>
        <w:jc w:val="left"/>
        <w:rPr>
          <w:b/>
          <w:i/>
          <w:sz w:val="20"/>
        </w:rPr>
      </w:pPr>
      <w:r>
        <w:rPr>
          <w:rFonts w:ascii="Times New Roman" w:eastAsia="Times New Roman"/>
          <w:color w:val="4B4D4F"/>
          <w:w w:val="99"/>
          <w:sz w:val="20"/>
          <w:u w:val="single" w:color="4B4D4F"/>
        </w:rPr>
        <w:t xml:space="preserve"> </w:t>
      </w:r>
      <w:r>
        <w:rPr>
          <w:rFonts w:ascii="Times New Roman" w:eastAsia="Times New Roman"/>
          <w:color w:val="4B4D4F"/>
          <w:spacing w:val="8"/>
          <w:sz w:val="20"/>
          <w:u w:val="single" w:color="4B4D4F"/>
        </w:rPr>
        <w:t xml:space="preserve"> </w:t>
      </w:r>
      <w:r>
        <w:rPr>
          <w:b/>
          <w:i/>
          <w:color w:val="4B4D4F"/>
          <w:sz w:val="20"/>
          <w:u w:val="single" w:color="4B4D4F"/>
        </w:rPr>
        <w:t>图</w:t>
      </w:r>
      <w:r>
        <w:rPr>
          <w:b/>
          <w:color w:val="4B4D4F"/>
          <w:sz w:val="20"/>
          <w:u w:val="single" w:color="4B4D4F"/>
        </w:rPr>
        <w:t>7</w:t>
      </w:r>
      <w:r>
        <w:rPr>
          <w:b/>
          <w:i/>
          <w:color w:val="4B4D4F"/>
          <w:sz w:val="20"/>
          <w:u w:val="single" w:color="4B4D4F"/>
        </w:rPr>
        <w:t>：</w:t>
      </w:r>
      <w:r>
        <w:rPr>
          <w:b/>
          <w:color w:val="4B4D4F"/>
          <w:sz w:val="20"/>
          <w:u w:val="single" w:color="4B4D4F"/>
        </w:rPr>
        <w:t>2012</w:t>
      </w:r>
      <w:r>
        <w:rPr>
          <w:b/>
          <w:color w:val="4B4D4F"/>
          <w:spacing w:val="-19"/>
          <w:sz w:val="20"/>
          <w:u w:val="single" w:color="4B4D4F"/>
        </w:rPr>
        <w:t xml:space="preserve"> </w:t>
      </w:r>
      <w:r>
        <w:rPr>
          <w:b/>
          <w:i/>
          <w:color w:val="4B4D4F"/>
          <w:sz w:val="20"/>
          <w:u w:val="single" w:color="4B4D4F"/>
        </w:rPr>
        <w:t>年以来，我国总人口城镇化率</w:t>
        <w:tab/>
      </w:r>
    </w:p>
    <w:p>
      <w:pPr>
        <w:pStyle w:val="BodyText"/>
        <w:spacing w:before="6"/>
        <w:rPr>
          <w:b/>
          <w:i/>
          <w:sz w:val="8"/>
        </w:rPr>
      </w:pPr>
    </w:p>
    <w:p>
      <w:pPr>
        <w:spacing w:before="63" w:line="214" w:lineRule="exact"/>
        <w:ind w:left="3278" w:right="0" w:firstLine="0"/>
        <w:jc w:val="left"/>
        <w:rPr>
          <w:sz w:val="14"/>
        </w:rPr>
      </w:pPr>
      <w:r>
        <w:pict>
          <v:line id="_x0000_s1141" style="mso-position-horizontal-relative:page;position:absolute;z-index:251716608" from="172.65pt,10.15pt" to="191.85pt,10.15pt" stroked="t" strokecolor="#bd0000" strokeweight="2pt">
            <v:stroke dashstyle="solid"/>
          </v:line>
        </w:pict>
      </w:r>
      <w:r>
        <w:rPr>
          <w:sz w:val="14"/>
        </w:rPr>
        <w:t>中国总人口城镇化率</w:t>
      </w:r>
    </w:p>
    <w:p>
      <w:pPr>
        <w:spacing w:before="0" w:line="214" w:lineRule="exact"/>
        <w:ind w:left="495" w:right="0" w:firstLine="0"/>
        <w:jc w:val="left"/>
        <w:rPr>
          <w:sz w:val="14"/>
        </w:rPr>
      </w:pPr>
      <w:r>
        <w:pict>
          <v:group id="_x0000_s1142" style="width:292.5pt;height:106.95pt;margin-top:4.59pt;margin-left:76.17pt;mso-position-horizontal-relative:page;position:absolute;z-index:251715584" coordorigin="1523,92" coordsize="5850,2139">
            <v:shape id="_x0000_s1143" style="width:5845;height:2134;left:1525;position:absolute;top:94" coordorigin="1526,94" coordsize="5845,2134" path="m1526,2228l1526,94m1526,2228l1575,2228m1526,1924l1575,1924m1526,1619l1575,1619m1526,1314l1575,1314m1526,1009l1575,1009m1526,705l1575,705m1526,400l1575,400m1526,94l1575,94m1526,2228l7370,2228m1526,2178l1526,2228m2057,2178l2057,2228m2590,2178l2590,2228m3120,2178l3120,2228m3650,2178l3650,2228m4183,2178l4183,2228m4714,2178l4714,2228m5244,2178l5244,2228m5777,2178l5777,2228m6307,2178l6307,2228m6840,2178l6840,2228m7370,2178l7370,2228e" filled="f" stroked="t" strokecolor="black" strokeweight="0.25pt">
              <v:stroke dashstyle="solid"/>
              <v:path arrowok="t"/>
            </v:shape>
            <v:shape id="_x0000_s1144" style="width:5314;height:370;left:1791;position:absolute;top:240" coordorigin="1791,240" coordsize="5314,370" path="m1791,609l2323,568,2854,529,3386,481,3917,433,4447,393,4980,354,5510,316,6041,280,6574,256,7105,240e" filled="f" stroked="t" strokecolor="#bd0000" strokeweight="2pt">
              <v:stroke dashstyle="solid"/>
              <v:path arrowok="t"/>
            </v:shape>
          </v:group>
        </w:pict>
      </w:r>
      <w:r>
        <w:rPr>
          <w:sz w:val="14"/>
        </w:rPr>
        <w:t>70%</w:t>
      </w:r>
    </w:p>
    <w:p>
      <w:pPr>
        <w:spacing w:before="47"/>
        <w:ind w:left="495" w:right="0" w:firstLine="0"/>
        <w:jc w:val="left"/>
        <w:rPr>
          <w:sz w:val="14"/>
        </w:rPr>
      </w:pPr>
      <w:r>
        <w:rPr>
          <w:sz w:val="14"/>
        </w:rPr>
        <w:t>60%</w:t>
      </w:r>
    </w:p>
    <w:p>
      <w:pPr>
        <w:spacing w:before="46"/>
        <w:ind w:left="495" w:right="0" w:firstLine="0"/>
        <w:jc w:val="left"/>
        <w:rPr>
          <w:sz w:val="14"/>
        </w:rPr>
      </w:pPr>
      <w:r>
        <w:rPr>
          <w:sz w:val="14"/>
        </w:rPr>
        <w:t>50%</w:t>
      </w:r>
    </w:p>
    <w:p>
      <w:pPr>
        <w:spacing w:before="47"/>
        <w:ind w:left="495" w:right="0" w:firstLine="0"/>
        <w:jc w:val="left"/>
        <w:rPr>
          <w:sz w:val="14"/>
        </w:rPr>
      </w:pPr>
      <w:r>
        <w:rPr>
          <w:sz w:val="14"/>
        </w:rPr>
        <w:t>40%</w:t>
      </w:r>
    </w:p>
    <w:p>
      <w:pPr>
        <w:spacing w:before="47"/>
        <w:ind w:left="495" w:right="0" w:firstLine="0"/>
        <w:jc w:val="left"/>
        <w:rPr>
          <w:sz w:val="14"/>
        </w:rPr>
      </w:pPr>
      <w:r>
        <w:rPr>
          <w:sz w:val="14"/>
        </w:rPr>
        <w:t>30%</w:t>
      </w:r>
    </w:p>
    <w:p>
      <w:pPr>
        <w:spacing w:before="47"/>
        <w:ind w:left="495" w:right="0" w:firstLine="0"/>
        <w:jc w:val="left"/>
        <w:rPr>
          <w:sz w:val="14"/>
        </w:rPr>
      </w:pPr>
      <w:r>
        <w:rPr>
          <w:sz w:val="14"/>
        </w:rPr>
        <w:t>20%</w:t>
      </w:r>
    </w:p>
    <w:p>
      <w:pPr>
        <w:spacing w:before="46"/>
        <w:ind w:left="495" w:right="0" w:firstLine="0"/>
        <w:jc w:val="left"/>
        <w:rPr>
          <w:sz w:val="14"/>
        </w:rPr>
      </w:pPr>
      <w:r>
        <w:rPr>
          <w:sz w:val="14"/>
        </w:rPr>
        <w:t>10%</w:t>
      </w:r>
    </w:p>
    <w:p>
      <w:pPr>
        <w:spacing w:before="47"/>
        <w:ind w:left="577" w:right="0" w:firstLine="0"/>
        <w:jc w:val="left"/>
        <w:rPr>
          <w:sz w:val="14"/>
        </w:rPr>
      </w:pPr>
      <w:r>
        <w:drawing>
          <wp:anchor distT="0" distB="0" distL="0" distR="0" simplePos="0" relativeHeight="251701248" behindDoc="0" locked="0" layoutInCell="1" allowOverlap="1">
            <wp:simplePos x="0" y="0"/>
            <wp:positionH relativeFrom="page">
              <wp:posOffset>933691</wp:posOffset>
            </wp:positionH>
            <wp:positionV relativeFrom="paragraph">
              <wp:posOffset>218551</wp:posOffset>
            </wp:positionV>
            <wp:extent cx="226479" cy="214693"/>
            <wp:effectExtent l="0" t="0" r="0" b="0"/>
            <wp:wrapTopAndBottom/>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39" cstate="print"/>
                    <a:stretch>
                      <a:fillRect/>
                    </a:stretch>
                  </pic:blipFill>
                  <pic:spPr>
                    <a:xfrm>
                      <a:off x="0" y="0"/>
                      <a:ext cx="226479" cy="214693"/>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1271016</wp:posOffset>
            </wp:positionH>
            <wp:positionV relativeFrom="paragraph">
              <wp:posOffset>218551</wp:posOffset>
            </wp:positionV>
            <wp:extent cx="226529" cy="214693"/>
            <wp:effectExtent l="0" t="0" r="0" b="0"/>
            <wp:wrapTopAndBottom/>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40" cstate="print"/>
                    <a:stretch>
                      <a:fillRect/>
                    </a:stretch>
                  </pic:blipFill>
                  <pic:spPr>
                    <a:xfrm>
                      <a:off x="0" y="0"/>
                      <a:ext cx="226529" cy="214693"/>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1608333</wp:posOffset>
            </wp:positionH>
            <wp:positionV relativeFrom="paragraph">
              <wp:posOffset>218551</wp:posOffset>
            </wp:positionV>
            <wp:extent cx="226650" cy="214693"/>
            <wp:effectExtent l="0" t="0" r="0" b="0"/>
            <wp:wrapTopAndBottom/>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41" cstate="print"/>
                    <a:stretch>
                      <a:fillRect/>
                    </a:stretch>
                  </pic:blipFill>
                  <pic:spPr>
                    <a:xfrm>
                      <a:off x="0" y="0"/>
                      <a:ext cx="226650" cy="214693"/>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1945767</wp:posOffset>
            </wp:positionH>
            <wp:positionV relativeFrom="paragraph">
              <wp:posOffset>218551</wp:posOffset>
            </wp:positionV>
            <wp:extent cx="226529" cy="214693"/>
            <wp:effectExtent l="0" t="0" r="0" b="0"/>
            <wp:wrapTopAndBottom/>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42" cstate="print"/>
                    <a:stretch>
                      <a:fillRect/>
                    </a:stretch>
                  </pic:blipFill>
                  <pic:spPr>
                    <a:xfrm>
                      <a:off x="0" y="0"/>
                      <a:ext cx="226529" cy="214693"/>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2283205</wp:posOffset>
            </wp:positionH>
            <wp:positionV relativeFrom="paragraph">
              <wp:posOffset>218551</wp:posOffset>
            </wp:positionV>
            <wp:extent cx="226529" cy="214693"/>
            <wp:effectExtent l="0" t="0" r="0" b="0"/>
            <wp:wrapTopAndBottom/>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43" cstate="print"/>
                    <a:stretch>
                      <a:fillRect/>
                    </a:stretch>
                  </pic:blipFill>
                  <pic:spPr>
                    <a:xfrm>
                      <a:off x="0" y="0"/>
                      <a:ext cx="226529" cy="214693"/>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2620645</wp:posOffset>
            </wp:positionH>
            <wp:positionV relativeFrom="paragraph">
              <wp:posOffset>218551</wp:posOffset>
            </wp:positionV>
            <wp:extent cx="226404" cy="214693"/>
            <wp:effectExtent l="0" t="0" r="0" b="0"/>
            <wp:wrapTopAndBottom/>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44" cstate="print"/>
                    <a:stretch>
                      <a:fillRect/>
                    </a:stretch>
                  </pic:blipFill>
                  <pic:spPr>
                    <a:xfrm>
                      <a:off x="0" y="0"/>
                      <a:ext cx="226404" cy="214693"/>
                    </a:xfrm>
                    <a:prstGeom prst="rect">
                      <a:avLst/>
                    </a:prstGeom>
                  </pic:spPr>
                </pic:pic>
              </a:graphicData>
            </a:graphic>
          </wp:anchor>
        </w:drawing>
      </w:r>
      <w:r>
        <w:drawing>
          <wp:anchor distT="0" distB="0" distL="0" distR="0" simplePos="0" relativeHeight="251707392" behindDoc="0" locked="0" layoutInCell="1" allowOverlap="1">
            <wp:simplePos x="0" y="0"/>
            <wp:positionH relativeFrom="page">
              <wp:posOffset>2957957</wp:posOffset>
            </wp:positionH>
            <wp:positionV relativeFrom="paragraph">
              <wp:posOffset>218551</wp:posOffset>
            </wp:positionV>
            <wp:extent cx="226529" cy="214693"/>
            <wp:effectExtent l="0" t="0" r="0" b="0"/>
            <wp:wrapTopAndBottom/>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45" cstate="print"/>
                    <a:stretch>
                      <a:fillRect/>
                    </a:stretch>
                  </pic:blipFill>
                  <pic:spPr>
                    <a:xfrm>
                      <a:off x="0" y="0"/>
                      <a:ext cx="226529" cy="214693"/>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3295396</wp:posOffset>
            </wp:positionH>
            <wp:positionV relativeFrom="paragraph">
              <wp:posOffset>218551</wp:posOffset>
            </wp:positionV>
            <wp:extent cx="226404" cy="214693"/>
            <wp:effectExtent l="0" t="0" r="0" b="0"/>
            <wp:wrapTopAndBottom/>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46" cstate="print"/>
                    <a:stretch>
                      <a:fillRect/>
                    </a:stretch>
                  </pic:blipFill>
                  <pic:spPr>
                    <a:xfrm>
                      <a:off x="0" y="0"/>
                      <a:ext cx="226404" cy="214693"/>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3632708</wp:posOffset>
            </wp:positionH>
            <wp:positionV relativeFrom="paragraph">
              <wp:posOffset>218551</wp:posOffset>
            </wp:positionV>
            <wp:extent cx="226529" cy="214693"/>
            <wp:effectExtent l="0" t="0" r="0" b="0"/>
            <wp:wrapTopAndBottom/>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47" cstate="print"/>
                    <a:stretch>
                      <a:fillRect/>
                    </a:stretch>
                  </pic:blipFill>
                  <pic:spPr>
                    <a:xfrm>
                      <a:off x="0" y="0"/>
                      <a:ext cx="226529" cy="214693"/>
                    </a:xfrm>
                    <a:prstGeom prst="rect">
                      <a:avLst/>
                    </a:prstGeom>
                  </pic:spPr>
                </pic:pic>
              </a:graphicData>
            </a:graphic>
          </wp:anchor>
        </w:drawing>
      </w:r>
      <w:r>
        <w:drawing>
          <wp:anchor distT="0" distB="0" distL="0" distR="0" simplePos="0" relativeHeight="251710464" behindDoc="0" locked="0" layoutInCell="1" allowOverlap="1">
            <wp:simplePos x="0" y="0"/>
            <wp:positionH relativeFrom="page">
              <wp:posOffset>3970146</wp:posOffset>
            </wp:positionH>
            <wp:positionV relativeFrom="paragraph">
              <wp:posOffset>218551</wp:posOffset>
            </wp:positionV>
            <wp:extent cx="226404" cy="214693"/>
            <wp:effectExtent l="0" t="0" r="0" b="0"/>
            <wp:wrapTopAndBottom/>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48" cstate="print"/>
                    <a:stretch>
                      <a:fillRect/>
                    </a:stretch>
                  </pic:blipFill>
                  <pic:spPr>
                    <a:xfrm>
                      <a:off x="0" y="0"/>
                      <a:ext cx="226404" cy="214693"/>
                    </a:xfrm>
                    <a:prstGeom prst="rect">
                      <a:avLst/>
                    </a:prstGeom>
                  </pic:spPr>
                </pic:pic>
              </a:graphicData>
            </a:graphic>
          </wp:anchor>
        </w:drawing>
      </w:r>
      <w:r>
        <w:drawing>
          <wp:anchor distT="0" distB="0" distL="0" distR="0" simplePos="0" relativeHeight="251711488" behindDoc="0" locked="0" layoutInCell="1" allowOverlap="1">
            <wp:simplePos x="0" y="0"/>
            <wp:positionH relativeFrom="page">
              <wp:posOffset>4307459</wp:posOffset>
            </wp:positionH>
            <wp:positionV relativeFrom="paragraph">
              <wp:posOffset>218551</wp:posOffset>
            </wp:positionV>
            <wp:extent cx="226529" cy="214693"/>
            <wp:effectExtent l="0" t="0" r="0" b="0"/>
            <wp:wrapTopAndBottom/>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49" cstate="print"/>
                    <a:stretch>
                      <a:fillRect/>
                    </a:stretch>
                  </pic:blipFill>
                  <pic:spPr>
                    <a:xfrm>
                      <a:off x="0" y="0"/>
                      <a:ext cx="226529" cy="214693"/>
                    </a:xfrm>
                    <a:prstGeom prst="rect">
                      <a:avLst/>
                    </a:prstGeom>
                  </pic:spPr>
                </pic:pic>
              </a:graphicData>
            </a:graphic>
          </wp:anchor>
        </w:drawing>
      </w:r>
      <w:r>
        <w:pict>
          <v:group id="_x0000_s1145" style="width:355.3pt;height:1pt;margin-top:46.25pt;margin-left:35.4pt;mso-position-horizontal-relative:page;mso-wrap-distance-left:0;mso-wrap-distance-right:0;position:absolute;z-index:-251601920" coordorigin="708,925" coordsize="7106,20">
            <v:line id="_x0000_s1146" style="position:absolute" from="708,935" to="7561,935" stroked="t" strokecolor="#4b4d4f" strokeweight="0.96pt">
              <v:stroke dashstyle="solid"/>
            </v:line>
            <v:rect id="_x0000_s1147" style="width:20;height:20;left:7561;position:absolute;top:924" filled="t" fillcolor="#4b4d4f" stroked="f">
              <v:fill type="solid"/>
            </v:rect>
            <v:rect id="_x0000_s1148" style="width:20;height:20;left:7575;position:absolute;top:924" filled="t" fillcolor="#4b4d4f" stroked="f">
              <v:fill type="solid"/>
            </v:rect>
            <v:line id="_x0000_s1149" style="position:absolute" from="7595,935" to="7813,935" stroked="t" strokecolor="#4b4d4f" strokeweight="0.96pt">
              <v:stroke dashstyle="solid"/>
            </v:line>
            <w10:wrap type="topAndBottom"/>
          </v:group>
        </w:pict>
      </w:r>
      <w:r>
        <w:rPr>
          <w:sz w:val="14"/>
        </w:rPr>
        <w:t>0%</w:t>
      </w:r>
    </w:p>
    <w:p>
      <w:pPr>
        <w:pStyle w:val="BodyText"/>
        <w:spacing w:before="8"/>
        <w:rPr>
          <w:sz w:val="9"/>
        </w:rPr>
      </w:pPr>
    </w:p>
    <w:p>
      <w:pPr>
        <w:spacing w:before="0"/>
        <w:ind w:left="215" w:right="0" w:firstLine="0"/>
        <w:jc w:val="left"/>
        <w:rPr>
          <w:sz w:val="15"/>
        </w:rPr>
      </w:pPr>
      <w:r>
        <w:t xml:space="preserve">资料来源：国家统计局， </w:t>
      </w:r>
    </w:p>
    <w:p>
      <w:pPr>
        <w:pStyle w:val="BodyText"/>
      </w:pPr>
    </w:p>
    <w:p>
      <w:pPr>
        <w:pStyle w:val="BodyText"/>
        <w:spacing w:before="15"/>
        <w:rPr>
          <w:sz w:val="10"/>
        </w:rPr>
      </w:pPr>
    </w:p>
    <w:p>
      <w:pPr>
        <w:pStyle w:val="BodyText"/>
        <w:spacing w:before="47" w:line="364" w:lineRule="exact"/>
        <w:ind w:left="508"/>
        <w:jc w:val="both"/>
      </w:pPr>
      <w:r>
        <w:rPr>
          <w:color w:val="333333"/>
          <w:spacing w:val="-4"/>
        </w:rPr>
        <w:t xml:space="preserve">随着近几年垃圾焚烧发电项目加速投运，截至 </w:t>
      </w:r>
      <w:r>
        <w:rPr>
          <w:color w:val="333333"/>
        </w:rPr>
        <w:t>2022</w:t>
      </w:r>
      <w:r>
        <w:rPr>
          <w:color w:val="333333"/>
          <w:spacing w:val="-8"/>
        </w:rPr>
        <w:t xml:space="preserve"> 年底，我国城市生活垃圾</w:t>
      </w:r>
    </w:p>
    <w:p>
      <w:pPr>
        <w:pStyle w:val="BodyText"/>
        <w:spacing w:before="1" w:line="235" w:lineRule="auto"/>
        <w:ind w:left="107" w:right="3509"/>
        <w:jc w:val="both"/>
      </w:pPr>
      <w:r>
        <w:rPr>
          <w:color w:val="333333"/>
        </w:rPr>
        <w:t>焚烧处理能力已达到 80.47</w:t>
      </w:r>
      <w:r>
        <w:rPr>
          <w:color w:val="333333"/>
          <w:spacing w:val="2"/>
        </w:rPr>
        <w:t xml:space="preserve"> 万吨</w:t>
      </w:r>
      <w:r>
        <w:rPr>
          <w:color w:val="333333"/>
        </w:rPr>
        <w:t>/日，县城生活垃圾焚烧处理能力达 19.48</w:t>
      </w:r>
      <w:r>
        <w:rPr>
          <w:color w:val="333333"/>
          <w:spacing w:val="3"/>
        </w:rPr>
        <w:t xml:space="preserve"> 万吨</w:t>
      </w:r>
      <w:r>
        <w:rPr>
          <w:color w:val="333333"/>
        </w:rPr>
        <w:t xml:space="preserve">/ </w:t>
      </w:r>
      <w:r>
        <w:rPr>
          <w:color w:val="333333"/>
          <w:spacing w:val="-7"/>
        </w:rPr>
        <w:t xml:space="preserve">日，焚烧处理率分别为 </w:t>
      </w:r>
      <w:r>
        <w:rPr>
          <w:color w:val="333333"/>
        </w:rPr>
        <w:t>79.8</w:t>
      </w:r>
      <w:r>
        <w:rPr>
          <w:color w:val="333333"/>
          <w:spacing w:val="-16"/>
        </w:rPr>
        <w:t>%、</w:t>
      </w:r>
      <w:r>
        <w:rPr>
          <w:color w:val="333333"/>
        </w:rPr>
        <w:t>55.2</w:t>
      </w:r>
      <w:r>
        <w:rPr>
          <w:color w:val="333333"/>
          <w:spacing w:val="-16"/>
        </w:rPr>
        <w:t>%。</w:t>
      </w:r>
      <w:r>
        <w:rPr>
          <w:color w:val="333333"/>
        </w:rPr>
        <w:t>2022</w:t>
      </w:r>
      <w:r>
        <w:rPr>
          <w:color w:val="333333"/>
          <w:spacing w:val="-9"/>
        </w:rPr>
        <w:t xml:space="preserve"> 年 </w:t>
      </w:r>
      <w:r>
        <w:rPr>
          <w:color w:val="333333"/>
        </w:rPr>
        <w:t>7</w:t>
      </w:r>
      <w:r>
        <w:rPr>
          <w:color w:val="333333"/>
          <w:spacing w:val="-15"/>
        </w:rPr>
        <w:t xml:space="preserve"> 月，国家发展改革委印发《“十</w:t>
      </w:r>
      <w:r>
        <w:rPr>
          <w:color w:val="333333"/>
          <w:spacing w:val="-16"/>
        </w:rPr>
        <w:t xml:space="preserve">四五”新型城镇化实施方案》，提出到 </w:t>
      </w:r>
      <w:r>
        <w:rPr>
          <w:color w:val="333333"/>
        </w:rPr>
        <w:t>2025</w:t>
      </w:r>
      <w:r>
        <w:rPr>
          <w:color w:val="333333"/>
          <w:spacing w:val="-4"/>
        </w:rPr>
        <w:t xml:space="preserve"> 年城镇生活垃圾焚烧处理能力达到 </w:t>
      </w:r>
      <w:r>
        <w:rPr>
          <w:color w:val="333333"/>
        </w:rPr>
        <w:t>80</w:t>
      </w:r>
    </w:p>
    <w:p>
      <w:pPr>
        <w:spacing w:after="0" w:line="235" w:lineRule="auto"/>
        <w:jc w:val="both"/>
        <w:sectPr>
          <w:headerReference w:type="default" r:id="rId50"/>
          <w:footerReference w:type="default" r:id="rId51"/>
          <w:type w:val="continuous"/>
          <w:pgSz w:w="11910" w:h="16840"/>
          <w:pgMar w:top="1660" w:right="600" w:bottom="740" w:left="600" w:header="708" w:footer="708"/>
          <w:pgNumType w:start="16"/>
          <w:cols w:space="708"/>
        </w:sectPr>
      </w:pPr>
    </w:p>
    <w:p>
      <w:pPr>
        <w:pStyle w:val="BodyText"/>
        <w:spacing w:before="9"/>
        <w:rPr>
          <w:sz w:val="9"/>
        </w:rPr>
      </w:pPr>
    </w:p>
    <w:p>
      <w:pPr>
        <w:spacing w:before="53" w:line="235" w:lineRule="auto"/>
        <w:ind w:left="107" w:right="3514" w:firstLine="0"/>
        <w:jc w:val="left"/>
        <w:rPr>
          <w:b/>
          <w:i/>
          <w:sz w:val="20"/>
        </w:rPr>
      </w:pPr>
      <w:r>
        <w:rPr>
          <w:color w:val="333333"/>
          <w:sz w:val="20"/>
        </w:rPr>
        <w:t>万吨/</w:t>
      </w:r>
      <w:r>
        <w:rPr>
          <w:color w:val="333333"/>
          <w:spacing w:val="-12"/>
          <w:sz w:val="20"/>
        </w:rPr>
        <w:t>日左右。当前，垃圾焚烧处理能力</w:t>
      </w:r>
      <w:r>
        <w:rPr>
          <w:b/>
          <w:i/>
          <w:color w:val="333333"/>
          <w:spacing w:val="-8"/>
          <w:sz w:val="20"/>
        </w:rPr>
        <w:t xml:space="preserve">已满足我国垃圾无害化、资源化处理需求， </w:t>
      </w:r>
      <w:r>
        <w:rPr>
          <w:b/>
          <w:i/>
          <w:color w:val="333333"/>
          <w:sz w:val="20"/>
        </w:rPr>
        <w:t>提前完成“十四五”目标。</w:t>
      </w:r>
    </w:p>
    <w:p>
      <w:pPr>
        <w:tabs>
          <w:tab w:val="left" w:pos="5156"/>
          <w:tab w:val="left" w:pos="5439"/>
          <w:tab w:val="left" w:pos="10485"/>
        </w:tabs>
        <w:spacing w:before="136"/>
        <w:ind w:left="107" w:right="0" w:firstLine="0"/>
        <w:jc w:val="left"/>
        <w:rPr>
          <w:b/>
          <w:i/>
          <w:sz w:val="20"/>
        </w:rPr>
      </w:pPr>
      <w:r>
        <w:rPr>
          <w:rFonts w:ascii="Times New Roman" w:eastAsia="Times New Roman"/>
          <w:color w:val="4B4D4F"/>
          <w:w w:val="99"/>
          <w:sz w:val="20"/>
          <w:u w:val="single" w:color="4B4D4F"/>
        </w:rPr>
        <w:t xml:space="preserve"> </w:t>
      </w:r>
      <w:r>
        <w:rPr>
          <w:rFonts w:ascii="Times New Roman" w:eastAsia="Times New Roman"/>
          <w:color w:val="4B4D4F"/>
          <w:spacing w:val="8"/>
          <w:sz w:val="20"/>
          <w:u w:val="single" w:color="4B4D4F"/>
        </w:rPr>
        <w:t xml:space="preserve"> </w:t>
      </w:r>
      <w:r>
        <w:rPr>
          <w:b/>
          <w:i/>
          <w:color w:val="4B4D4F"/>
          <w:sz w:val="20"/>
          <w:u w:val="single" w:color="4B4D4F"/>
        </w:rPr>
        <w:t>图</w:t>
      </w:r>
      <w:r>
        <w:rPr>
          <w:b/>
          <w:color w:val="4B4D4F"/>
          <w:sz w:val="20"/>
          <w:u w:val="single" w:color="4B4D4F"/>
        </w:rPr>
        <w:t>8</w:t>
      </w:r>
      <w:r>
        <w:rPr>
          <w:b/>
          <w:i/>
          <w:color w:val="4B4D4F"/>
          <w:sz w:val="20"/>
          <w:u w:val="single" w:color="4B4D4F"/>
        </w:rPr>
        <w:t>：</w:t>
      </w:r>
      <w:r>
        <w:rPr>
          <w:b/>
          <w:color w:val="4B4D4F"/>
          <w:sz w:val="20"/>
          <w:u w:val="single" w:color="4B4D4F"/>
        </w:rPr>
        <w:t>2012</w:t>
      </w:r>
      <w:r>
        <w:rPr>
          <w:b/>
          <w:color w:val="4B4D4F"/>
          <w:spacing w:val="-11"/>
          <w:sz w:val="20"/>
          <w:u w:val="single" w:color="4B4D4F"/>
        </w:rPr>
        <w:t xml:space="preserve"> </w:t>
      </w:r>
      <w:r>
        <w:rPr>
          <w:b/>
          <w:i/>
          <w:color w:val="4B4D4F"/>
          <w:sz w:val="20"/>
          <w:u w:val="single" w:color="4B4D4F"/>
        </w:rPr>
        <w:t>年以来，全国城市生活垃圾焚烧处理能力</w:t>
        <w:tab/>
      </w:r>
      <w:r>
        <w:rPr>
          <w:b/>
          <w:i/>
          <w:color w:val="4B4D4F"/>
          <w:sz w:val="20"/>
        </w:rPr>
        <w:tab/>
      </w:r>
      <w:r>
        <w:rPr>
          <w:b/>
          <w:i/>
          <w:color w:val="4B4D4F"/>
          <w:sz w:val="20"/>
          <w:u w:val="single" w:color="4B4D4F"/>
        </w:rPr>
        <w:t xml:space="preserve"> 图</w:t>
      </w:r>
      <w:r>
        <w:rPr>
          <w:b/>
          <w:color w:val="4B4D4F"/>
          <w:sz w:val="20"/>
          <w:u w:val="single" w:color="4B4D4F"/>
        </w:rPr>
        <w:t>9</w:t>
      </w:r>
      <w:r>
        <w:rPr>
          <w:b/>
          <w:i/>
          <w:color w:val="4B4D4F"/>
          <w:sz w:val="20"/>
          <w:u w:val="single" w:color="4B4D4F"/>
        </w:rPr>
        <w:t>：</w:t>
      </w:r>
      <w:r>
        <w:rPr>
          <w:b/>
          <w:color w:val="4B4D4F"/>
          <w:sz w:val="20"/>
          <w:u w:val="single" w:color="4B4D4F"/>
        </w:rPr>
        <w:t>2012</w:t>
      </w:r>
      <w:r>
        <w:rPr>
          <w:b/>
          <w:color w:val="4B4D4F"/>
          <w:spacing w:val="-18"/>
          <w:sz w:val="20"/>
          <w:u w:val="single" w:color="4B4D4F"/>
        </w:rPr>
        <w:t xml:space="preserve"> </w:t>
      </w:r>
      <w:r>
        <w:rPr>
          <w:b/>
          <w:i/>
          <w:color w:val="4B4D4F"/>
          <w:sz w:val="20"/>
          <w:u w:val="single" w:color="4B4D4F"/>
        </w:rPr>
        <w:t>年以来，全国县城生活垃圾焚烧处理能力</w:t>
        <w:tab/>
      </w:r>
    </w:p>
    <w:p>
      <w:pPr>
        <w:spacing w:after="0"/>
        <w:jc w:val="left"/>
        <w:rPr>
          <w:sz w:val="20"/>
        </w:rPr>
        <w:sectPr>
          <w:headerReference w:type="default" r:id="rId52"/>
          <w:footerReference w:type="default" r:id="rId53"/>
          <w:pgSz w:w="11910" w:h="16840"/>
          <w:pgMar w:top="1660" w:right="600" w:bottom="740" w:left="600" w:header="708" w:footer="708"/>
          <w:pgNumType w:start="17"/>
          <w:cols w:space="708"/>
        </w:sectPr>
      </w:pPr>
    </w:p>
    <w:p>
      <w:pPr>
        <w:pStyle w:val="BodyText"/>
        <w:spacing w:before="15"/>
        <w:rPr>
          <w:b/>
          <w:i/>
          <w:sz w:val="21"/>
        </w:rPr>
      </w:pPr>
    </w:p>
    <w:p>
      <w:pPr>
        <w:spacing w:before="0"/>
        <w:ind w:left="0" w:right="0" w:firstLine="0"/>
        <w:jc w:val="right"/>
        <w:rPr>
          <w:sz w:val="14"/>
        </w:rPr>
      </w:pPr>
      <w:r>
        <w:rPr>
          <w:spacing w:val="-1"/>
          <w:w w:val="95"/>
          <w:sz w:val="14"/>
        </w:rPr>
        <w:t>100</w:t>
      </w:r>
    </w:p>
    <w:p>
      <w:pPr>
        <w:spacing w:before="157"/>
        <w:ind w:left="0" w:right="0" w:firstLine="0"/>
        <w:jc w:val="right"/>
        <w:rPr>
          <w:sz w:val="14"/>
        </w:rPr>
      </w:pPr>
      <w:r>
        <w:rPr>
          <w:spacing w:val="-1"/>
          <w:w w:val="95"/>
          <w:sz w:val="14"/>
        </w:rPr>
        <w:t>80</w:t>
      </w:r>
    </w:p>
    <w:p>
      <w:pPr>
        <w:spacing w:before="157"/>
        <w:ind w:left="0" w:right="0" w:firstLine="0"/>
        <w:jc w:val="right"/>
        <w:rPr>
          <w:sz w:val="14"/>
        </w:rPr>
      </w:pPr>
      <w:r>
        <w:rPr>
          <w:spacing w:val="-1"/>
          <w:w w:val="95"/>
          <w:sz w:val="14"/>
        </w:rPr>
        <w:t>60</w:t>
      </w:r>
    </w:p>
    <w:p>
      <w:pPr>
        <w:spacing w:before="157"/>
        <w:ind w:left="0" w:right="0" w:firstLine="0"/>
        <w:jc w:val="right"/>
        <w:rPr>
          <w:sz w:val="14"/>
        </w:rPr>
      </w:pPr>
      <w:r>
        <w:rPr>
          <w:spacing w:val="-1"/>
          <w:w w:val="95"/>
          <w:sz w:val="14"/>
        </w:rPr>
        <w:t>40</w:t>
      </w:r>
    </w:p>
    <w:p>
      <w:pPr>
        <w:spacing w:before="156"/>
        <w:ind w:left="0" w:right="0" w:firstLine="0"/>
        <w:jc w:val="right"/>
        <w:rPr>
          <w:sz w:val="14"/>
        </w:rPr>
      </w:pPr>
      <w:r>
        <w:rPr>
          <w:spacing w:val="-1"/>
          <w:w w:val="95"/>
          <w:sz w:val="14"/>
        </w:rPr>
        <w:t>20</w:t>
      </w:r>
    </w:p>
    <w:p>
      <w:pPr>
        <w:spacing w:before="156"/>
        <w:ind w:left="0" w:right="0" w:firstLine="0"/>
        <w:jc w:val="right"/>
        <w:rPr>
          <w:sz w:val="14"/>
        </w:rPr>
      </w:pPr>
      <w:r>
        <w:rPr>
          <w:w w:val="99"/>
          <w:sz w:val="14"/>
        </w:rPr>
        <w:t>0</w:t>
      </w:r>
    </w:p>
    <w:p>
      <w:pPr>
        <w:tabs>
          <w:tab w:val="left" w:pos="2823"/>
        </w:tabs>
        <w:spacing w:before="145" w:line="258" w:lineRule="exact"/>
        <w:ind w:left="0" w:right="38" w:firstLine="0"/>
        <w:jc w:val="right"/>
        <w:rPr>
          <w:sz w:val="14"/>
        </w:rPr>
      </w:pPr>
      <w:r>
        <w:br w:type="column"/>
      </w:r>
      <w:r>
        <w:rPr>
          <w:sz w:val="14"/>
        </w:rPr>
        <w:t>城市生活垃圾焚烧处理能力（左轴）</w:t>
        <w:tab/>
      </w:r>
      <w:r>
        <w:rPr>
          <w:w w:val="95"/>
          <w:sz w:val="14"/>
        </w:rPr>
        <w:t>焚烧处理率（右轴）</w:t>
      </w:r>
    </w:p>
    <w:p>
      <w:pPr>
        <w:spacing w:before="0" w:line="258" w:lineRule="exact"/>
        <w:ind w:left="0" w:right="39" w:firstLine="0"/>
        <w:jc w:val="right"/>
        <w:rPr>
          <w:sz w:val="14"/>
        </w:rPr>
      </w:pPr>
      <w:r>
        <w:pict>
          <v:group id="_x0000_s1150" style="width:185.3pt;height:105.65pt;margin-top:5.1pt;margin-left:65.52pt;mso-position-horizontal-relative:page;position:absolute;z-index:251720704" coordorigin="1310,102" coordsize="3706,2113">
            <v:line id="_x0000_s1151" style="position:absolute" from="1481,1957" to="1481,2212" stroked="t" strokecolor="#bd0000" strokeweight="6.72pt">
              <v:stroke dashstyle="solid"/>
            </v:line>
            <v:shape id="_x0000_s1152" style="width:50;height:2073;left:1312;position:absolute;top:138" coordorigin="1313,139" coordsize="50,2073" path="m1313,2212l1313,139m1313,2212l1362,2212m1313,1798l1362,1798m1313,1383l1362,1383m1313,968l1362,968m1313,553l1362,553m1313,139l1362,139e" filled="f" stroked="t" strokecolor="black" strokeweight="0.25pt">
              <v:stroke dashstyle="solid"/>
              <v:path arrowok="t"/>
            </v:shape>
            <v:shape id="_x0000_s1153" style="width:3029;height:1669;left:1816;position:absolute;top:542" coordorigin="1817,543" coordsize="3029,1669" path="m1817,1882l1817,2212m2153,1827l2153,2212m2491,1757l2491,2212m2827,1681l2827,2212m3163,1594l3163,2212m3499,1455l3499,2212m3835,1263l3835,2212m4171,1035l4171,2212m4510,721l4510,2212m4846,543l4846,2212e" filled="f" stroked="t" strokecolor="#bd0000" strokeweight="6.72pt">
              <v:stroke dashstyle="solid"/>
              <v:path arrowok="t"/>
            </v:shape>
            <v:shape id="_x0000_s1154" style="width:3701;height:2073;left:1312;position:absolute;top:138" coordorigin="1313,139" coordsize="3701,2073" path="m5013,2212l5013,139m4964,2212l5013,2212m4964,1798l5013,1798m4964,1383l5013,1383m4964,968l5013,968m4964,553l5013,553m4964,139l5013,139m1313,2212l5013,2212m1313,2162l1313,2212m1649,2162l1649,2212m1985,2162l1985,2212m2323,2162l2323,2212m2659,2162l2659,2212m2995,2162l2995,2212m3331,2162l3331,2212m3667,2162l3667,2212m4003,2162l4003,2212m4342,2162l4342,2212m4678,2162l4678,2212m5013,2162l5013,2212e" filled="f" stroked="t" strokecolor="black" strokeweight="0.25pt">
              <v:stroke dashstyle="solid"/>
              <v:path arrowok="t"/>
            </v:shape>
            <v:shape id="_x0000_s1155" style="width:3365;height:1189;left:1481;position:absolute;top:557" coordorigin="1481,557" coordsize="3365,1189" path="m1481,1746l1817,1625,2153,1570,2491,1529,2827,1448,3163,1388,3499,1280,3835,1165,4171,922,4510,709,4845,557e" filled="f" stroked="t" strokecolor="#505050" strokeweight="2.25pt">
              <v:stroke dashstyle="solid"/>
              <v:path arrowok="t"/>
            </v:shape>
            <v:shape id="_x0000_s1156" type="#_x0000_t202" style="width:499;height:185;left:1505;position:absolute;top:101" filled="f" stroked="f">
              <v:textbox inset="0,0,0,0">
                <w:txbxContent>
                  <w:p>
                    <w:pPr>
                      <w:spacing w:before="0" w:line="184" w:lineRule="exact"/>
                      <w:ind w:left="0" w:right="0" w:firstLine="0"/>
                      <w:jc w:val="left"/>
                      <w:rPr>
                        <w:sz w:val="14"/>
                      </w:rPr>
                    </w:pPr>
                    <w:r>
                      <w:rPr>
                        <w:sz w:val="14"/>
                      </w:rPr>
                      <w:t>万吨/日</w:t>
                    </w:r>
                  </w:p>
                </w:txbxContent>
              </v:textbox>
            </v:shape>
          </v:group>
        </w:pict>
      </w:r>
      <w:r>
        <w:pict>
          <v:line id="_x0000_s1157" style="mso-position-horizontal-relative:page;position:absolute;z-index:251721728" from="51.35pt,-5.85pt" to="70.55pt,-5.85pt" stroked="t" strokecolor="#bd0000" strokeweight="4.16pt">
            <v:stroke dashstyle="solid"/>
          </v:line>
        </w:pict>
      </w:r>
      <w:r>
        <w:pict>
          <v:line id="_x0000_s1158" style="mso-position-horizontal-relative:page;position:absolute;z-index:-251598848" from="192.5pt,-5.85pt" to="211.7pt,-5.85pt" stroked="t" strokecolor="#505050" strokeweight="2.25pt">
            <v:stroke dashstyle="solid"/>
          </v:line>
        </w:pict>
      </w:r>
      <w:r>
        <w:rPr>
          <w:spacing w:val="-1"/>
          <w:sz w:val="14"/>
        </w:rPr>
        <w:t>100%</w:t>
      </w:r>
    </w:p>
    <w:p>
      <w:pPr>
        <w:spacing w:before="157"/>
        <w:ind w:left="0" w:right="124" w:firstLine="0"/>
        <w:jc w:val="right"/>
        <w:rPr>
          <w:sz w:val="14"/>
        </w:rPr>
      </w:pPr>
      <w:r>
        <w:rPr>
          <w:spacing w:val="-2"/>
          <w:sz w:val="14"/>
        </w:rPr>
        <w:t>80%</w:t>
      </w:r>
    </w:p>
    <w:p>
      <w:pPr>
        <w:spacing w:before="157"/>
        <w:ind w:left="0" w:right="124" w:firstLine="0"/>
        <w:jc w:val="right"/>
        <w:rPr>
          <w:sz w:val="14"/>
        </w:rPr>
      </w:pPr>
      <w:r>
        <w:rPr>
          <w:spacing w:val="-2"/>
          <w:sz w:val="14"/>
        </w:rPr>
        <w:t>60%</w:t>
      </w:r>
    </w:p>
    <w:p>
      <w:pPr>
        <w:spacing w:before="156"/>
        <w:ind w:left="0" w:right="124" w:firstLine="0"/>
        <w:jc w:val="right"/>
        <w:rPr>
          <w:sz w:val="14"/>
        </w:rPr>
      </w:pPr>
      <w:r>
        <w:rPr>
          <w:spacing w:val="-2"/>
          <w:sz w:val="14"/>
        </w:rPr>
        <w:t>40%</w:t>
      </w:r>
    </w:p>
    <w:p>
      <w:pPr>
        <w:spacing w:before="157"/>
        <w:ind w:left="0" w:right="124" w:firstLine="0"/>
        <w:jc w:val="right"/>
        <w:rPr>
          <w:sz w:val="14"/>
        </w:rPr>
      </w:pPr>
      <w:r>
        <w:rPr>
          <w:spacing w:val="-2"/>
          <w:sz w:val="14"/>
        </w:rPr>
        <w:t>20%</w:t>
      </w:r>
    </w:p>
    <w:p>
      <w:pPr>
        <w:spacing w:before="156"/>
        <w:ind w:left="0" w:right="204" w:firstLine="0"/>
        <w:jc w:val="right"/>
        <w:rPr>
          <w:sz w:val="14"/>
        </w:rPr>
      </w:pPr>
      <w:r>
        <w:rPr>
          <w:w w:val="95"/>
          <w:sz w:val="14"/>
        </w:rPr>
        <w:t>0%</w:t>
      </w:r>
    </w:p>
    <w:p>
      <w:pPr>
        <w:pStyle w:val="BodyText"/>
        <w:spacing w:before="9"/>
        <w:rPr>
          <w:sz w:val="9"/>
        </w:rPr>
      </w:pPr>
      <w:r>
        <w:br w:type="column"/>
      </w:r>
    </w:p>
    <w:p>
      <w:pPr>
        <w:tabs>
          <w:tab w:val="left" w:pos="2839"/>
        </w:tabs>
        <w:spacing w:before="0"/>
        <w:ind w:left="0" w:right="452" w:firstLine="0"/>
        <w:jc w:val="right"/>
        <w:rPr>
          <w:sz w:val="14"/>
        </w:rPr>
      </w:pPr>
      <w:r>
        <w:rPr>
          <w:sz w:val="14"/>
        </w:rPr>
        <w:t>县城生活垃圾焚烧处理能力（左轴）</w:t>
        <w:tab/>
      </w:r>
      <w:r>
        <w:rPr>
          <w:w w:val="95"/>
          <w:sz w:val="14"/>
        </w:rPr>
        <w:t>焚烧处理率（右轴）</w:t>
      </w:r>
    </w:p>
    <w:p>
      <w:pPr>
        <w:tabs>
          <w:tab w:val="left" w:pos="4148"/>
        </w:tabs>
        <w:spacing w:before="30"/>
        <w:ind w:left="0" w:right="530" w:firstLine="0"/>
        <w:jc w:val="right"/>
        <w:rPr>
          <w:sz w:val="14"/>
        </w:rPr>
      </w:pPr>
      <w:r>
        <w:pict>
          <v:group id="_x0000_s1159" style="width:185.3pt;height:104.65pt;margin-top:3.62pt;margin-left:332.02pt;mso-position-horizontal-relative:page;position:absolute;z-index:-251597824" coordorigin="6640,72" coordsize="3706,2093">
            <v:rect id="_x0000_s1160" style="width:135;height:77;left:6744;position:absolute;top:2085" filled="t" fillcolor="#bd0000" stroked="f">
              <v:fill type="solid"/>
            </v:rect>
            <v:shape id="_x0000_s1161" style="width:50;height:1993;left:6642;position:absolute;top:169" coordorigin="6643,169" coordsize="50,1993" path="m6643,2162l6643,169m6643,2162l6692,2162m6643,1764l6692,1764m6643,1365l6692,1365m6643,967l6692,967m6643,569l6692,569m6643,169l6692,169e" filled="f" stroked="t" strokecolor="black" strokeweight="0.25pt">
              <v:stroke dashstyle="solid"/>
              <v:path arrowok="t"/>
            </v:shape>
            <v:shape id="_x0000_s1162" style="width:807;height:130;left:7080;position:absolute;top:2032" coordorigin="7080,2033" coordsize="807,130" path="m7214,2076l7080,2076,7080,2162,7214,2162,7214,2076m7550,2045l7416,2045,7416,2162,7550,2162,7550,2045m7886,2033l7752,2033,7752,2162,7886,2162,7886,2033e" filled="t" fillcolor="#bd0000" stroked="f">
              <v:fill type="solid"/>
              <v:path arrowok="t"/>
            </v:shape>
            <v:shape id="_x0000_s1163" style="width:336;height:267;left:8157;position:absolute;top:1895" coordorigin="8158,1896" coordsize="336,267" path="m8158,1985l8158,2162m8494,1896l8494,2162e" filled="f" stroked="t" strokecolor="#bd0000" strokeweight="6.72pt">
              <v:stroke dashstyle="solid"/>
              <v:path arrowok="t"/>
            </v:shape>
            <v:shape id="_x0000_s1164" style="width:672;height:749;left:8829;position:absolute;top:1413" coordorigin="8830,1413" coordsize="672,749" path="m8830,1783l8830,2162m9166,1651l9166,2162m9502,1413l9502,2162e" filled="f" stroked="t" strokecolor="#bd0000" strokeweight="6.72pt">
              <v:stroke dashstyle="solid"/>
              <v:path arrowok="t"/>
            </v:shape>
            <v:rect id="_x0000_s1165" style="width:137;height:1368;left:9770;position:absolute;top:794" filled="t" fillcolor="#bd0000" stroked="f">
              <v:fill type="solid"/>
            </v:rect>
            <v:line id="_x0000_s1166" style="position:absolute" from="10176,609" to="10176,2162" stroked="t" strokecolor="#bd0000" strokeweight="6.72pt">
              <v:stroke dashstyle="solid"/>
            </v:line>
            <v:shape id="_x0000_s1167" style="width:3701;height:1993;left:6642;position:absolute;top:169" coordorigin="6643,169" coordsize="3701,1993" path="m10343,2162l10343,169m10294,2162l10343,2162m10294,1831l10343,1831m10294,1497l10343,1497m10294,1166l10343,1166m10294,833l10343,833m10294,501l10343,501m10294,169l10343,169m6643,2162l10343,2162m6643,2113l6643,2162m6979,2113l6979,2162m7315,2113l7315,2162m7651,2113l7651,2162m7990,2113l7990,2162m8326,2113l8326,2162m8662,2113l8662,2162m8998,2113l8998,2162m9334,2113l9334,2162m9670,2113l9670,2162m10008,2113l10008,2162m10343,2113l10343,2162e" filled="f" stroked="t" strokecolor="black" strokeweight="0.25pt">
              <v:stroke dashstyle="solid"/>
              <v:path arrowok="t"/>
            </v:shape>
            <v:shape id="_x0000_s1168" style="width:3365;height:1648;left:6811;position:absolute;top:329" coordorigin="6811,329" coordsize="3365,1648" path="m6811,1973l7147,1977,7483,1961,7819,1939,8158,1853,8494,1723,8830,1627,9166,1517,9502,1320,9838,801,10175,329e" filled="f" stroked="t" strokecolor="#505050" strokeweight="2.25pt">
              <v:stroke dashstyle="solid"/>
              <v:path arrowok="t"/>
            </v:shape>
            <v:shape id="_x0000_s1169" type="#_x0000_t202" style="width:499;height:185;left:6836;position:absolute;top:72" filled="f" stroked="f">
              <v:textbox inset="0,0,0,0">
                <w:txbxContent>
                  <w:p>
                    <w:pPr>
                      <w:spacing w:before="0" w:line="184" w:lineRule="exact"/>
                      <w:ind w:left="0" w:right="0" w:firstLine="0"/>
                      <w:jc w:val="left"/>
                      <w:rPr>
                        <w:sz w:val="14"/>
                      </w:rPr>
                    </w:pPr>
                    <w:r>
                      <w:rPr>
                        <w:sz w:val="14"/>
                      </w:rPr>
                      <w:t>万吨/日</w:t>
                    </w:r>
                  </w:p>
                </w:txbxContent>
              </v:textbox>
            </v:shape>
          </v:group>
        </w:pict>
      </w:r>
      <w:r>
        <w:pict>
          <v:line id="_x0000_s1170" style="mso-position-horizontal-relative:page;position:absolute;z-index:251722752" from="316.45pt,-5.85pt" to="335.65pt,-5.85pt" stroked="t" strokecolor="#bd0000" strokeweight="4.16pt">
            <v:stroke dashstyle="solid"/>
          </v:line>
        </w:pict>
      </w:r>
      <w:r>
        <w:pict>
          <v:line id="_x0000_s1171" style="mso-position-horizontal-relative:page;position:absolute;z-index:-251596800" from="458.45pt,-5.85pt" to="477.65pt,-5.85pt" stroked="t" strokecolor="#505050" strokeweight="2.25pt">
            <v:stroke dashstyle="solid"/>
          </v:line>
        </w:pict>
      </w:r>
      <w:r>
        <w:rPr>
          <w:sz w:val="14"/>
        </w:rPr>
        <w:t>25</w:t>
        <w:tab/>
      </w:r>
      <w:r>
        <w:rPr>
          <w:spacing w:val="-2"/>
          <w:sz w:val="14"/>
        </w:rPr>
        <w:t>60%</w:t>
      </w:r>
    </w:p>
    <w:p>
      <w:pPr>
        <w:tabs>
          <w:tab w:val="left" w:pos="4473"/>
        </w:tabs>
        <w:spacing w:before="74"/>
        <w:ind w:left="324" w:right="0" w:firstLine="0"/>
        <w:jc w:val="left"/>
        <w:rPr>
          <w:sz w:val="14"/>
        </w:rPr>
      </w:pPr>
      <w:r>
        <w:rPr>
          <w:position w:val="-6"/>
          <w:sz w:val="14"/>
        </w:rPr>
        <w:t>20</w:t>
        <w:tab/>
      </w:r>
      <w:r>
        <w:rPr>
          <w:sz w:val="14"/>
        </w:rPr>
        <w:t>50%</w:t>
      </w:r>
    </w:p>
    <w:p>
      <w:pPr>
        <w:spacing w:before="4" w:line="196" w:lineRule="exact"/>
        <w:ind w:left="4473" w:right="0" w:firstLine="0"/>
        <w:jc w:val="left"/>
        <w:rPr>
          <w:sz w:val="14"/>
        </w:rPr>
      </w:pPr>
      <w:r>
        <w:rPr>
          <w:sz w:val="14"/>
        </w:rPr>
        <w:t>40%</w:t>
      </w:r>
    </w:p>
    <w:p>
      <w:pPr>
        <w:spacing w:before="0" w:line="166" w:lineRule="exact"/>
        <w:ind w:left="324" w:right="0" w:firstLine="0"/>
        <w:jc w:val="left"/>
        <w:rPr>
          <w:sz w:val="14"/>
        </w:rPr>
      </w:pPr>
      <w:r>
        <w:rPr>
          <w:sz w:val="14"/>
        </w:rPr>
        <w:t>15</w:t>
      </w:r>
    </w:p>
    <w:p>
      <w:pPr>
        <w:spacing w:before="0" w:line="199" w:lineRule="exact"/>
        <w:ind w:left="4473" w:right="0" w:firstLine="0"/>
        <w:jc w:val="left"/>
        <w:rPr>
          <w:sz w:val="14"/>
        </w:rPr>
      </w:pPr>
      <w:r>
        <w:rPr>
          <w:sz w:val="14"/>
        </w:rPr>
        <w:t>30%</w:t>
      </w:r>
    </w:p>
    <w:p>
      <w:pPr>
        <w:spacing w:before="0" w:line="166" w:lineRule="exact"/>
        <w:ind w:left="324" w:right="0" w:firstLine="0"/>
        <w:jc w:val="left"/>
        <w:rPr>
          <w:sz w:val="14"/>
        </w:rPr>
      </w:pPr>
      <w:r>
        <w:rPr>
          <w:sz w:val="14"/>
        </w:rPr>
        <w:t>10</w:t>
      </w:r>
    </w:p>
    <w:p>
      <w:pPr>
        <w:spacing w:before="0" w:line="195" w:lineRule="exact"/>
        <w:ind w:left="4473" w:right="0" w:firstLine="0"/>
        <w:jc w:val="left"/>
        <w:rPr>
          <w:sz w:val="14"/>
        </w:rPr>
      </w:pPr>
      <w:r>
        <w:rPr>
          <w:sz w:val="14"/>
        </w:rPr>
        <w:t>20%</w:t>
      </w:r>
    </w:p>
    <w:p>
      <w:pPr>
        <w:tabs>
          <w:tab w:val="left" w:pos="4473"/>
        </w:tabs>
        <w:spacing w:before="4"/>
        <w:ind w:left="407" w:right="0" w:firstLine="0"/>
        <w:jc w:val="left"/>
        <w:rPr>
          <w:sz w:val="14"/>
        </w:rPr>
      </w:pPr>
      <w:r>
        <w:rPr>
          <w:position w:val="7"/>
          <w:sz w:val="14"/>
        </w:rPr>
        <w:t>5</w:t>
        <w:tab/>
      </w:r>
      <w:r>
        <w:rPr>
          <w:sz w:val="14"/>
        </w:rPr>
        <w:t>10%</w:t>
      </w:r>
    </w:p>
    <w:p>
      <w:pPr>
        <w:tabs>
          <w:tab w:val="left" w:pos="4473"/>
        </w:tabs>
        <w:spacing w:before="74"/>
        <w:ind w:left="407" w:right="0" w:firstLine="0"/>
        <w:jc w:val="left"/>
        <w:rPr>
          <w:sz w:val="14"/>
        </w:rPr>
      </w:pPr>
      <w:r>
        <w:rPr>
          <w:sz w:val="14"/>
        </w:rPr>
        <w:t>0</w:t>
        <w:tab/>
        <w:t>0%</w:t>
      </w:r>
    </w:p>
    <w:p>
      <w:pPr>
        <w:spacing w:after="0"/>
        <w:jc w:val="left"/>
        <w:rPr>
          <w:sz w:val="14"/>
        </w:rPr>
        <w:sectPr>
          <w:headerReference w:type="default" r:id="rId54"/>
          <w:footerReference w:type="default" r:id="rId55"/>
          <w:type w:val="continuous"/>
          <w:pgSz w:w="11910" w:h="16840"/>
          <w:pgMar w:top="1660" w:right="600" w:bottom="740" w:left="600" w:header="708" w:footer="708"/>
          <w:pgNumType w:start="18"/>
          <w:cols w:num="3" w:space="708" w:equalWidth="0">
            <w:col w:w="571" w:space="40"/>
            <w:col w:w="4358" w:space="444"/>
            <w:col w:w="5297" w:space="0"/>
          </w:cols>
        </w:sectPr>
      </w:pPr>
    </w:p>
    <w:p>
      <w:pPr>
        <w:pStyle w:val="BodyText"/>
        <w:tabs>
          <w:tab w:val="left" w:pos="5890"/>
        </w:tabs>
        <w:spacing w:line="364" w:lineRule="exact"/>
        <w:ind w:left="560"/>
      </w:pPr>
      <w:r>
        <w:rPr>
          <w:position w:val="-6"/>
        </w:rPr>
        <w:drawing>
          <wp:inline distT="0" distB="0" distL="0" distR="0">
            <wp:extent cx="2387149" cy="218598"/>
            <wp:effectExtent l="0" t="0" r="0" b="0"/>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56" cstate="print"/>
                    <a:stretch>
                      <a:fillRect/>
                    </a:stretch>
                  </pic:blipFill>
                  <pic:spPr>
                    <a:xfrm>
                      <a:off x="0" y="0"/>
                      <a:ext cx="2387149" cy="218598"/>
                    </a:xfrm>
                    <a:prstGeom prst="rect">
                      <a:avLst/>
                    </a:prstGeom>
                  </pic:spPr>
                </pic:pic>
              </a:graphicData>
            </a:graphic>
          </wp:inline>
        </w:drawing>
      </w:r>
      <w:r>
        <w:rPr>
          <w:position w:val="-6"/>
        </w:rPr>
        <w:tab/>
      </w:r>
      <w:r>
        <w:rPr>
          <w:position w:val="-4"/>
        </w:rPr>
        <w:drawing>
          <wp:inline distT="0" distB="0" distL="0" distR="0">
            <wp:extent cx="2344377" cy="214693"/>
            <wp:effectExtent l="0" t="0" r="0" b="0"/>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57" cstate="print"/>
                    <a:stretch>
                      <a:fillRect/>
                    </a:stretch>
                  </pic:blipFill>
                  <pic:spPr>
                    <a:xfrm>
                      <a:off x="0" y="0"/>
                      <a:ext cx="2344377" cy="214693"/>
                    </a:xfrm>
                    <a:prstGeom prst="rect">
                      <a:avLst/>
                    </a:prstGeom>
                  </pic:spPr>
                </pic:pic>
              </a:graphicData>
            </a:graphic>
          </wp:inline>
        </w:drawing>
      </w:r>
    </w:p>
    <w:p>
      <w:pPr>
        <w:pStyle w:val="BodyText"/>
        <w:rPr>
          <w:sz w:val="14"/>
        </w:rPr>
      </w:pPr>
      <w:r>
        <w:pict>
          <v:shape id="_x0000_s1172" style="width:252.45pt;height:0.1pt;margin-top:15.37pt;margin-left:35.4pt;mso-position-horizontal-relative:page;mso-wrap-distance-left:0;mso-wrap-distance-right:0;position:absolute;z-index:-251591680" coordorigin="708,307" coordsize="5049,0" path="m708,307l5756,307e" filled="f" stroked="t" strokecolor="#4b4d4f" strokeweight="0.96pt">
            <v:stroke dashstyle="solid"/>
            <v:path arrowok="t"/>
            <w10:wrap type="topAndBottom"/>
          </v:shape>
        </w:pict>
      </w:r>
      <w:r>
        <w:pict>
          <v:shape id="_x0000_s1173" style="width:252.3pt;height:0.1pt;margin-top:15.37pt;margin-left:301.97pt;mso-position-horizontal-relative:page;mso-wrap-distance-left:0;mso-wrap-distance-right:0;position:absolute;z-index:-251590656" coordorigin="6039,307" coordsize="5046,0" path="m6039,307l11085,307e" filled="f" stroked="t" strokecolor="#4b4d4f" strokeweight="0.96pt">
            <v:stroke dashstyle="solid"/>
            <v:path arrowok="t"/>
            <w10:wrap type="topAndBottom"/>
          </v:shape>
        </w:pict>
      </w:r>
    </w:p>
    <w:p>
      <w:pPr>
        <w:tabs>
          <w:tab w:val="left" w:pos="5547"/>
        </w:tabs>
        <w:spacing w:before="0" w:line="236" w:lineRule="exact"/>
        <w:ind w:left="215" w:right="0" w:firstLine="0"/>
        <w:jc w:val="left"/>
        <w:rPr>
          <w:sz w:val="15"/>
        </w:rPr>
      </w:pPr>
      <w:r>
        <w:t xml:space="preserve">资料来源：住建部， </w:t>
        <w:tab/>
        <w:t xml:space="preserve">资料来源：住建部， </w:t>
      </w:r>
    </w:p>
    <w:p>
      <w:pPr>
        <w:pStyle w:val="BodyText"/>
      </w:pPr>
    </w:p>
    <w:p>
      <w:pPr>
        <w:pStyle w:val="BodyText"/>
        <w:spacing w:before="15"/>
        <w:rPr>
          <w:sz w:val="10"/>
        </w:rPr>
      </w:pPr>
    </w:p>
    <w:p>
      <w:pPr>
        <w:pStyle w:val="BodyText"/>
        <w:spacing w:before="52" w:line="235" w:lineRule="auto"/>
        <w:ind w:left="107" w:right="3511" w:firstLine="420"/>
        <w:jc w:val="right"/>
      </w:pPr>
      <w:r>
        <w:rPr>
          <w:color w:val="333333"/>
        </w:rPr>
        <w:t>根据北极星固废网数据，2022 年、2023</w:t>
      </w:r>
      <w:r>
        <w:rPr>
          <w:color w:val="333333"/>
          <w:spacing w:val="-1"/>
        </w:rPr>
        <w:t xml:space="preserve"> 年我国垃圾焚烧发电新中标产能规</w:t>
      </w:r>
      <w:r>
        <w:rPr>
          <w:color w:val="333333"/>
          <w:spacing w:val="-4"/>
        </w:rPr>
        <w:t xml:space="preserve">模分别为 </w:t>
      </w:r>
      <w:r>
        <w:rPr>
          <w:color w:val="333333"/>
        </w:rPr>
        <w:t>3.98</w:t>
      </w:r>
      <w:r>
        <w:rPr>
          <w:color w:val="333333"/>
          <w:spacing w:val="-4"/>
        </w:rPr>
        <w:t xml:space="preserve"> 万吨</w:t>
      </w:r>
      <w:r>
        <w:rPr>
          <w:color w:val="333333"/>
        </w:rPr>
        <w:t>/</w:t>
      </w:r>
      <w:r>
        <w:rPr>
          <w:color w:val="333333"/>
          <w:spacing w:val="-2"/>
        </w:rPr>
        <w:t>日、</w:t>
      </w:r>
      <w:r>
        <w:rPr>
          <w:color w:val="333333"/>
        </w:rPr>
        <w:t>3.35</w:t>
      </w:r>
      <w:r>
        <w:rPr>
          <w:color w:val="333333"/>
          <w:spacing w:val="-4"/>
        </w:rPr>
        <w:t xml:space="preserve"> 万吨</w:t>
      </w:r>
      <w:r>
        <w:rPr>
          <w:color w:val="333333"/>
        </w:rPr>
        <w:t>/</w:t>
      </w:r>
      <w:r>
        <w:rPr>
          <w:color w:val="333333"/>
          <w:spacing w:val="-5"/>
        </w:rPr>
        <w:t xml:space="preserve">日，自 </w:t>
      </w:r>
      <w:r>
        <w:rPr>
          <w:color w:val="333333"/>
        </w:rPr>
        <w:t>2020</w:t>
      </w:r>
      <w:r>
        <w:rPr>
          <w:color w:val="333333"/>
          <w:spacing w:val="-3"/>
        </w:rPr>
        <w:t xml:space="preserve"> 年以来，垃圾焚烧发电新中标产</w:t>
      </w:r>
    </w:p>
    <w:p>
      <w:pPr>
        <w:pStyle w:val="BodyText"/>
        <w:spacing w:line="356" w:lineRule="exact"/>
        <w:ind w:right="3510"/>
        <w:jc w:val="right"/>
      </w:pPr>
      <w:r>
        <w:rPr>
          <w:color w:val="333333"/>
          <w:spacing w:val="-17"/>
        </w:rPr>
        <w:t>能逐年减少。</w:t>
      </w:r>
      <w:r>
        <w:rPr>
          <w:color w:val="333333"/>
        </w:rPr>
        <w:t>2014-2021</w:t>
      </w:r>
      <w:r>
        <w:rPr>
          <w:color w:val="333333"/>
          <w:spacing w:val="-17"/>
        </w:rPr>
        <w:t xml:space="preserve"> 年，城市垃圾焚烧发电新增投产产能保持增长，其中 </w:t>
      </w:r>
      <w:r>
        <w:rPr>
          <w:color w:val="333333"/>
        </w:rPr>
        <w:t>2021</w:t>
      </w:r>
    </w:p>
    <w:p>
      <w:pPr>
        <w:pStyle w:val="BodyText"/>
        <w:spacing w:line="360" w:lineRule="exact"/>
        <w:ind w:right="3510"/>
        <w:jc w:val="right"/>
      </w:pPr>
      <w:r>
        <w:rPr>
          <w:color w:val="333333"/>
          <w:spacing w:val="-4"/>
        </w:rPr>
        <w:t xml:space="preserve">年达到 </w:t>
      </w:r>
      <w:r>
        <w:rPr>
          <w:color w:val="333333"/>
        </w:rPr>
        <w:t>15.17</w:t>
      </w:r>
      <w:r>
        <w:rPr>
          <w:color w:val="333333"/>
          <w:spacing w:val="-4"/>
        </w:rPr>
        <w:t xml:space="preserve"> 万吨</w:t>
      </w:r>
      <w:r>
        <w:rPr>
          <w:color w:val="333333"/>
        </w:rPr>
        <w:t>/</w:t>
      </w:r>
      <w:r>
        <w:rPr>
          <w:color w:val="333333"/>
          <w:spacing w:val="-6"/>
        </w:rPr>
        <w:t>日，</w:t>
      </w:r>
      <w:r>
        <w:rPr>
          <w:color w:val="333333"/>
          <w:spacing w:val="-12"/>
        </w:rPr>
        <w:t>2022</w:t>
      </w:r>
      <w:r>
        <w:rPr>
          <w:color w:val="333333"/>
          <w:spacing w:val="-10"/>
        </w:rPr>
        <w:t xml:space="preserve"> 年出现明显下降，新增投产产能降至 </w:t>
      </w:r>
      <w:r>
        <w:rPr>
          <w:color w:val="333333"/>
        </w:rPr>
        <w:t>8.51</w:t>
      </w:r>
      <w:r>
        <w:rPr>
          <w:color w:val="333333"/>
          <w:spacing w:val="-4"/>
        </w:rPr>
        <w:t xml:space="preserve"> 万吨</w:t>
      </w:r>
      <w:r>
        <w:rPr>
          <w:color w:val="333333"/>
        </w:rPr>
        <w:t>/日，</w:t>
      </w:r>
    </w:p>
    <w:p>
      <w:pPr>
        <w:spacing w:before="1" w:line="235" w:lineRule="auto"/>
        <w:ind w:left="107" w:right="3511" w:firstLine="0"/>
        <w:jc w:val="both"/>
        <w:rPr>
          <w:b/>
          <w:i/>
          <w:sz w:val="20"/>
        </w:rPr>
      </w:pPr>
      <w:r>
        <w:rPr>
          <w:color w:val="333333"/>
          <w:spacing w:val="-5"/>
          <w:sz w:val="20"/>
        </w:rPr>
        <w:t xml:space="preserve">随着新增中标项目的减少，预计 </w:t>
      </w:r>
      <w:r>
        <w:rPr>
          <w:color w:val="333333"/>
          <w:sz w:val="20"/>
        </w:rPr>
        <w:t>2023</w:t>
      </w:r>
      <w:r>
        <w:rPr>
          <w:color w:val="333333"/>
          <w:spacing w:val="-8"/>
          <w:sz w:val="20"/>
        </w:rPr>
        <w:t xml:space="preserve"> 年之后新增投产产能持续减少，相关企业资本开支有望进一步下降，垃圾焚烧发电行业已由增量阶段步入存量阶段，具备提高</w:t>
      </w:r>
      <w:r>
        <w:rPr>
          <w:color w:val="333333"/>
          <w:spacing w:val="-11"/>
          <w:w w:val="95"/>
          <w:sz w:val="20"/>
        </w:rPr>
        <w:t>分红的潜力。</w:t>
      </w:r>
      <w:r>
        <w:rPr>
          <w:b/>
          <w:i/>
          <w:color w:val="333333"/>
          <w:spacing w:val="-10"/>
          <w:w w:val="95"/>
          <w:sz w:val="20"/>
        </w:rPr>
        <w:t xml:space="preserve">提质、降本、增效，不断提升项目运营能力将是垃圾焚烧发电行业实   </w:t>
      </w:r>
      <w:r>
        <w:rPr>
          <w:b/>
          <w:i/>
          <w:color w:val="333333"/>
          <w:spacing w:val="-10"/>
          <w:sz w:val="20"/>
        </w:rPr>
        <w:t>现内生增长、保持盈利能力的核心要素。</w:t>
      </w:r>
    </w:p>
    <w:p>
      <w:pPr>
        <w:tabs>
          <w:tab w:val="left" w:pos="5547"/>
        </w:tabs>
        <w:spacing w:before="136"/>
        <w:ind w:left="215" w:right="0" w:firstLine="0"/>
        <w:jc w:val="both"/>
        <w:rPr>
          <w:b/>
          <w:i/>
          <w:sz w:val="20"/>
        </w:rPr>
      </w:pPr>
      <w:r>
        <w:pict>
          <v:group id="_x0000_s1174" style="width:518.9pt;height:1pt;margin-top:22.4pt;margin-left:35.4pt;mso-position-horizontal-relative:page;position:absolute;z-index:-251592704" coordorigin="708,448" coordsize="10378,20">
            <v:line id="_x0000_s1175" style="position:absolute" from="708,458" to="5528,458" stroked="t" strokecolor="#4b4d4f" strokeweight="0.96pt">
              <v:stroke dashstyle="solid"/>
            </v:line>
            <v:rect id="_x0000_s1176" style="width:20;height:20;left:5528;position:absolute;top:447" filled="t" fillcolor="#4b4d4f" stroked="f">
              <v:fill type="solid"/>
            </v:rect>
            <v:line id="_x0000_s1177" style="position:absolute" from="5547,458" to="5756,458" stroked="t" strokecolor="#4b4d4f" strokeweight="0.96pt">
              <v:stroke dashstyle="solid"/>
            </v:line>
            <v:line id="_x0000_s1178" style="position:absolute" from="5811,458" to="6039,458" stroked="t" strokecolor="#4b4d4f" strokeweight="0.96pt">
              <v:stroke dashstyle="solid"/>
            </v:line>
            <v:rect id="_x0000_s1179" style="width:20;height:20;left:6039;position:absolute;top:447" filled="t" fillcolor="#4b4d4f" stroked="f">
              <v:fill type="solid"/>
            </v:rect>
            <v:line id="_x0000_s1180" style="position:absolute" from="6059,458" to="10632,458" stroked="t" strokecolor="#4b4d4f" strokeweight="0.96pt">
              <v:stroke dashstyle="solid"/>
            </v:line>
            <v:shape id="_x0000_s1181" style="width:34;height:20;left:10631;position:absolute;top:447" coordorigin="10632,448" coordsize="34,20" path="m10665,448l10651,448,10646,448,10632,448,10632,467,10646,467,10651,467,10665,467,10665,448e" filled="t" fillcolor="#4b4d4f" stroked="f">
              <v:fill type="solid"/>
              <v:path arrowok="t"/>
            </v:shape>
            <v:line id="_x0000_s1182" style="position:absolute" from="10665,458" to="11085,458" stroked="t" strokecolor="#4b4d4f" strokeweight="0.96pt">
              <v:stroke dashstyle="solid"/>
            </v:line>
          </v:group>
        </w:pict>
      </w:r>
      <w:r>
        <w:rPr>
          <w:b/>
          <w:i/>
          <w:color w:val="4B4D4F"/>
          <w:sz w:val="20"/>
        </w:rPr>
        <w:t>图</w:t>
      </w:r>
      <w:r>
        <w:rPr>
          <w:b/>
          <w:color w:val="4B4D4F"/>
          <w:sz w:val="20"/>
        </w:rPr>
        <w:t>10</w:t>
      </w:r>
      <w:r>
        <w:rPr>
          <w:b/>
          <w:i/>
          <w:color w:val="4B4D4F"/>
          <w:sz w:val="20"/>
        </w:rPr>
        <w:t>：</w:t>
      </w:r>
      <w:r>
        <w:rPr>
          <w:b/>
          <w:color w:val="4B4D4F"/>
          <w:sz w:val="20"/>
        </w:rPr>
        <w:t>2016</w:t>
      </w:r>
      <w:r>
        <w:rPr>
          <w:b/>
          <w:color w:val="4B4D4F"/>
          <w:spacing w:val="-11"/>
          <w:sz w:val="20"/>
        </w:rPr>
        <w:t xml:space="preserve"> </w:t>
      </w:r>
      <w:r>
        <w:rPr>
          <w:b/>
          <w:i/>
          <w:color w:val="4B4D4F"/>
          <w:sz w:val="20"/>
        </w:rPr>
        <w:t>年以来，垃圾焚烧发电新中标产能情况</w:t>
        <w:tab/>
        <w:t>图</w:t>
      </w:r>
      <w:r>
        <w:rPr>
          <w:b/>
          <w:color w:val="4B4D4F"/>
          <w:sz w:val="20"/>
        </w:rPr>
        <w:t>11</w:t>
      </w:r>
      <w:r>
        <w:rPr>
          <w:b/>
          <w:i/>
          <w:color w:val="4B4D4F"/>
          <w:sz w:val="20"/>
        </w:rPr>
        <w:t>：</w:t>
      </w:r>
      <w:r>
        <w:rPr>
          <w:b/>
          <w:color w:val="4B4D4F"/>
          <w:sz w:val="20"/>
        </w:rPr>
        <w:t>2014</w:t>
      </w:r>
      <w:r>
        <w:rPr>
          <w:b/>
          <w:color w:val="4B4D4F"/>
          <w:spacing w:val="-9"/>
          <w:sz w:val="20"/>
        </w:rPr>
        <w:t xml:space="preserve"> </w:t>
      </w:r>
      <w:r>
        <w:rPr>
          <w:b/>
          <w:i/>
          <w:color w:val="4B4D4F"/>
          <w:sz w:val="20"/>
        </w:rPr>
        <w:t>年以来城市垃圾焚烧发电新增投产产能</w:t>
      </w:r>
    </w:p>
    <w:p>
      <w:pPr>
        <w:spacing w:after="0"/>
        <w:jc w:val="both"/>
        <w:rPr>
          <w:sz w:val="20"/>
        </w:rPr>
        <w:sectPr>
          <w:headerReference w:type="default" r:id="rId58"/>
          <w:footerReference w:type="default" r:id="rId59"/>
          <w:type w:val="continuous"/>
          <w:pgSz w:w="11910" w:h="16840"/>
          <w:pgMar w:top="1660" w:right="600" w:bottom="740" w:left="600" w:header="708" w:footer="708"/>
          <w:pgNumType w:start="19"/>
          <w:cols w:space="708"/>
        </w:sectPr>
      </w:pPr>
    </w:p>
    <w:p>
      <w:pPr>
        <w:spacing w:before="129"/>
        <w:ind w:left="1962" w:right="0" w:firstLine="0"/>
        <w:jc w:val="left"/>
        <w:rPr>
          <w:sz w:val="14"/>
        </w:rPr>
      </w:pPr>
      <w:r>
        <w:pict>
          <v:rect id="_x0000_s1183" style="width:4.16pt;height:4.16pt;margin-top:11.34pt;margin-left:122.22pt;mso-position-horizontal-relative:page;position:absolute;z-index:251728896" filled="t" fillcolor="#bd0000" stroked="f">
            <v:fill type="solid"/>
          </v:rect>
        </w:pict>
      </w:r>
      <w:r>
        <w:rPr>
          <w:sz w:val="14"/>
        </w:rPr>
        <w:t>垃圾焚烧发电新中标产能</w:t>
      </w:r>
    </w:p>
    <w:p>
      <w:pPr>
        <w:spacing w:before="10"/>
        <w:ind w:left="459" w:right="0" w:firstLine="0"/>
        <w:jc w:val="left"/>
        <w:rPr>
          <w:sz w:val="14"/>
        </w:rPr>
      </w:pPr>
      <w:r>
        <w:pict>
          <v:group id="_x0000_s1184" style="width:207.1pt;height:103.2pt;margin-top:7.28pt;margin-left:68.15pt;mso-position-horizontal-relative:page;position:absolute;z-index:251727872" coordorigin="1363,146" coordsize="4142,2064">
            <v:shape id="_x0000_s1185" style="width:3826;height:1870;left:1521;position:absolute;top:337" coordorigin="1522,337" coordsize="3826,1870" path="m1728,1686l1522,1686,1522,2207,1728,2207,1728,1686m2244,1643l2038,1643,2038,2207,2244,2207,2244,1643m2762,611l2554,611,2554,2207,2762,2207,2762,611m3278,337l3072,337,3072,2207,3278,2207,3278,337m3794,1115l3588,1115,3588,2207,3794,2207,3794,1115m4313,1362l4106,1362,4106,2207,4313,2207,4313,1362m4829,1621l4622,1621,4622,2207,4829,2207,4829,1621m5347,1713l5141,1713,5141,2207,5347,2207,5347,1713e" filled="t" fillcolor="#bd0000" stroked="f">
              <v:fill type="solid"/>
              <v:path arrowok="t"/>
            </v:shape>
            <v:shape id="_x0000_s1186" style="width:4137;height:2059;left:1365;position:absolute;top:148" coordorigin="1366,148" coordsize="4137,2059" path="m1366,2207l1366,148m1366,2207l1415,2207m1366,1912l1415,1912m1366,1619l1415,1619m1366,1324l1415,1324m1366,1031l1415,1031m1366,736l1415,736m1366,443l1415,443m1366,148l1415,148m1366,2207l5502,2207m1366,2157l1366,2207m1882,2157l1882,2207m2400,2157l2400,2207m2916,2157l2916,2207m3434,2157l3434,2207m3950,2157l3950,2207m4466,2157l4466,2207m4985,2157l4985,2207m5502,2157l5502,2207e" filled="f" stroked="t" strokecolor="black" strokeweight="0.25pt">
              <v:stroke dashstyle="solid"/>
              <v:path arrowok="t"/>
            </v:shape>
            <v:shape id="_x0000_s1187" type="#_x0000_t202" style="width:498;height:184;left:1542;position:absolute;top:233" filled="f" stroked="f">
              <v:textbox inset="0,0,0,0">
                <w:txbxContent>
                  <w:p>
                    <w:pPr>
                      <w:spacing w:before="0" w:line="184" w:lineRule="exact"/>
                      <w:ind w:left="0" w:right="0" w:firstLine="0"/>
                      <w:jc w:val="left"/>
                      <w:rPr>
                        <w:sz w:val="14"/>
                      </w:rPr>
                    </w:pPr>
                    <w:r>
                      <w:rPr>
                        <w:sz w:val="14"/>
                      </w:rPr>
                      <w:t>万吨/日</w:t>
                    </w:r>
                  </w:p>
                </w:txbxContent>
              </v:textbox>
            </v:shape>
          </v:group>
        </w:pict>
      </w:r>
      <w:r>
        <w:rPr>
          <w:sz w:val="14"/>
        </w:rPr>
        <w:t>14</w:t>
      </w:r>
    </w:p>
    <w:p>
      <w:pPr>
        <w:spacing w:before="37"/>
        <w:ind w:left="459" w:right="0" w:firstLine="0"/>
        <w:jc w:val="left"/>
        <w:rPr>
          <w:sz w:val="14"/>
        </w:rPr>
      </w:pPr>
      <w:r>
        <w:rPr>
          <w:sz w:val="14"/>
        </w:rPr>
        <w:t>12</w:t>
      </w:r>
    </w:p>
    <w:p>
      <w:pPr>
        <w:spacing w:before="36"/>
        <w:ind w:left="459" w:right="0" w:firstLine="0"/>
        <w:jc w:val="left"/>
        <w:rPr>
          <w:sz w:val="14"/>
        </w:rPr>
      </w:pPr>
      <w:r>
        <w:rPr>
          <w:sz w:val="14"/>
        </w:rPr>
        <w:t>10</w:t>
      </w:r>
    </w:p>
    <w:p>
      <w:pPr>
        <w:spacing w:before="35"/>
        <w:ind w:left="541" w:right="0" w:firstLine="0"/>
        <w:jc w:val="left"/>
        <w:rPr>
          <w:sz w:val="14"/>
        </w:rPr>
      </w:pPr>
      <w:r>
        <w:rPr>
          <w:w w:val="99"/>
          <w:sz w:val="14"/>
        </w:rPr>
        <w:t>8</w:t>
      </w:r>
    </w:p>
    <w:p>
      <w:pPr>
        <w:spacing w:before="37"/>
        <w:ind w:left="541" w:right="0" w:firstLine="0"/>
        <w:jc w:val="left"/>
        <w:rPr>
          <w:sz w:val="14"/>
        </w:rPr>
      </w:pPr>
      <w:r>
        <w:rPr>
          <w:w w:val="99"/>
          <w:sz w:val="14"/>
        </w:rPr>
        <w:t>6</w:t>
      </w:r>
    </w:p>
    <w:p>
      <w:pPr>
        <w:spacing w:before="36"/>
        <w:ind w:left="541" w:right="0" w:firstLine="0"/>
        <w:jc w:val="left"/>
        <w:rPr>
          <w:sz w:val="14"/>
        </w:rPr>
      </w:pPr>
      <w:r>
        <w:rPr>
          <w:w w:val="99"/>
          <w:sz w:val="14"/>
        </w:rPr>
        <w:t>4</w:t>
      </w:r>
    </w:p>
    <w:p>
      <w:pPr>
        <w:spacing w:before="36"/>
        <w:ind w:left="541" w:right="0" w:firstLine="0"/>
        <w:jc w:val="left"/>
        <w:rPr>
          <w:sz w:val="14"/>
        </w:rPr>
      </w:pPr>
      <w:r>
        <w:rPr>
          <w:w w:val="99"/>
          <w:sz w:val="14"/>
        </w:rPr>
        <w:t>2</w:t>
      </w:r>
    </w:p>
    <w:p>
      <w:pPr>
        <w:spacing w:before="36"/>
        <w:ind w:left="541" w:right="0" w:firstLine="0"/>
        <w:jc w:val="left"/>
        <w:rPr>
          <w:sz w:val="14"/>
        </w:rPr>
      </w:pPr>
      <w:r>
        <w:rPr>
          <w:w w:val="99"/>
          <w:sz w:val="14"/>
        </w:rPr>
        <w:t>0</w:t>
      </w:r>
    </w:p>
    <w:p>
      <w:pPr>
        <w:tabs>
          <w:tab w:val="left" w:pos="3588"/>
        </w:tabs>
        <w:spacing w:before="149" w:line="245" w:lineRule="exact"/>
        <w:ind w:left="1498" w:right="0" w:firstLine="0"/>
        <w:jc w:val="left"/>
        <w:rPr>
          <w:sz w:val="14"/>
        </w:rPr>
      </w:pPr>
      <w:r>
        <w:br w:type="column"/>
      </w:r>
      <w:r>
        <w:rPr>
          <w:sz w:val="14"/>
        </w:rPr>
        <w:t>新增投运产能（左轴）</w:t>
        <w:tab/>
        <w:t>yoy（右轴</w:t>
      </w:r>
      <w:r>
        <w:rPr>
          <w:spacing w:val="-19"/>
          <w:sz w:val="14"/>
        </w:rPr>
        <w:t>）</w:t>
      </w:r>
    </w:p>
    <w:p>
      <w:pPr>
        <w:spacing w:before="0" w:line="245" w:lineRule="exact"/>
        <w:ind w:left="459" w:right="0" w:firstLine="0"/>
        <w:jc w:val="left"/>
        <w:rPr>
          <w:sz w:val="14"/>
        </w:rPr>
      </w:pPr>
      <w:r>
        <w:pict>
          <v:group id="_x0000_s1188" style="width:185.3pt;height:103.45pt;margin-top:5.58pt;margin-left:320.67pt;mso-position-horizontal-relative:page;position:absolute;z-index:251729920" coordorigin="6413,112" coordsize="3706,2069">
            <v:shape id="_x0000_s1189" style="width:3454;height:1557;left:6540;position:absolute;top:620" coordorigin="6540,621" coordsize="3454,1557" path="m6703,1895l6540,1895,6540,2178,6703,2178,6703,1895m7116,1838l6950,1838,6950,2178,7116,2178,7116,1838m7526,1799l7361,1799,7361,2178,7526,2178,7526,1799m7937,1744l7774,1744,7774,2178,7937,2178,7937,1744m8347,1495l8184,1495,8184,2178,8347,2178,8347,1495m8760,1223l8594,1223,8594,2178,8760,2178,8760,1223m9170,1048l9007,1048,9007,2178,9170,2178,9170,1048m9581,621l9418,621,9418,2178,9581,2178,9581,621m9994,1305l9828,1305,9828,2178,9994,2178,9994,1305e" filled="t" fillcolor="#bd0000" stroked="f">
              <v:fill type="solid"/>
              <v:path arrowok="t"/>
            </v:shape>
            <v:shape id="_x0000_s1190" style="width:3701;height:2053;left:6415;position:absolute;top:124" coordorigin="6416,125" coordsize="3701,2053" path="m10116,2178l10116,125m10067,2178l10116,2178m10067,1886l10116,1886m10067,1591l10116,1591m10067,1298l10116,1298m10067,1005l10116,1005m10067,712l10116,712m10067,419l10116,419m10067,125l10116,125m6416,2178l6416,125m6416,2178l6465,2178m6416,1665l6465,1665m6416,1151l6465,1151m6416,638l6465,638m6416,125l6465,125m6416,2178l10116,2178m6416,2129l6416,2178m6828,2129l6828,2178m7238,2129l7238,2178m7649,2129l7649,2178m8062,2129l8062,2178m8472,2129l8472,2178m8882,2129l8882,2178m9295,2129l9295,2178m9706,2129l9706,2178m10116,2129l10116,2178e" filled="f" stroked="t" strokecolor="black" strokeweight="0.25pt">
              <v:stroke dashstyle="solid"/>
              <v:path arrowok="t"/>
            </v:shape>
            <v:shape id="_x0000_s1191" style="width:2879;height:1489;left:7032;position:absolute;top:453" coordorigin="7033,453" coordsize="2879,1489" path="m7033,995l7445,1137,7855,1082,8266,453,8678,715,9089,1029,9499,746,9911,1942e" filled="f" stroked="t" strokecolor="#505050" strokeweight="2.25pt">
              <v:stroke dashstyle="solid"/>
              <v:path arrowok="t"/>
            </v:shape>
            <v:shape id="_x0000_s1192" type="#_x0000_t202" style="width:498;height:184;left:6609;position:absolute;top:111" filled="f" stroked="f">
              <v:textbox inset="0,0,0,0">
                <w:txbxContent>
                  <w:p>
                    <w:pPr>
                      <w:spacing w:before="0" w:line="184" w:lineRule="exact"/>
                      <w:ind w:left="0" w:right="0" w:firstLine="0"/>
                      <w:jc w:val="left"/>
                      <w:rPr>
                        <w:sz w:val="14"/>
                      </w:rPr>
                    </w:pPr>
                    <w:r>
                      <w:rPr>
                        <w:sz w:val="14"/>
                      </w:rPr>
                      <w:t>万吨/日</w:t>
                    </w:r>
                  </w:p>
                </w:txbxContent>
              </v:textbox>
            </v:shape>
          </v:group>
        </w:pict>
      </w:r>
      <w:r>
        <w:pict>
          <v:line id="_x0000_s1193" style="mso-position-horizontal-relative:page;position:absolute;z-index:251730944" from="336.15pt,-5.3pt" to="355.35pt,-5.3pt" stroked="t" strokecolor="#bd0000" strokeweight="4.16pt">
            <v:stroke dashstyle="solid"/>
          </v:line>
        </w:pict>
      </w:r>
      <w:r>
        <w:pict>
          <v:line id="_x0000_s1194" style="mso-position-horizontal-relative:page;position:absolute;z-index:-251589632" from="440.7pt,-5.3pt" to="459.9pt,-5.25pt" stroked="t" strokecolor="#505050" strokeweight="2.25pt">
            <v:stroke dashstyle="solid"/>
          </v:line>
        </w:pict>
      </w:r>
      <w:r>
        <w:rPr>
          <w:sz w:val="14"/>
        </w:rPr>
        <w:t>20</w:t>
      </w:r>
    </w:p>
    <w:p>
      <w:pPr>
        <w:pStyle w:val="BodyText"/>
        <w:spacing w:before="15"/>
        <w:rPr>
          <w:sz w:val="13"/>
        </w:rPr>
      </w:pPr>
    </w:p>
    <w:p>
      <w:pPr>
        <w:spacing w:before="1"/>
        <w:ind w:left="459" w:right="0" w:firstLine="0"/>
        <w:jc w:val="left"/>
        <w:rPr>
          <w:sz w:val="14"/>
        </w:rPr>
      </w:pPr>
      <w:r>
        <w:rPr>
          <w:sz w:val="14"/>
        </w:rPr>
        <w:t>15</w:t>
      </w:r>
    </w:p>
    <w:p>
      <w:pPr>
        <w:pStyle w:val="BodyText"/>
        <w:spacing w:before="15"/>
        <w:rPr>
          <w:sz w:val="13"/>
        </w:rPr>
      </w:pPr>
    </w:p>
    <w:p>
      <w:pPr>
        <w:spacing w:before="0"/>
        <w:ind w:left="459" w:right="0" w:firstLine="0"/>
        <w:jc w:val="left"/>
        <w:rPr>
          <w:sz w:val="14"/>
        </w:rPr>
      </w:pPr>
      <w:r>
        <w:rPr>
          <w:sz w:val="14"/>
        </w:rPr>
        <w:t>10</w:t>
      </w:r>
    </w:p>
    <w:p>
      <w:pPr>
        <w:pStyle w:val="BodyText"/>
        <w:spacing w:before="16"/>
        <w:rPr>
          <w:sz w:val="13"/>
        </w:rPr>
      </w:pPr>
    </w:p>
    <w:p>
      <w:pPr>
        <w:spacing w:before="0"/>
        <w:ind w:left="542" w:right="0" w:firstLine="0"/>
        <w:jc w:val="left"/>
        <w:rPr>
          <w:sz w:val="14"/>
        </w:rPr>
      </w:pPr>
      <w:r>
        <w:rPr>
          <w:w w:val="99"/>
          <w:sz w:val="14"/>
        </w:rPr>
        <w:t>5</w:t>
      </w:r>
    </w:p>
    <w:p>
      <w:pPr>
        <w:pStyle w:val="BodyText"/>
        <w:spacing w:before="15"/>
        <w:rPr>
          <w:sz w:val="13"/>
        </w:rPr>
      </w:pPr>
    </w:p>
    <w:p>
      <w:pPr>
        <w:spacing w:before="0"/>
        <w:ind w:left="542" w:right="0" w:firstLine="0"/>
        <w:jc w:val="left"/>
        <w:rPr>
          <w:sz w:val="14"/>
        </w:rPr>
      </w:pPr>
      <w:r>
        <w:rPr>
          <w:w w:val="99"/>
          <w:sz w:val="14"/>
        </w:rPr>
        <w:t>0</w:t>
      </w:r>
    </w:p>
    <w:p>
      <w:pPr>
        <w:pStyle w:val="BodyText"/>
        <w:spacing w:before="12"/>
      </w:pPr>
      <w:r>
        <w:br w:type="column"/>
      </w:r>
    </w:p>
    <w:p>
      <w:pPr>
        <w:spacing w:before="1"/>
        <w:ind w:left="185" w:right="0" w:firstLine="0"/>
        <w:jc w:val="left"/>
        <w:rPr>
          <w:sz w:val="14"/>
        </w:rPr>
      </w:pPr>
      <w:r>
        <w:rPr>
          <w:sz w:val="14"/>
        </w:rPr>
        <w:t>80%</w:t>
      </w:r>
    </w:p>
    <w:p>
      <w:pPr>
        <w:spacing w:before="35"/>
        <w:ind w:left="185" w:right="0" w:firstLine="0"/>
        <w:jc w:val="left"/>
        <w:rPr>
          <w:sz w:val="14"/>
        </w:rPr>
      </w:pPr>
      <w:r>
        <w:rPr>
          <w:sz w:val="14"/>
        </w:rPr>
        <w:t>60%</w:t>
      </w:r>
    </w:p>
    <w:p>
      <w:pPr>
        <w:spacing w:before="35"/>
        <w:ind w:left="185" w:right="0" w:firstLine="0"/>
        <w:jc w:val="left"/>
        <w:rPr>
          <w:sz w:val="14"/>
        </w:rPr>
      </w:pPr>
      <w:r>
        <w:rPr>
          <w:sz w:val="14"/>
        </w:rPr>
        <w:t>40%</w:t>
      </w:r>
    </w:p>
    <w:p>
      <w:pPr>
        <w:spacing w:before="35"/>
        <w:ind w:left="185" w:right="0" w:firstLine="0"/>
        <w:jc w:val="left"/>
        <w:rPr>
          <w:sz w:val="14"/>
        </w:rPr>
      </w:pPr>
      <w:r>
        <w:rPr>
          <w:sz w:val="14"/>
        </w:rPr>
        <w:t>20%</w:t>
      </w:r>
    </w:p>
    <w:p>
      <w:pPr>
        <w:spacing w:before="35"/>
        <w:ind w:left="185" w:right="0" w:firstLine="0"/>
        <w:jc w:val="left"/>
        <w:rPr>
          <w:sz w:val="14"/>
        </w:rPr>
      </w:pPr>
      <w:r>
        <w:rPr>
          <w:sz w:val="14"/>
        </w:rPr>
        <w:t>0%</w:t>
      </w:r>
    </w:p>
    <w:p>
      <w:pPr>
        <w:spacing w:before="36"/>
        <w:ind w:left="185" w:right="0" w:firstLine="0"/>
        <w:jc w:val="left"/>
        <w:rPr>
          <w:sz w:val="14"/>
        </w:rPr>
      </w:pPr>
      <w:r>
        <w:rPr>
          <w:sz w:val="14"/>
        </w:rPr>
        <w:t>-20%</w:t>
      </w:r>
    </w:p>
    <w:p>
      <w:pPr>
        <w:spacing w:before="35"/>
        <w:ind w:left="185" w:right="0" w:firstLine="0"/>
        <w:jc w:val="left"/>
        <w:rPr>
          <w:sz w:val="14"/>
        </w:rPr>
      </w:pPr>
      <w:r>
        <w:rPr>
          <w:sz w:val="14"/>
        </w:rPr>
        <w:t>-40%</w:t>
      </w:r>
    </w:p>
    <w:p>
      <w:pPr>
        <w:spacing w:before="35"/>
        <w:ind w:left="185" w:right="0" w:firstLine="0"/>
        <w:jc w:val="left"/>
        <w:rPr>
          <w:sz w:val="14"/>
        </w:rPr>
      </w:pPr>
      <w:r>
        <w:rPr>
          <w:sz w:val="14"/>
        </w:rPr>
        <w:t>-60%</w:t>
      </w:r>
    </w:p>
    <w:p>
      <w:pPr>
        <w:spacing w:after="0"/>
        <w:jc w:val="left"/>
        <w:rPr>
          <w:sz w:val="14"/>
        </w:rPr>
        <w:sectPr>
          <w:headerReference w:type="default" r:id="rId60"/>
          <w:footerReference w:type="default" r:id="rId61"/>
          <w:type w:val="continuous"/>
          <w:pgSz w:w="11910" w:h="16840"/>
          <w:pgMar w:top="1660" w:right="600" w:bottom="740" w:left="600" w:header="708" w:footer="708"/>
          <w:pgNumType w:start="20"/>
          <w:cols w:num="3" w:space="708" w:equalWidth="0">
            <w:col w:w="3534" w:space="1517"/>
            <w:col w:w="4384" w:space="39"/>
            <w:col w:w="1236" w:space="0"/>
          </w:cols>
        </w:sectPr>
      </w:pPr>
    </w:p>
    <w:p>
      <w:pPr>
        <w:pStyle w:val="BodyText"/>
        <w:tabs>
          <w:tab w:val="left" w:pos="5700"/>
        </w:tabs>
        <w:spacing w:line="366" w:lineRule="exact"/>
        <w:ind w:left="702"/>
      </w:pPr>
      <w:r>
        <w:rPr>
          <w:position w:val="-6"/>
        </w:rPr>
        <w:drawing>
          <wp:inline distT="0" distB="0" distL="0" distR="0">
            <wp:extent cx="230599" cy="218598"/>
            <wp:effectExtent l="0" t="0" r="0" b="0"/>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62" cstate="print"/>
                    <a:stretch>
                      <a:fillRect/>
                    </a:stretch>
                  </pic:blipFill>
                  <pic:spPr>
                    <a:xfrm>
                      <a:off x="0" y="0"/>
                      <a:ext cx="230599"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547" cy="218598"/>
            <wp:effectExtent l="0" t="0" r="0" b="0"/>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63" cstate="print"/>
                    <a:stretch>
                      <a:fillRect/>
                    </a:stretch>
                  </pic:blipFill>
                  <pic:spPr>
                    <a:xfrm>
                      <a:off x="0" y="0"/>
                      <a:ext cx="230547"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522" cy="218598"/>
            <wp:effectExtent l="0" t="0" r="0" b="0"/>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64" cstate="print"/>
                    <a:stretch>
                      <a:fillRect/>
                    </a:stretch>
                  </pic:blipFill>
                  <pic:spPr>
                    <a:xfrm>
                      <a:off x="0" y="0"/>
                      <a:ext cx="230522"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522" cy="218598"/>
            <wp:effectExtent l="0" t="0" r="0" b="0"/>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65" cstate="print"/>
                    <a:stretch>
                      <a:fillRect/>
                    </a:stretch>
                  </pic:blipFill>
                  <pic:spPr>
                    <a:xfrm>
                      <a:off x="0" y="0"/>
                      <a:ext cx="230522"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713" cy="218598"/>
            <wp:effectExtent l="0" t="0" r="0" b="0"/>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66" cstate="print"/>
                    <a:stretch>
                      <a:fillRect/>
                    </a:stretch>
                  </pic:blipFill>
                  <pic:spPr>
                    <a:xfrm>
                      <a:off x="0" y="0"/>
                      <a:ext cx="230713"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713" cy="218598"/>
            <wp:effectExtent l="0" t="0" r="0" b="0"/>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67" cstate="print"/>
                    <a:stretch>
                      <a:fillRect/>
                    </a:stretch>
                  </pic:blipFill>
                  <pic:spPr>
                    <a:xfrm>
                      <a:off x="0" y="0"/>
                      <a:ext cx="230713"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650" cy="218598"/>
            <wp:effectExtent l="0" t="0" r="0" b="0"/>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pic:nvPicPr>
                  <pic:blipFill>
                    <a:blip xmlns:r="http://schemas.openxmlformats.org/officeDocument/2006/relationships" r:embed="rId68" cstate="print"/>
                    <a:stretch>
                      <a:fillRect/>
                    </a:stretch>
                  </pic:blipFill>
                  <pic:spPr>
                    <a:xfrm>
                      <a:off x="0" y="0"/>
                      <a:ext cx="230650" cy="218598"/>
                    </a:xfrm>
                    <a:prstGeom prst="rect">
                      <a:avLst/>
                    </a:prstGeom>
                  </pic:spPr>
                </pic:pic>
              </a:graphicData>
            </a:graphic>
          </wp:inline>
        </w:drawing>
      </w:r>
      <w:r>
        <w:rPr>
          <w:rFonts w:ascii="Times New Roman"/>
          <w:spacing w:val="103"/>
          <w:position w:val="-6"/>
        </w:rPr>
        <w:t xml:space="preserve"> </w:t>
      </w:r>
      <w:r>
        <w:rPr>
          <w:spacing w:val="103"/>
          <w:position w:val="-6"/>
        </w:rPr>
        <w:drawing>
          <wp:inline distT="0" distB="0" distL="0" distR="0">
            <wp:extent cx="230650" cy="218598"/>
            <wp:effectExtent l="0" t="0" r="0" b="0"/>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69" cstate="print"/>
                    <a:stretch>
                      <a:fillRect/>
                    </a:stretch>
                  </pic:blipFill>
                  <pic:spPr>
                    <a:xfrm>
                      <a:off x="0" y="0"/>
                      <a:ext cx="230650" cy="218598"/>
                    </a:xfrm>
                    <a:prstGeom prst="rect">
                      <a:avLst/>
                    </a:prstGeom>
                  </pic:spPr>
                </pic:pic>
              </a:graphicData>
            </a:graphic>
          </wp:inline>
        </w:drawing>
      </w:r>
      <w:r>
        <w:rPr>
          <w:spacing w:val="103"/>
          <w:position w:val="-6"/>
        </w:rPr>
        <w:tab/>
      </w:r>
      <w:r>
        <w:rPr>
          <w:spacing w:val="103"/>
          <w:position w:val="-4"/>
        </w:rPr>
        <w:drawing>
          <wp:inline distT="0" distB="0" distL="0" distR="0">
            <wp:extent cx="2339198" cy="218598"/>
            <wp:effectExtent l="0" t="0" r="0" b="0"/>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png"/>
                    <pic:cNvPicPr/>
                  </pic:nvPicPr>
                  <pic:blipFill>
                    <a:blip xmlns:r="http://schemas.openxmlformats.org/officeDocument/2006/relationships" r:embed="rId70" cstate="print"/>
                    <a:stretch>
                      <a:fillRect/>
                    </a:stretch>
                  </pic:blipFill>
                  <pic:spPr>
                    <a:xfrm>
                      <a:off x="0" y="0"/>
                      <a:ext cx="2339198" cy="218598"/>
                    </a:xfrm>
                    <a:prstGeom prst="rect">
                      <a:avLst/>
                    </a:prstGeom>
                  </pic:spPr>
                </pic:pic>
              </a:graphicData>
            </a:graphic>
          </wp:inline>
        </w:drawing>
      </w:r>
    </w:p>
    <w:p>
      <w:pPr>
        <w:pStyle w:val="BodyText"/>
        <w:spacing w:before="17"/>
        <w:rPr>
          <w:sz w:val="14"/>
        </w:rPr>
      </w:pPr>
      <w:r>
        <w:pict>
          <v:group id="_x0000_s1195" style="width:518.9pt;height:1pt;margin-top:15.77pt;margin-left:35.4pt;mso-position-horizontal-relative:page;mso-wrap-distance-left:0;mso-wrap-distance-right:0;position:absolute;z-index:-251584512" coordorigin="708,315" coordsize="10378,20">
            <v:line id="_x0000_s1196" style="position:absolute" from="708,325" to="5528,325" stroked="t" strokecolor="#4b4d4f" strokeweight="0.96pt">
              <v:stroke dashstyle="solid"/>
            </v:line>
            <v:rect id="_x0000_s1197" style="width:20;height:20;left:5528;position:absolute;top:315" filled="t" fillcolor="#4b4d4f" stroked="f">
              <v:fill type="solid"/>
            </v:rect>
            <v:line id="_x0000_s1198" style="position:absolute" from="5547,325" to="5756,325" stroked="t" strokecolor="#4b4d4f" strokeweight="0.96pt">
              <v:stroke dashstyle="solid"/>
            </v:line>
            <v:line id="_x0000_s1199" style="position:absolute" from="5811,325" to="6039,325" stroked="t" strokecolor="#4b4d4f" strokeweight="0.96pt">
              <v:stroke dashstyle="solid"/>
            </v:line>
            <v:rect id="_x0000_s1200" style="width:20;height:20;left:6039;position:absolute;top:315" filled="t" fillcolor="#4b4d4f" stroked="f">
              <v:fill type="solid"/>
            </v:rect>
            <v:line id="_x0000_s1201" style="position:absolute" from="6059,325" to="10632,325" stroked="t" strokecolor="#4b4d4f" strokeweight="0.96pt">
              <v:stroke dashstyle="solid"/>
            </v:line>
            <v:rect id="_x0000_s1202" style="width:20;height:20;left:10631;position:absolute;top:315" filled="t" fillcolor="#4b4d4f" stroked="f">
              <v:fill type="solid"/>
            </v:rect>
            <v:rect id="_x0000_s1203" style="width:20;height:20;left:10646;position:absolute;top:315" filled="t" fillcolor="#4b4d4f" stroked="f">
              <v:fill type="solid"/>
            </v:rect>
            <v:line id="_x0000_s1204" style="position:absolute" from="10665,325" to="11085,325" stroked="t" strokecolor="#4b4d4f" strokeweight="0.96pt">
              <v:stroke dashstyle="solid"/>
            </v:line>
            <w10:wrap type="topAndBottom"/>
          </v:group>
        </w:pict>
      </w:r>
    </w:p>
    <w:p>
      <w:pPr>
        <w:tabs>
          <w:tab w:val="left" w:pos="5547"/>
        </w:tabs>
        <w:spacing w:before="0" w:line="236" w:lineRule="exact"/>
        <w:ind w:left="215" w:right="0" w:firstLine="0"/>
        <w:jc w:val="left"/>
        <w:rPr>
          <w:sz w:val="15"/>
        </w:rPr>
      </w:pPr>
      <w:r>
        <w:t xml:space="preserve">资料来源：环保圈、北极星固废网， </w:t>
        <w:tab/>
        <w:t xml:space="preserve">资料来源：住建部， </w:t>
      </w:r>
    </w:p>
    <w:p>
      <w:pPr>
        <w:pStyle w:val="BodyText"/>
        <w:spacing w:before="8"/>
        <w:rPr>
          <w:sz w:val="15"/>
        </w:rPr>
      </w:pPr>
    </w:p>
    <w:p>
      <w:pPr>
        <w:pStyle w:val="BodyText"/>
        <w:spacing w:before="47" w:line="364" w:lineRule="exact"/>
        <w:ind w:right="3510"/>
        <w:jc w:val="right"/>
      </w:pPr>
      <w:r>
        <w:rPr>
          <w:color w:val="333333"/>
        </w:rPr>
        <w:t>据北极星固废网不完全统计，2023 年，共计 22 个省市累计完成 55 座垃圾</w:t>
      </w:r>
    </w:p>
    <w:p>
      <w:pPr>
        <w:pStyle w:val="BodyText"/>
        <w:spacing w:line="364" w:lineRule="exact"/>
        <w:ind w:right="3507"/>
        <w:jc w:val="right"/>
      </w:pPr>
      <w:r>
        <w:rPr>
          <w:color w:val="333333"/>
        </w:rPr>
        <w:t>焚烧发电项目特许经营的招标/</w:t>
      </w:r>
      <w:r>
        <w:rPr>
          <w:color w:val="333333"/>
          <w:spacing w:val="-3"/>
        </w:rPr>
        <w:t xml:space="preserve">签约工作，总投资金额超 </w:t>
      </w:r>
      <w:r>
        <w:rPr>
          <w:color w:val="333333"/>
        </w:rPr>
        <w:t>287.7</w:t>
      </w:r>
      <w:r>
        <w:rPr>
          <w:color w:val="333333"/>
          <w:spacing w:val="-5"/>
        </w:rPr>
        <w:t xml:space="preserve"> 亿人民币，垃圾焚</w:t>
      </w:r>
    </w:p>
    <w:p>
      <w:pPr>
        <w:spacing w:after="0" w:line="364" w:lineRule="exact"/>
        <w:jc w:val="right"/>
        <w:sectPr>
          <w:headerReference w:type="default" r:id="rId71"/>
          <w:footerReference w:type="default" r:id="rId72"/>
          <w:type w:val="continuous"/>
          <w:pgSz w:w="11910" w:h="16840"/>
          <w:pgMar w:top="1660" w:right="600" w:bottom="740" w:left="600" w:header="708" w:footer="708"/>
          <w:pgNumType w:start="21"/>
          <w:cols w:space="708"/>
        </w:sectPr>
      </w:pPr>
    </w:p>
    <w:p>
      <w:pPr>
        <w:pStyle w:val="BodyText"/>
        <w:spacing w:before="9"/>
        <w:rPr>
          <w:sz w:val="9"/>
        </w:rPr>
      </w:pPr>
    </w:p>
    <w:p>
      <w:pPr>
        <w:pStyle w:val="BodyText"/>
        <w:spacing w:before="47" w:line="364" w:lineRule="exact"/>
        <w:ind w:left="107"/>
      </w:pPr>
      <w:r>
        <w:rPr>
          <w:color w:val="333333"/>
          <w:spacing w:val="1"/>
        </w:rPr>
        <w:t xml:space="preserve">烧处理产能未来累计新增超 </w:t>
      </w:r>
      <w:r>
        <w:rPr>
          <w:color w:val="333333"/>
        </w:rPr>
        <w:t>33540</w:t>
      </w:r>
      <w:r>
        <w:rPr>
          <w:color w:val="333333"/>
          <w:spacing w:val="8"/>
        </w:rPr>
        <w:t xml:space="preserve"> 吨</w:t>
      </w:r>
      <w:r>
        <w:rPr>
          <w:color w:val="333333"/>
        </w:rPr>
        <w:t>/</w:t>
      </w:r>
      <w:r>
        <w:rPr>
          <w:color w:val="333333"/>
          <w:spacing w:val="1"/>
        </w:rPr>
        <w:t xml:space="preserve">日，项目平均规模约为 </w:t>
      </w:r>
      <w:r>
        <w:rPr>
          <w:color w:val="333333"/>
        </w:rPr>
        <w:t>610</w:t>
      </w:r>
      <w:r>
        <w:rPr>
          <w:color w:val="333333"/>
          <w:spacing w:val="7"/>
        </w:rPr>
        <w:t xml:space="preserve"> 吨</w:t>
      </w:r>
      <w:r>
        <w:rPr>
          <w:color w:val="333333"/>
        </w:rPr>
        <w:t>/日。2023</w:t>
      </w:r>
    </w:p>
    <w:p>
      <w:pPr>
        <w:pStyle w:val="BodyText"/>
        <w:spacing w:line="360" w:lineRule="exact"/>
        <w:ind w:left="107"/>
      </w:pPr>
      <w:r>
        <w:rPr>
          <w:color w:val="333333"/>
        </w:rPr>
        <w:t>年的垃圾焚烧处理平均单价达 119 元/吨，相较于 2021 年、2022 年，分别同比</w:t>
      </w:r>
    </w:p>
    <w:p>
      <w:pPr>
        <w:pStyle w:val="BodyText"/>
        <w:spacing w:line="360" w:lineRule="exact"/>
        <w:ind w:left="107"/>
      </w:pPr>
      <w:r>
        <w:rPr>
          <w:color w:val="333333"/>
          <w:spacing w:val="-4"/>
        </w:rPr>
        <w:t xml:space="preserve">增长约 </w:t>
      </w:r>
      <w:r>
        <w:rPr>
          <w:color w:val="333333"/>
        </w:rPr>
        <w:t>33%</w:t>
      </w:r>
      <w:r>
        <w:rPr>
          <w:color w:val="333333"/>
          <w:spacing w:val="-20"/>
        </w:rPr>
        <w:t>、</w:t>
      </w:r>
      <w:r>
        <w:rPr>
          <w:color w:val="333333"/>
        </w:rPr>
        <w:t>27%</w:t>
      </w:r>
      <w:r>
        <w:rPr>
          <w:color w:val="333333"/>
          <w:spacing w:val="-11"/>
        </w:rPr>
        <w:t xml:space="preserve">。共 </w:t>
      </w:r>
      <w:r>
        <w:rPr>
          <w:color w:val="333333"/>
        </w:rPr>
        <w:t>37</w:t>
      </w:r>
      <w:r>
        <w:rPr>
          <w:color w:val="333333"/>
          <w:spacing w:val="-6"/>
        </w:rPr>
        <w:t xml:space="preserve"> 个项目公示垃圾处理单价，其中 </w:t>
      </w:r>
      <w:r>
        <w:rPr>
          <w:color w:val="333333"/>
        </w:rPr>
        <w:t>14</w:t>
      </w:r>
      <w:r>
        <w:rPr>
          <w:color w:val="333333"/>
          <w:spacing w:val="-3"/>
        </w:rPr>
        <w:t xml:space="preserve"> 个项目的垃圾处理</w:t>
      </w:r>
    </w:p>
    <w:p>
      <w:pPr>
        <w:pStyle w:val="BodyText"/>
        <w:spacing w:line="364" w:lineRule="exact"/>
        <w:ind w:left="107"/>
      </w:pPr>
      <w:r>
        <w:rPr>
          <w:color w:val="333333"/>
        </w:rPr>
        <w:t>单价超 100 元/吨，6 个项目的垃圾处理单价超 200 元/吨。</w:t>
      </w:r>
    </w:p>
    <w:p>
      <w:pPr>
        <w:tabs>
          <w:tab w:val="left" w:pos="7213"/>
        </w:tabs>
        <w:spacing w:before="136"/>
        <w:ind w:left="107" w:right="0" w:firstLine="0"/>
        <w:jc w:val="left"/>
        <w:rPr>
          <w:b/>
          <w:i/>
          <w:sz w:val="20"/>
        </w:rPr>
      </w:pPr>
      <w:r>
        <w:rPr>
          <w:rFonts w:ascii="Times New Roman" w:eastAsia="Times New Roman"/>
          <w:color w:val="4B4D4F"/>
          <w:w w:val="99"/>
          <w:sz w:val="20"/>
          <w:u w:val="single" w:color="4B4D4F"/>
        </w:rPr>
        <w:t xml:space="preserve"> </w:t>
      </w:r>
      <w:r>
        <w:rPr>
          <w:rFonts w:ascii="Times New Roman" w:eastAsia="Times New Roman"/>
          <w:color w:val="4B4D4F"/>
          <w:spacing w:val="8"/>
          <w:sz w:val="20"/>
          <w:u w:val="single" w:color="4B4D4F"/>
        </w:rPr>
        <w:t xml:space="preserve"> </w:t>
      </w:r>
      <w:r>
        <w:rPr>
          <w:b/>
          <w:i/>
          <w:color w:val="4B4D4F"/>
          <w:sz w:val="20"/>
          <w:u w:val="single" w:color="4B4D4F"/>
        </w:rPr>
        <w:t>图</w:t>
      </w:r>
      <w:r>
        <w:rPr>
          <w:b/>
          <w:color w:val="4B4D4F"/>
          <w:sz w:val="20"/>
          <w:u w:val="single" w:color="4B4D4F"/>
        </w:rPr>
        <w:t>12</w:t>
      </w:r>
      <w:r>
        <w:rPr>
          <w:b/>
          <w:i/>
          <w:color w:val="4B4D4F"/>
          <w:sz w:val="20"/>
          <w:u w:val="single" w:color="4B4D4F"/>
        </w:rPr>
        <w:t>：</w:t>
      </w:r>
      <w:r>
        <w:rPr>
          <w:b/>
          <w:color w:val="4B4D4F"/>
          <w:sz w:val="20"/>
          <w:u w:val="single" w:color="4B4D4F"/>
        </w:rPr>
        <w:t>2021-2023</w:t>
      </w:r>
      <w:r>
        <w:rPr>
          <w:b/>
          <w:color w:val="4B4D4F"/>
          <w:spacing w:val="-20"/>
          <w:sz w:val="20"/>
          <w:u w:val="single" w:color="4B4D4F"/>
        </w:rPr>
        <w:t xml:space="preserve"> </w:t>
      </w:r>
      <w:r>
        <w:rPr>
          <w:b/>
          <w:i/>
          <w:color w:val="4B4D4F"/>
          <w:sz w:val="20"/>
          <w:u w:val="single" w:color="4B4D4F"/>
        </w:rPr>
        <w:t>年新增中标项目处理费均价</w:t>
        <w:tab/>
      </w:r>
    </w:p>
    <w:p>
      <w:pPr>
        <w:pStyle w:val="BodyText"/>
        <w:spacing w:before="15"/>
        <w:rPr>
          <w:b/>
          <w:i/>
          <w:sz w:val="18"/>
        </w:rPr>
      </w:pPr>
    </w:p>
    <w:p>
      <w:pPr>
        <w:tabs>
          <w:tab w:val="left" w:pos="4256"/>
        </w:tabs>
        <w:spacing w:line="84" w:lineRule="exact"/>
        <w:ind w:left="1848" w:right="0" w:firstLine="0"/>
        <w:rPr>
          <w:sz w:val="4"/>
        </w:rPr>
      </w:pPr>
      <w:r>
        <w:rPr>
          <w:position w:val="-1"/>
          <w:sz w:val="8"/>
        </w:rPr>
        <w:pict>
          <v:group id="_x0000_i1205" style="width:19.2pt;height:4.2pt;mso-position-horizontal-relative:char;mso-position-vertical-relative:line" coordorigin="0,0" coordsize="384,84">
            <v:line id="_x0000_s1206" style="position:absolute" from="0,42" to="384,42" stroked="t" strokecolor="#bd0000" strokeweight="4.16pt">
              <v:stroke dashstyle="solid"/>
            </v:line>
            <w10:wrap type="none"/>
          </v:group>
        </w:pict>
      </w:r>
      <w:r>
        <w:rPr>
          <w:position w:val="-1"/>
          <w:sz w:val="8"/>
        </w:rPr>
        <w:tab/>
      </w:r>
      <w:r>
        <w:rPr>
          <w:sz w:val="4"/>
        </w:rPr>
        <w:pict>
          <v:group id="_x0000_i1207" style="width:19.2pt;height:2.25pt;mso-position-horizontal-relative:char;mso-position-vertical-relative:line" coordorigin="0,0" coordsize="384,45">
            <v:line id="_x0000_s1208" style="position:absolute" from="0,23" to="384,23" stroked="t" strokecolor="#505050" strokeweight="2.25pt">
              <v:stroke dashstyle="solid"/>
            </v:line>
            <w10:wrap type="none"/>
          </v:group>
        </w:pict>
      </w:r>
    </w:p>
    <w:p>
      <w:pPr>
        <w:spacing w:after="0" w:line="84" w:lineRule="exact"/>
        <w:rPr>
          <w:sz w:val="4"/>
        </w:rPr>
        <w:sectPr>
          <w:headerReference w:type="default" r:id="rId73"/>
          <w:footerReference w:type="default" r:id="rId74"/>
          <w:pgSz w:w="11910" w:h="16840"/>
          <w:pgMar w:top="1660" w:right="600" w:bottom="740" w:left="600" w:header="708" w:footer="708"/>
          <w:pgNumType w:start="22"/>
          <w:cols w:space="708"/>
        </w:sectPr>
      </w:pPr>
    </w:p>
    <w:p>
      <w:pPr>
        <w:spacing w:before="0" w:line="207" w:lineRule="exact"/>
        <w:ind w:left="0" w:right="4627" w:firstLine="0"/>
        <w:jc w:val="right"/>
        <w:rPr>
          <w:sz w:val="14"/>
        </w:rPr>
      </w:pPr>
      <w:r>
        <w:pict>
          <v:group id="_x0000_s1209" style="width:264.75pt;height:115.45pt;margin-top:-7.24pt;margin-left:76.17pt;mso-position-horizontal-relative:page;position:absolute;z-index:-251583488" coordorigin="1523,-145" coordsize="5295,2309">
            <v:shape id="_x0000_s1210" style="width:4232;height:1767;left:2054;position:absolute;top:394" coordorigin="2054,395" coordsize="4232,1767" path="m2760,834l2054,834,2054,2161,2760,2161,2760,834m4524,774l3818,774,3818,2161,4524,2161,4524,774m6286,395l5580,395,5580,2161,6286,2161,6286,395e" filled="t" fillcolor="#bd0000" stroked="f">
              <v:fill type="solid"/>
              <v:path arrowok="t"/>
            </v:shape>
            <v:shape id="_x0000_s1211" style="width:5290;height:2073;left:1525;position:absolute;top:88" coordorigin="1526,89" coordsize="5290,2073" path="m6815,2161l6815,89m6766,2161l6815,2161m6766,1816l6815,1816m6766,1470l6815,1470m6766,1124l6815,1124m6766,779l6815,779m6766,433l6815,433m6766,89l6815,89m1526,2161l1526,89m1526,2161l1575,2161m1526,1866l1575,1866m1526,1568l1575,1568m1526,1273l1575,1273m1526,978l1575,978m1526,680l1575,680m1526,385l1575,385m1526,89l1575,89m1526,2161l6815,2161m1526,2112l1526,2161m3288,2112l3288,2161m5052,2112l5052,2161m6815,2112l6815,2161e" filled="f" stroked="t" strokecolor="black" strokeweight="0.25pt">
              <v:stroke dashstyle="solid"/>
              <v:path arrowok="t"/>
            </v:shape>
            <v:line id="_x0000_s1212" style="position:absolute" from="4171,1853" to="5934,274" stroked="t" strokecolor="#505050" strokeweight="2.25pt">
              <v:stroke dashstyle="solid"/>
            </v:line>
            <v:shape id="_x0000_s1213" type="#_x0000_t202" style="width:1691;height:184;left:2915;position:absolute;top:-145" filled="f" stroked="f">
              <v:textbox inset="0,0,0,0">
                <w:txbxContent>
                  <w:p>
                    <w:pPr>
                      <w:spacing w:before="0" w:line="184" w:lineRule="exact"/>
                      <w:ind w:left="0" w:right="0" w:firstLine="0"/>
                      <w:jc w:val="left"/>
                      <w:rPr>
                        <w:sz w:val="14"/>
                      </w:rPr>
                    </w:pPr>
                    <w:r>
                      <w:rPr>
                        <w:sz w:val="14"/>
                      </w:rPr>
                      <w:t>垃圾处理平均单价（左轴）</w:t>
                    </w:r>
                  </w:p>
                </w:txbxContent>
              </v:textbox>
            </v:shape>
            <v:shape id="_x0000_s1214" type="#_x0000_t202" style="width:815;height:184;left:5305;position:absolute;top:-145" filled="f" stroked="f">
              <v:textbox inset="0,0,0,0">
                <w:txbxContent>
                  <w:p>
                    <w:pPr>
                      <w:spacing w:before="0" w:line="184" w:lineRule="exact"/>
                      <w:ind w:left="0" w:right="0" w:firstLine="0"/>
                      <w:jc w:val="left"/>
                      <w:rPr>
                        <w:sz w:val="14"/>
                      </w:rPr>
                    </w:pPr>
                    <w:r>
                      <w:rPr>
                        <w:sz w:val="14"/>
                      </w:rPr>
                      <w:t>yoy（右轴）</w:t>
                    </w:r>
                  </w:p>
                </w:txbxContent>
              </v:textbox>
            </v:shape>
            <v:shape id="_x0000_s1215" type="#_x0000_t202" style="width:359;height:184;left:1774;position:absolute;top:74" filled="f" stroked="f">
              <v:textbox inset="0,0,0,0">
                <w:txbxContent>
                  <w:p>
                    <w:pPr>
                      <w:spacing w:before="0" w:line="184" w:lineRule="exact"/>
                      <w:ind w:left="0" w:right="0" w:firstLine="0"/>
                      <w:jc w:val="left"/>
                      <w:rPr>
                        <w:sz w:val="14"/>
                      </w:rPr>
                    </w:pPr>
                    <w:r>
                      <w:rPr>
                        <w:sz w:val="14"/>
                      </w:rPr>
                      <w:t>元/吨</w:t>
                    </w:r>
                  </w:p>
                </w:txbxContent>
              </v:textbox>
            </v:shape>
          </v:group>
        </w:pict>
      </w:r>
      <w:r>
        <w:rPr>
          <w:spacing w:val="-2"/>
          <w:sz w:val="14"/>
        </w:rPr>
        <w:t>140</w:t>
      </w:r>
    </w:p>
    <w:p>
      <w:pPr>
        <w:spacing w:before="38"/>
        <w:ind w:left="0" w:right="4627" w:firstLine="0"/>
        <w:jc w:val="right"/>
        <w:rPr>
          <w:sz w:val="14"/>
        </w:rPr>
      </w:pPr>
      <w:r>
        <w:rPr>
          <w:spacing w:val="-2"/>
          <w:sz w:val="14"/>
        </w:rPr>
        <w:t>120</w:t>
      </w:r>
    </w:p>
    <w:p>
      <w:pPr>
        <w:spacing w:before="38"/>
        <w:ind w:left="0" w:right="4627" w:firstLine="0"/>
        <w:jc w:val="right"/>
        <w:rPr>
          <w:sz w:val="14"/>
        </w:rPr>
      </w:pPr>
      <w:r>
        <w:rPr>
          <w:spacing w:val="-2"/>
          <w:sz w:val="14"/>
        </w:rPr>
        <w:t>100</w:t>
      </w:r>
    </w:p>
    <w:p>
      <w:pPr>
        <w:spacing w:before="38"/>
        <w:ind w:left="0" w:right="4627" w:firstLine="0"/>
        <w:jc w:val="right"/>
        <w:rPr>
          <w:sz w:val="14"/>
        </w:rPr>
      </w:pPr>
      <w:r>
        <w:rPr>
          <w:spacing w:val="-2"/>
          <w:sz w:val="14"/>
        </w:rPr>
        <w:t>80</w:t>
      </w:r>
    </w:p>
    <w:p>
      <w:pPr>
        <w:spacing w:before="38"/>
        <w:ind w:left="0" w:right="4627" w:firstLine="0"/>
        <w:jc w:val="right"/>
        <w:rPr>
          <w:sz w:val="14"/>
        </w:rPr>
      </w:pPr>
      <w:r>
        <w:rPr>
          <w:spacing w:val="-2"/>
          <w:sz w:val="14"/>
        </w:rPr>
        <w:t>60</w:t>
      </w:r>
    </w:p>
    <w:p>
      <w:pPr>
        <w:spacing w:before="38"/>
        <w:ind w:left="0" w:right="4627" w:firstLine="0"/>
        <w:jc w:val="right"/>
        <w:rPr>
          <w:sz w:val="14"/>
        </w:rPr>
      </w:pPr>
      <w:r>
        <w:rPr>
          <w:spacing w:val="-1"/>
          <w:w w:val="95"/>
          <w:sz w:val="14"/>
        </w:rPr>
        <w:t>40</w:t>
      </w:r>
    </w:p>
    <w:p>
      <w:pPr>
        <w:spacing w:before="38"/>
        <w:ind w:left="0" w:right="4627" w:firstLine="0"/>
        <w:jc w:val="right"/>
        <w:rPr>
          <w:sz w:val="14"/>
        </w:rPr>
      </w:pPr>
      <w:r>
        <w:rPr>
          <w:spacing w:val="-1"/>
          <w:w w:val="95"/>
          <w:sz w:val="14"/>
        </w:rPr>
        <w:t>20</w:t>
      </w:r>
    </w:p>
    <w:p>
      <w:pPr>
        <w:spacing w:before="38"/>
        <w:ind w:left="0" w:right="4626" w:firstLine="0"/>
        <w:jc w:val="right"/>
        <w:rPr>
          <w:sz w:val="14"/>
        </w:rPr>
      </w:pPr>
      <w:r>
        <w:rPr>
          <w:w w:val="99"/>
          <w:sz w:val="14"/>
        </w:rPr>
        <w:t>0</w:t>
      </w:r>
    </w:p>
    <w:p>
      <w:pPr>
        <w:pStyle w:val="BodyText"/>
        <w:spacing w:before="3"/>
        <w:rPr>
          <w:sz w:val="2"/>
        </w:rPr>
      </w:pPr>
    </w:p>
    <w:p>
      <w:pPr>
        <w:pStyle w:val="BodyText"/>
        <w:tabs>
          <w:tab w:val="left" w:pos="3249"/>
          <w:tab w:val="left" w:pos="5012"/>
        </w:tabs>
        <w:spacing w:line="337" w:lineRule="exact"/>
        <w:ind w:left="1486"/>
      </w:pPr>
      <w:r>
        <w:rPr>
          <w:position w:val="-6"/>
        </w:rPr>
        <w:drawing>
          <wp:inline distT="0" distB="0" distL="0" distR="0">
            <wp:extent cx="226134" cy="214312"/>
            <wp:effectExtent l="0" t="0" r="0" b="0"/>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75" cstate="print"/>
                    <a:stretch>
                      <a:fillRect/>
                    </a:stretch>
                  </pic:blipFill>
                  <pic:spPr>
                    <a:xfrm>
                      <a:off x="0" y="0"/>
                      <a:ext cx="226134" cy="214312"/>
                    </a:xfrm>
                    <a:prstGeom prst="rect">
                      <a:avLst/>
                    </a:prstGeom>
                  </pic:spPr>
                </pic:pic>
              </a:graphicData>
            </a:graphic>
          </wp:inline>
        </w:drawing>
      </w:r>
      <w:r>
        <w:rPr>
          <w:position w:val="-6"/>
        </w:rPr>
        <w:tab/>
      </w:r>
      <w:r>
        <w:rPr>
          <w:position w:val="-6"/>
        </w:rPr>
        <w:drawing>
          <wp:inline distT="0" distB="0" distL="0" distR="0">
            <wp:extent cx="226134" cy="214312"/>
            <wp:effectExtent l="0" t="0" r="0" b="0"/>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76" cstate="print"/>
                    <a:stretch>
                      <a:fillRect/>
                    </a:stretch>
                  </pic:blipFill>
                  <pic:spPr>
                    <a:xfrm>
                      <a:off x="0" y="0"/>
                      <a:ext cx="226134" cy="214312"/>
                    </a:xfrm>
                    <a:prstGeom prst="rect">
                      <a:avLst/>
                    </a:prstGeom>
                  </pic:spPr>
                </pic:pic>
              </a:graphicData>
            </a:graphic>
          </wp:inline>
        </w:drawing>
      </w:r>
      <w:r>
        <w:rPr>
          <w:position w:val="-6"/>
        </w:rPr>
        <w:tab/>
      </w:r>
      <w:r>
        <w:rPr>
          <w:position w:val="-6"/>
        </w:rPr>
        <w:drawing>
          <wp:inline distT="0" distB="0" distL="0" distR="0">
            <wp:extent cx="226134" cy="214312"/>
            <wp:effectExtent l="0" t="0" r="0" b="0"/>
            <wp:docPr id="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png"/>
                    <pic:cNvPicPr/>
                  </pic:nvPicPr>
                  <pic:blipFill>
                    <a:blip xmlns:r="http://schemas.openxmlformats.org/officeDocument/2006/relationships" r:embed="rId77" cstate="print"/>
                    <a:stretch>
                      <a:fillRect/>
                    </a:stretch>
                  </pic:blipFill>
                  <pic:spPr>
                    <a:xfrm>
                      <a:off x="0" y="0"/>
                      <a:ext cx="226134" cy="214312"/>
                    </a:xfrm>
                    <a:prstGeom prst="rect">
                      <a:avLst/>
                    </a:prstGeom>
                  </pic:spPr>
                </pic:pic>
              </a:graphicData>
            </a:graphic>
          </wp:inline>
        </w:drawing>
      </w:r>
    </w:p>
    <w:p>
      <w:pPr>
        <w:pStyle w:val="BodyText"/>
        <w:spacing w:before="2"/>
        <w:rPr>
          <w:sz w:val="17"/>
        </w:rPr>
      </w:pPr>
    </w:p>
    <w:p>
      <w:pPr>
        <w:spacing w:before="0"/>
        <w:ind w:left="215" w:right="0" w:firstLine="0"/>
        <w:jc w:val="left"/>
        <w:rPr>
          <w:sz w:val="15"/>
        </w:rPr>
      </w:pPr>
      <w:r>
        <w:t xml:space="preserve">资料来源：北极星固废网， </w:t>
      </w:r>
    </w:p>
    <w:p>
      <w:pPr>
        <w:spacing w:before="0" w:line="207" w:lineRule="exact"/>
        <w:ind w:left="216" w:right="0" w:firstLine="0"/>
        <w:jc w:val="left"/>
        <w:rPr>
          <w:sz w:val="14"/>
        </w:rPr>
      </w:pPr>
      <w:r>
        <w:br w:type="column"/>
      </w:r>
      <w:r>
        <w:rPr>
          <w:sz w:val="14"/>
        </w:rPr>
        <w:t>30%</w:t>
      </w:r>
    </w:p>
    <w:p>
      <w:pPr>
        <w:spacing w:before="87"/>
        <w:ind w:left="216" w:right="0" w:firstLine="0"/>
        <w:jc w:val="left"/>
        <w:rPr>
          <w:sz w:val="14"/>
        </w:rPr>
      </w:pPr>
      <w:r>
        <w:rPr>
          <w:sz w:val="14"/>
        </w:rPr>
        <w:t>25%</w:t>
      </w:r>
    </w:p>
    <w:p>
      <w:pPr>
        <w:spacing w:before="88"/>
        <w:ind w:left="216" w:right="0" w:firstLine="0"/>
        <w:jc w:val="left"/>
        <w:rPr>
          <w:sz w:val="14"/>
        </w:rPr>
      </w:pPr>
      <w:r>
        <w:rPr>
          <w:sz w:val="14"/>
        </w:rPr>
        <w:t>20%</w:t>
      </w:r>
    </w:p>
    <w:p>
      <w:pPr>
        <w:spacing w:before="87"/>
        <w:ind w:left="216" w:right="0" w:firstLine="0"/>
        <w:jc w:val="left"/>
        <w:rPr>
          <w:sz w:val="14"/>
        </w:rPr>
      </w:pPr>
      <w:r>
        <w:rPr>
          <w:sz w:val="14"/>
        </w:rPr>
        <w:t>15%</w:t>
      </w:r>
    </w:p>
    <w:p>
      <w:pPr>
        <w:spacing w:before="88"/>
        <w:ind w:left="216" w:right="0" w:firstLine="0"/>
        <w:jc w:val="left"/>
        <w:rPr>
          <w:sz w:val="14"/>
        </w:rPr>
      </w:pPr>
      <w:r>
        <w:rPr>
          <w:sz w:val="14"/>
        </w:rPr>
        <w:t>10%</w:t>
      </w:r>
    </w:p>
    <w:p>
      <w:pPr>
        <w:spacing w:before="87"/>
        <w:ind w:left="216" w:right="0" w:firstLine="0"/>
        <w:jc w:val="left"/>
        <w:rPr>
          <w:sz w:val="14"/>
        </w:rPr>
      </w:pPr>
      <w:r>
        <w:rPr>
          <w:sz w:val="14"/>
        </w:rPr>
        <w:t>5%</w:t>
      </w:r>
    </w:p>
    <w:p>
      <w:pPr>
        <w:spacing w:before="87"/>
        <w:ind w:left="216" w:right="0" w:firstLine="0"/>
        <w:jc w:val="left"/>
        <w:rPr>
          <w:sz w:val="14"/>
        </w:rPr>
      </w:pPr>
      <w:r>
        <w:rPr>
          <w:sz w:val="14"/>
        </w:rPr>
        <w:t>0%</w:t>
      </w:r>
    </w:p>
    <w:p>
      <w:pPr>
        <w:spacing w:after="0"/>
        <w:jc w:val="left"/>
        <w:rPr>
          <w:sz w:val="14"/>
        </w:rPr>
        <w:sectPr>
          <w:headerReference w:type="default" r:id="rId78"/>
          <w:footerReference w:type="default" r:id="rId79"/>
          <w:type w:val="continuous"/>
          <w:pgSz w:w="11910" w:h="16840"/>
          <w:pgMar w:top="1660" w:right="600" w:bottom="740" w:left="600" w:header="708" w:footer="708"/>
          <w:pgNumType w:start="23"/>
          <w:cols w:num="2" w:space="708" w:equalWidth="0">
            <w:col w:w="5413" w:space="730"/>
            <w:col w:w="4567" w:space="0"/>
          </w:cols>
        </w:sectPr>
      </w:pPr>
    </w:p>
    <w:p>
      <w:pPr>
        <w:pStyle w:val="BodyText"/>
      </w:pPr>
    </w:p>
    <w:p>
      <w:pPr>
        <w:pStyle w:val="BodyText"/>
        <w:spacing w:before="15"/>
        <w:rPr>
          <w:sz w:val="10"/>
        </w:rPr>
      </w:pPr>
    </w:p>
    <w:p>
      <w:pPr>
        <w:pStyle w:val="BodyText"/>
        <w:spacing w:before="52" w:line="235" w:lineRule="auto"/>
        <w:ind w:left="107" w:right="3510" w:firstLine="420"/>
        <w:jc w:val="right"/>
      </w:pPr>
      <w:r>
        <w:rPr>
          <w:color w:val="333333"/>
          <w:spacing w:val="-2"/>
          <w:w w:val="99"/>
        </w:rPr>
        <w:t>我国垃圾焚烧发电市场格局已逐步成型，整体呈现</w:t>
      </w:r>
      <w:r>
        <w:rPr>
          <w:b/>
          <w:i/>
          <w:color w:val="333333"/>
          <w:spacing w:val="-17"/>
          <w:w w:val="99"/>
        </w:rPr>
        <w:t>“一超多强”</w:t>
      </w:r>
      <w:r>
        <w:rPr>
          <w:color w:val="333333"/>
          <w:spacing w:val="-5"/>
          <w:w w:val="99"/>
        </w:rPr>
        <w:t>，根据各上市</w:t>
      </w:r>
      <w:r>
        <w:rPr>
          <w:color w:val="333333"/>
          <w:spacing w:val="-8"/>
        </w:rPr>
        <w:t xml:space="preserve">公司公告，截至 </w:t>
      </w:r>
      <w:r>
        <w:rPr>
          <w:color w:val="333333"/>
        </w:rPr>
        <w:t>2023</w:t>
      </w:r>
      <w:r>
        <w:rPr>
          <w:color w:val="333333"/>
          <w:spacing w:val="-7"/>
        </w:rPr>
        <w:t xml:space="preserve"> 年 </w:t>
      </w:r>
      <w:r>
        <w:rPr>
          <w:color w:val="333333"/>
        </w:rPr>
        <w:t>6</w:t>
      </w:r>
      <w:r>
        <w:rPr>
          <w:color w:val="333333"/>
          <w:spacing w:val="-9"/>
        </w:rPr>
        <w:t xml:space="preserve"> 月，光大环境在手产能超 </w:t>
      </w:r>
      <w:r>
        <w:rPr>
          <w:color w:val="333333"/>
        </w:rPr>
        <w:t>15</w:t>
      </w:r>
      <w:r>
        <w:rPr>
          <w:color w:val="333333"/>
          <w:spacing w:val="-4"/>
        </w:rPr>
        <w:t xml:space="preserve"> 万吨</w:t>
      </w:r>
      <w:r>
        <w:rPr>
          <w:color w:val="333333"/>
        </w:rPr>
        <w:t>/</w:t>
      </w:r>
      <w:r>
        <w:rPr>
          <w:color w:val="333333"/>
          <w:spacing w:val="-7"/>
        </w:rPr>
        <w:t>日，位居行业第一，</w:t>
      </w:r>
    </w:p>
    <w:p>
      <w:pPr>
        <w:pStyle w:val="BodyText"/>
        <w:spacing w:line="357" w:lineRule="exact"/>
        <w:ind w:right="3505"/>
        <w:jc w:val="right"/>
      </w:pPr>
      <w:r>
        <w:rPr>
          <w:color w:val="333333"/>
          <w:spacing w:val="-2"/>
        </w:rPr>
        <w:t xml:space="preserve">在手产能超 </w:t>
      </w:r>
      <w:r>
        <w:rPr>
          <w:color w:val="333333"/>
        </w:rPr>
        <w:t>5</w:t>
      </w:r>
      <w:r>
        <w:rPr>
          <w:color w:val="333333"/>
          <w:spacing w:val="-4"/>
        </w:rPr>
        <w:t xml:space="preserve"> 万吨</w:t>
      </w:r>
      <w:r>
        <w:rPr>
          <w:color w:val="333333"/>
        </w:rPr>
        <w:t>/</w:t>
      </w:r>
      <w:r>
        <w:rPr>
          <w:color w:val="333333"/>
          <w:spacing w:val="-17"/>
        </w:rPr>
        <w:t xml:space="preserve">日的有三峰环境、粤丰环保、节能环境，分别为 </w:t>
      </w:r>
      <w:r>
        <w:rPr>
          <w:color w:val="333333"/>
        </w:rPr>
        <w:t>5.96</w:t>
      </w:r>
      <w:r>
        <w:rPr>
          <w:color w:val="333333"/>
          <w:spacing w:val="-4"/>
        </w:rPr>
        <w:t xml:space="preserve"> 万吨</w:t>
      </w:r>
      <w:r>
        <w:rPr>
          <w:color w:val="333333"/>
        </w:rPr>
        <w:t>/日、</w:t>
      </w:r>
    </w:p>
    <w:p>
      <w:pPr>
        <w:pStyle w:val="BodyText"/>
        <w:spacing w:line="365" w:lineRule="exact"/>
        <w:ind w:left="107"/>
      </w:pPr>
      <w:r>
        <w:rPr>
          <w:color w:val="333333"/>
        </w:rPr>
        <w:t>5.45 万吨/日、5.09 万吨/日。</w:t>
      </w:r>
    </w:p>
    <w:p>
      <w:pPr>
        <w:tabs>
          <w:tab w:val="left" w:pos="7213"/>
        </w:tabs>
        <w:spacing w:before="136"/>
        <w:ind w:left="107" w:right="0" w:firstLine="0"/>
        <w:jc w:val="left"/>
        <w:rPr>
          <w:b/>
          <w:i/>
          <w:sz w:val="20"/>
        </w:rPr>
      </w:pPr>
      <w:r>
        <w:rPr>
          <w:rFonts w:ascii="Times New Roman" w:eastAsia="Times New Roman"/>
          <w:color w:val="4B4D4F"/>
          <w:w w:val="99"/>
          <w:sz w:val="20"/>
          <w:u w:val="single" w:color="4B4D4F"/>
        </w:rPr>
        <w:t xml:space="preserve"> </w:t>
      </w:r>
      <w:r>
        <w:rPr>
          <w:rFonts w:ascii="Times New Roman" w:eastAsia="Times New Roman"/>
          <w:color w:val="4B4D4F"/>
          <w:spacing w:val="8"/>
          <w:sz w:val="20"/>
          <w:u w:val="single" w:color="4B4D4F"/>
        </w:rPr>
        <w:t xml:space="preserve"> </w:t>
      </w:r>
      <w:r>
        <w:rPr>
          <w:b/>
          <w:i/>
          <w:color w:val="4B4D4F"/>
          <w:sz w:val="20"/>
          <w:u w:val="single" w:color="4B4D4F"/>
        </w:rPr>
        <w:t>图</w:t>
      </w:r>
      <w:r>
        <w:rPr>
          <w:b/>
          <w:color w:val="4B4D4F"/>
          <w:sz w:val="20"/>
          <w:u w:val="single" w:color="4B4D4F"/>
        </w:rPr>
        <w:t>13</w:t>
      </w:r>
      <w:r>
        <w:rPr>
          <w:b/>
          <w:i/>
          <w:color w:val="4B4D4F"/>
          <w:sz w:val="20"/>
          <w:u w:val="single" w:color="4B4D4F"/>
        </w:rPr>
        <w:t>：截至</w:t>
      </w:r>
      <w:r>
        <w:rPr>
          <w:b/>
          <w:i/>
          <w:color w:val="4B4D4F"/>
          <w:spacing w:val="-13"/>
          <w:sz w:val="20"/>
          <w:u w:val="single" w:color="4B4D4F"/>
        </w:rPr>
        <w:t xml:space="preserve"> </w:t>
      </w:r>
      <w:r>
        <w:rPr>
          <w:b/>
          <w:color w:val="4B4D4F"/>
          <w:sz w:val="20"/>
          <w:u w:val="single" w:color="4B4D4F"/>
        </w:rPr>
        <w:t>2023</w:t>
      </w:r>
      <w:r>
        <w:rPr>
          <w:b/>
          <w:color w:val="4B4D4F"/>
          <w:spacing w:val="-13"/>
          <w:sz w:val="20"/>
          <w:u w:val="single" w:color="4B4D4F"/>
        </w:rPr>
        <w:t xml:space="preserve"> </w:t>
      </w:r>
      <w:r>
        <w:rPr>
          <w:b/>
          <w:i/>
          <w:color w:val="4B4D4F"/>
          <w:sz w:val="20"/>
          <w:u w:val="single" w:color="4B4D4F"/>
        </w:rPr>
        <w:t>年</w:t>
      </w:r>
      <w:r>
        <w:rPr>
          <w:b/>
          <w:i/>
          <w:color w:val="4B4D4F"/>
          <w:spacing w:val="-13"/>
          <w:sz w:val="20"/>
          <w:u w:val="single" w:color="4B4D4F"/>
        </w:rPr>
        <w:t xml:space="preserve"> </w:t>
      </w:r>
      <w:r>
        <w:rPr>
          <w:b/>
          <w:color w:val="4B4D4F"/>
          <w:sz w:val="20"/>
          <w:u w:val="single" w:color="4B4D4F"/>
        </w:rPr>
        <w:t>6</w:t>
      </w:r>
      <w:r>
        <w:rPr>
          <w:b/>
          <w:color w:val="4B4D4F"/>
          <w:spacing w:val="-10"/>
          <w:sz w:val="20"/>
          <w:u w:val="single" w:color="4B4D4F"/>
        </w:rPr>
        <w:t xml:space="preserve"> </w:t>
      </w:r>
      <w:r>
        <w:rPr>
          <w:b/>
          <w:i/>
          <w:color w:val="4B4D4F"/>
          <w:sz w:val="20"/>
          <w:u w:val="single" w:color="4B4D4F"/>
        </w:rPr>
        <w:t>月底，部分上市垃圾焚烧发电企业产能情况</w:t>
        <w:tab/>
      </w:r>
    </w:p>
    <w:p>
      <w:pPr>
        <w:spacing w:before="70"/>
        <w:ind w:left="0" w:right="9920" w:firstLine="0"/>
        <w:jc w:val="right"/>
        <w:rPr>
          <w:sz w:val="14"/>
        </w:rPr>
      </w:pPr>
      <w:r>
        <w:pict>
          <v:group id="_x0000_s1216" style="width:302.05pt;height:117.25pt;margin-top:10.28pt;margin-left:76.17pt;mso-position-horizontal-relative:page;position:absolute;z-index:251737088" coordorigin="1523,206" coordsize="6041,2345">
            <v:shape id="_x0000_s1217" style="width:5734;height:2008;left:1677;position:absolute;top:539" coordorigin="1678,539" coordsize="5734,2008" path="m1877,539l1678,539,1678,2547,1877,2547,1877,539m2381,1773l2179,1773,2179,2547,2381,2547,2381,1773m2885,1838l2683,1838,2683,2547,2885,2547,2885,1838m3386,1886l3185,1886,3185,2547,3386,2547,3386,1886m3890,1984l3689,1984,3689,2547,3890,2547,3890,1984m4392,2027l4190,2027,4190,2547,4392,2547,4392,2027m4896,2071l4694,2071,4694,2547,4896,2547,4896,2071m5398,2083l5198,2083,5198,2547,5398,2547,5398,2083m5902,2131l5700,2131,5700,2547,5902,2547,5902,2131m6406,2176l6204,2176,6204,2547,6406,2547,6406,2176m6907,2243l6706,2243,6706,2547,6907,2547,6907,2243m7411,2253l7210,2253,7210,2547,7411,2547,7411,2253e" filled="t" fillcolor="#bd0000" stroked="f">
              <v:fill type="solid"/>
              <v:path arrowok="t"/>
            </v:shape>
            <v:shape id="_x0000_s1218" style="width:6036;height:2340;left:1525;position:absolute;top:208" coordorigin="1526,208" coordsize="6036,2340" path="m1526,2547l1526,208m1526,2547l1575,2547m1526,2287l1575,2287m1526,2027l1575,2027m1526,1768l1575,1768m1526,1507l1575,1507m1526,1247l1575,1247m1526,988l1575,988m1526,729l1575,729m1526,467l1575,467m1526,208l1575,208m1526,2547l7561,2547m1526,2498l1526,2547m2028,2498l2028,2547m2532,2498l2532,2547m3034,2498l3034,2547m3538,2498l3538,2547m4042,2498l4042,2547m4543,2498l4543,2547m5047,2498l5047,2547m5549,2498l5549,2547m6053,2498l6053,2547m6554,2498l6554,2547m7058,2498l7058,2547m7561,2498l7561,2547e" filled="f" stroked="t" strokecolor="black" strokeweight="0.25pt">
              <v:stroke dashstyle="solid"/>
              <v:path arrowok="t"/>
            </v:shape>
            <v:shape id="_x0000_s1219" type="#_x0000_t202" style="width:359;height:184;left:1774;position:absolute;top:245" filled="f" stroked="f">
              <v:textbox inset="0,0,0,0">
                <w:txbxContent>
                  <w:p>
                    <w:pPr>
                      <w:spacing w:before="0" w:line="184" w:lineRule="exact"/>
                      <w:ind w:left="0" w:right="0" w:firstLine="0"/>
                      <w:jc w:val="left"/>
                      <w:rPr>
                        <w:sz w:val="14"/>
                      </w:rPr>
                    </w:pPr>
                    <w:r>
                      <w:rPr>
                        <w:sz w:val="14"/>
                      </w:rPr>
                      <w:t>吨/日</w:t>
                    </w:r>
                  </w:p>
                </w:txbxContent>
              </v:textbox>
            </v:shape>
          </v:group>
        </w:pict>
      </w:r>
      <w:r>
        <w:rPr>
          <w:spacing w:val="-1"/>
          <w:sz w:val="14"/>
        </w:rPr>
        <w:t>180000</w:t>
      </w:r>
    </w:p>
    <w:p>
      <w:pPr>
        <w:spacing w:before="2"/>
        <w:ind w:left="0" w:right="9920" w:firstLine="0"/>
        <w:jc w:val="right"/>
        <w:rPr>
          <w:sz w:val="14"/>
        </w:rPr>
      </w:pPr>
      <w:r>
        <w:rPr>
          <w:spacing w:val="-1"/>
          <w:sz w:val="14"/>
        </w:rPr>
        <w:t>160000</w:t>
      </w:r>
    </w:p>
    <w:p>
      <w:pPr>
        <w:spacing w:before="1"/>
        <w:ind w:left="0" w:right="9920" w:firstLine="0"/>
        <w:jc w:val="right"/>
        <w:rPr>
          <w:sz w:val="14"/>
        </w:rPr>
      </w:pPr>
      <w:r>
        <w:rPr>
          <w:spacing w:val="-1"/>
          <w:sz w:val="14"/>
        </w:rPr>
        <w:t>140000</w:t>
      </w:r>
    </w:p>
    <w:p>
      <w:pPr>
        <w:spacing w:before="3"/>
        <w:ind w:left="0" w:right="9920" w:firstLine="0"/>
        <w:jc w:val="right"/>
        <w:rPr>
          <w:sz w:val="14"/>
        </w:rPr>
      </w:pPr>
      <w:r>
        <w:rPr>
          <w:spacing w:val="-1"/>
          <w:sz w:val="14"/>
        </w:rPr>
        <w:t>120000</w:t>
      </w:r>
    </w:p>
    <w:p>
      <w:pPr>
        <w:spacing w:before="1"/>
        <w:ind w:left="0" w:right="9920" w:firstLine="0"/>
        <w:jc w:val="right"/>
        <w:rPr>
          <w:sz w:val="14"/>
        </w:rPr>
      </w:pPr>
      <w:r>
        <w:rPr>
          <w:spacing w:val="-1"/>
          <w:sz w:val="14"/>
        </w:rPr>
        <w:t>100000</w:t>
      </w:r>
    </w:p>
    <w:p>
      <w:pPr>
        <w:spacing w:before="2"/>
        <w:ind w:left="0" w:right="9920" w:firstLine="0"/>
        <w:jc w:val="right"/>
        <w:rPr>
          <w:sz w:val="14"/>
        </w:rPr>
      </w:pPr>
      <w:r>
        <w:rPr>
          <w:spacing w:val="-1"/>
          <w:sz w:val="14"/>
        </w:rPr>
        <w:t>80000</w:t>
      </w:r>
    </w:p>
    <w:p>
      <w:pPr>
        <w:spacing w:before="2"/>
        <w:ind w:left="0" w:right="9920" w:firstLine="0"/>
        <w:jc w:val="right"/>
        <w:rPr>
          <w:sz w:val="14"/>
        </w:rPr>
      </w:pPr>
      <w:r>
        <w:rPr>
          <w:spacing w:val="-1"/>
          <w:sz w:val="14"/>
        </w:rPr>
        <w:t>60000</w:t>
      </w:r>
    </w:p>
    <w:p>
      <w:pPr>
        <w:spacing w:before="2"/>
        <w:ind w:left="0" w:right="9920" w:firstLine="0"/>
        <w:jc w:val="right"/>
        <w:rPr>
          <w:sz w:val="14"/>
        </w:rPr>
      </w:pPr>
      <w:r>
        <w:rPr>
          <w:spacing w:val="-1"/>
          <w:sz w:val="14"/>
        </w:rPr>
        <w:t>40000</w:t>
      </w:r>
    </w:p>
    <w:p>
      <w:pPr>
        <w:spacing w:before="2"/>
        <w:ind w:left="0" w:right="9920" w:firstLine="0"/>
        <w:jc w:val="right"/>
        <w:rPr>
          <w:sz w:val="14"/>
        </w:rPr>
      </w:pPr>
      <w:r>
        <w:rPr>
          <w:spacing w:val="-1"/>
          <w:sz w:val="14"/>
        </w:rPr>
        <w:t>20000</w:t>
      </w:r>
    </w:p>
    <w:p>
      <w:pPr>
        <w:spacing w:before="2"/>
        <w:ind w:left="0" w:right="9920" w:firstLine="0"/>
        <w:jc w:val="right"/>
        <w:rPr>
          <w:sz w:val="14"/>
        </w:rPr>
      </w:pPr>
      <w:r>
        <w:pict>
          <v:group id="_x0000_s1220" style="width:122.8pt;height:23.35pt;margin-top:14.92pt;margin-left:68.05pt;mso-position-horizontal-relative:page;mso-wrap-distance-left:0;mso-wrap-distance-right:0;position:absolute;z-index:-251582464" coordorigin="1361,298" coordsize="2456,467">
            <v:shape id="_x0000_s1221" style="width:459;height:466;left:1360;position:absolute;top:298" coordorigin="1361,299" coordsize="459,466" path="m1430,693l1417,693,1428,705,1435,715,1436,725,1437,733,1435,743,1433,753,1428,765,1440,765,1444,755,1447,745,1448,733,1448,725,1445,715,1441,705,1434,697,1430,693xm1392,625l1384,633,1425,673,1382,715,1389,723,1417,693,1430,693,1425,687,1444,667,1459,667,1457,665,1433,665,1392,625xm1459,667l1444,667,1476,699,1480,705,1484,707,1492,707,1496,705,1501,699,1505,695,1487,695,1485,693,1482,691,1459,667xm1506,649l1503,651,1499,653,1495,655,1501,661,1505,665,1508,669,1511,673,1510,677,1506,681,1496,691,1493,695,1505,695,1513,687,1518,683,1521,679,1521,675,1522,673,1521,669,1519,665,1517,661,1512,657,1506,649xm1372,669l1362,669,1361,679,1374,681,1401,685,1402,673,1392,671,1382,671,1372,669xm1476,621l1433,665,1457,665,1451,659,1483,629,1476,621xm1540,569l1516,569,1529,589,1535,611,1534,637,1526,665,1539,665,1545,641,1547,617,1543,597,1535,577,1571,577,1547,573,1540,569xm1441,601l1429,603,1431,613,1431,623,1432,629,1432,643,1443,643,1443,625,1443,621,1442,611,1441,601xm1491,525l1483,535,1492,543,1500,551,1509,561,1467,603,1475,609,1516,569,1540,569,1524,561,1532,553,1517,553,1509,543,1500,535,1491,525xm1620,565l1595,575,1571,577,1535,577,1556,585,1577,589,1599,587,1620,581,1620,577,1620,565xm1560,509l1517,553,1532,553,1567,517,1560,509xm1609,505l1593,505,1616,527,1612,535,1609,541,1605,547,1615,553,1620,543,1625,533,1631,521,1632,519,1622,519,1609,505xm1622,433l1610,433,1621,455,1630,477,1636,501,1639,523,1650,523,1648,507,1644,491,1640,475,1634,459,1650,459,1646,455,1632,455,1628,445,1623,435,1622,433xm1630,503l1625,513,1622,519,1632,519,1637,509,1637,509,1630,503xm1584,481l1569,481,1587,499,1574,511,1581,517,1593,505,1609,505,1601,497,1607,491,1594,491,1584,481xm1650,459l1634,459,1690,515,1698,507,1650,459xm1582,453l1548,487,1555,495,1569,481,1584,481,1576,473,1589,461,1582,453xm1607,477l1594,491,1607,491,1614,485,1607,477xm1648,443l1646,453,1673,457,1687,461,1701,463,1702,453,1691,449,1679,447,1664,445,1648,443xm1693,399l1680,399,1717,437,1710,447,1708,451,1717,457,1722,449,1727,439,1733,427,1722,427,1693,399xm1638,447l1632,455,1646,455,1638,447xm1635,393l1582,447,1590,453,1610,433,1622,433,1618,425,1643,401,1635,393xm1768,403l1755,403,1759,407,1760,413,1760,417,1759,425,1755,435,1747,447,1751,447,1758,449,1765,435,1769,425,1770,419,1771,411,1768,403xm1730,413l1724,423,1722,427,1733,427,1738,419,1735,417,1733,415,1730,413xm1763,333l1710,385,1743,419,1750,411,1748,409,1753,405,1742,405,1735,397,1741,391,1730,391,1723,385,1762,345,1775,345,1763,333xm1656,363l1649,369,1673,393,1662,405,1669,411,1680,399,1693,399,1687,393,1695,385,1680,385,1656,363xm1788,357l1774,357,1781,365,1742,405,1753,405,1755,403,1768,403,1762,395,1771,387,1786,387,1778,379,1787,371,1791,371,1796,365,1788,357xm1786,387l1771,387,1790,405,1797,405,1808,393,1792,393,1788,389,1786,387xm1807,361l1804,361,1801,363,1797,365,1800,367,1803,371,1805,373,1808,377,1808,381,1805,385,1799,391,1795,393,1808,393,1818,383,1819,377,1815,371,1813,367,1811,365,1807,361xm1775,345l1762,345,1769,353,1730,391,1741,391,1774,357,1788,357,1775,345xm1690,375l1680,385,1695,385,1697,383,1690,375xm1700,347l1700,348,1698,357,1703,357,1712,359,1695,377,1700,383,1728,355,1715,355,1717,351,1706,349,1700,347xm1791,371l1787,371,1789,373,1791,371xm1703,319l1697,319,1693,327,1697,329,1701,329,1704,331,1679,357,1685,363,1700,348,1700,347,1700,347,1724,323,1712,323,1708,321,1703,319xm1736,319l1725,323,1727,329,1729,335,1730,341,1715,355,1728,355,1750,333,1738,333,1736,319xm1700,347l1700,348,1700,347,1700,347xm1700,347l1700,347,1700,347,1700,347xm1758,315l1738,333,1750,333,1763,319,1758,315xm1736,299l1712,323,1724,323,1742,305,1736,299xe" filled="t" fillcolor="black" stroked="f">
              <v:fill type="solid"/>
              <v:path arrowok="t"/>
            </v:shape>
            <v:shape id="_x0000_s1222" style="width:462;height:462;left:1860;position:absolute;top:298" coordorigin="1861,298" coordsize="462,462" path="m2017,660l1924,752,1932,760,2025,668,2017,660xm1970,634l1898,706,1906,714,1978,642,1970,634xm1941,596l1861,678,1869,686,1950,606,1941,596xm1970,584l1963,590,2025,652,2036,640,2025,640,1970,584xm1967,556l1961,564,2031,634,2025,640,2036,640,2049,626,2037,626,1967,556xm1995,560l1989,566,2043,620,2037,626,2049,626,2054,630,2060,624,1995,560xm2111,558l2086,582,2072,582,2080,588,2056,612,2061,618,2085,594,2098,594,2092,588,2116,564,2111,558xm2098,594l2085,594,2099,608,2106,602,2098,594xm2093,548l2073,568,2059,568,2066,576,2046,596,2052,602,2072,582,2086,582,2079,574,2099,554,2093,548xm2051,546l2044,554,2053,562,2032,584,2037,590,2059,568,2073,568,2065,560,2070,556,2060,556,2051,546xm2041,546l2032,546,2028,556,2023,566,2016,578,2019,578,2023,580,2026,580,2033,568,2039,556,2041,546xm2004,518l1996,522,1999,532,2001,542,2003,554,2003,564,2009,564,2012,566,2012,558,2012,554,2011,548,2025,548,2032,546,2041,546,2042,544,2053,542,2057,540,2018,540,2010,538,2020,528,2007,528,2006,524,2005,522,2004,518xm2081,534l2060,556,2070,556,2087,540,2081,534xm2110,504l2096,504,2119,528,2112,540,2108,546,2118,552,2122,544,2128,532,2134,522,2136,518,2125,518,2110,504xm2045,512l2036,512,2037,520,2036,528,2034,538,2026,540,2057,540,2065,536,2068,534,2044,534,2046,524,2046,514,2045,512xm2074,518l2064,524,2054,530,2044,534,2068,534,2078,528,2076,524,2075,520,2074,518xm2037,498l2007,528,2020,528,2036,512,2045,512,2043,504,2037,498xm2125,432l2113,432,2124,456,2133,478,2139,500,2142,522,2153,522,2151,506,2147,490,2142,474,2137,458,2151,458,2147,454,2135,454,2131,444,2126,434,2125,432xm2087,480l2072,480,2090,498,2077,510,2084,518,2096,504,2110,504,2104,498,2111,490,2097,490,2087,480xm2133,502l2130,508,2128,512,2125,518,2136,518,2140,510,2138,508,2136,504,2133,502xm2151,458l2137,458,2193,514,2201,506,2151,458xm2085,452l2051,486,2058,494,2072,480,2087,480,2079,472,2092,460,2085,452xm2110,478l2097,490,2111,490,2117,484,2110,478xm2151,442l2149,452,2176,456,2204,464,2205,452,2194,450,2182,446,2167,444,2151,442xm2198,400l2183,400,2220,436,2213,446,2211,450,2220,458,2225,448,2230,438,2235,428,2225,428,2198,400xm2141,448l2135,454,2147,454,2141,448xm2138,392l2085,446,2093,452,2113,432,2125,432,2121,424,2146,400,2138,392xm2271,402l2258,402,2262,406,2263,412,2262,424,2258,434,2250,446,2254,446,2261,448,2268,436,2272,426,2273,418,2274,410,2271,402xm2233,412l2227,422,2225,428,2235,428,2241,420,2236,416,2233,412xm2266,332l2213,386,2246,418,2253,412,2251,410,2256,404,2245,404,2238,396,2242,392,2233,392,2226,384,2265,344,2278,344,2266,332xm2159,362l2152,368,2176,392,2165,404,2172,410,2183,400,2198,400,2190,392,2196,386,2183,386,2159,362xm2291,358l2277,358,2284,364,2245,404,2256,404,2258,402,2271,402,2265,394,2274,386,2287,386,2281,380,2290,370,2294,370,2299,366,2291,358xm2287,386l2274,386,2287,398,2293,404,2300,404,2306,398,2312,392,2295,392,2291,390,2287,386xm2278,344l2265,344,2272,352,2233,392,2242,392,2277,358,2291,358,2278,344xm2310,360l2307,360,2300,364,2303,368,2306,370,2308,374,2311,376,2311,380,2298,392,2312,392,2321,382,2322,376,2318,370,2316,368,2310,360xm2193,376l2183,386,2196,386,2200,382,2193,376xm2209,348l2203,348,2201,356,2206,358,2210,358,2215,360,2198,376,2203,382,2230,356,2218,356,2220,350,2209,348xm2294,370l2290,370,2292,372,2294,370xm2200,318l2196,328,2200,328,2204,330,2207,330,2182,356,2188,362,2227,322,2215,322,2211,320,2206,320,2200,318xm2239,318l2228,322,2230,328,2232,334,2233,342,2218,356,2230,356,2252,334,2241,334,2240,328,2239,318xm2261,314l2241,334,2252,334,2266,320,2261,314xm2239,298l2215,322,2227,322,2245,304,2239,298xe" filled="t" fillcolor="black" stroked="f">
              <v:fill type="solid"/>
              <v:path arrowok="t"/>
            </v:shape>
            <v:shape id="_x0000_s1223" style="width:455;height:440;left:2365;position:absolute;top:298" coordorigin="2366,299" coordsize="455,440" path="m2502,643l2409,735,2414,739,2432,723,2444,723,2440,715,2507,647,2502,643xm2501,667l2444,723,2432,723,2440,739,2498,679,2511,679,2509,675,2505,671,2501,667xm2511,679l2498,679,2500,681,2502,685,2505,689,2504,693,2498,699,2491,705,2484,713,2475,721,2478,721,2481,723,2484,725,2500,709,2515,695,2517,685,2511,679xm2399,625l2389,631,2392,635,2393,639,2395,645,2366,673,2415,723,2421,715,2418,713,2424,707,2413,707,2377,671,2412,637,2402,637,2400,631,2399,625xm2453,611l2439,611,2474,647,2413,707,2424,707,2479,651,2486,651,2490,647,2453,611xm2427,667l2420,667,2418,677,2415,687,2409,697,2413,697,2417,699,2419,699,2424,689,2426,677,2427,667xm2413,639l2407,645,2419,657,2396,681,2400,685,2420,667,2441,667,2436,661,2434,661,2430,655,2434,651,2425,651,2413,639xm2441,667l2427,667,2438,677,2445,671,2441,667xm2408,659l2396,661,2390,663,2390,669,2396,669,2402,667,2408,667,2408,659xm2465,645l2457,647,2447,649,2434,655,2434,661,2436,661,2446,657,2456,655,2465,653,2465,645xm2486,651l2479,651,2483,655,2486,651xm2448,629l2425,651,2434,651,2452,633,2448,629xm2550,579l2534,579,2550,595,2507,637,2515,645,2557,601,2573,601,2565,593,2572,587,2558,587,2550,579xm2438,623l2429,623,2429,629,2428,635,2426,641,2434,641,2436,633,2437,627,2438,623xm2441,599l2402,637,2412,637,2439,611,2453,611,2441,599xm2573,601l2557,601,2584,629,2592,621,2573,601xm2527,555l2511,555,2527,571,2493,605,2501,613,2534,579,2550,579,2542,571,2550,563,2535,563,2527,555xm2497,525l2489,533,2504,549,2464,589,2471,595,2511,555,2527,555,2519,547,2525,541,2512,541,2497,525xm2601,543l2558,587,2572,587,2608,551,2601,543xm2569,529l2535,563,2550,563,2576,537,2569,529xm2614,505l2599,505,2622,527,2618,535,2611,547,2621,553,2625,543,2631,533,2637,521,2638,519,2628,519,2614,505xm2552,501l2512,541,2525,541,2559,507,2552,501xm2628,433l2616,433,2627,455,2635,477,2642,501,2645,523,2649,523,2653,521,2656,521,2654,507,2650,491,2645,475,2640,459,2656,459,2650,453,2638,453,2634,445,2629,435,2628,433xm2636,503l2633,509,2628,519,2638,519,2643,509,2643,509,2636,503xm2590,481l2575,481,2592,499,2580,511,2587,517,2599,505,2614,505,2607,497,2613,491,2600,491,2590,481xm2656,459l2640,459,2696,515,2704,507,2656,459xm2643,509l2643,509,2643,509,2643,509xm2588,453l2554,487,2561,495,2575,481,2590,481,2582,473,2595,461,2588,453xm2613,477l2600,491,2613,491,2620,485,2613,477xm2654,443l2652,453,2679,457,2693,461,2707,463,2708,451,2697,449,2685,447,2670,445,2654,443xm2707,409l2694,409,2748,463,2754,457,2707,409xm2641,393l2588,447,2596,453,2616,433,2628,433,2624,425,2649,401,2641,393xm2644,447l2638,453,2650,453,2644,447xm2757,387l2749,387,2751,401,2751,409,2751,417,2750,429,2747,441,2759,441,2761,427,2761,413,2759,397,2757,387xm2671,357l2662,361,2672,379,2679,395,2685,411,2689,427,2700,433,2698,425,2697,417,2694,409,2707,409,2687,389,2682,379,2677,367,2671,357xm2769,381l2756,381,2793,419,2800,411,2769,381xm2749,361l2736,361,2749,375,2717,405,2724,413,2749,387,2757,387,2756,381,2769,381,2763,375,2820,375,2819,371,2780,371,2768,367,2756,367,2749,361xm2734,299l2680,351,2717,389,2724,381,2720,377,2726,371,2714,371,2694,351,2733,311,2746,311,2734,299xm2820,375l2763,375,2792,379,2806,379,2820,377,2820,375xm2746,311l2733,311,2753,331,2714,371,2726,371,2736,361,2749,361,2743,355,2759,337,2768,337,2770,335,2746,311xm2818,365l2805,369,2792,371,2819,371,2818,365xm2788,335l2756,367,2768,367,2794,341,2788,335xm2768,337l2759,337,2763,341,2768,337xe" filled="t" fillcolor="black" stroked="f">
              <v:fill type="solid"/>
              <v:path arrowok="t"/>
            </v:shape>
            <v:shape id="_x0000_s1224" type="#_x0000_t75" style="width:465;height:440;left:2863;position:absolute;top:298" stroked="f">
              <v:imagedata r:id="rId80" o:title=""/>
            </v:shape>
            <v:shape id="_x0000_s1225" style="width:446;height:446;left:3370;position:absolute;top:313" coordorigin="3370,314" coordsize="446,446" path="m3456,720l3449,730,3444,738,3438,748,3433,756,3442,760,3452,744,3457,734,3462,726,3461,726,3459,722,3456,720xm3417,698l3407,698,3411,714,3414,726,3414,732,3422,738,3436,720,3422,720,3420,708,3417,698xm3473,658l3455,658,3492,696,3496,700,3497,704,3492,708,3489,712,3485,716,3479,720,3483,722,3486,724,3489,726,3494,720,3509,706,3509,698,3482,670,3528,670,3528,666,3508,666,3496,664,3496,662,3487,662,3473,658xm3470,682l3468,692,3466,702,3463,712,3461,722,3471,724,3475,708,3477,696,3479,686,3476,684,3473,684,3470,682xm3438,700l3433,708,3422,720,3436,720,3444,708,3442,706,3440,702,3438,700xm3380,652l3370,658,3376,672,3381,686,3384,698,3386,708,3395,714,3402,704,3405,700,3394,700,3392,690,3389,680,3385,666,3380,652xm3408,664l3398,668,3403,682,3405,688,3401,692,3394,700,3405,700,3407,698,3417,698,3416,694,3408,664xm3462,682l3437,682,3437,692,3462,692,3462,686,3462,682xm3471,626l3457,626,3466,634,3420,680,3427,686,3455,658,3473,658,3467,656,3462,650,3485,628,3473,628,3471,626xm3528,670l3482,670,3494,674,3517,674,3528,672,3528,670xm3529,660l3518,664,3508,666,3528,666,3528,664,3529,660xm3456,608l3443,608,3451,618,3411,658,3418,664,3457,626,3471,626,3456,608xm3498,634l3487,634,3488,640,3488,650,3488,654,3487,662,3496,662,3497,652,3498,644,3498,634xm3509,598l3494,598,3540,644,3549,652,3558,652,3570,640,3552,640,3530,618,3536,612,3523,612,3509,598xm3444,594l3394,644,3401,650,3443,608,3456,608,3444,594xm3614,550l3610,552,3606,554,3603,554,3609,562,3613,568,3617,576,3616,580,3612,584,3556,640,3570,640,3620,590,3628,582,3630,574,3623,562,3619,556,3614,550xm3484,616l3473,628,3485,628,3491,622,3484,616xm3546,568l3530,568,3548,586,3523,612,3536,612,3570,578,3556,578,3546,568xm3489,540l3479,548,3482,562,3484,576,3484,594,3482,610,3486,608,3493,608,3494,598,3509,598,3505,594,3509,590,3494,590,3494,576,3494,574,3493,566,3505,554,3492,554,3491,550,3490,546,3489,540xm3537,532l3527,532,3528,540,3528,548,3529,556,3494,590,3509,590,3530,568,3546,568,3538,560,3551,548,3538,548,3537,532xm3578,536l3563,536,3581,554,3556,578,3570,578,3588,560,3595,560,3599,556,3578,536xm3595,560l3588,560,3591,564,3595,560xm3620,504l3609,504,3615,518,3620,528,3623,538,3625,544,3625,548,3624,552,3635,558,3648,542,3635,542,3631,532,3628,522,3623,510,3620,504xm3530,516l3492,554,3505,554,3527,532,3537,532,3537,524,3530,516xm3564,522l3538,548,3551,548,3563,536,3578,536,3564,522xm3637,498l3633,506,3649,512,3656,516,3649,526,3641,534,3635,542,3648,542,3649,540,3657,530,3665,520,3671,520,3673,516,3674,512,3656,504,3647,500,3637,498xm3651,448l3635,448,3640,452,3643,456,3658,474,3669,492,3674,512,3676,530,3688,530,3686,508,3679,488,3667,468,3651,448xm3671,520l3667,520,3668,522,3670,522,3671,520xm3632,466l3586,514,3593,520,3609,504,3620,504,3617,496,3639,474,3632,466xm3677,422l3661,422,3674,434,3686,448,3697,460,3709,472,3714,478,3714,482,3706,492,3701,496,3696,500,3700,502,3706,506,3711,502,3715,498,3719,494,3727,486,3727,476,3718,466,3677,422xm3601,444l3563,482,3570,490,3608,450,3601,444xm3729,374l3713,374,3723,386,3730,396,3736,406,3739,416,3741,426,3741,438,3739,452,3735,466,3740,468,3748,468,3752,452,3753,438,3753,424,3751,412,3747,402,3741,390,3732,378,3729,374xm3616,412l3608,420,3622,434,3628,440,3614,454,3621,462,3635,448,3651,448,3648,446,3643,440,3651,432,3636,432,3629,426,3623,420,3616,412xm3662,406l3636,432,3651,432,3661,422,3677,422,3662,406xm3773,330l3757,330,3769,342,3780,354,3790,366,3798,376,3805,382,3805,390,3798,396,3794,400,3787,406,3778,414,3778,414,3782,418,3786,420,3788,422,3796,414,3808,404,3814,394,3816,386,3814,378,3809,370,3800,360,3789,346,3775,332,3773,330xm3693,336l3684,344,3691,352,3698,358,3705,366,3674,398,3682,406,3713,374,3729,374,3721,366,3729,358,3714,358,3693,336xm3758,314l3714,358,3729,358,3757,330,3773,330,3758,314xe" filled="t" fillcolor="black" stroked="f">
              <v:fill type="solid"/>
              <v:path arrowok="t"/>
            </v:shape>
            <w10:wrap type="topAndBottom"/>
          </v:group>
        </w:pict>
      </w:r>
      <w:r>
        <w:pict>
          <v:group id="_x0000_s1226" style="width:172.6pt;height:23.4pt;margin-top:14.86pt;margin-left:194.8pt;mso-position-horizontal-relative:page;mso-wrap-distance-left:0;mso-wrap-distance-right:0;position:absolute;z-index:-251581440" coordorigin="3896,297" coordsize="3452,468">
            <v:shape id="_x0000_s1227" style="width:438;height:464;left:3896;position:absolute;top:298" coordorigin="3896,298" coordsize="438,464" path="m3905,630l3896,638,3975,718,3938,756,3945,762,4000,708,3984,708,3941,666,3949,658,3934,658,3905,630xm4031,662l3984,708,4000,708,4039,670,4031,662xm4032,614l4029,616,4026,618,4022,620,4029,632,4036,644,4043,654,4049,666,4060,660,4046,638,4032,614xm3973,618l3934,658,3949,658,3981,626,3973,618xm4053,602l4039,602,4054,622,4061,628,4075,614,4062,614,4053,602xm4101,554l4087,554,4093,560,4099,566,4104,572,4062,614,4075,614,4110,578,4123,578,4122,576,4118,572,4126,564,4111,564,4107,560,4101,554xm4123,578l4110,578,4114,584,4114,590,4109,594,4105,598,4100,602,4094,608,4097,610,4103,614,4108,610,4122,596,4125,590,4124,586,4124,582,4123,578xm4064,514l4013,566,4033,594,4023,604,4030,610,4039,602,4053,602,4046,594,4055,586,4041,586,4025,566,4064,528,4077,528,4064,514xm4014,594l4005,596,3995,596,3985,598,3986,608,3994,608,4004,606,4014,606,4014,600,4014,594xm4086,578l4071,578,4064,580,4064,588,4086,588,4086,578xm4077,528l4064,528,4070,534,4075,542,4081,546,4041,586,4055,586,4087,554,4101,554,4094,546,4101,540,4088,540,4081,532,4077,528xm4001,528l3993,536,3997,548,4000,560,4001,572,4002,584,4012,584,4012,572,4011,564,4009,554,4021,542,4006,542,4005,538,4003,534,4001,528xm3993,566l3970,568,3964,570,3964,580,3970,578,3993,578,3993,566xm4119,556l4111,564,4126,564,4119,556xm4062,552l4048,552,4040,554,4040,562,4062,562,4062,552xm4122,504l4108,504,4131,528,4124,540,4120,546,4129,552,4134,544,4148,518,4137,518,4122,504xm4057,492l4006,542,4021,542,4064,498,4057,492xm4098,530l4088,540,4101,540,4105,536,4098,530xm4137,432l4125,432,4136,456,4144,478,4150,500,4154,524,4158,522,4165,522,4163,506,4159,490,4154,474,4149,458,4163,458,4159,454,4147,454,4143,444,4138,434,4137,432xm4099,480l4084,480,4101,498,4089,512,4095,518,4108,504,4122,504,4116,498,4123,490,4109,490,4099,480xm4145,502l4142,508,4137,518,4148,518,4152,510,4150,508,4148,506,4145,502xm4163,458l4149,458,4205,514,4213,506,4163,458xm4097,452l4063,486,4070,494,4084,480,4099,480,4091,472,4104,460,4097,452xm4122,478l4109,490,4123,490,4129,484,4122,478xm4163,442l4161,452,4174,454,4188,458,4202,460,4216,464,4217,452,4206,450,4194,448,4179,444,4163,442xm4209,400l4195,400,4231,436,4225,446,4222,452,4232,458,4237,448,4242,438,4247,430,4248,428,4237,428,4209,400xm4150,392l4097,446,4104,454,4125,432,4137,432,4133,424,4157,400,4150,392xm4153,448l4147,454,4159,454,4153,448xm4283,402l4270,402,4274,408,4275,412,4274,424,4270,434,4262,446,4266,446,4273,448,4280,436,4284,426,4284,418,4286,410,4283,402xm4245,412l4239,422,4237,428,4248,428,4253,420,4250,418,4248,416,4245,412xm4278,332l4225,386,4258,418,4265,412,4263,410,4268,404,4257,404,4250,396,4254,392,4244,392,4238,384,4277,346,4291,346,4278,332xm4171,362l4164,368,4188,392,4177,404,4184,410,4195,400,4209,400,4202,392,4208,386,4195,386,4171,362xm4303,358l4289,358,4296,364,4257,404,4268,404,4270,402,4283,402,4277,394,4286,386,4300,386,4293,380,4302,370,4306,370,4311,366,4303,358xm4300,386l4286,386,4305,404,4311,404,4323,394,4310,394,4307,392,4300,386xm4322,360l4316,362,4312,364,4315,368,4318,370,4320,374,4323,378,4323,380,4320,384,4313,390,4310,394,4323,394,4327,390,4333,382,4334,376,4330,370,4328,368,4326,364,4322,360xm4291,346l4277,346,4284,352,4244,392,4254,392,4289,358,4303,358,4291,346xm4205,376l4195,386,4208,386,4212,382,4205,376xm4221,348l4215,348,4213,356,4218,358,4222,358,4227,360,4210,376,4215,382,4242,356,4230,356,4232,350,4221,348xm4306,370l4302,370,4304,372,4306,370xm4212,318l4208,328,4212,328,4216,330,4219,330,4194,356,4199,362,4239,322,4222,322,4218,320,4212,318xm4251,318l4240,322,4242,328,4243,334,4245,342,4230,356,4242,356,4264,334,4253,334,4251,318xm4272,314l4253,334,4264,334,4278,320,4272,314xm4251,298l4227,322,4239,322,4257,304,4251,298xe" filled="t" fillcolor="black" stroked="f">
              <v:fill type="solid"/>
              <v:path arrowok="t"/>
            </v:shape>
            <v:shape id="_x0000_s1228" type="#_x0000_t75" style="width:960;height:468;left:4380;position:absolute;top:297" stroked="f">
              <v:imagedata r:id="rId81" o:title=""/>
            </v:shape>
            <v:shape id="_x0000_s1229" style="width:431;height:442;left:5396;position:absolute;top:313" coordorigin="5397,313" coordsize="431,442" path="m5447,693l5436,693,5443,709,5446,725,5447,739,5444,755,5456,755,5458,739,5457,721,5452,703,5447,693xm5476,657l5437,657,5490,709,5494,713,5494,717,5486,725,5482,729,5476,735,5483,739,5485,741,5490,737,5495,733,5507,719,5507,711,5498,703,5457,661,5491,661,5475,659,5476,657xm5437,677l5406,709,5413,717,5436,693,5447,693,5443,685,5437,677xm5437,641l5397,683,5404,689,5437,657,5476,657,5476,655,5465,655,5457,653,5441,645,5437,641xm5491,661l5457,661,5477,669,5498,673,5519,673,5540,671,5540,667,5539,663,5507,663,5491,661xm5539,657l5523,661,5507,663,5539,663,5539,657xm5565,601l5553,603,5555,619,5555,625,5555,641,5555,649,5554,663,5566,663,5566,649,5566,631,5566,617,5565,601xm5473,613l5471,625,5469,635,5467,645,5465,655,5476,655,5480,635,5483,625,5485,615,5473,613xm5435,621l5407,635,5398,641,5402,649,5410,645,5420,641,5429,637,5439,631,5435,621xm5604,527l5510,623,5518,631,5612,535,5604,527xm5482,569l5479,581,5490,583,5501,587,5513,591,5526,595,5529,583,5517,581,5482,569xm5645,571l5601,571,5585,573,5584,583,5630,583,5644,585,5645,571xm5602,447l5573,477,5627,529,5636,539,5643,549,5648,559,5650,569,5654,567,5662,567,5659,557,5654,547,5646,535,5636,525,5643,517,5629,517,5611,499,5617,493,5605,493,5587,475,5601,461,5616,461,5602,447xm5507,533l5502,543,5547,567,5553,555,5542,551,5531,545,5519,539,5507,533xm5663,509l5650,509,5674,535,5675,537,5670,543,5666,545,5663,549,5666,551,5669,553,5671,555,5674,551,5680,545,5687,539,5686,533,5663,509xm5562,493l5550,497,5554,509,5558,523,5561,535,5564,549,5575,547,5572,533,5569,519,5565,507,5562,493xm5702,451l5691,451,5696,461,5698,471,5698,483,5687,485,5659,485,5671,491,5683,495,5697,495,5695,505,5692,517,5686,529,5689,531,5697,531,5703,519,5706,505,5708,493,5720,491,5732,487,5741,483,5708,483,5707,473,5706,463,5703,453,5702,451xm5639,485l5625,485,5643,503,5629,517,5643,517,5650,509,5663,509,5639,485xm5616,461l5601,461,5619,479,5605,493,5617,493,5625,485,5639,485,5616,461xm5693,437l5645,483,5652,491,5659,485,5687,485,5676,481,5666,477,5691,451,5702,451,5699,443,5693,437xm5743,469l5731,475,5719,481,5708,483,5741,483,5745,481,5744,477,5743,473,5743,469xm5648,401l5616,435,5628,447,5637,455,5640,465,5636,477,5644,479,5647,479,5648,467,5647,457,5643,449,5636,439,5630,433,5648,415,5661,415,5648,401xm5728,409l5712,409,5766,461,5773,455,5728,409xm5768,383l5752,383,5762,393,5767,401,5770,409,5773,417,5774,429,5772,445,5784,445,5786,429,5784,417,5780,405,5776,395,5770,385,5768,383xm5661,415l5648,415,5664,433,5672,439,5679,441,5688,431,5692,427,5674,427,5671,425,5661,415xm5692,353l5682,359,5691,375,5697,393,5702,409,5705,425,5709,427,5717,431,5716,423,5714,415,5712,409,5728,409,5706,387,5698,365,5692,353xm5689,415l5687,417,5683,421,5680,425,5677,427,5692,427,5695,423,5689,415xm5795,353l5781,353,5800,373,5808,383,5815,389,5815,397,5809,403,5804,407,5799,411,5794,415,5797,417,5804,421,5808,417,5827,397,5827,387,5816,375,5795,353xm5721,333l5711,337,5717,353,5721,367,5722,383,5722,397,5725,397,5729,395,5733,395,5733,381,5731,365,5727,349,5721,333xm5782,339l5734,387,5741,395,5752,383,5768,383,5760,375,5781,353,5795,353,5785,343,5782,339xm5727,313l5723,323,5740,329,5758,333,5775,335,5793,333,5792,325,5792,323,5760,323,5744,319,5727,313xm5792,321l5776,323,5792,323,5792,321xe" filled="t" fillcolor="black" stroked="f">
              <v:fill type="solid"/>
              <v:path arrowok="t"/>
            </v:shape>
            <v:shape id="_x0000_s1230" type="#_x0000_t75" style="width:1468;height:458;left:5879;position:absolute;top:298" stroked="f">
              <v:imagedata r:id="rId82" o:title=""/>
            </v:shape>
            <w10:wrap type="topAndBottom"/>
          </v:group>
        </w:pict>
      </w:r>
      <w:r>
        <w:pict>
          <v:group id="_x0000_s1231" style="width:355.3pt;height:1pt;margin-top:49.5pt;margin-left:35.4pt;mso-position-horizontal-relative:page;mso-wrap-distance-left:0;mso-wrap-distance-right:0;position:absolute;z-index:-251580416" coordorigin="708,990" coordsize="7106,20">
            <v:line id="_x0000_s1232" style="position:absolute" from="708,1000" to="7561,1000" stroked="t" strokecolor="#4b4d4f" strokeweight="0.96pt">
              <v:stroke dashstyle="solid"/>
            </v:line>
            <v:rect id="_x0000_s1233" style="width:20;height:20;left:7561;position:absolute;top:989" filled="t" fillcolor="#4b4d4f" stroked="f">
              <v:fill type="solid"/>
            </v:rect>
            <v:rect id="_x0000_s1234" style="width:20;height:20;left:7575;position:absolute;top:989" filled="t" fillcolor="#4b4d4f" stroked="f">
              <v:fill type="solid"/>
            </v:rect>
            <v:line id="_x0000_s1235" style="position:absolute" from="7595,1000" to="7813,1000" stroked="t" strokecolor="#4b4d4f" strokeweight="0.96pt">
              <v:stroke dashstyle="solid"/>
            </v:line>
            <w10:wrap type="topAndBottom"/>
          </v:group>
        </w:pict>
      </w:r>
      <w:r>
        <w:rPr>
          <w:w w:val="99"/>
          <w:sz w:val="14"/>
        </w:rPr>
        <w:t>0</w:t>
      </w:r>
    </w:p>
    <w:p>
      <w:pPr>
        <w:pStyle w:val="BodyText"/>
        <w:spacing w:before="9"/>
        <w:rPr>
          <w:sz w:val="8"/>
        </w:rPr>
      </w:pPr>
    </w:p>
    <w:p>
      <w:pPr>
        <w:spacing w:before="0" w:line="226" w:lineRule="exact"/>
        <w:ind w:left="215" w:right="0" w:firstLine="0"/>
        <w:jc w:val="left"/>
        <w:rPr>
          <w:sz w:val="15"/>
        </w:rPr>
      </w:pPr>
      <w:r>
        <w:t xml:space="preserve">资料来源：各公司公告， </w:t>
      </w:r>
    </w:p>
    <w:p>
      <w:pPr>
        <w:spacing w:before="0" w:line="267" w:lineRule="exact"/>
        <w:ind w:left="215" w:right="0" w:firstLine="0"/>
        <w:jc w:val="left"/>
        <w:rPr>
          <w:sz w:val="15"/>
        </w:rPr>
      </w:pPr>
      <w:r>
        <w:rPr>
          <w:color w:val="4B4D4F"/>
          <w:sz w:val="15"/>
        </w:rPr>
        <w:t>注：节能环境为 2023 年 4 月数据，永兴股份为 2022 年底数据</w:t>
      </w:r>
    </w:p>
    <w:p>
      <w:pPr>
        <w:spacing w:after="0" w:line="267" w:lineRule="exact"/>
        <w:jc w:val="left"/>
        <w:rPr>
          <w:sz w:val="15"/>
        </w:rPr>
        <w:sectPr>
          <w:headerReference w:type="default" r:id="rId83"/>
          <w:footerReference w:type="default" r:id="rId84"/>
          <w:type w:val="continuous"/>
          <w:pgSz w:w="11910" w:h="16840"/>
          <w:pgMar w:top="1660" w:right="600" w:bottom="740" w:left="600" w:header="708" w:footer="708"/>
          <w:pgNumType w:start="24"/>
          <w:cols w:space="708"/>
        </w:sectPr>
      </w:pPr>
    </w:p>
    <w:p>
      <w:pPr>
        <w:pStyle w:val="BodyText"/>
        <w:spacing w:before="6"/>
        <w:rPr>
          <w:sz w:val="8"/>
        </w:rPr>
      </w:pPr>
    </w:p>
    <w:p>
      <w:pPr>
        <w:pStyle w:val="Heading2"/>
        <w:numPr>
          <w:ilvl w:val="1"/>
          <w:numId w:val="9"/>
        </w:numPr>
        <w:tabs>
          <w:tab w:val="left" w:pos="613"/>
        </w:tabs>
        <w:spacing w:before="28" w:after="0" w:line="240" w:lineRule="auto"/>
        <w:ind w:left="612" w:right="0" w:hanging="506"/>
        <w:jc w:val="left"/>
      </w:pPr>
      <w:bookmarkStart w:id="4" w:name="_TOC_250010"/>
      <w:bookmarkEnd w:id="4"/>
      <w:r>
        <w:rPr>
          <w:color w:val="4B4D4F"/>
          <w:spacing w:val="-3"/>
        </w:rPr>
        <w:t>增量项目竞价上网，绿证交易有望保障盈利</w:t>
      </w:r>
    </w:p>
    <w:p>
      <w:pPr>
        <w:pStyle w:val="Heading3"/>
        <w:numPr>
          <w:ilvl w:val="2"/>
          <w:numId w:val="9"/>
        </w:numPr>
        <w:tabs>
          <w:tab w:val="left" w:pos="757"/>
        </w:tabs>
        <w:spacing w:before="178" w:after="0" w:line="240" w:lineRule="auto"/>
        <w:ind w:left="756" w:right="0" w:hanging="650"/>
        <w:jc w:val="left"/>
      </w:pPr>
      <w:r>
        <w:rPr>
          <w:color w:val="C00000"/>
        </w:rPr>
        <w:t>国补退坡，新增项目采取竞争配置</w:t>
      </w:r>
    </w:p>
    <w:p>
      <w:pPr>
        <w:pStyle w:val="BodyText"/>
        <w:spacing w:before="134" w:line="235" w:lineRule="auto"/>
        <w:ind w:left="107" w:right="3511" w:firstLine="420"/>
        <w:jc w:val="both"/>
        <w:rPr>
          <w:b/>
          <w:i/>
        </w:rPr>
      </w:pPr>
      <w:r>
        <w:rPr>
          <w:color w:val="333333"/>
        </w:rPr>
        <w:t>2020</w:t>
      </w:r>
      <w:r>
        <w:rPr>
          <w:color w:val="333333"/>
          <w:spacing w:val="-8"/>
        </w:rPr>
        <w:t xml:space="preserve"> 年 </w:t>
      </w:r>
      <w:r>
        <w:rPr>
          <w:color w:val="333333"/>
        </w:rPr>
        <w:t>9</w:t>
      </w:r>
      <w:r>
        <w:rPr>
          <w:color w:val="333333"/>
          <w:spacing w:val="-11"/>
        </w:rPr>
        <w:t xml:space="preserve"> 月，国家发改委等部分发布《关于促进非水可再生能源发电健康发</w:t>
      </w:r>
      <w:r>
        <w:rPr>
          <w:color w:val="333333"/>
          <w:spacing w:val="-9"/>
        </w:rPr>
        <w:t>展的若干意见》有关事项的补充通知，其中提到：</w:t>
      </w:r>
      <w:r>
        <w:rPr>
          <w:color w:val="333333"/>
          <w:spacing w:val="-4"/>
        </w:rPr>
        <w:t>1）</w:t>
      </w:r>
      <w:r>
        <w:rPr>
          <w:color w:val="333333"/>
          <w:spacing w:val="-2"/>
        </w:rPr>
        <w:t>全生命周期合理利用小时数</w:t>
      </w:r>
      <w:r>
        <w:rPr>
          <w:color w:val="333333"/>
          <w:spacing w:val="-7"/>
        </w:rPr>
        <w:t xml:space="preserve">为 </w:t>
      </w:r>
      <w:r>
        <w:rPr>
          <w:b/>
          <w:color w:val="333333"/>
        </w:rPr>
        <w:t xml:space="preserve">82500 </w:t>
      </w:r>
      <w:r>
        <w:rPr>
          <w:b/>
          <w:i/>
          <w:color w:val="333333"/>
        </w:rPr>
        <w:t>小时</w:t>
      </w:r>
      <w:r>
        <w:rPr>
          <w:color w:val="333333"/>
          <w:spacing w:val="-5"/>
        </w:rPr>
        <w:t>，所发电量超过全生命周期补贴电量部分，</w:t>
      </w:r>
      <w:r>
        <w:rPr>
          <w:b/>
          <w:i/>
          <w:color w:val="333333"/>
          <w:spacing w:val="-2"/>
        </w:rPr>
        <w:t>不再享受中央财政补贴</w:t>
      </w:r>
    </w:p>
    <w:p>
      <w:pPr>
        <w:pStyle w:val="BodyText"/>
        <w:spacing w:line="235" w:lineRule="auto"/>
        <w:ind w:left="107" w:right="3511"/>
        <w:jc w:val="both"/>
      </w:pPr>
      <w:r>
        <w:rPr>
          <w:b/>
          <w:i/>
          <w:color w:val="333333"/>
        </w:rPr>
        <w:t>资金</w:t>
      </w:r>
      <w:r>
        <w:rPr>
          <w:color w:val="333333"/>
        </w:rPr>
        <w:t>；2）自并网之日起满 15</w:t>
      </w:r>
      <w:r>
        <w:rPr>
          <w:color w:val="333333"/>
          <w:spacing w:val="-1"/>
        </w:rPr>
        <w:t xml:space="preserve"> 年后，无论项目是否达到全生命周期补贴电量，不</w:t>
      </w:r>
      <w:r>
        <w:rPr>
          <w:color w:val="333333"/>
        </w:rPr>
        <w:t>再享受中央财政补贴资金，</w:t>
      </w:r>
      <w:r>
        <w:rPr>
          <w:b/>
          <w:i/>
          <w:color w:val="333333"/>
        </w:rPr>
        <w:t>核发绿证准许参与绿证交易</w:t>
      </w:r>
      <w:r>
        <w:rPr>
          <w:color w:val="333333"/>
          <w:spacing w:val="-13"/>
        </w:rPr>
        <w:t>。“国补退坡”倒逼垃圾焚</w:t>
      </w:r>
      <w:r>
        <w:rPr>
          <w:color w:val="333333"/>
          <w:spacing w:val="-8"/>
        </w:rPr>
        <w:t>烧发电企业将重心由市场“跑马圈地”转向项目稳定运营转移，实现提质、增效、</w:t>
      </w:r>
      <w:r>
        <w:rPr>
          <w:color w:val="333333"/>
        </w:rPr>
        <w:t>降本的目标。</w:t>
      </w:r>
    </w:p>
    <w:p>
      <w:pPr>
        <w:pStyle w:val="BodyText"/>
        <w:spacing w:before="111" w:line="235" w:lineRule="auto"/>
        <w:ind w:left="107" w:right="3510" w:firstLine="420"/>
        <w:jc w:val="both"/>
      </w:pPr>
      <w:r>
        <w:rPr>
          <w:color w:val="333333"/>
        </w:rPr>
        <w:t>2021</w:t>
      </w:r>
      <w:r>
        <w:rPr>
          <w:color w:val="333333"/>
          <w:spacing w:val="-8"/>
        </w:rPr>
        <w:t xml:space="preserve"> 年 </w:t>
      </w:r>
      <w:r>
        <w:rPr>
          <w:color w:val="333333"/>
        </w:rPr>
        <w:t>8</w:t>
      </w:r>
      <w:r>
        <w:rPr>
          <w:color w:val="333333"/>
          <w:spacing w:val="-10"/>
        </w:rPr>
        <w:t xml:space="preserve"> 月，国家发改委印发《</w:t>
      </w:r>
      <w:r>
        <w:rPr>
          <w:color w:val="333333"/>
        </w:rPr>
        <w:t>2021</w:t>
      </w:r>
      <w:r>
        <w:rPr>
          <w:color w:val="333333"/>
          <w:spacing w:val="-12"/>
        </w:rPr>
        <w:t xml:space="preserve"> 年生物质发电项目建设方案》，同时进</w:t>
      </w:r>
      <w:r>
        <w:rPr>
          <w:color w:val="333333"/>
          <w:spacing w:val="-13"/>
          <w:w w:val="95"/>
        </w:rPr>
        <w:t>一步明确《完善生物质发电项目建设运行的实施方案》中提出的“央地分担”</w:t>
      </w:r>
      <w:r>
        <w:rPr>
          <w:color w:val="333333"/>
          <w:spacing w:val="-44"/>
          <w:w w:val="95"/>
        </w:rPr>
        <w:t xml:space="preserve">、“竞    </w:t>
      </w:r>
      <w:r>
        <w:rPr>
          <w:color w:val="333333"/>
          <w:spacing w:val="-17"/>
          <w:w w:val="95"/>
        </w:rPr>
        <w:t xml:space="preserve">争配置”等措施，将通过市场竞争的方式优先选择补贴强度低、退坡幅度大、技术   </w:t>
      </w:r>
      <w:r>
        <w:rPr>
          <w:color w:val="333333"/>
          <w:spacing w:val="-17"/>
        </w:rPr>
        <w:t>水平高的项目。</w:t>
      </w:r>
    </w:p>
    <w:p>
      <w:pPr>
        <w:pStyle w:val="BodyText"/>
        <w:spacing w:before="110"/>
        <w:ind w:left="948"/>
        <w:jc w:val="both"/>
      </w:pPr>
      <w:r>
        <w:rPr>
          <w:color w:val="333333"/>
        </w:rPr>
        <w:t>申报 2021 年中央补贴的项目被分为非竞争配置和竞争配置两类：</w:t>
      </w:r>
    </w:p>
    <w:p>
      <w:pPr>
        <w:pStyle w:val="ListParagraph"/>
        <w:numPr>
          <w:ilvl w:val="3"/>
          <w:numId w:val="9"/>
        </w:numPr>
        <w:tabs>
          <w:tab w:val="left" w:pos="870"/>
        </w:tabs>
        <w:spacing w:before="116" w:after="0" w:line="235" w:lineRule="auto"/>
        <w:ind w:left="869" w:right="3508" w:hanging="361"/>
        <w:jc w:val="both"/>
        <w:rPr>
          <w:sz w:val="20"/>
        </w:rPr>
      </w:pPr>
      <w:r>
        <w:rPr>
          <w:color w:val="333333"/>
          <w:spacing w:val="-3"/>
          <w:sz w:val="20"/>
        </w:rPr>
        <w:t xml:space="preserve">未纳入 </w:t>
      </w:r>
      <w:r>
        <w:rPr>
          <w:color w:val="333333"/>
          <w:sz w:val="20"/>
        </w:rPr>
        <w:t>2020</w:t>
      </w:r>
      <w:r>
        <w:rPr>
          <w:color w:val="333333"/>
          <w:spacing w:val="-4"/>
          <w:sz w:val="20"/>
        </w:rPr>
        <w:t xml:space="preserve"> 年补贴范围的新增项目以及 </w:t>
      </w:r>
      <w:r>
        <w:rPr>
          <w:color w:val="333333"/>
          <w:sz w:val="20"/>
        </w:rPr>
        <w:t>2020</w:t>
      </w:r>
      <w:r>
        <w:rPr>
          <w:color w:val="333333"/>
          <w:spacing w:val="-4"/>
          <w:sz w:val="20"/>
        </w:rPr>
        <w:t xml:space="preserve"> 底前开工且 </w:t>
      </w:r>
      <w:r>
        <w:rPr>
          <w:color w:val="333333"/>
          <w:sz w:val="20"/>
        </w:rPr>
        <w:t>2021</w:t>
      </w:r>
      <w:r>
        <w:rPr>
          <w:color w:val="333333"/>
          <w:spacing w:val="-3"/>
          <w:sz w:val="20"/>
        </w:rPr>
        <w:t xml:space="preserve"> 年底前</w:t>
      </w:r>
      <w:r>
        <w:rPr>
          <w:color w:val="333333"/>
          <w:spacing w:val="-9"/>
          <w:sz w:val="20"/>
        </w:rPr>
        <w:t>并网发电的项目，归为非竞争配置项目。对于非竞争配置项目，国补金额</w:t>
      </w:r>
      <w:r>
        <w:rPr>
          <w:color w:val="333333"/>
          <w:spacing w:val="4"/>
          <w:sz w:val="20"/>
        </w:rPr>
        <w:t xml:space="preserve">与以往的存量项目以及 </w:t>
      </w:r>
      <w:r>
        <w:rPr>
          <w:color w:val="333333"/>
          <w:sz w:val="20"/>
        </w:rPr>
        <w:t>2020 年底前并网发电的项目基本无异，仍按照</w:t>
      </w:r>
    </w:p>
    <w:p>
      <w:pPr>
        <w:pStyle w:val="BodyText"/>
        <w:spacing w:line="360" w:lineRule="exact"/>
        <w:ind w:left="869"/>
        <w:jc w:val="both"/>
      </w:pPr>
      <w:r>
        <w:rPr>
          <w:color w:val="333333"/>
        </w:rPr>
        <w:t>0.65 元/千瓦时的标杆电价结算。</w:t>
      </w:r>
    </w:p>
    <w:p>
      <w:pPr>
        <w:pStyle w:val="ListParagraph"/>
        <w:numPr>
          <w:ilvl w:val="3"/>
          <w:numId w:val="9"/>
        </w:numPr>
        <w:tabs>
          <w:tab w:val="left" w:pos="869"/>
          <w:tab w:val="left" w:pos="870"/>
        </w:tabs>
        <w:spacing w:before="118" w:after="0" w:line="235" w:lineRule="auto"/>
        <w:ind w:left="869" w:right="3410" w:hanging="361"/>
        <w:jc w:val="left"/>
        <w:rPr>
          <w:sz w:val="20"/>
        </w:rPr>
      </w:pPr>
      <w:r>
        <w:rPr>
          <w:b/>
          <w:color w:val="333333"/>
          <w:sz w:val="20"/>
        </w:rPr>
        <w:t>2021</w:t>
      </w:r>
      <w:r>
        <w:rPr>
          <w:b/>
          <w:color w:val="333333"/>
          <w:spacing w:val="-4"/>
          <w:sz w:val="20"/>
        </w:rPr>
        <w:t xml:space="preserve"> </w:t>
      </w:r>
      <w:r>
        <w:rPr>
          <w:b/>
          <w:i/>
          <w:color w:val="333333"/>
          <w:spacing w:val="-3"/>
          <w:sz w:val="20"/>
        </w:rPr>
        <w:t xml:space="preserve">年 </w:t>
      </w:r>
      <w:r>
        <w:rPr>
          <w:b/>
          <w:color w:val="333333"/>
          <w:sz w:val="20"/>
        </w:rPr>
        <w:t>1</w:t>
      </w:r>
      <w:r>
        <w:rPr>
          <w:b/>
          <w:color w:val="333333"/>
          <w:spacing w:val="-5"/>
          <w:sz w:val="20"/>
        </w:rPr>
        <w:t xml:space="preserve"> </w:t>
      </w:r>
      <w:r>
        <w:rPr>
          <w:b/>
          <w:i/>
          <w:color w:val="333333"/>
          <w:spacing w:val="-2"/>
          <w:sz w:val="20"/>
        </w:rPr>
        <w:t xml:space="preserve">月 </w:t>
      </w:r>
      <w:r>
        <w:rPr>
          <w:b/>
          <w:color w:val="333333"/>
          <w:sz w:val="20"/>
        </w:rPr>
        <w:t>1</w:t>
      </w:r>
      <w:r>
        <w:rPr>
          <w:b/>
          <w:color w:val="333333"/>
          <w:spacing w:val="-4"/>
          <w:sz w:val="20"/>
        </w:rPr>
        <w:t xml:space="preserve"> </w:t>
      </w:r>
      <w:r>
        <w:rPr>
          <w:b/>
          <w:i/>
          <w:color w:val="333333"/>
          <w:sz w:val="20"/>
        </w:rPr>
        <w:t>日以后开工的项目归为竞争配置项目。</w:t>
      </w:r>
      <w:r>
        <w:rPr>
          <w:color w:val="333333"/>
          <w:spacing w:val="-2"/>
          <w:sz w:val="20"/>
        </w:rPr>
        <w:t>由于补贴强度小、</w:t>
      </w:r>
      <w:r>
        <w:rPr>
          <w:color w:val="333333"/>
          <w:spacing w:val="-4"/>
          <w:sz w:val="20"/>
        </w:rPr>
        <w:t xml:space="preserve">退坡幅度大的项目将优先纳入补贴范围，竞争配置项目上网电价可能会低于 </w:t>
      </w:r>
      <w:r>
        <w:rPr>
          <w:color w:val="333333"/>
          <w:sz w:val="20"/>
        </w:rPr>
        <w:t>0.65 元/千瓦时的标杆电价。2021</w:t>
      </w:r>
      <w:r>
        <w:rPr>
          <w:color w:val="333333"/>
          <w:spacing w:val="-1"/>
          <w:sz w:val="20"/>
        </w:rPr>
        <w:t xml:space="preserve"> 年，新增补贴总额 </w:t>
      </w:r>
      <w:r>
        <w:rPr>
          <w:color w:val="333333"/>
          <w:sz w:val="20"/>
        </w:rPr>
        <w:t>25</w:t>
      </w:r>
      <w:r>
        <w:rPr>
          <w:color w:val="333333"/>
          <w:spacing w:val="-1"/>
          <w:sz w:val="20"/>
        </w:rPr>
        <w:t xml:space="preserve"> 亿元中，</w:t>
      </w:r>
      <w:r>
        <w:rPr>
          <w:color w:val="333333"/>
          <w:sz w:val="20"/>
        </w:rPr>
        <w:t xml:space="preserve">20 </w:t>
      </w:r>
      <w:r>
        <w:rPr>
          <w:color w:val="333333"/>
          <w:spacing w:val="-1"/>
          <w:sz w:val="20"/>
        </w:rPr>
        <w:t xml:space="preserve">亿元用于非竞争配置项目，仅有 </w:t>
      </w:r>
      <w:r>
        <w:rPr>
          <w:color w:val="333333"/>
          <w:sz w:val="20"/>
        </w:rPr>
        <w:t>5</w:t>
      </w:r>
      <w:r>
        <w:rPr>
          <w:color w:val="333333"/>
          <w:spacing w:val="-3"/>
          <w:sz w:val="20"/>
        </w:rPr>
        <w:t xml:space="preserve"> 亿元用于竞争配置项目。</w:t>
      </w:r>
    </w:p>
    <w:p>
      <w:pPr>
        <w:pStyle w:val="BodyText"/>
        <w:spacing w:before="109" w:line="364" w:lineRule="exact"/>
        <w:ind w:right="3412"/>
        <w:jc w:val="right"/>
      </w:pPr>
      <w:r>
        <w:rPr>
          <w:color w:val="333333"/>
        </w:rPr>
        <w:t>另外，《方案》还明确了建设期限要求：申请纳入 2021 年竞争配置项目的，</w:t>
      </w:r>
    </w:p>
    <w:p>
      <w:pPr>
        <w:pStyle w:val="BodyText"/>
        <w:spacing w:line="360" w:lineRule="exact"/>
        <w:ind w:right="3511"/>
        <w:jc w:val="right"/>
      </w:pPr>
      <w:r>
        <w:rPr>
          <w:color w:val="333333"/>
        </w:rPr>
        <w:t>需在 2023 年底前完成并网发电，逾期将降低电价补贴标准；非竞争配置项目须在</w:t>
      </w:r>
    </w:p>
    <w:p>
      <w:pPr>
        <w:pStyle w:val="BodyText"/>
        <w:spacing w:line="364" w:lineRule="exact"/>
        <w:ind w:left="107"/>
        <w:jc w:val="both"/>
      </w:pPr>
      <w:r>
        <w:rPr>
          <w:color w:val="333333"/>
        </w:rPr>
        <w:t>2021 年底前完成并网发电，逾期将取消非竞争补贴资格，后续参与竞争配置。</w:t>
      </w:r>
    </w:p>
    <w:p>
      <w:pPr>
        <w:pStyle w:val="Heading3"/>
        <w:numPr>
          <w:ilvl w:val="2"/>
          <w:numId w:val="9"/>
        </w:numPr>
        <w:tabs>
          <w:tab w:val="left" w:pos="757"/>
        </w:tabs>
        <w:spacing w:before="73" w:after="0" w:line="240" w:lineRule="auto"/>
        <w:ind w:left="756" w:right="0" w:hanging="650"/>
        <w:jc w:val="left"/>
      </w:pPr>
      <w:r>
        <w:rPr>
          <w:color w:val="C00000"/>
        </w:rPr>
        <w:t>绿证交易有望保障盈利</w:t>
      </w:r>
    </w:p>
    <w:p>
      <w:pPr>
        <w:pStyle w:val="BodyText"/>
        <w:spacing w:before="132" w:line="235" w:lineRule="auto"/>
        <w:ind w:left="107" w:right="3507" w:firstLine="420"/>
        <w:jc w:val="both"/>
      </w:pPr>
      <w:r>
        <w:rPr>
          <w:color w:val="333333"/>
        </w:rPr>
        <w:t>2023</w:t>
      </w:r>
      <w:r>
        <w:rPr>
          <w:color w:val="333333"/>
          <w:spacing w:val="-9"/>
        </w:rPr>
        <w:t xml:space="preserve"> 年 </w:t>
      </w:r>
      <w:r>
        <w:rPr>
          <w:color w:val="333333"/>
        </w:rPr>
        <w:t>7</w:t>
      </w:r>
      <w:r>
        <w:rPr>
          <w:color w:val="333333"/>
          <w:spacing w:val="-9"/>
        </w:rPr>
        <w:t xml:space="preserve"> 月，国家发展改革委、财政部、国家能源局发布《关于做好可再生</w:t>
      </w:r>
      <w:r>
        <w:rPr>
          <w:color w:val="333333"/>
          <w:spacing w:val="-13"/>
        </w:rPr>
        <w:t>能源绿色电力证书全覆盖工作促进可再生能源电力消费的通知》</w:t>
      </w:r>
      <w:r>
        <w:rPr>
          <w:color w:val="333333"/>
          <w:spacing w:val="-31"/>
        </w:rPr>
        <w:t>，《通知》明确</w:t>
      </w:r>
      <w:r>
        <w:rPr>
          <w:b/>
          <w:i/>
          <w:color w:val="333333"/>
          <w:spacing w:val="-5"/>
        </w:rPr>
        <w:t>对生</w:t>
      </w:r>
      <w:r>
        <w:rPr>
          <w:b/>
          <w:i/>
          <w:color w:val="333333"/>
          <w:spacing w:val="-10"/>
        </w:rPr>
        <w:t>物质发电、地热能发电、海洋能发电等可再生能源发电项目的上网电量，核发可交易绿证</w:t>
      </w:r>
      <w:r>
        <w:rPr>
          <w:color w:val="333333"/>
          <w:spacing w:val="-7"/>
        </w:rPr>
        <w:t>：1）</w:t>
      </w:r>
      <w:r>
        <w:rPr>
          <w:color w:val="333333"/>
          <w:spacing w:val="-1"/>
        </w:rPr>
        <w:t>对不再享受中央财政补贴的项目，绿证收益归发电企业或项目业主所</w:t>
      </w:r>
      <w:r>
        <w:rPr>
          <w:color w:val="333333"/>
          <w:spacing w:val="-4"/>
        </w:rPr>
        <w:t>有，交易方式不限；</w:t>
      </w:r>
      <w:r>
        <w:rPr>
          <w:color w:val="333333"/>
          <w:spacing w:val="-5"/>
        </w:rPr>
        <w:t>2）</w:t>
      </w:r>
      <w:r>
        <w:rPr>
          <w:color w:val="333333"/>
          <w:spacing w:val="-2"/>
        </w:rPr>
        <w:t>对享受中央财政补贴的项目，按照国家相关规定，属于国</w:t>
      </w:r>
      <w:r>
        <w:rPr>
          <w:color w:val="333333"/>
          <w:spacing w:val="-4"/>
          <w:w w:val="95"/>
        </w:rPr>
        <w:t>家保障性收购的，绿证收益等额冲抵中央财政补贴或归国家所有；</w:t>
      </w:r>
      <w:r>
        <w:rPr>
          <w:color w:val="333333"/>
          <w:spacing w:val="-6"/>
          <w:w w:val="95"/>
        </w:rPr>
        <w:t>3）</w:t>
      </w:r>
      <w:r>
        <w:rPr>
          <w:color w:val="333333"/>
          <w:w w:val="95"/>
        </w:rPr>
        <w:t xml:space="preserve">属于市场化   </w:t>
      </w:r>
      <w:r>
        <w:rPr>
          <w:color w:val="333333"/>
          <w:spacing w:val="-11"/>
        </w:rPr>
        <w:t>交易的，绿证收益在中央财政补贴发放时等额扣减。对享受中央财政补贴的项目创造条件尽快采用集中竞价的方式进行交易。</w:t>
      </w:r>
    </w:p>
    <w:p>
      <w:pPr>
        <w:spacing w:after="0" w:line="235" w:lineRule="auto"/>
        <w:jc w:val="both"/>
        <w:sectPr>
          <w:headerReference w:type="default" r:id="rId85"/>
          <w:footerReference w:type="default" r:id="rId86"/>
          <w:pgSz w:w="11910" w:h="16840"/>
          <w:pgMar w:top="1660" w:right="600" w:bottom="740" w:left="600" w:header="708" w:footer="708"/>
          <w:pgNumType w:start="25"/>
          <w:cols w:space="708"/>
        </w:sectPr>
      </w:pPr>
    </w:p>
    <w:p>
      <w:pPr>
        <w:pStyle w:val="BodyText"/>
        <w:spacing w:before="9"/>
        <w:rPr>
          <w:sz w:val="9"/>
        </w:rPr>
      </w:pPr>
    </w:p>
    <w:p>
      <w:pPr>
        <w:spacing w:before="47" w:line="240" w:lineRule="auto"/>
        <w:ind w:left="107" w:right="3411" w:firstLine="420"/>
        <w:jc w:val="left"/>
        <w:rPr>
          <w:b/>
          <w:i/>
          <w:sz w:val="20"/>
        </w:rPr>
      </w:pPr>
      <w:r>
        <w:pict>
          <v:shape id="_x0000_s1236" type="#_x0000_t202" style="width:524.45pt;height:20.65pt;margin-top:73.15pt;margin-left:35.4pt;mso-position-horizontal-relative:page;position:absolute;z-index:-251578368" filled="t" fillcolor="#c00000" stroked="f">
            <v:fill type="solid"/>
            <v:textbox inset="0,0,0,0">
              <w:txbxContent>
                <w:p>
                  <w:pPr>
                    <w:tabs>
                      <w:tab w:val="left" w:pos="2546"/>
                      <w:tab w:val="left" w:pos="4035"/>
                      <w:tab w:val="left" w:pos="7683"/>
                    </w:tabs>
                    <w:spacing w:before="41"/>
                    <w:ind w:left="684" w:right="0" w:firstLine="0"/>
                    <w:jc w:val="left"/>
                    <w:rPr>
                      <w:b/>
                      <w:i/>
                      <w:sz w:val="18"/>
                    </w:rPr>
                  </w:pPr>
                  <w:r>
                    <w:rPr>
                      <w:b/>
                      <w:i/>
                      <w:color w:val="FFFFFF"/>
                      <w:sz w:val="18"/>
                    </w:rPr>
                    <w:t>法规及政策</w:t>
                    <w:tab/>
                    <w:t>发布时间</w:t>
                    <w:tab/>
                    <w:t>发布部门</w:t>
                    <w:tab/>
                    <w:t>内容</w:t>
                  </w:r>
                </w:p>
              </w:txbxContent>
            </v:textbox>
          </v:shape>
        </w:pict>
      </w:r>
      <w:r>
        <w:rPr>
          <w:color w:val="333333"/>
          <w:spacing w:val="-13"/>
          <w:sz w:val="20"/>
        </w:rPr>
        <w:t>《通知》的发布，对于垃圾焚烧发电行业正式进入绿证交易具有里程碑意义。</w:t>
      </w:r>
      <w:r>
        <w:rPr>
          <w:color w:val="333333"/>
          <w:spacing w:val="-3"/>
          <w:sz w:val="20"/>
        </w:rPr>
        <w:t>垃圾焚烧发电加入绿证交易市场不仅会加大市场竞争力度，对于焚烧发电项目本</w:t>
      </w:r>
      <w:r>
        <w:rPr>
          <w:color w:val="333333"/>
          <w:spacing w:val="-8"/>
          <w:sz w:val="20"/>
        </w:rPr>
        <w:t>身也可带来更加多元的收益潜能，</w:t>
      </w:r>
      <w:r>
        <w:rPr>
          <w:b/>
          <w:i/>
          <w:color w:val="333333"/>
          <w:spacing w:val="-12"/>
          <w:sz w:val="20"/>
        </w:rPr>
        <w:t>在一定程度上有望弥补“国补退坡”带来的缺口</w:t>
      </w:r>
      <w:r>
        <w:rPr>
          <w:color w:val="333333"/>
          <w:spacing w:val="-13"/>
          <w:sz w:val="20"/>
        </w:rPr>
        <w:t>。</w:t>
      </w:r>
      <w:r>
        <w:rPr>
          <w:b/>
          <w:i/>
          <w:color w:val="4B4D4F"/>
          <w:sz w:val="20"/>
        </w:rPr>
        <w:t>表</w:t>
      </w:r>
      <w:r>
        <w:rPr>
          <w:b/>
          <w:color w:val="4B4D4F"/>
          <w:sz w:val="20"/>
        </w:rPr>
        <w:t>2</w:t>
      </w:r>
      <w:r>
        <w:rPr>
          <w:b/>
          <w:i/>
          <w:color w:val="4B4D4F"/>
          <w:sz w:val="20"/>
        </w:rPr>
        <w:t>：</w:t>
      </w:r>
      <w:r>
        <w:rPr>
          <w:b/>
          <w:color w:val="4B4D4F"/>
          <w:sz w:val="20"/>
        </w:rPr>
        <w:t xml:space="preserve">2020 </w:t>
      </w:r>
      <w:r>
        <w:rPr>
          <w:b/>
          <w:i/>
          <w:color w:val="4B4D4F"/>
          <w:sz w:val="20"/>
        </w:rPr>
        <w:t>年以来，垃圾焚烧部分政策梳理</w:t>
      </w:r>
    </w:p>
    <w:p>
      <w:pPr>
        <w:pStyle w:val="BodyText"/>
        <w:spacing w:before="10"/>
        <w:rPr>
          <w:b/>
          <w:i/>
          <w:sz w:val="16"/>
        </w:rPr>
      </w:pPr>
    </w:p>
    <w:p>
      <w:pPr>
        <w:spacing w:after="0"/>
        <w:rPr>
          <w:sz w:val="16"/>
        </w:rPr>
        <w:sectPr>
          <w:headerReference w:type="default" r:id="rId87"/>
          <w:footerReference w:type="default" r:id="rId88"/>
          <w:pgSz w:w="11910" w:h="16840"/>
          <w:pgMar w:top="1660" w:right="600" w:bottom="740" w:left="600" w:header="708" w:footer="708"/>
          <w:pgNumType w:start="26"/>
          <w:cols w:space="708"/>
        </w:sectPr>
      </w:pPr>
    </w:p>
    <w:p>
      <w:pPr>
        <w:pStyle w:val="BodyText"/>
        <w:spacing w:before="12"/>
        <w:rPr>
          <w:b/>
          <w:i/>
          <w:sz w:val="11"/>
        </w:rPr>
      </w:pPr>
    </w:p>
    <w:p>
      <w:pPr>
        <w:spacing w:before="1" w:line="254" w:lineRule="auto"/>
        <w:ind w:left="280" w:right="46" w:firstLine="0"/>
        <w:jc w:val="center"/>
        <w:rPr>
          <w:sz w:val="16"/>
        </w:rPr>
      </w:pPr>
      <w:r>
        <w:rPr>
          <w:color w:val="585858"/>
          <w:sz w:val="16"/>
        </w:rPr>
        <w:t>《完善生物质发电项目建设运行的实施方案》</w:t>
      </w:r>
    </w:p>
    <w:p>
      <w:pPr>
        <w:pStyle w:val="BodyText"/>
      </w:pPr>
    </w:p>
    <w:p>
      <w:pPr>
        <w:pStyle w:val="BodyText"/>
        <w:spacing w:before="4"/>
        <w:rPr>
          <w:sz w:val="22"/>
        </w:rPr>
      </w:pPr>
    </w:p>
    <w:p>
      <w:pPr>
        <w:spacing w:before="0" w:line="254" w:lineRule="auto"/>
        <w:ind w:left="280" w:right="46" w:firstLine="0"/>
        <w:jc w:val="center"/>
        <w:rPr>
          <w:sz w:val="16"/>
        </w:rPr>
      </w:pPr>
      <w:r>
        <w:rPr>
          <w:color w:val="585858"/>
          <w:sz w:val="16"/>
        </w:rPr>
        <w:t>《关于促进非水可再生能源发电健康发展的若干意见》有关事项的补充通知</w:t>
      </w:r>
    </w:p>
    <w:p>
      <w:pPr>
        <w:pStyle w:val="BodyText"/>
      </w:pPr>
    </w:p>
    <w:p>
      <w:pPr>
        <w:pStyle w:val="BodyText"/>
      </w:pPr>
    </w:p>
    <w:p>
      <w:pPr>
        <w:pStyle w:val="BodyText"/>
        <w:spacing w:before="3"/>
        <w:rPr>
          <w:sz w:val="19"/>
        </w:rPr>
      </w:pPr>
    </w:p>
    <w:p>
      <w:pPr>
        <w:spacing w:before="0" w:line="254" w:lineRule="auto"/>
        <w:ind w:left="232" w:right="0" w:firstLine="0"/>
        <w:jc w:val="center"/>
        <w:rPr>
          <w:sz w:val="16"/>
        </w:rPr>
      </w:pPr>
      <w:r>
        <w:rPr>
          <w:color w:val="585858"/>
          <w:sz w:val="16"/>
        </w:rPr>
        <w:t>《2021</w:t>
      </w:r>
      <w:r>
        <w:rPr>
          <w:color w:val="585858"/>
          <w:spacing w:val="-5"/>
          <w:sz w:val="16"/>
        </w:rPr>
        <w:t xml:space="preserve"> 年生物质发电项目建</w:t>
      </w:r>
      <w:r>
        <w:rPr>
          <w:color w:val="585858"/>
          <w:spacing w:val="-1"/>
          <w:sz w:val="16"/>
        </w:rPr>
        <w:t>设工作方案》</w:t>
      </w:r>
    </w:p>
    <w:p>
      <w:pPr>
        <w:pStyle w:val="BodyText"/>
      </w:pPr>
    </w:p>
    <w:p>
      <w:pPr>
        <w:pStyle w:val="BodyText"/>
        <w:spacing w:before="15"/>
        <w:rPr>
          <w:sz w:val="13"/>
        </w:rPr>
      </w:pPr>
    </w:p>
    <w:p>
      <w:pPr>
        <w:spacing w:before="0"/>
        <w:ind w:left="232" w:right="0" w:firstLine="0"/>
        <w:jc w:val="center"/>
        <w:rPr>
          <w:sz w:val="16"/>
        </w:rPr>
      </w:pPr>
      <w:r>
        <w:rPr>
          <w:color w:val="585858"/>
          <w:sz w:val="16"/>
        </w:rPr>
        <w:t>《关于加强县级地区生活垃</w:t>
      </w:r>
    </w:p>
    <w:p>
      <w:pPr>
        <w:pStyle w:val="BodyText"/>
        <w:spacing w:before="2"/>
      </w:pPr>
      <w:r>
        <w:br w:type="column"/>
      </w:r>
    </w:p>
    <w:p>
      <w:pPr>
        <w:spacing w:before="1"/>
        <w:ind w:left="232" w:right="0" w:firstLine="0"/>
        <w:jc w:val="left"/>
        <w:rPr>
          <w:sz w:val="16"/>
        </w:rPr>
      </w:pPr>
      <w:r>
        <w:rPr>
          <w:color w:val="585858"/>
          <w:sz w:val="16"/>
        </w:rPr>
        <w:t>2020 年 9</w:t>
      </w:r>
      <w:r>
        <w:rPr>
          <w:color w:val="585858"/>
          <w:spacing w:val="-19"/>
          <w:sz w:val="16"/>
        </w:rPr>
        <w:t xml:space="preserve"> 月</w:t>
      </w:r>
    </w:p>
    <w:p>
      <w:pPr>
        <w:pStyle w:val="BodyText"/>
      </w:pPr>
    </w:p>
    <w:p>
      <w:pPr>
        <w:pStyle w:val="BodyText"/>
      </w:pPr>
    </w:p>
    <w:p>
      <w:pPr>
        <w:pStyle w:val="BodyText"/>
        <w:spacing w:before="12"/>
        <w:rPr>
          <w:sz w:val="28"/>
        </w:rPr>
      </w:pPr>
    </w:p>
    <w:p>
      <w:pPr>
        <w:spacing w:before="0"/>
        <w:ind w:left="232" w:right="0" w:firstLine="0"/>
        <w:jc w:val="left"/>
        <w:rPr>
          <w:sz w:val="16"/>
        </w:rPr>
      </w:pPr>
      <w:r>
        <w:rPr>
          <w:color w:val="585858"/>
          <w:sz w:val="16"/>
        </w:rPr>
        <w:t>2020 年 9</w:t>
      </w:r>
      <w:r>
        <w:rPr>
          <w:color w:val="585858"/>
          <w:spacing w:val="-19"/>
          <w:sz w:val="16"/>
        </w:rPr>
        <w:t xml:space="preserve"> 月</w:t>
      </w:r>
    </w:p>
    <w:p>
      <w:pPr>
        <w:pStyle w:val="BodyText"/>
      </w:pPr>
    </w:p>
    <w:p>
      <w:pPr>
        <w:pStyle w:val="BodyText"/>
      </w:pPr>
    </w:p>
    <w:p>
      <w:pPr>
        <w:pStyle w:val="BodyText"/>
      </w:pPr>
    </w:p>
    <w:p>
      <w:pPr>
        <w:pStyle w:val="BodyText"/>
        <w:spacing w:before="10"/>
        <w:rPr>
          <w:sz w:val="25"/>
        </w:rPr>
      </w:pPr>
    </w:p>
    <w:p>
      <w:pPr>
        <w:spacing w:before="0"/>
        <w:ind w:left="232" w:right="0" w:firstLine="0"/>
        <w:jc w:val="left"/>
        <w:rPr>
          <w:sz w:val="16"/>
        </w:rPr>
      </w:pPr>
      <w:r>
        <w:rPr>
          <w:color w:val="585858"/>
          <w:sz w:val="16"/>
        </w:rPr>
        <w:t>2021 年 8</w:t>
      </w:r>
      <w:r>
        <w:rPr>
          <w:color w:val="585858"/>
          <w:spacing w:val="-19"/>
          <w:sz w:val="16"/>
        </w:rPr>
        <w:t xml:space="preserve"> 月</w:t>
      </w:r>
    </w:p>
    <w:p>
      <w:pPr>
        <w:pStyle w:val="BodyText"/>
        <w:spacing w:before="12"/>
        <w:rPr>
          <w:sz w:val="11"/>
        </w:rPr>
      </w:pPr>
      <w:r>
        <w:br w:type="column"/>
      </w:r>
    </w:p>
    <w:p>
      <w:pPr>
        <w:spacing w:before="1" w:line="254" w:lineRule="auto"/>
        <w:ind w:left="314" w:right="0" w:hanging="82"/>
        <w:jc w:val="left"/>
        <w:rPr>
          <w:sz w:val="16"/>
        </w:rPr>
      </w:pPr>
      <w:r>
        <w:rPr>
          <w:color w:val="585858"/>
          <w:spacing w:val="-4"/>
          <w:sz w:val="16"/>
        </w:rPr>
        <w:t>国家发展改革委、财</w:t>
      </w:r>
      <w:r>
        <w:rPr>
          <w:color w:val="585858"/>
          <w:spacing w:val="-2"/>
          <w:sz w:val="16"/>
        </w:rPr>
        <w:t>政部、国家能源局</w:t>
      </w:r>
    </w:p>
    <w:p>
      <w:pPr>
        <w:pStyle w:val="BodyText"/>
      </w:pPr>
    </w:p>
    <w:p>
      <w:pPr>
        <w:pStyle w:val="BodyText"/>
      </w:pPr>
    </w:p>
    <w:p>
      <w:pPr>
        <w:pStyle w:val="BodyText"/>
        <w:spacing w:before="13"/>
        <w:rPr>
          <w:sz w:val="10"/>
        </w:rPr>
      </w:pPr>
    </w:p>
    <w:p>
      <w:pPr>
        <w:spacing w:before="0" w:line="254" w:lineRule="auto"/>
        <w:ind w:left="314" w:right="0" w:hanging="82"/>
        <w:jc w:val="left"/>
        <w:rPr>
          <w:sz w:val="16"/>
        </w:rPr>
      </w:pPr>
      <w:r>
        <w:rPr>
          <w:color w:val="585858"/>
          <w:spacing w:val="-4"/>
          <w:sz w:val="16"/>
        </w:rPr>
        <w:t>国家发展改革委、财</w:t>
      </w:r>
      <w:r>
        <w:rPr>
          <w:color w:val="585858"/>
          <w:spacing w:val="-2"/>
          <w:sz w:val="16"/>
        </w:rPr>
        <w:t>政部、国家能源局</w:t>
      </w:r>
    </w:p>
    <w:p>
      <w:pPr>
        <w:pStyle w:val="BodyText"/>
      </w:pPr>
    </w:p>
    <w:p>
      <w:pPr>
        <w:pStyle w:val="BodyText"/>
      </w:pPr>
    </w:p>
    <w:p>
      <w:pPr>
        <w:pStyle w:val="BodyText"/>
        <w:spacing w:before="12"/>
        <w:rPr>
          <w:sz w:val="27"/>
        </w:rPr>
      </w:pPr>
    </w:p>
    <w:p>
      <w:pPr>
        <w:spacing w:before="0" w:line="254" w:lineRule="auto"/>
        <w:ind w:left="314" w:right="0" w:hanging="82"/>
        <w:jc w:val="left"/>
        <w:rPr>
          <w:sz w:val="16"/>
        </w:rPr>
      </w:pPr>
      <w:r>
        <w:rPr>
          <w:color w:val="585858"/>
          <w:spacing w:val="-4"/>
          <w:sz w:val="16"/>
        </w:rPr>
        <w:t>国家发展改革委、财</w:t>
      </w:r>
      <w:r>
        <w:rPr>
          <w:color w:val="585858"/>
          <w:spacing w:val="-2"/>
          <w:sz w:val="16"/>
        </w:rPr>
        <w:t>政部、国家能源局</w:t>
      </w:r>
    </w:p>
    <w:p>
      <w:pPr>
        <w:spacing w:before="59" w:line="254" w:lineRule="auto"/>
        <w:ind w:left="197" w:right="220" w:firstLine="0"/>
        <w:jc w:val="both"/>
        <w:rPr>
          <w:sz w:val="16"/>
        </w:rPr>
      </w:pPr>
      <w:r>
        <w:br w:type="column"/>
      </w:r>
      <w:r>
        <w:rPr>
          <w:color w:val="585858"/>
          <w:spacing w:val="-8"/>
          <w:sz w:val="16"/>
        </w:rPr>
        <w:t>纳入规则按项目全部机组并网时间先后次序排序，并网时间早者优先，直</w:t>
      </w:r>
      <w:r>
        <w:rPr>
          <w:color w:val="585858"/>
          <w:spacing w:val="-6"/>
          <w:sz w:val="16"/>
        </w:rPr>
        <w:t xml:space="preserve">至入选项目所需补贴总额达到 </w:t>
      </w:r>
      <w:r>
        <w:rPr>
          <w:color w:val="585858"/>
          <w:sz w:val="16"/>
        </w:rPr>
        <w:t>2020</w:t>
      </w:r>
      <w:r>
        <w:rPr>
          <w:color w:val="585858"/>
          <w:spacing w:val="-4"/>
          <w:sz w:val="16"/>
        </w:rPr>
        <w:t xml:space="preserve"> 年中央新增补贴资金额度 </w:t>
      </w:r>
      <w:r>
        <w:rPr>
          <w:color w:val="585858"/>
          <w:sz w:val="16"/>
        </w:rPr>
        <w:t>15</w:t>
      </w:r>
      <w:r>
        <w:rPr>
          <w:color w:val="585858"/>
          <w:spacing w:val="-4"/>
          <w:sz w:val="16"/>
        </w:rPr>
        <w:t xml:space="preserve"> 亿元为止</w:t>
      </w:r>
    </w:p>
    <w:p>
      <w:pPr>
        <w:spacing w:before="0" w:line="254" w:lineRule="auto"/>
        <w:ind w:left="197" w:right="200" w:firstLine="0"/>
        <w:jc w:val="both"/>
        <w:rPr>
          <w:b/>
          <w:i/>
          <w:sz w:val="16"/>
        </w:rPr>
      </w:pPr>
      <w:r>
        <w:pict>
          <v:shape id="_x0000_s1237" style="width:524.05pt;height:109.25pt;margin-top:-0.48pt;margin-left:35.4pt;mso-position-horizontal-relative:page;position:absolute;z-index:-251577344" coordorigin="708,-10" coordsize="10481,2185" path="m4254,-9l2976,-9,708,-9,708,2175,2976,2175,4254,2175,4254,-9m11188,-9l11080,-9,11080,-10,6063,-10,6063,-9,5955,-9,4254,-9,4254,2175,5955,2175,6063,2175,11080,2175,11188,2175,11188,-9e" filled="t" fillcolor="#d9d9d9" stroked="f">
            <v:fill type="solid"/>
            <v:path arrowok="t"/>
          </v:shape>
        </w:pict>
      </w:r>
      <w:r>
        <w:rPr>
          <w:color w:val="585858"/>
          <w:spacing w:val="-3"/>
          <w:sz w:val="16"/>
        </w:rPr>
        <w:t>项目全生命周期补贴电量=项目容量×项目全生命周期合理利用小时数， 按合理利用小时数核定可再生能源发电项目中央财政补贴资金额度。生</w:t>
      </w:r>
      <w:r>
        <w:rPr>
          <w:color w:val="585858"/>
          <w:spacing w:val="-10"/>
          <w:sz w:val="16"/>
        </w:rPr>
        <w:t>物质发电项目，包括农林生物质发电、垃圾焚烧发电和沼气发电项目，</w:t>
      </w:r>
      <w:r>
        <w:rPr>
          <w:b/>
          <w:i/>
          <w:color w:val="585858"/>
          <w:sz w:val="16"/>
        </w:rPr>
        <w:t>全</w:t>
      </w:r>
      <w:r>
        <w:rPr>
          <w:b/>
          <w:i/>
          <w:color w:val="585858"/>
          <w:spacing w:val="-3"/>
          <w:sz w:val="16"/>
        </w:rPr>
        <w:t xml:space="preserve">生命周期合理利用小时数为 </w:t>
      </w:r>
      <w:r>
        <w:rPr>
          <w:b/>
          <w:color w:val="585858"/>
          <w:sz w:val="16"/>
        </w:rPr>
        <w:t xml:space="preserve">82500 </w:t>
      </w:r>
      <w:r>
        <w:rPr>
          <w:b/>
          <w:i/>
          <w:color w:val="585858"/>
          <w:spacing w:val="-7"/>
          <w:sz w:val="16"/>
        </w:rPr>
        <w:t>小时，所发电量超过全生命周期补贴</w:t>
      </w:r>
    </w:p>
    <w:p>
      <w:pPr>
        <w:spacing w:before="0" w:line="254" w:lineRule="auto"/>
        <w:ind w:left="197" w:right="221" w:firstLine="0"/>
        <w:jc w:val="both"/>
        <w:rPr>
          <w:b/>
          <w:i/>
          <w:sz w:val="16"/>
        </w:rPr>
      </w:pPr>
      <w:r>
        <w:rPr>
          <w:b/>
          <w:i/>
          <w:color w:val="585858"/>
          <w:spacing w:val="-6"/>
          <w:sz w:val="16"/>
        </w:rPr>
        <w:t>电量部分，不再享受中央财政补贴资金。</w:t>
      </w:r>
      <w:r>
        <w:rPr>
          <w:color w:val="585858"/>
          <w:spacing w:val="-3"/>
          <w:sz w:val="16"/>
        </w:rPr>
        <w:t xml:space="preserve">自并网之日起满 </w:t>
      </w:r>
      <w:r>
        <w:rPr>
          <w:color w:val="585858"/>
          <w:sz w:val="16"/>
        </w:rPr>
        <w:t>15</w:t>
      </w:r>
      <w:r>
        <w:rPr>
          <w:color w:val="585858"/>
          <w:spacing w:val="-5"/>
          <w:sz w:val="16"/>
        </w:rPr>
        <w:t xml:space="preserve"> 年后，无论</w:t>
      </w:r>
      <w:r>
        <w:rPr>
          <w:color w:val="585858"/>
          <w:spacing w:val="-9"/>
          <w:sz w:val="16"/>
        </w:rPr>
        <w:t>项目是否达到全生命周期补贴电量，不再享受中央财政补贴资金，</w:t>
      </w:r>
      <w:r>
        <w:rPr>
          <w:b/>
          <w:i/>
          <w:color w:val="585858"/>
          <w:spacing w:val="-2"/>
          <w:sz w:val="16"/>
        </w:rPr>
        <w:t>核发绿</w:t>
      </w:r>
      <w:r>
        <w:rPr>
          <w:b/>
          <w:i/>
          <w:color w:val="585858"/>
          <w:spacing w:val="-3"/>
          <w:sz w:val="16"/>
        </w:rPr>
        <w:t>证准许参与绿证交易</w:t>
      </w:r>
    </w:p>
    <w:p>
      <w:pPr>
        <w:spacing w:before="0" w:line="254" w:lineRule="auto"/>
        <w:ind w:left="197" w:right="221" w:firstLine="0"/>
        <w:jc w:val="both"/>
        <w:rPr>
          <w:sz w:val="16"/>
        </w:rPr>
      </w:pPr>
      <w:r>
        <w:rPr>
          <w:color w:val="585858"/>
          <w:spacing w:val="-3"/>
          <w:sz w:val="16"/>
        </w:rPr>
        <w:t>一是中央补贴资金安排，</w:t>
      </w:r>
      <w:r>
        <w:rPr>
          <w:color w:val="585858"/>
          <w:spacing w:val="-6"/>
          <w:sz w:val="16"/>
        </w:rPr>
        <w:t>2021</w:t>
      </w:r>
      <w:r>
        <w:rPr>
          <w:color w:val="585858"/>
          <w:spacing w:val="-1"/>
          <w:sz w:val="16"/>
        </w:rPr>
        <w:t xml:space="preserve"> 年生物质发电中央补贴资金总额为 </w:t>
      </w:r>
      <w:r>
        <w:rPr>
          <w:color w:val="585858"/>
          <w:sz w:val="16"/>
        </w:rPr>
        <w:t>25</w:t>
      </w:r>
      <w:r>
        <w:rPr>
          <w:color w:val="585858"/>
          <w:spacing w:val="-2"/>
          <w:sz w:val="16"/>
        </w:rPr>
        <w:t xml:space="preserve"> 亿元，用于安排非竞争配置项目的中央补贴资金  </w:t>
      </w:r>
      <w:r>
        <w:rPr>
          <w:color w:val="585858"/>
          <w:sz w:val="16"/>
        </w:rPr>
        <w:t>20</w:t>
      </w:r>
      <w:r>
        <w:rPr>
          <w:color w:val="585858"/>
          <w:spacing w:val="-2"/>
          <w:sz w:val="16"/>
        </w:rPr>
        <w:t xml:space="preserve">  亿元；用于安排竞争</w:t>
      </w:r>
    </w:p>
    <w:p>
      <w:pPr>
        <w:spacing w:before="0" w:line="294" w:lineRule="exact"/>
        <w:ind w:left="197" w:right="0" w:firstLine="0"/>
        <w:jc w:val="both"/>
        <w:rPr>
          <w:sz w:val="16"/>
        </w:rPr>
      </w:pPr>
      <w:r>
        <w:rPr>
          <w:color w:val="585858"/>
          <w:spacing w:val="-2"/>
          <w:sz w:val="16"/>
        </w:rPr>
        <w:t xml:space="preserve">配置项目的中央补贴资金 </w:t>
      </w:r>
      <w:r>
        <w:rPr>
          <w:color w:val="585858"/>
          <w:sz w:val="16"/>
        </w:rPr>
        <w:t>5</w:t>
      </w:r>
      <w:r>
        <w:rPr>
          <w:color w:val="585858"/>
          <w:spacing w:val="-3"/>
          <w:sz w:val="16"/>
        </w:rPr>
        <w:t xml:space="preserve"> 亿元。二是央地分担规则，</w:t>
      </w:r>
      <w:r>
        <w:rPr>
          <w:color w:val="585858"/>
          <w:sz w:val="16"/>
        </w:rPr>
        <w:t>2020</w:t>
      </w:r>
      <w:r>
        <w:rPr>
          <w:color w:val="585858"/>
          <w:spacing w:val="-1"/>
          <w:sz w:val="16"/>
        </w:rPr>
        <w:t xml:space="preserve"> 年 </w:t>
      </w:r>
      <w:r>
        <w:rPr>
          <w:color w:val="585858"/>
          <w:sz w:val="16"/>
        </w:rPr>
        <w:t>9</w:t>
      </w:r>
      <w:r>
        <w:rPr>
          <w:color w:val="585858"/>
          <w:spacing w:val="-2"/>
          <w:sz w:val="16"/>
        </w:rPr>
        <w:t xml:space="preserve"> 月 </w:t>
      </w:r>
      <w:r>
        <w:rPr>
          <w:color w:val="585858"/>
          <w:sz w:val="16"/>
        </w:rPr>
        <w:t>11</w:t>
      </w:r>
    </w:p>
    <w:p>
      <w:pPr>
        <w:spacing w:before="12"/>
        <w:ind w:left="197" w:right="0" w:firstLine="0"/>
        <w:jc w:val="left"/>
        <w:rPr>
          <w:sz w:val="16"/>
        </w:rPr>
      </w:pPr>
      <w:r>
        <w:rPr>
          <w:color w:val="585858"/>
          <w:spacing w:val="-3"/>
          <w:sz w:val="16"/>
        </w:rPr>
        <w:t>日前全部机组并网项目的补贴资金全部由中央承担。</w:t>
      </w:r>
      <w:r>
        <w:rPr>
          <w:color w:val="585858"/>
          <w:sz w:val="16"/>
        </w:rPr>
        <w:t>2020</w:t>
      </w:r>
      <w:r>
        <w:rPr>
          <w:color w:val="585858"/>
          <w:spacing w:val="-3"/>
          <w:sz w:val="16"/>
        </w:rPr>
        <w:t xml:space="preserve"> 年 </w:t>
      </w:r>
      <w:r>
        <w:rPr>
          <w:color w:val="585858"/>
          <w:sz w:val="16"/>
        </w:rPr>
        <w:t>9</w:t>
      </w:r>
      <w:r>
        <w:rPr>
          <w:color w:val="585858"/>
          <w:spacing w:val="-4"/>
          <w:sz w:val="16"/>
        </w:rPr>
        <w:t xml:space="preserve"> 月 </w:t>
      </w:r>
      <w:r>
        <w:rPr>
          <w:color w:val="585858"/>
          <w:sz w:val="16"/>
        </w:rPr>
        <w:t>11</w:t>
      </w:r>
      <w:r>
        <w:rPr>
          <w:color w:val="585858"/>
          <w:spacing w:val="-2"/>
          <w:sz w:val="16"/>
        </w:rPr>
        <w:t xml:space="preserve"> 日</w:t>
      </w:r>
    </w:p>
    <w:p>
      <w:pPr>
        <w:spacing w:before="17"/>
        <w:ind w:left="197" w:right="0" w:firstLine="0"/>
        <w:jc w:val="left"/>
        <w:rPr>
          <w:sz w:val="16"/>
        </w:rPr>
      </w:pPr>
      <w:r>
        <w:rPr>
          <w:color w:val="585858"/>
          <w:sz w:val="16"/>
        </w:rPr>
        <w:t>（含）以后全部机组并网项目的补贴资金实行央地分担。</w:t>
      </w:r>
    </w:p>
    <w:p>
      <w:pPr>
        <w:spacing w:before="2" w:line="310" w:lineRule="atLeast"/>
        <w:ind w:left="197" w:right="222" w:firstLine="0"/>
        <w:jc w:val="left"/>
        <w:rPr>
          <w:sz w:val="16"/>
        </w:rPr>
      </w:pPr>
      <w:r>
        <w:pict>
          <v:shape id="_x0000_s1238" style="width:524.05pt;height:62.45pt;margin-top:0.37pt;margin-left:35.4pt;mso-position-horizontal-relative:page;position:absolute;z-index:-251576320" coordorigin="708,7" coordsize="10481,1249" path="m4254,7l2976,7,708,7,708,1256,2976,1256,4254,1256,4254,7m11188,7l5955,7,4254,7,4254,1256,5955,1256,6063,1256,11080,1256,11188,1256,11188,7e" filled="t" fillcolor="#d9d9d9" stroked="f">
            <v:fill type="solid"/>
            <v:path arrowok="t"/>
          </v:shape>
        </w:pict>
      </w:r>
      <w:r>
        <w:rPr>
          <w:color w:val="585858"/>
          <w:spacing w:val="20"/>
          <w:sz w:val="16"/>
        </w:rPr>
        <w:t xml:space="preserve">到 </w:t>
      </w:r>
      <w:r>
        <w:rPr>
          <w:color w:val="585858"/>
          <w:sz w:val="16"/>
        </w:rPr>
        <w:t>2030</w:t>
      </w:r>
      <w:r>
        <w:rPr>
          <w:color w:val="585858"/>
          <w:spacing w:val="-3"/>
          <w:sz w:val="16"/>
        </w:rPr>
        <w:t xml:space="preserve"> 年，全国县级地区生活垃圾分类和处理设施供给能力和水平进</w:t>
      </w:r>
      <w:r>
        <w:rPr>
          <w:color w:val="585858"/>
          <w:spacing w:val="-10"/>
          <w:sz w:val="16"/>
        </w:rPr>
        <w:t>一步提高，小型生活垃圾焚烧处理设施技术、商业模式进一步成熟，除少</w:t>
      </w:r>
    </w:p>
    <w:p>
      <w:pPr>
        <w:spacing w:after="0" w:line="310" w:lineRule="atLeast"/>
        <w:jc w:val="left"/>
        <w:rPr>
          <w:sz w:val="16"/>
        </w:rPr>
        <w:sectPr>
          <w:headerReference w:type="default" r:id="rId89"/>
          <w:footerReference w:type="default" r:id="rId90"/>
          <w:type w:val="continuous"/>
          <w:pgSz w:w="11910" w:h="16840"/>
          <w:pgMar w:top="1660" w:right="600" w:bottom="740" w:left="600" w:header="708" w:footer="708"/>
          <w:pgNumType w:start="27"/>
          <w:cols w:num="4" w:space="708" w:equalWidth="0">
            <w:col w:w="2252" w:space="74"/>
            <w:col w:w="1146" w:space="79"/>
            <w:col w:w="1676" w:space="39"/>
            <w:col w:w="5444" w:space="0"/>
          </w:cols>
        </w:sectPr>
      </w:pPr>
    </w:p>
    <w:p>
      <w:pPr>
        <w:spacing w:before="0" w:line="158" w:lineRule="exact"/>
        <w:ind w:left="280" w:right="0" w:firstLine="0"/>
        <w:jc w:val="center"/>
        <w:rPr>
          <w:sz w:val="16"/>
        </w:rPr>
      </w:pPr>
      <w:r>
        <w:rPr>
          <w:color w:val="585858"/>
          <w:sz w:val="16"/>
        </w:rPr>
        <w:t>圾焚烧处理设施建设的指导</w:t>
      </w:r>
    </w:p>
    <w:p>
      <w:pPr>
        <w:spacing w:before="17"/>
        <w:ind w:left="281" w:right="0" w:firstLine="0"/>
        <w:jc w:val="center"/>
        <w:rPr>
          <w:sz w:val="16"/>
        </w:rPr>
      </w:pPr>
      <w:r>
        <w:rPr>
          <w:color w:val="585858"/>
          <w:sz w:val="16"/>
        </w:rPr>
        <w:t>意见》</w:t>
      </w:r>
    </w:p>
    <w:p>
      <w:pPr>
        <w:spacing w:before="173" w:line="254" w:lineRule="auto"/>
        <w:ind w:left="280" w:right="0" w:firstLine="0"/>
        <w:jc w:val="both"/>
        <w:rPr>
          <w:sz w:val="16"/>
        </w:rPr>
      </w:pPr>
      <w:r>
        <w:pict>
          <v:shape id="_x0000_s1239" style="width:524.05pt;height:46.8pt;margin-top:54.97pt;margin-left:35.4pt;mso-position-horizontal-relative:page;position:absolute;z-index:-251575296" coordorigin="708,1099" coordsize="10481,936" path="m4254,1099l2976,1099,2868,1099,816,1099,708,1099,708,2035,816,2035,2868,2035,2976,2035,4254,2035,4254,1099m11188,1099l5955,1099,4254,1099,4254,2035,5955,2035,11188,2035,11188,1099e" filled="t" fillcolor="#d9d9d9" stroked="f">
            <v:fill type="solid"/>
            <v:path arrowok="t"/>
          </v:shape>
        </w:pict>
      </w:r>
      <w:r>
        <w:rPr>
          <w:color w:val="585858"/>
          <w:spacing w:val="-5"/>
          <w:sz w:val="16"/>
        </w:rPr>
        <w:t>《关于做好可再生能源绿色电力证书全覆盖工作促进可再生能源电力消费的通知》</w:t>
      </w:r>
    </w:p>
    <w:p>
      <w:pPr>
        <w:spacing w:before="0" w:line="293" w:lineRule="exact"/>
        <w:ind w:left="280" w:right="0" w:firstLine="0"/>
        <w:jc w:val="center"/>
        <w:rPr>
          <w:sz w:val="16"/>
        </w:rPr>
      </w:pPr>
      <w:r>
        <w:rPr>
          <w:color w:val="585858"/>
          <w:spacing w:val="-5"/>
          <w:sz w:val="16"/>
        </w:rPr>
        <w:t>《关于规范实施政府和社会</w:t>
      </w:r>
    </w:p>
    <w:p>
      <w:pPr>
        <w:tabs>
          <w:tab w:val="left" w:pos="1700"/>
        </w:tabs>
        <w:spacing w:before="0" w:line="158" w:lineRule="exact"/>
        <w:ind w:left="270" w:right="0" w:firstLine="0"/>
        <w:jc w:val="left"/>
        <w:rPr>
          <w:sz w:val="16"/>
        </w:rPr>
      </w:pPr>
      <w:r>
        <w:br w:type="column"/>
      </w:r>
      <w:r>
        <w:rPr>
          <w:color w:val="585858"/>
          <w:sz w:val="16"/>
        </w:rPr>
        <w:t>2022 年</w:t>
      </w:r>
      <w:r>
        <w:rPr>
          <w:color w:val="585858"/>
          <w:spacing w:val="-15"/>
          <w:sz w:val="16"/>
        </w:rPr>
        <w:t xml:space="preserve"> </w:t>
      </w:r>
      <w:r>
        <w:rPr>
          <w:color w:val="585858"/>
          <w:sz w:val="16"/>
        </w:rPr>
        <w:t>11</w:t>
      </w:r>
      <w:r>
        <w:rPr>
          <w:color w:val="585858"/>
          <w:spacing w:val="-7"/>
          <w:sz w:val="16"/>
        </w:rPr>
        <w:t xml:space="preserve"> </w:t>
      </w:r>
      <w:r>
        <w:rPr>
          <w:color w:val="585858"/>
          <w:sz w:val="16"/>
        </w:rPr>
        <w:t>月</w:t>
        <w:tab/>
        <w:t>国家发</w:t>
      </w:r>
      <w:r>
        <w:rPr>
          <w:color w:val="585858"/>
          <w:spacing w:val="-3"/>
          <w:sz w:val="16"/>
        </w:rPr>
        <w:t>展</w:t>
      </w:r>
      <w:r>
        <w:rPr>
          <w:color w:val="585858"/>
          <w:sz w:val="16"/>
        </w:rPr>
        <w:t>改革委</w:t>
      </w:r>
    </w:p>
    <w:p>
      <w:pPr>
        <w:pStyle w:val="BodyText"/>
      </w:pPr>
    </w:p>
    <w:p>
      <w:pPr>
        <w:pStyle w:val="BodyText"/>
        <w:spacing w:before="14"/>
        <w:rPr>
          <w:sz w:val="14"/>
        </w:rPr>
      </w:pPr>
    </w:p>
    <w:p>
      <w:pPr>
        <w:spacing w:before="0" w:line="225" w:lineRule="exact"/>
        <w:ind w:left="1540" w:right="0" w:firstLine="0"/>
        <w:jc w:val="left"/>
        <w:rPr>
          <w:sz w:val="16"/>
        </w:rPr>
      </w:pPr>
      <w:r>
        <w:rPr>
          <w:color w:val="585858"/>
          <w:sz w:val="16"/>
        </w:rPr>
        <w:t>国家发展改革委、财</w:t>
      </w:r>
    </w:p>
    <w:p>
      <w:pPr>
        <w:spacing w:before="0" w:line="156" w:lineRule="exact"/>
        <w:ind w:left="315" w:right="0" w:firstLine="0"/>
        <w:jc w:val="left"/>
        <w:rPr>
          <w:sz w:val="16"/>
        </w:rPr>
      </w:pPr>
      <w:r>
        <w:rPr>
          <w:color w:val="585858"/>
          <w:sz w:val="16"/>
        </w:rPr>
        <w:t>2023 年 7 月</w:t>
      </w:r>
    </w:p>
    <w:p>
      <w:pPr>
        <w:spacing w:before="0" w:line="225" w:lineRule="exact"/>
        <w:ind w:left="1621" w:right="0" w:firstLine="0"/>
        <w:jc w:val="left"/>
        <w:rPr>
          <w:sz w:val="16"/>
        </w:rPr>
      </w:pPr>
      <w:r>
        <w:rPr>
          <w:color w:val="585858"/>
          <w:sz w:val="16"/>
        </w:rPr>
        <w:t>政部、国家能源局</w:t>
      </w:r>
    </w:p>
    <w:p>
      <w:pPr>
        <w:pStyle w:val="BodyText"/>
        <w:spacing w:before="16"/>
        <w:rPr>
          <w:sz w:val="17"/>
        </w:rPr>
      </w:pPr>
    </w:p>
    <w:p>
      <w:pPr>
        <w:spacing w:before="0" w:line="197" w:lineRule="exact"/>
        <w:ind w:left="1540" w:right="0" w:firstLine="0"/>
        <w:jc w:val="left"/>
        <w:rPr>
          <w:sz w:val="16"/>
        </w:rPr>
      </w:pPr>
      <w:r>
        <w:rPr>
          <w:color w:val="585858"/>
          <w:sz w:val="16"/>
        </w:rPr>
        <w:t>国家发展改革委、财</w:t>
      </w:r>
    </w:p>
    <w:p>
      <w:pPr>
        <w:spacing w:before="19" w:line="254" w:lineRule="auto"/>
        <w:ind w:left="197" w:right="224" w:firstLine="0"/>
        <w:jc w:val="left"/>
        <w:rPr>
          <w:sz w:val="16"/>
        </w:rPr>
      </w:pPr>
      <w:r>
        <w:br w:type="column"/>
      </w:r>
      <w:r>
        <w:rPr>
          <w:color w:val="585858"/>
          <w:sz w:val="16"/>
        </w:rPr>
        <w:t>数不具备条件的特殊区域外，全国县级地区生活垃圾焚烧处理能力基本满足处理需求。</w:t>
      </w:r>
    </w:p>
    <w:p>
      <w:pPr>
        <w:spacing w:before="155" w:line="254" w:lineRule="auto"/>
        <w:ind w:left="197" w:right="222" w:firstLine="0"/>
        <w:jc w:val="left"/>
        <w:rPr>
          <w:sz w:val="16"/>
        </w:rPr>
      </w:pPr>
      <w:r>
        <w:rPr>
          <w:color w:val="585858"/>
          <w:spacing w:val="-12"/>
          <w:sz w:val="16"/>
        </w:rPr>
        <w:t>对生物质发电、地热能发电、海洋能发电等可再生能源发电项目的上网电</w:t>
      </w:r>
      <w:r>
        <w:rPr>
          <w:color w:val="585858"/>
          <w:spacing w:val="-7"/>
          <w:sz w:val="16"/>
        </w:rPr>
        <w:t>量，核发可交易绿证</w:t>
      </w:r>
    </w:p>
    <w:p>
      <w:pPr>
        <w:pStyle w:val="BodyText"/>
        <w:spacing w:before="16"/>
        <w:rPr>
          <w:sz w:val="16"/>
        </w:rPr>
      </w:pPr>
    </w:p>
    <w:p>
      <w:pPr>
        <w:spacing w:before="0" w:line="197" w:lineRule="exact"/>
        <w:ind w:left="197" w:right="0" w:firstLine="0"/>
        <w:jc w:val="left"/>
        <w:rPr>
          <w:sz w:val="16"/>
        </w:rPr>
      </w:pPr>
      <w:r>
        <w:rPr>
          <w:color w:val="585858"/>
          <w:sz w:val="16"/>
        </w:rPr>
        <w:t>政府和社会资本合作项目应聚焦使用者付费项目，明确收费渠道和方式；</w:t>
      </w:r>
    </w:p>
    <w:p>
      <w:pPr>
        <w:spacing w:after="0" w:line="197" w:lineRule="exact"/>
        <w:jc w:val="left"/>
        <w:rPr>
          <w:sz w:val="16"/>
        </w:rPr>
        <w:sectPr>
          <w:headerReference w:type="default" r:id="rId91"/>
          <w:footerReference w:type="default" r:id="rId92"/>
          <w:type w:val="continuous"/>
          <w:pgSz w:w="11910" w:h="16840"/>
          <w:pgMar w:top="1660" w:right="600" w:bottom="740" w:left="600" w:header="708" w:footer="708"/>
          <w:pgNumType w:start="28"/>
          <w:cols w:num="3" w:space="708" w:equalWidth="0">
            <w:col w:w="2204" w:space="40"/>
            <w:col w:w="2983" w:space="39"/>
            <w:col w:w="5444" w:space="0"/>
          </w:cols>
        </w:sectPr>
      </w:pPr>
    </w:p>
    <w:p>
      <w:pPr>
        <w:spacing w:before="0" w:line="254" w:lineRule="exact"/>
        <w:ind w:left="283" w:right="0" w:firstLine="0"/>
        <w:jc w:val="center"/>
        <w:rPr>
          <w:sz w:val="16"/>
        </w:rPr>
      </w:pPr>
      <w:r>
        <w:rPr>
          <w:color w:val="585858"/>
          <w:sz w:val="16"/>
        </w:rPr>
        <w:t>资本合作新机制的指导意</w:t>
      </w:r>
    </w:p>
    <w:p>
      <w:pPr>
        <w:spacing w:before="17"/>
        <w:ind w:left="284" w:right="0" w:firstLine="0"/>
        <w:jc w:val="center"/>
        <w:rPr>
          <w:sz w:val="16"/>
        </w:rPr>
      </w:pPr>
      <w:r>
        <w:rPr>
          <w:color w:val="585858"/>
          <w:sz w:val="16"/>
        </w:rPr>
        <w:t>见》</w:t>
      </w:r>
    </w:p>
    <w:p>
      <w:pPr>
        <w:spacing w:before="173" w:line="197" w:lineRule="exact"/>
        <w:ind w:left="280" w:right="0" w:firstLine="0"/>
        <w:jc w:val="center"/>
        <w:rPr>
          <w:sz w:val="16"/>
        </w:rPr>
      </w:pPr>
      <w:r>
        <w:rPr>
          <w:color w:val="585858"/>
          <w:sz w:val="16"/>
        </w:rPr>
        <w:t>《全面推进美丽中国建设的</w:t>
      </w:r>
    </w:p>
    <w:p>
      <w:pPr>
        <w:spacing w:before="0" w:line="254" w:lineRule="exact"/>
        <w:ind w:left="270" w:right="0" w:firstLine="0"/>
        <w:jc w:val="left"/>
        <w:rPr>
          <w:sz w:val="16"/>
        </w:rPr>
      </w:pPr>
      <w:r>
        <w:br w:type="column"/>
      </w:r>
      <w:r>
        <w:rPr>
          <w:color w:val="585858"/>
          <w:sz w:val="16"/>
        </w:rPr>
        <w:t>2023 年 11 月</w:t>
      </w:r>
    </w:p>
    <w:p>
      <w:pPr>
        <w:tabs>
          <w:tab w:val="left" w:pos="1399"/>
        </w:tabs>
        <w:spacing w:before="115"/>
        <w:ind w:left="280" w:right="0" w:firstLine="0"/>
        <w:jc w:val="left"/>
        <w:rPr>
          <w:sz w:val="16"/>
        </w:rPr>
      </w:pPr>
      <w:r>
        <w:br w:type="column"/>
      </w:r>
      <w:r>
        <w:rPr>
          <w:color w:val="585858"/>
          <w:sz w:val="16"/>
        </w:rPr>
        <w:t>政部</w:t>
        <w:tab/>
        <w:t>市场化</w:t>
      </w:r>
      <w:r>
        <w:rPr>
          <w:color w:val="585858"/>
          <w:spacing w:val="-3"/>
          <w:sz w:val="16"/>
        </w:rPr>
        <w:t>程</w:t>
      </w:r>
      <w:r>
        <w:rPr>
          <w:color w:val="585858"/>
          <w:sz w:val="16"/>
        </w:rPr>
        <w:t>度较</w:t>
      </w:r>
      <w:r>
        <w:rPr>
          <w:color w:val="585858"/>
          <w:spacing w:val="-3"/>
          <w:sz w:val="16"/>
        </w:rPr>
        <w:t>高</w:t>
      </w:r>
      <w:r>
        <w:rPr>
          <w:color w:val="585858"/>
          <w:sz w:val="16"/>
        </w:rPr>
        <w:t>、公</w:t>
      </w:r>
      <w:r>
        <w:rPr>
          <w:color w:val="585858"/>
          <w:spacing w:val="-3"/>
          <w:sz w:val="16"/>
        </w:rPr>
        <w:t>共</w:t>
      </w:r>
      <w:r>
        <w:rPr>
          <w:color w:val="585858"/>
          <w:sz w:val="16"/>
        </w:rPr>
        <w:t>属性</w:t>
      </w:r>
      <w:r>
        <w:rPr>
          <w:color w:val="585858"/>
          <w:spacing w:val="-3"/>
          <w:sz w:val="16"/>
        </w:rPr>
        <w:t>较</w:t>
      </w:r>
      <w:r>
        <w:rPr>
          <w:color w:val="585858"/>
          <w:sz w:val="16"/>
        </w:rPr>
        <w:t>弱</w:t>
      </w:r>
      <w:r>
        <w:rPr>
          <w:color w:val="585858"/>
          <w:spacing w:val="-3"/>
          <w:sz w:val="16"/>
        </w:rPr>
        <w:t>的</w:t>
      </w:r>
      <w:r>
        <w:rPr>
          <w:color w:val="585858"/>
          <w:sz w:val="16"/>
        </w:rPr>
        <w:t>项目，</w:t>
      </w:r>
      <w:r>
        <w:rPr>
          <w:color w:val="585858"/>
          <w:spacing w:val="-3"/>
          <w:sz w:val="16"/>
        </w:rPr>
        <w:t>应</w:t>
      </w:r>
      <w:r>
        <w:rPr>
          <w:color w:val="585858"/>
          <w:sz w:val="16"/>
        </w:rPr>
        <w:t>由民</w:t>
      </w:r>
      <w:r>
        <w:rPr>
          <w:color w:val="585858"/>
          <w:spacing w:val="-3"/>
          <w:sz w:val="16"/>
        </w:rPr>
        <w:t>营</w:t>
      </w:r>
      <w:r>
        <w:rPr>
          <w:color w:val="585858"/>
          <w:sz w:val="16"/>
        </w:rPr>
        <w:t>企业</w:t>
      </w:r>
      <w:r>
        <w:rPr>
          <w:color w:val="585858"/>
          <w:spacing w:val="-3"/>
          <w:sz w:val="16"/>
        </w:rPr>
        <w:t>独</w:t>
      </w:r>
      <w:r>
        <w:rPr>
          <w:color w:val="585858"/>
          <w:sz w:val="16"/>
        </w:rPr>
        <w:t>资或</w:t>
      </w:r>
      <w:r>
        <w:rPr>
          <w:color w:val="585858"/>
          <w:spacing w:val="-3"/>
          <w:sz w:val="16"/>
        </w:rPr>
        <w:t>控</w:t>
      </w:r>
      <w:r>
        <w:rPr>
          <w:color w:val="585858"/>
          <w:sz w:val="16"/>
        </w:rPr>
        <w:t>股</w:t>
      </w:r>
    </w:p>
    <w:p>
      <w:pPr>
        <w:spacing w:before="173"/>
        <w:ind w:left="1399" w:right="0" w:firstLine="0"/>
        <w:jc w:val="left"/>
        <w:rPr>
          <w:sz w:val="16"/>
        </w:rPr>
      </w:pPr>
      <w:r>
        <w:rPr>
          <w:color w:val="585858"/>
          <w:spacing w:val="-3"/>
          <w:w w:val="100"/>
          <w:sz w:val="16"/>
        </w:rPr>
        <w:t>加快“无废城市”建设，到</w:t>
      </w:r>
      <w:r>
        <w:rPr>
          <w:color w:val="585858"/>
          <w:spacing w:val="-7"/>
          <w:sz w:val="16"/>
        </w:rPr>
        <w:t xml:space="preserve"> </w:t>
      </w:r>
      <w:r>
        <w:rPr>
          <w:color w:val="585858"/>
          <w:spacing w:val="-1"/>
          <w:w w:val="100"/>
          <w:sz w:val="16"/>
        </w:rPr>
        <w:t>202</w:t>
      </w:r>
      <w:r>
        <w:rPr>
          <w:color w:val="585858"/>
          <w:w w:val="100"/>
          <w:sz w:val="16"/>
        </w:rPr>
        <w:t>7</w:t>
      </w:r>
      <w:r>
        <w:rPr>
          <w:color w:val="585858"/>
          <w:spacing w:val="-10"/>
          <w:sz w:val="16"/>
        </w:rPr>
        <w:t xml:space="preserve"> </w:t>
      </w:r>
      <w:r>
        <w:rPr>
          <w:color w:val="585858"/>
          <w:spacing w:val="-10"/>
          <w:w w:val="100"/>
          <w:sz w:val="16"/>
        </w:rPr>
        <w:t>年，“无废城市”建设比例达到</w:t>
      </w:r>
      <w:r>
        <w:rPr>
          <w:color w:val="585858"/>
          <w:spacing w:val="-6"/>
          <w:sz w:val="16"/>
        </w:rPr>
        <w:t xml:space="preserve"> </w:t>
      </w:r>
      <w:r>
        <w:rPr>
          <w:color w:val="585858"/>
          <w:spacing w:val="-1"/>
          <w:w w:val="100"/>
          <w:sz w:val="16"/>
        </w:rPr>
        <w:t>6</w:t>
      </w:r>
      <w:r>
        <w:rPr>
          <w:color w:val="585858"/>
          <w:spacing w:val="-4"/>
          <w:w w:val="100"/>
          <w:sz w:val="16"/>
        </w:rPr>
        <w:t>0</w:t>
      </w:r>
      <w:r>
        <w:rPr>
          <w:color w:val="585858"/>
          <w:w w:val="100"/>
          <w:sz w:val="16"/>
        </w:rPr>
        <w:t>%，</w:t>
      </w:r>
    </w:p>
    <w:p>
      <w:pPr>
        <w:spacing w:after="0"/>
        <w:jc w:val="left"/>
        <w:rPr>
          <w:sz w:val="16"/>
        </w:rPr>
        <w:sectPr>
          <w:headerReference w:type="default" r:id="rId93"/>
          <w:footerReference w:type="default" r:id="rId94"/>
          <w:type w:val="continuous"/>
          <w:pgSz w:w="11910" w:h="16840"/>
          <w:pgMar w:top="1660" w:right="600" w:bottom="740" w:left="600" w:header="708" w:footer="708"/>
          <w:pgNumType w:start="29"/>
          <w:cols w:num="3" w:space="708" w:equalWidth="0">
            <w:col w:w="2204" w:space="40"/>
            <w:col w:w="1317" w:space="503"/>
            <w:col w:w="6646" w:space="0"/>
          </w:cols>
        </w:sectPr>
      </w:pPr>
    </w:p>
    <w:p>
      <w:pPr>
        <w:spacing w:before="115"/>
        <w:ind w:left="0" w:right="0" w:firstLine="0"/>
        <w:jc w:val="right"/>
        <w:rPr>
          <w:sz w:val="16"/>
        </w:rPr>
      </w:pPr>
      <w:r>
        <w:rPr>
          <w:color w:val="585858"/>
          <w:sz w:val="16"/>
        </w:rPr>
        <w:t>意见》</w:t>
      </w:r>
    </w:p>
    <w:p>
      <w:pPr>
        <w:tabs>
          <w:tab w:val="left" w:pos="2345"/>
        </w:tabs>
        <w:spacing w:before="0" w:line="254" w:lineRule="exact"/>
        <w:ind w:left="1001" w:right="0" w:firstLine="0"/>
        <w:jc w:val="left"/>
        <w:rPr>
          <w:sz w:val="16"/>
        </w:rPr>
      </w:pPr>
      <w:r>
        <w:br w:type="column"/>
      </w:r>
      <w:r>
        <w:rPr>
          <w:color w:val="585858"/>
          <w:sz w:val="16"/>
        </w:rPr>
        <w:t>2024 年</w:t>
      </w:r>
      <w:r>
        <w:rPr>
          <w:color w:val="585858"/>
          <w:spacing w:val="-15"/>
          <w:sz w:val="16"/>
        </w:rPr>
        <w:t xml:space="preserve"> </w:t>
      </w:r>
      <w:r>
        <w:rPr>
          <w:color w:val="585858"/>
          <w:sz w:val="16"/>
        </w:rPr>
        <w:t>1</w:t>
      </w:r>
      <w:r>
        <w:rPr>
          <w:color w:val="585858"/>
          <w:spacing w:val="-7"/>
          <w:sz w:val="16"/>
        </w:rPr>
        <w:t xml:space="preserve"> </w:t>
      </w:r>
      <w:r>
        <w:rPr>
          <w:color w:val="585858"/>
          <w:sz w:val="16"/>
        </w:rPr>
        <w:t>月</w:t>
        <w:tab/>
        <w:t>中共中央</w:t>
      </w:r>
      <w:r>
        <w:rPr>
          <w:color w:val="585858"/>
          <w:spacing w:val="36"/>
          <w:sz w:val="16"/>
        </w:rPr>
        <w:t xml:space="preserve"> </w:t>
      </w:r>
      <w:r>
        <w:rPr>
          <w:color w:val="585858"/>
          <w:spacing w:val="-3"/>
          <w:sz w:val="16"/>
        </w:rPr>
        <w:t>国</w:t>
      </w:r>
      <w:r>
        <w:rPr>
          <w:color w:val="585858"/>
          <w:sz w:val="16"/>
        </w:rPr>
        <w:t>务</w:t>
      </w:r>
      <w:r>
        <w:rPr>
          <w:color w:val="585858"/>
          <w:spacing w:val="-19"/>
          <w:sz w:val="16"/>
        </w:rPr>
        <w:t>院</w:t>
      </w:r>
    </w:p>
    <w:p>
      <w:pPr>
        <w:spacing w:before="0" w:line="254" w:lineRule="exact"/>
        <w:ind w:left="317" w:right="0" w:firstLine="0"/>
        <w:jc w:val="left"/>
        <w:rPr>
          <w:sz w:val="16"/>
        </w:rPr>
      </w:pPr>
      <w:r>
        <w:br w:type="column"/>
      </w:r>
      <w:r>
        <w:rPr>
          <w:color w:val="585858"/>
          <w:spacing w:val="-5"/>
          <w:w w:val="100"/>
          <w:sz w:val="16"/>
        </w:rPr>
        <w:t>固体废物产生强度明显下降；到</w:t>
      </w:r>
      <w:r>
        <w:rPr>
          <w:color w:val="585858"/>
          <w:spacing w:val="-7"/>
          <w:sz w:val="16"/>
        </w:rPr>
        <w:t xml:space="preserve"> </w:t>
      </w:r>
      <w:r>
        <w:rPr>
          <w:color w:val="585858"/>
          <w:spacing w:val="-1"/>
          <w:w w:val="100"/>
          <w:sz w:val="16"/>
        </w:rPr>
        <w:t>2</w:t>
      </w:r>
      <w:r>
        <w:rPr>
          <w:color w:val="585858"/>
          <w:spacing w:val="-4"/>
          <w:w w:val="100"/>
          <w:sz w:val="16"/>
        </w:rPr>
        <w:t>0</w:t>
      </w:r>
      <w:r>
        <w:rPr>
          <w:color w:val="585858"/>
          <w:spacing w:val="-1"/>
          <w:w w:val="100"/>
          <w:sz w:val="16"/>
        </w:rPr>
        <w:t>3</w:t>
      </w:r>
      <w:r>
        <w:rPr>
          <w:color w:val="585858"/>
          <w:w w:val="100"/>
          <w:sz w:val="16"/>
        </w:rPr>
        <w:t>5</w:t>
      </w:r>
      <w:r>
        <w:rPr>
          <w:color w:val="585858"/>
          <w:spacing w:val="-8"/>
          <w:sz w:val="16"/>
        </w:rPr>
        <w:t xml:space="preserve"> </w:t>
      </w:r>
      <w:r>
        <w:rPr>
          <w:color w:val="585858"/>
          <w:spacing w:val="-14"/>
          <w:w w:val="100"/>
          <w:sz w:val="16"/>
        </w:rPr>
        <w:t>年，“无废城市”建设实现全覆盖，</w:t>
      </w:r>
    </w:p>
    <w:p>
      <w:pPr>
        <w:spacing w:before="17"/>
        <w:ind w:left="317" w:right="0" w:firstLine="0"/>
        <w:jc w:val="left"/>
        <w:rPr>
          <w:sz w:val="16"/>
        </w:rPr>
      </w:pPr>
      <w:r>
        <w:rPr>
          <w:color w:val="585858"/>
          <w:spacing w:val="-8"/>
          <w:w w:val="100"/>
          <w:sz w:val="16"/>
        </w:rPr>
        <w:t>东部省份率先全域建成“无废城市”，新污染物环境风险得到有效管控。</w:t>
      </w:r>
    </w:p>
    <w:p>
      <w:pPr>
        <w:spacing w:after="0"/>
        <w:jc w:val="left"/>
        <w:rPr>
          <w:sz w:val="16"/>
        </w:rPr>
        <w:sectPr>
          <w:headerReference w:type="default" r:id="rId95"/>
          <w:footerReference w:type="default" r:id="rId96"/>
          <w:type w:val="continuous"/>
          <w:pgSz w:w="11910" w:h="16840"/>
          <w:pgMar w:top="1660" w:right="600" w:bottom="740" w:left="600" w:header="708" w:footer="708"/>
          <w:pgNumType w:start="30"/>
          <w:cols w:num="3" w:space="708" w:equalWidth="0">
            <w:col w:w="1484" w:space="73"/>
            <w:col w:w="3549" w:space="40"/>
            <w:col w:w="5564" w:space="0"/>
          </w:cols>
        </w:sectPr>
      </w:pPr>
    </w:p>
    <w:p>
      <w:pPr>
        <w:pStyle w:val="BodyText"/>
        <w:spacing w:line="20" w:lineRule="exact"/>
        <w:ind w:left="98"/>
        <w:rPr>
          <w:sz w:val="2"/>
        </w:rPr>
      </w:pPr>
      <w:r>
        <w:rPr>
          <w:sz w:val="2"/>
        </w:rPr>
        <w:pict>
          <v:group id="_x0000_i1240" style="width:524.05pt;height:1pt;mso-position-horizontal-relative:char;mso-position-vertical-relative:line" coordorigin="0,0" coordsize="10481,20">
            <v:line id="_x0000_s1241" style="position:absolute" from="0,10" to="2268,10" stroked="t" strokecolor="#c00000" strokeweight="0.96pt">
              <v:stroke dashstyle="solid"/>
            </v:line>
            <v:rect id="_x0000_s1242" style="width:20;height:20;left:2268;position:absolute" filled="t" fillcolor="#c00000" stroked="f">
              <v:fill type="solid"/>
            </v:rect>
            <v:line id="_x0000_s1243" style="position:absolute" from="2288,10" to="3546,10" stroked="t" strokecolor="#c00000" strokeweight="0.96pt">
              <v:stroke dashstyle="solid"/>
            </v:line>
            <v:rect id="_x0000_s1244" style="width:20;height:20;left:3545;position:absolute" filled="t" fillcolor="#c00000" stroked="f">
              <v:fill type="solid"/>
            </v:rect>
            <v:line id="_x0000_s1245" style="position:absolute" from="3565,10" to="5245,10" stroked="t" strokecolor="#c00000" strokeweight="0.96pt">
              <v:stroke dashstyle="solid"/>
            </v:line>
            <v:rect id="_x0000_s1246" style="width:20;height:20;left:5245;position:absolute" filled="t" fillcolor="#c00000" stroked="f">
              <v:fill type="solid"/>
            </v:rect>
            <v:line id="_x0000_s1247" style="position:absolute" from="5264,10" to="10480,10" stroked="t" strokecolor="#c00000" strokeweight="0.96pt">
              <v:stroke dashstyle="solid"/>
            </v:line>
            <w10:wrap type="none"/>
          </v:group>
        </w:pict>
      </w:r>
    </w:p>
    <w:p>
      <w:pPr>
        <w:spacing w:before="0"/>
        <w:ind w:left="215" w:right="0" w:firstLine="0"/>
        <w:jc w:val="left"/>
        <w:rPr>
          <w:sz w:val="15"/>
        </w:rPr>
      </w:pPr>
      <w:r>
        <w:t xml:space="preserve">资料来源：政府网站， </w:t>
      </w:r>
    </w:p>
    <w:p>
      <w:pPr>
        <w:spacing w:after="0"/>
        <w:jc w:val="left"/>
        <w:rPr>
          <w:sz w:val="15"/>
        </w:rPr>
        <w:sectPr>
          <w:headerReference w:type="default" r:id="rId97"/>
          <w:footerReference w:type="default" r:id="rId98"/>
          <w:type w:val="continuous"/>
          <w:pgSz w:w="11910" w:h="16840"/>
          <w:pgMar w:top="1660" w:right="600" w:bottom="740" w:left="600" w:header="708" w:footer="708"/>
          <w:pgNumType w:start="31"/>
          <w:cols w:space="708"/>
        </w:sectPr>
      </w:pPr>
    </w:p>
    <w:p>
      <w:pPr>
        <w:pStyle w:val="BodyText"/>
        <w:spacing w:before="1"/>
        <w:rPr>
          <w:sz w:val="13"/>
        </w:rPr>
      </w:pPr>
    </w:p>
    <w:p>
      <w:pPr>
        <w:pStyle w:val="Heading1"/>
        <w:numPr>
          <w:ilvl w:val="0"/>
          <w:numId w:val="10"/>
        </w:numPr>
        <w:tabs>
          <w:tab w:val="left" w:pos="394"/>
        </w:tabs>
        <w:spacing w:before="15" w:after="0" w:line="240" w:lineRule="auto"/>
        <w:ind w:left="393" w:right="0" w:hanging="287"/>
        <w:jc w:val="both"/>
      </w:pPr>
      <w:bookmarkStart w:id="5" w:name="_TOC_250009"/>
      <w:bookmarkEnd w:id="5"/>
      <w:r>
        <w:rPr>
          <w:color w:val="C00000"/>
        </w:rPr>
        <w:t>垃圾焚烧发电助力“双碳”经济</w:t>
      </w:r>
    </w:p>
    <w:p>
      <w:pPr>
        <w:pStyle w:val="Heading2"/>
        <w:numPr>
          <w:ilvl w:val="1"/>
          <w:numId w:val="8"/>
        </w:numPr>
        <w:tabs>
          <w:tab w:val="left" w:pos="613"/>
        </w:tabs>
        <w:spacing w:before="27" w:after="0" w:line="240" w:lineRule="auto"/>
        <w:ind w:left="612" w:right="0" w:hanging="506"/>
        <w:jc w:val="left"/>
      </w:pPr>
      <w:bookmarkStart w:id="6" w:name="_TOC_250008"/>
      <w:bookmarkEnd w:id="6"/>
      <w:r>
        <w:rPr>
          <w:color w:val="4B4D4F"/>
          <w:spacing w:val="-3"/>
        </w:rPr>
        <w:t>热电联产具有经济和生态效益</w:t>
      </w:r>
    </w:p>
    <w:p>
      <w:pPr>
        <w:pStyle w:val="BodyText"/>
        <w:spacing w:before="245" w:line="364" w:lineRule="exact"/>
        <w:ind w:left="528"/>
        <w:jc w:val="both"/>
      </w:pPr>
      <w:r>
        <w:rPr>
          <w:color w:val="4B4D4F"/>
        </w:rPr>
        <w:t>2023 年 7 月，工信部、发改委等联合发布《轻工业稳增长工作方案（2023—</w:t>
      </w:r>
    </w:p>
    <w:p>
      <w:pPr>
        <w:spacing w:before="1" w:line="235" w:lineRule="auto"/>
        <w:ind w:left="107" w:right="3512" w:firstLine="0"/>
        <w:jc w:val="both"/>
        <w:rPr>
          <w:b/>
          <w:i/>
          <w:sz w:val="20"/>
        </w:rPr>
      </w:pPr>
      <w:r>
        <w:rPr>
          <w:color w:val="4B4D4F"/>
          <w:sz w:val="20"/>
        </w:rPr>
        <w:t>2024</w:t>
      </w:r>
      <w:r>
        <w:rPr>
          <w:color w:val="4B4D4F"/>
          <w:spacing w:val="-10"/>
          <w:sz w:val="20"/>
        </w:rPr>
        <w:t xml:space="preserve"> 年</w:t>
      </w:r>
      <w:r>
        <w:rPr>
          <w:color w:val="4B4D4F"/>
          <w:spacing w:val="-101"/>
          <w:sz w:val="20"/>
        </w:rPr>
        <w:t>）</w:t>
      </w:r>
      <w:r>
        <w:rPr>
          <w:color w:val="4B4D4F"/>
          <w:spacing w:val="-12"/>
          <w:sz w:val="20"/>
        </w:rPr>
        <w:t>》，其中提到“提高热电联产比例和效率，扩大生物质能源应用。组织实</w:t>
      </w:r>
      <w:r>
        <w:rPr>
          <w:color w:val="4B4D4F"/>
          <w:spacing w:val="-17"/>
          <w:sz w:val="20"/>
        </w:rPr>
        <w:t>施一批节能降碳技术改造项目”。热电联产是指垃圾焚烧发电厂既生产电能又利用</w:t>
      </w:r>
      <w:r>
        <w:rPr>
          <w:color w:val="4B4D4F"/>
          <w:sz w:val="20"/>
        </w:rPr>
        <w:t>汽轮发电机做过功的蒸汽对工业园区或居民区供热的生产方式，是一个同时生产</w:t>
      </w:r>
      <w:r>
        <w:rPr>
          <w:color w:val="4B4D4F"/>
          <w:spacing w:val="-8"/>
          <w:sz w:val="20"/>
        </w:rPr>
        <w:t>电、热能的过程，</w:t>
      </w:r>
      <w:r>
        <w:rPr>
          <w:b/>
          <w:i/>
          <w:color w:val="4B4D4F"/>
          <w:spacing w:val="-8"/>
          <w:sz w:val="20"/>
        </w:rPr>
        <w:t>与仅供电相比，既节约燃料，又提高资源转化率，大大提升垃圾</w:t>
      </w:r>
      <w:r>
        <w:rPr>
          <w:b/>
          <w:i/>
          <w:color w:val="4B4D4F"/>
          <w:sz w:val="20"/>
        </w:rPr>
        <w:t>焚烧发电项目的经济性。</w:t>
      </w:r>
    </w:p>
    <w:p>
      <w:pPr>
        <w:pStyle w:val="BodyText"/>
        <w:spacing w:before="114" w:line="235" w:lineRule="auto"/>
        <w:ind w:left="107" w:right="3409" w:firstLine="420"/>
      </w:pPr>
      <w:r>
        <w:rPr>
          <w:color w:val="4B4D4F"/>
          <w:spacing w:val="-5"/>
        </w:rPr>
        <w:t>以绍兴三峰项目</w:t>
      </w:r>
      <w:r>
        <w:rPr>
          <w:color w:val="4B4D4F"/>
        </w:rPr>
        <w:t>（2250</w:t>
      </w:r>
      <w:r>
        <w:rPr>
          <w:color w:val="4B4D4F"/>
          <w:spacing w:val="-7"/>
        </w:rPr>
        <w:t xml:space="preserve"> 吨</w:t>
      </w:r>
      <w:r>
        <w:rPr>
          <w:color w:val="4B4D4F"/>
          <w:spacing w:val="3"/>
        </w:rPr>
        <w:t>/</w:t>
      </w:r>
      <w:r>
        <w:rPr>
          <w:color w:val="4B4D4F"/>
        </w:rPr>
        <w:t>日</w:t>
      </w:r>
      <w:r>
        <w:rPr>
          <w:color w:val="4B4D4F"/>
          <w:spacing w:val="-34"/>
        </w:rPr>
        <w:t>）</w:t>
      </w:r>
      <w:r>
        <w:rPr>
          <w:color w:val="4B4D4F"/>
          <w:spacing w:val="-11"/>
        </w:rPr>
        <w:t>为例，</w:t>
      </w:r>
      <w:r>
        <w:rPr>
          <w:b/>
          <w:i/>
          <w:color w:val="4B4D4F"/>
          <w:spacing w:val="-3"/>
        </w:rPr>
        <w:t>垃圾焚烧以纯发电的热能利用方式，其</w:t>
      </w:r>
      <w:r>
        <w:rPr>
          <w:b/>
          <w:i/>
          <w:color w:val="4B4D4F"/>
          <w:spacing w:val="-5"/>
        </w:rPr>
        <w:t xml:space="preserve">热效率大约在 </w:t>
      </w:r>
      <w:r>
        <w:rPr>
          <w:b/>
          <w:color w:val="4B4D4F"/>
        </w:rPr>
        <w:t>25%</w:t>
      </w:r>
      <w:r>
        <w:rPr>
          <w:b/>
          <w:i/>
          <w:color w:val="4B4D4F"/>
          <w:spacing w:val="-1"/>
        </w:rPr>
        <w:t xml:space="preserve">，而采取热电联供方式可以将热能利用效率提高到 </w:t>
      </w:r>
      <w:r>
        <w:rPr>
          <w:b/>
          <w:color w:val="4B4D4F"/>
        </w:rPr>
        <w:t xml:space="preserve">45%-60% </w:t>
      </w:r>
      <w:r>
        <w:rPr>
          <w:b/>
          <w:i/>
          <w:color w:val="4B4D4F"/>
          <w:spacing w:val="-16"/>
        </w:rPr>
        <w:t>左右，具有良好的经济效益。</w:t>
      </w:r>
      <w:r>
        <w:rPr>
          <w:color w:val="4B4D4F"/>
        </w:rPr>
        <w:t>2022</w:t>
      </w:r>
      <w:r>
        <w:rPr>
          <w:color w:val="4B4D4F"/>
          <w:spacing w:val="-11"/>
        </w:rPr>
        <w:t xml:space="preserve"> 年，三峰环境对外提供蒸汽合计约 </w:t>
      </w:r>
      <w:r>
        <w:rPr>
          <w:color w:val="4B4D4F"/>
        </w:rPr>
        <w:t>61.87</w:t>
      </w:r>
      <w:r>
        <w:rPr>
          <w:color w:val="4B4D4F"/>
          <w:spacing w:val="-3"/>
        </w:rPr>
        <w:t xml:space="preserve"> 万吨， </w:t>
      </w:r>
      <w:r>
        <w:rPr>
          <w:color w:val="4B4D4F"/>
          <w:spacing w:val="5"/>
          <w:w w:val="99"/>
        </w:rPr>
        <w:t>同比增长</w:t>
      </w:r>
      <w:r>
        <w:rPr>
          <w:color w:val="4B4D4F"/>
          <w:w w:val="99"/>
        </w:rPr>
        <w:t>5.93</w:t>
      </w:r>
      <w:r>
        <w:rPr>
          <w:color w:val="4B4D4F"/>
          <w:spacing w:val="-49"/>
          <w:w w:val="99"/>
        </w:rPr>
        <w:t>%；</w:t>
      </w:r>
      <w:r>
        <w:rPr>
          <w:color w:val="4B4D4F"/>
          <w:w w:val="99"/>
        </w:rPr>
        <w:t>2023</w:t>
      </w:r>
      <w:r>
        <w:rPr>
          <w:color w:val="4B4D4F"/>
          <w:spacing w:val="-30"/>
        </w:rPr>
        <w:t xml:space="preserve"> </w:t>
      </w:r>
      <w:r>
        <w:rPr>
          <w:color w:val="4B4D4F"/>
          <w:spacing w:val="-7"/>
          <w:w w:val="99"/>
        </w:rPr>
        <w:t>年上半年，公司蒸汽销售量达</w:t>
      </w:r>
      <w:r>
        <w:rPr>
          <w:color w:val="4B4D4F"/>
          <w:w w:val="99"/>
        </w:rPr>
        <w:t>35</w:t>
      </w:r>
      <w:r>
        <w:rPr>
          <w:color w:val="4B4D4F"/>
          <w:spacing w:val="2"/>
          <w:w w:val="99"/>
        </w:rPr>
        <w:t>.</w:t>
      </w:r>
      <w:r>
        <w:rPr>
          <w:color w:val="4B4D4F"/>
          <w:w w:val="99"/>
        </w:rPr>
        <w:t>50</w:t>
      </w:r>
      <w:r>
        <w:rPr>
          <w:color w:val="4B4D4F"/>
          <w:spacing w:val="-29"/>
        </w:rPr>
        <w:t xml:space="preserve"> </w:t>
      </w:r>
      <w:r>
        <w:rPr>
          <w:color w:val="4B4D4F"/>
          <w:spacing w:val="-11"/>
          <w:w w:val="99"/>
        </w:rPr>
        <w:t>万吨，同比增长</w:t>
      </w:r>
      <w:r>
        <w:rPr>
          <w:color w:val="4B4D4F"/>
          <w:w w:val="99"/>
        </w:rPr>
        <w:t>16.1</w:t>
      </w:r>
      <w:r>
        <w:rPr>
          <w:color w:val="4B4D4F"/>
          <w:spacing w:val="1"/>
          <w:w w:val="99"/>
        </w:rPr>
        <w:t>%。</w:t>
      </w:r>
      <w:r>
        <w:rPr>
          <w:color w:val="4B4D4F"/>
          <w:spacing w:val="-3"/>
        </w:rPr>
        <w:t xml:space="preserve">根据光大生态环境设计研究院测算，以某 </w:t>
      </w:r>
      <w:r>
        <w:rPr>
          <w:color w:val="4B4D4F"/>
        </w:rPr>
        <w:t>2</w:t>
      </w:r>
      <w:r>
        <w:rPr>
          <w:rFonts w:ascii="Calibri" w:eastAsia="Calibri" w:hAnsi="Calibri"/>
          <w:color w:val="4B4D4F"/>
        </w:rPr>
        <w:t>×</w:t>
      </w:r>
      <w:r>
        <w:rPr>
          <w:color w:val="4B4D4F"/>
        </w:rPr>
        <w:t>750t/d</w:t>
      </w:r>
      <w:r>
        <w:rPr>
          <w:color w:val="4B4D4F"/>
          <w:spacing w:val="-7"/>
        </w:rPr>
        <w:t xml:space="preserve"> 垃圾焚烧电厂为例，垃圾热值</w:t>
      </w:r>
      <w:r>
        <w:rPr>
          <w:color w:val="4B4D4F"/>
          <w:spacing w:val="-7"/>
          <w:w w:val="99"/>
        </w:rPr>
        <w:t>为</w:t>
      </w:r>
      <w:r>
        <w:rPr>
          <w:color w:val="4B4D4F"/>
          <w:spacing w:val="-24"/>
        </w:rPr>
        <w:t xml:space="preserve"> </w:t>
      </w:r>
      <w:r>
        <w:rPr>
          <w:color w:val="4B4D4F"/>
          <w:w w:val="99"/>
        </w:rPr>
        <w:t>8371.7</w:t>
      </w:r>
      <w:r>
        <w:rPr>
          <w:color w:val="4B4D4F"/>
          <w:spacing w:val="-1"/>
          <w:w w:val="99"/>
        </w:rPr>
        <w:t>kJ</w:t>
      </w:r>
      <w:r>
        <w:rPr>
          <w:color w:val="4B4D4F"/>
          <w:w w:val="99"/>
        </w:rPr>
        <w:t>/</w:t>
      </w:r>
      <w:r>
        <w:rPr>
          <w:color w:val="4B4D4F"/>
          <w:spacing w:val="-6"/>
          <w:w w:val="99"/>
        </w:rPr>
        <w:t>k</w:t>
      </w:r>
      <w:r>
        <w:rPr>
          <w:color w:val="4B4D4F"/>
          <w:spacing w:val="1"/>
          <w:w w:val="99"/>
        </w:rPr>
        <w:t>g</w:t>
      </w:r>
      <w:r>
        <w:rPr>
          <w:color w:val="4B4D4F"/>
          <w:spacing w:val="-20"/>
          <w:w w:val="99"/>
        </w:rPr>
        <w:t>，供热量从</w:t>
      </w:r>
      <w:r>
        <w:rPr>
          <w:color w:val="4B4D4F"/>
          <w:spacing w:val="-23"/>
        </w:rPr>
        <w:t xml:space="preserve"> </w:t>
      </w:r>
      <w:r>
        <w:rPr>
          <w:color w:val="4B4D4F"/>
          <w:w w:val="99"/>
        </w:rPr>
        <w:t>10t</w:t>
      </w:r>
      <w:r>
        <w:rPr>
          <w:color w:val="4B4D4F"/>
          <w:spacing w:val="1"/>
          <w:w w:val="99"/>
        </w:rPr>
        <w:t>/</w:t>
      </w:r>
      <w:r>
        <w:rPr>
          <w:color w:val="4B4D4F"/>
          <w:w w:val="99"/>
        </w:rPr>
        <w:t>h</w:t>
      </w:r>
      <w:r>
        <w:rPr>
          <w:color w:val="4B4D4F"/>
          <w:spacing w:val="-23"/>
        </w:rPr>
        <w:t xml:space="preserve"> </w:t>
      </w:r>
      <w:r>
        <w:rPr>
          <w:color w:val="4B4D4F"/>
          <w:w w:val="99"/>
        </w:rPr>
        <w:t>增加到</w:t>
      </w:r>
      <w:r>
        <w:rPr>
          <w:color w:val="4B4D4F"/>
          <w:spacing w:val="-23"/>
        </w:rPr>
        <w:t xml:space="preserve"> </w:t>
      </w:r>
      <w:r>
        <w:rPr>
          <w:color w:val="4B4D4F"/>
          <w:w w:val="99"/>
        </w:rPr>
        <w:t>60t</w:t>
      </w:r>
      <w:r>
        <w:rPr>
          <w:color w:val="4B4D4F"/>
          <w:spacing w:val="1"/>
          <w:w w:val="99"/>
        </w:rPr>
        <w:t>/</w:t>
      </w:r>
      <w:r>
        <w:rPr>
          <w:color w:val="4B4D4F"/>
          <w:w w:val="99"/>
        </w:rPr>
        <w:t>h</w:t>
      </w:r>
      <w:r>
        <w:rPr>
          <w:color w:val="4B4D4F"/>
          <w:spacing w:val="-23"/>
        </w:rPr>
        <w:t xml:space="preserve"> </w:t>
      </w:r>
      <w:r>
        <w:rPr>
          <w:color w:val="4B4D4F"/>
          <w:spacing w:val="-10"/>
          <w:w w:val="99"/>
        </w:rPr>
        <w:t>时，垃圾焚烧电厂热效率从</w:t>
      </w:r>
      <w:r>
        <w:rPr>
          <w:color w:val="4B4D4F"/>
          <w:spacing w:val="-23"/>
        </w:rPr>
        <w:t xml:space="preserve"> </w:t>
      </w:r>
      <w:r>
        <w:rPr>
          <w:color w:val="4B4D4F"/>
          <w:w w:val="99"/>
        </w:rPr>
        <w:t>28.96%</w:t>
      </w:r>
      <w:r>
        <w:rPr>
          <w:color w:val="4B4D4F"/>
          <w:spacing w:val="-3"/>
        </w:rPr>
        <w:t xml:space="preserve">增加到 </w:t>
      </w:r>
      <w:r>
        <w:rPr>
          <w:color w:val="4B4D4F"/>
        </w:rPr>
        <w:t>48.50</w:t>
      </w:r>
      <w:r>
        <w:rPr>
          <w:color w:val="4B4D4F"/>
          <w:spacing w:val="-2"/>
        </w:rPr>
        <w:t xml:space="preserve">%，年经济效益从 </w:t>
      </w:r>
      <w:r>
        <w:rPr>
          <w:color w:val="4B4D4F"/>
        </w:rPr>
        <w:t>13602.74</w:t>
      </w:r>
      <w:r>
        <w:rPr>
          <w:color w:val="4B4D4F"/>
          <w:spacing w:val="-4"/>
        </w:rPr>
        <w:t xml:space="preserve"> 万元增加到 </w:t>
      </w:r>
      <w:r>
        <w:rPr>
          <w:color w:val="4B4D4F"/>
        </w:rPr>
        <w:t>15455.66</w:t>
      </w:r>
      <w:r>
        <w:rPr>
          <w:color w:val="4B4D4F"/>
          <w:spacing w:val="-3"/>
        </w:rPr>
        <w:t xml:space="preserve"> 万元。同时，由</w:t>
      </w:r>
      <w:r>
        <w:rPr>
          <w:color w:val="4B4D4F"/>
          <w:spacing w:val="-7"/>
        </w:rPr>
        <w:t>于热电联产项目主要向工业园</w:t>
      </w:r>
      <w:r>
        <w:rPr>
          <w:color w:val="4B4D4F"/>
        </w:rPr>
        <w:t>（to</w:t>
      </w:r>
      <w:r>
        <w:rPr>
          <w:color w:val="4B4D4F"/>
          <w:spacing w:val="-18"/>
        </w:rPr>
        <w:t xml:space="preserve"> </w:t>
      </w:r>
      <w:r>
        <w:rPr>
          <w:color w:val="4B4D4F"/>
          <w:spacing w:val="-26"/>
        </w:rPr>
        <w:t>B）</w:t>
      </w:r>
      <w:r>
        <w:rPr>
          <w:color w:val="4B4D4F"/>
          <w:spacing w:val="-14"/>
        </w:rPr>
        <w:t>或居民区</w:t>
      </w:r>
      <w:r>
        <w:rPr>
          <w:color w:val="4B4D4F"/>
        </w:rPr>
        <w:t>（to</w:t>
      </w:r>
      <w:r>
        <w:rPr>
          <w:color w:val="4B4D4F"/>
          <w:spacing w:val="-18"/>
        </w:rPr>
        <w:t xml:space="preserve"> </w:t>
      </w:r>
      <w:r>
        <w:rPr>
          <w:color w:val="4B4D4F"/>
          <w:spacing w:val="-26"/>
        </w:rPr>
        <w:t>C）</w:t>
      </w:r>
      <w:r>
        <w:rPr>
          <w:color w:val="4B4D4F"/>
          <w:spacing w:val="-8"/>
        </w:rPr>
        <w:t xml:space="preserve">供热，相对于纯发电项目， </w:t>
      </w:r>
      <w:r>
        <w:rPr>
          <w:color w:val="4B4D4F"/>
          <w:spacing w:val="-3"/>
        </w:rPr>
        <w:t>热电联产项目具备明显的回款优势。热电联产项目的快速开展有望为公司带来新的利润增长点。</w:t>
      </w:r>
    </w:p>
    <w:p>
      <w:pPr>
        <w:pStyle w:val="Heading4"/>
        <w:tabs>
          <w:tab w:val="left" w:pos="7196"/>
        </w:tabs>
        <w:spacing w:before="126"/>
      </w:pPr>
      <w:r>
        <w:drawing>
          <wp:anchor distT="0" distB="0" distL="0" distR="0" simplePos="0" relativeHeight="251742208" behindDoc="0" locked="0" layoutInCell="1" allowOverlap="1">
            <wp:simplePos x="0" y="0"/>
            <wp:positionH relativeFrom="page">
              <wp:posOffset>522543</wp:posOffset>
            </wp:positionH>
            <wp:positionV relativeFrom="paragraph">
              <wp:posOffset>367792</wp:posOffset>
            </wp:positionV>
            <wp:extent cx="4272452" cy="2199132"/>
            <wp:effectExtent l="0" t="0" r="0" b="0"/>
            <wp:wrapTopAndBottom/>
            <wp:docPr id="5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jpeg"/>
                    <pic:cNvPicPr/>
                  </pic:nvPicPr>
                  <pic:blipFill>
                    <a:blip xmlns:r="http://schemas.openxmlformats.org/officeDocument/2006/relationships" r:embed="rId99" cstate="print"/>
                    <a:stretch>
                      <a:fillRect/>
                    </a:stretch>
                  </pic:blipFill>
                  <pic:spPr>
                    <a:xfrm>
                      <a:off x="0" y="0"/>
                      <a:ext cx="4272452" cy="2199132"/>
                    </a:xfrm>
                    <a:prstGeom prst="rect">
                      <a:avLst/>
                    </a:prstGeom>
                  </pic:spPr>
                </pic:pic>
              </a:graphicData>
            </a:graphic>
          </wp:anchor>
        </w:drawing>
      </w:r>
      <w:r>
        <w:pict>
          <v:shape id="_x0000_s1248" style="width:354.45pt;height:0.1pt;margin-top:210.69pt;margin-left:35.4pt;mso-position-horizontal-relative:page;mso-wrap-distance-left:0;mso-wrap-distance-right:0;position:absolute;z-index:-251573248" coordorigin="708,4214" coordsize="7089,0" path="m708,4214l7797,4214e" filled="f" stroked="t" strokecolor="#4b4d4f" strokeweight="0.96pt">
            <v:stroke dashstyle="solid"/>
            <v:path arrowok="t"/>
            <w10:wrap type="topAndBottom"/>
          </v:shape>
        </w:pict>
      </w: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u w:val="single" w:color="4B4D4F"/>
        </w:rPr>
        <w:t>图</w:t>
      </w:r>
      <w:r>
        <w:rPr>
          <w:i w:val="0"/>
          <w:color w:val="4B4D4F"/>
          <w:u w:val="single" w:color="4B4D4F"/>
        </w:rPr>
        <w:t>14</w:t>
      </w:r>
      <w:r>
        <w:rPr>
          <w:color w:val="4B4D4F"/>
          <w:u w:val="single" w:color="4B4D4F"/>
        </w:rPr>
        <w:t>：</w:t>
      </w:r>
      <w:r>
        <w:rPr>
          <w:color w:val="4B4D4F"/>
          <w:spacing w:val="-18"/>
          <w:u w:val="single" w:color="4B4D4F"/>
        </w:rPr>
        <w:t xml:space="preserve"> </w:t>
      </w:r>
      <w:r>
        <w:rPr>
          <w:color w:val="4B4D4F"/>
          <w:u w:val="single" w:color="4B4D4F"/>
        </w:rPr>
        <w:t>垃圾焚烧电厂热电联产示意图</w:t>
        <w:tab/>
      </w:r>
    </w:p>
    <w:p>
      <w:pPr>
        <w:pStyle w:val="BodyText"/>
        <w:spacing w:before="1"/>
        <w:rPr>
          <w:b/>
          <w:i/>
          <w:sz w:val="5"/>
        </w:rPr>
      </w:pPr>
    </w:p>
    <w:p>
      <w:pPr>
        <w:spacing w:before="0"/>
        <w:ind w:left="290" w:right="0" w:firstLine="0"/>
        <w:jc w:val="left"/>
        <w:rPr>
          <w:sz w:val="15"/>
        </w:rPr>
      </w:pPr>
      <w:r>
        <w:t xml:space="preserve">资料来源：光大生态环境设计研究院张宇飞等《垃圾焚烧电厂热电联产的经济性分析》， </w:t>
      </w:r>
    </w:p>
    <w:p>
      <w:pPr>
        <w:pStyle w:val="BodyText"/>
        <w:spacing w:before="140" w:line="235" w:lineRule="auto"/>
        <w:ind w:left="107" w:right="3511" w:firstLine="420"/>
        <w:jc w:val="both"/>
      </w:pPr>
      <w:r>
        <w:rPr>
          <w:color w:val="404040"/>
        </w:rPr>
        <w:t>2023</w:t>
      </w:r>
      <w:r>
        <w:rPr>
          <w:color w:val="404040"/>
          <w:spacing w:val="1"/>
        </w:rPr>
        <w:t xml:space="preserve"> 年 </w:t>
      </w:r>
      <w:r>
        <w:rPr>
          <w:color w:val="404040"/>
        </w:rPr>
        <w:t>10</w:t>
      </w:r>
      <w:r>
        <w:rPr>
          <w:color w:val="404040"/>
          <w:spacing w:val="2"/>
        </w:rPr>
        <w:t xml:space="preserve"> 月 </w:t>
      </w:r>
      <w:r>
        <w:rPr>
          <w:color w:val="404040"/>
        </w:rPr>
        <w:t>20 日，生态环境部、市场监管总局联合印发《温室气体自愿</w:t>
      </w:r>
      <w:r>
        <w:rPr>
          <w:color w:val="404040"/>
          <w:spacing w:val="-3"/>
          <w:w w:val="95"/>
        </w:rPr>
        <w:t>减排交易管理办法</w:t>
      </w:r>
      <w:r>
        <w:rPr>
          <w:color w:val="404040"/>
          <w:w w:val="95"/>
        </w:rPr>
        <w:t>（试行</w:t>
      </w:r>
      <w:r>
        <w:rPr>
          <w:color w:val="404040"/>
          <w:spacing w:val="-99"/>
          <w:w w:val="95"/>
        </w:rPr>
        <w:t>）</w:t>
      </w:r>
      <w:r>
        <w:rPr>
          <w:color w:val="404040"/>
          <w:spacing w:val="-15"/>
          <w:w w:val="95"/>
        </w:rPr>
        <w:t xml:space="preserve">》，其中第九条、第十条删除了先前《征求意见稿》中关    </w:t>
      </w:r>
      <w:r>
        <w:rPr>
          <w:color w:val="404040"/>
          <w:spacing w:val="-19"/>
        </w:rPr>
        <w:t>于“可再生能源、林业碳汇、甲烷减排、节能增效等”类别的阐述，项目需满足“有</w:t>
      </w:r>
      <w:r>
        <w:rPr>
          <w:color w:val="404040"/>
          <w:spacing w:val="-12"/>
          <w:w w:val="99"/>
        </w:rPr>
        <w:t>利于降碳增汇，能够避免、减少温室气体排放，或者实现温室气体的清除”，该调</w:t>
      </w:r>
      <w:r>
        <w:rPr>
          <w:color w:val="404040"/>
          <w:spacing w:val="-7"/>
        </w:rPr>
        <w:t>整为将来项目的申请提供了想象空间。根据龙吉生、阮涛发布的《生活垃圾焚烧发</w:t>
      </w:r>
    </w:p>
    <w:p>
      <w:pPr>
        <w:spacing w:after="0" w:line="235"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0" w:history="1">
        <w:r>
          <w:rPr>
            <w:rFonts w:ascii="SimSun" w:eastAsia="SimSun" w:hAnsi="SimSun" w:cs="SimSun"/>
            <w:b/>
            <w:bCs/>
            <w:color w:val="0000EE"/>
            <w:sz w:val="30"/>
            <w:szCs w:val="30"/>
            <w:u w:val="single" w:color="0000EE"/>
          </w:rPr>
          <w:t>https://d.book118.com/285041334320011103</w:t>
        </w:r>
      </w:hyperlink>
    </w:p>
    <w:p>
      <w:pPr>
        <w:spacing w:after="0" w:line="235" w:lineRule="auto"/>
        <w:jc w:val="both"/>
      </w:pPr>
    </w:p>
    <w:sectPr>
      <w:headerReference w:type="default" r:id="rId101"/>
      <w:footerReference w:type="default" r:id="rId102"/>
      <w:pgSz w:w="11910" w:h="16840"/>
      <w:pgMar w:top="1660" w:right="600" w:bottom="740" w:left="600" w:header="708" w:footer="708"/>
      <w:pgNumType w:start="3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E6FD8"/>
    <w:multiLevelType w:val="hybridMultilevel"/>
    <w:tmpl w:val="00000000"/>
    <w:lvl w:ilvl="0">
      <w:start w:val="1"/>
      <w:numFmt w:val="decimal"/>
      <w:lvlText w:val="%1."/>
      <w:lvlJc w:val="left"/>
      <w:pPr>
        <w:ind w:left="271" w:hanging="128"/>
        <w:jc w:val="left"/>
      </w:pPr>
      <w:rPr>
        <w:rFonts w:ascii="微软雅黑" w:eastAsia="微软雅黑" w:hAnsi="微软雅黑" w:cs="微软雅黑" w:hint="default"/>
        <w:b/>
        <w:bCs/>
        <w:color w:val="404040"/>
        <w:w w:val="99"/>
        <w:sz w:val="12"/>
        <w:szCs w:val="12"/>
        <w:lang w:val="zh-CN" w:eastAsia="zh-CN" w:bidi="zh-CN"/>
      </w:rPr>
    </w:lvl>
    <w:lvl w:ilvl="1">
      <w:start w:val="0"/>
      <w:numFmt w:val="bullet"/>
      <w:lvlText w:val="•"/>
      <w:lvlJc w:val="left"/>
      <w:pPr>
        <w:ind w:left="447" w:hanging="128"/>
      </w:pPr>
      <w:rPr>
        <w:rFonts w:hint="default"/>
        <w:lang w:val="zh-CN" w:eastAsia="zh-CN" w:bidi="zh-CN"/>
      </w:rPr>
    </w:lvl>
    <w:lvl w:ilvl="2">
      <w:start w:val="0"/>
      <w:numFmt w:val="bullet"/>
      <w:lvlText w:val="•"/>
      <w:lvlJc w:val="left"/>
      <w:pPr>
        <w:ind w:left="615" w:hanging="128"/>
      </w:pPr>
      <w:rPr>
        <w:rFonts w:hint="default"/>
        <w:lang w:val="zh-CN" w:eastAsia="zh-CN" w:bidi="zh-CN"/>
      </w:rPr>
    </w:lvl>
    <w:lvl w:ilvl="3">
      <w:start w:val="0"/>
      <w:numFmt w:val="bullet"/>
      <w:lvlText w:val="•"/>
      <w:lvlJc w:val="left"/>
      <w:pPr>
        <w:ind w:left="782" w:hanging="128"/>
      </w:pPr>
      <w:rPr>
        <w:rFonts w:hint="default"/>
        <w:lang w:val="zh-CN" w:eastAsia="zh-CN" w:bidi="zh-CN"/>
      </w:rPr>
    </w:lvl>
    <w:lvl w:ilvl="4">
      <w:start w:val="0"/>
      <w:numFmt w:val="bullet"/>
      <w:lvlText w:val="•"/>
      <w:lvlJc w:val="left"/>
      <w:pPr>
        <w:ind w:left="950" w:hanging="128"/>
      </w:pPr>
      <w:rPr>
        <w:rFonts w:hint="default"/>
        <w:lang w:val="zh-CN" w:eastAsia="zh-CN" w:bidi="zh-CN"/>
      </w:rPr>
    </w:lvl>
    <w:lvl w:ilvl="5">
      <w:start w:val="0"/>
      <w:numFmt w:val="bullet"/>
      <w:lvlText w:val="•"/>
      <w:lvlJc w:val="left"/>
      <w:pPr>
        <w:ind w:left="1117" w:hanging="128"/>
      </w:pPr>
      <w:rPr>
        <w:rFonts w:hint="default"/>
        <w:lang w:val="zh-CN" w:eastAsia="zh-CN" w:bidi="zh-CN"/>
      </w:rPr>
    </w:lvl>
    <w:lvl w:ilvl="6">
      <w:start w:val="0"/>
      <w:numFmt w:val="bullet"/>
      <w:lvlText w:val="•"/>
      <w:lvlJc w:val="left"/>
      <w:pPr>
        <w:ind w:left="1285" w:hanging="128"/>
      </w:pPr>
      <w:rPr>
        <w:rFonts w:hint="default"/>
        <w:lang w:val="zh-CN" w:eastAsia="zh-CN" w:bidi="zh-CN"/>
      </w:rPr>
    </w:lvl>
    <w:lvl w:ilvl="7">
      <w:start w:val="0"/>
      <w:numFmt w:val="bullet"/>
      <w:lvlText w:val="•"/>
      <w:lvlJc w:val="left"/>
      <w:pPr>
        <w:ind w:left="1452" w:hanging="128"/>
      </w:pPr>
      <w:rPr>
        <w:rFonts w:hint="default"/>
        <w:lang w:val="zh-CN" w:eastAsia="zh-CN" w:bidi="zh-CN"/>
      </w:rPr>
    </w:lvl>
    <w:lvl w:ilvl="8">
      <w:start w:val="0"/>
      <w:numFmt w:val="bullet"/>
      <w:lvlText w:val="•"/>
      <w:lvlJc w:val="left"/>
      <w:pPr>
        <w:ind w:left="1620" w:hanging="128"/>
      </w:pPr>
      <w:rPr>
        <w:rFonts w:hint="default"/>
        <w:lang w:val="zh-CN" w:eastAsia="zh-CN" w:bidi="zh-CN"/>
      </w:rPr>
    </w:lvl>
  </w:abstractNum>
  <w:abstractNum w:abstractNumId="1">
    <w:nsid w:val="097CA796"/>
    <w:multiLevelType w:val="hybridMultilevel"/>
    <w:tmpl w:val="00000000"/>
    <w:lvl w:ilvl="0">
      <w:start w:val="1"/>
      <w:numFmt w:val="decimal"/>
      <w:lvlText w:val="%1"/>
      <w:lvlJc w:val="left"/>
      <w:pPr>
        <w:ind w:left="331" w:hanging="224"/>
        <w:jc w:val="left"/>
      </w:pPr>
      <w:rPr>
        <w:rFonts w:ascii="微软雅黑" w:eastAsia="微软雅黑" w:hAnsi="微软雅黑" w:cs="微软雅黑" w:hint="default"/>
        <w:b/>
        <w:bCs/>
        <w:color w:val="C00000"/>
        <w:w w:val="99"/>
        <w:sz w:val="20"/>
        <w:szCs w:val="20"/>
        <w:lang w:val="zh-CN" w:eastAsia="zh-CN" w:bidi="zh-CN"/>
      </w:rPr>
    </w:lvl>
    <w:lvl w:ilvl="1">
      <w:start w:val="1"/>
      <w:numFmt w:val="decimal"/>
      <w:lvlText w:val="%1.%2"/>
      <w:lvlJc w:val="left"/>
      <w:pPr>
        <w:ind w:left="492" w:hanging="384"/>
        <w:jc w:val="left"/>
      </w:pPr>
      <w:rPr>
        <w:rFonts w:ascii="微软雅黑" w:eastAsia="微软雅黑" w:hAnsi="微软雅黑" w:cs="微软雅黑" w:hint="default"/>
        <w:color w:val="4B4D4F"/>
        <w:w w:val="99"/>
        <w:sz w:val="20"/>
        <w:szCs w:val="20"/>
        <w:lang w:val="zh-CN" w:eastAsia="zh-CN" w:bidi="zh-CN"/>
      </w:rPr>
    </w:lvl>
    <w:lvl w:ilvl="2">
      <w:start w:val="0"/>
      <w:numFmt w:val="bullet"/>
      <w:lvlText w:val="•"/>
      <w:lvlJc w:val="left"/>
      <w:pPr>
        <w:ind w:left="1634" w:hanging="384"/>
      </w:pPr>
      <w:rPr>
        <w:rFonts w:hint="default"/>
        <w:lang w:val="zh-CN" w:eastAsia="zh-CN" w:bidi="zh-CN"/>
      </w:rPr>
    </w:lvl>
    <w:lvl w:ilvl="3">
      <w:start w:val="0"/>
      <w:numFmt w:val="bullet"/>
      <w:lvlText w:val="•"/>
      <w:lvlJc w:val="left"/>
      <w:pPr>
        <w:ind w:left="2768" w:hanging="384"/>
      </w:pPr>
      <w:rPr>
        <w:rFonts w:hint="default"/>
        <w:lang w:val="zh-CN" w:eastAsia="zh-CN" w:bidi="zh-CN"/>
      </w:rPr>
    </w:lvl>
    <w:lvl w:ilvl="4">
      <w:start w:val="0"/>
      <w:numFmt w:val="bullet"/>
      <w:lvlText w:val="•"/>
      <w:lvlJc w:val="left"/>
      <w:pPr>
        <w:ind w:left="3902" w:hanging="384"/>
      </w:pPr>
      <w:rPr>
        <w:rFonts w:hint="default"/>
        <w:lang w:val="zh-CN" w:eastAsia="zh-CN" w:bidi="zh-CN"/>
      </w:rPr>
    </w:lvl>
    <w:lvl w:ilvl="5">
      <w:start w:val="0"/>
      <w:numFmt w:val="bullet"/>
      <w:lvlText w:val="•"/>
      <w:lvlJc w:val="left"/>
      <w:pPr>
        <w:ind w:left="5036" w:hanging="384"/>
      </w:pPr>
      <w:rPr>
        <w:rFonts w:hint="default"/>
        <w:lang w:val="zh-CN" w:eastAsia="zh-CN" w:bidi="zh-CN"/>
      </w:rPr>
    </w:lvl>
    <w:lvl w:ilvl="6">
      <w:start w:val="0"/>
      <w:numFmt w:val="bullet"/>
      <w:lvlText w:val="•"/>
      <w:lvlJc w:val="left"/>
      <w:pPr>
        <w:ind w:left="6170" w:hanging="384"/>
      </w:pPr>
      <w:rPr>
        <w:rFonts w:hint="default"/>
        <w:lang w:val="zh-CN" w:eastAsia="zh-CN" w:bidi="zh-CN"/>
      </w:rPr>
    </w:lvl>
    <w:lvl w:ilvl="7">
      <w:start w:val="0"/>
      <w:numFmt w:val="bullet"/>
      <w:lvlText w:val="•"/>
      <w:lvlJc w:val="left"/>
      <w:pPr>
        <w:ind w:left="7304" w:hanging="384"/>
      </w:pPr>
      <w:rPr>
        <w:rFonts w:hint="default"/>
        <w:lang w:val="zh-CN" w:eastAsia="zh-CN" w:bidi="zh-CN"/>
      </w:rPr>
    </w:lvl>
    <w:lvl w:ilvl="8">
      <w:start w:val="0"/>
      <w:numFmt w:val="bullet"/>
      <w:lvlText w:val="•"/>
      <w:lvlJc w:val="left"/>
      <w:pPr>
        <w:ind w:left="8438" w:hanging="384"/>
      </w:pPr>
      <w:rPr>
        <w:rFonts w:hint="default"/>
        <w:lang w:val="zh-CN" w:eastAsia="zh-CN" w:bidi="zh-CN"/>
      </w:rPr>
    </w:lvl>
  </w:abstractNum>
  <w:abstractNum w:abstractNumId="2">
    <w:nsid w:val="0C6B9296"/>
    <w:multiLevelType w:val="hybridMultilevel"/>
    <w:tmpl w:val="00000000"/>
    <w:lvl w:ilvl="0">
      <w:start w:val="2"/>
      <w:numFmt w:val="decimal"/>
      <w:lvlText w:val="%1"/>
      <w:lvlJc w:val="left"/>
      <w:pPr>
        <w:ind w:left="612" w:hanging="505"/>
        <w:jc w:val="left"/>
      </w:pPr>
      <w:rPr>
        <w:rFonts w:hint="default"/>
        <w:lang w:val="zh-CN" w:eastAsia="zh-CN" w:bidi="zh-CN"/>
      </w:rPr>
    </w:lvl>
    <w:lvl w:ilvl="1">
      <w:start w:val="2"/>
      <w:numFmt w:val="decimal"/>
      <w:lvlText w:val="%1.%2"/>
      <w:lvlJc w:val="left"/>
      <w:pPr>
        <w:ind w:left="612" w:hanging="505"/>
        <w:jc w:val="left"/>
      </w:pPr>
      <w:rPr>
        <w:rFonts w:ascii="微软雅黑" w:eastAsia="微软雅黑" w:hAnsi="微软雅黑" w:cs="微软雅黑" w:hint="default"/>
        <w:b/>
        <w:bCs/>
        <w:color w:val="4B4D4F"/>
        <w:spacing w:val="-2"/>
        <w:w w:val="100"/>
        <w:sz w:val="28"/>
        <w:szCs w:val="28"/>
        <w:lang w:val="zh-CN" w:eastAsia="zh-CN" w:bidi="zh-CN"/>
      </w:rPr>
    </w:lvl>
    <w:lvl w:ilvl="2">
      <w:start w:val="1"/>
      <w:numFmt w:val="decimal"/>
      <w:lvlText w:val="%1.%2.%3"/>
      <w:lvlJc w:val="left"/>
      <w:pPr>
        <w:ind w:left="756" w:hanging="649"/>
        <w:jc w:val="left"/>
      </w:pPr>
      <w:rPr>
        <w:rFonts w:ascii="微软雅黑" w:eastAsia="微软雅黑" w:hAnsi="微软雅黑" w:cs="微软雅黑" w:hint="default"/>
        <w:b/>
        <w:bCs/>
        <w:color w:val="C00000"/>
        <w:spacing w:val="-2"/>
        <w:w w:val="100"/>
        <w:sz w:val="24"/>
        <w:szCs w:val="24"/>
        <w:lang w:val="zh-CN" w:eastAsia="zh-CN" w:bidi="zh-CN"/>
      </w:rPr>
    </w:lvl>
    <w:lvl w:ilvl="3">
      <w:start w:val="0"/>
      <w:numFmt w:val="bullet"/>
      <w:lvlText w:val=""/>
      <w:lvlJc w:val="left"/>
      <w:pPr>
        <w:ind w:left="869" w:hanging="361"/>
      </w:pPr>
      <w:rPr>
        <w:rFonts w:ascii="Wingdings" w:eastAsia="Wingdings" w:hAnsi="Wingdings" w:cs="Wingdings" w:hint="default"/>
        <w:color w:val="333333"/>
        <w:w w:val="99"/>
        <w:sz w:val="20"/>
        <w:szCs w:val="20"/>
        <w:lang w:val="zh-CN" w:eastAsia="zh-CN" w:bidi="zh-CN"/>
      </w:rPr>
    </w:lvl>
    <w:lvl w:ilvl="4">
      <w:start w:val="0"/>
      <w:numFmt w:val="bullet"/>
      <w:lvlText w:val="•"/>
      <w:lvlJc w:val="left"/>
      <w:pPr>
        <w:ind w:left="3321" w:hanging="361"/>
      </w:pPr>
      <w:rPr>
        <w:rFonts w:hint="default"/>
        <w:lang w:val="zh-CN" w:eastAsia="zh-CN" w:bidi="zh-CN"/>
      </w:rPr>
    </w:lvl>
    <w:lvl w:ilvl="5">
      <w:start w:val="0"/>
      <w:numFmt w:val="bullet"/>
      <w:lvlText w:val="•"/>
      <w:lvlJc w:val="left"/>
      <w:pPr>
        <w:ind w:left="4552" w:hanging="361"/>
      </w:pPr>
      <w:rPr>
        <w:rFonts w:hint="default"/>
        <w:lang w:val="zh-CN" w:eastAsia="zh-CN" w:bidi="zh-CN"/>
      </w:rPr>
    </w:lvl>
    <w:lvl w:ilvl="6">
      <w:start w:val="0"/>
      <w:numFmt w:val="bullet"/>
      <w:lvlText w:val="•"/>
      <w:lvlJc w:val="left"/>
      <w:pPr>
        <w:ind w:left="5783" w:hanging="361"/>
      </w:pPr>
      <w:rPr>
        <w:rFonts w:hint="default"/>
        <w:lang w:val="zh-CN" w:eastAsia="zh-CN" w:bidi="zh-CN"/>
      </w:rPr>
    </w:lvl>
    <w:lvl w:ilvl="7">
      <w:start w:val="0"/>
      <w:numFmt w:val="bullet"/>
      <w:lvlText w:val="•"/>
      <w:lvlJc w:val="left"/>
      <w:pPr>
        <w:ind w:left="7014" w:hanging="361"/>
      </w:pPr>
      <w:rPr>
        <w:rFonts w:hint="default"/>
        <w:lang w:val="zh-CN" w:eastAsia="zh-CN" w:bidi="zh-CN"/>
      </w:rPr>
    </w:lvl>
    <w:lvl w:ilvl="8">
      <w:start w:val="0"/>
      <w:numFmt w:val="bullet"/>
      <w:lvlText w:val="•"/>
      <w:lvlJc w:val="left"/>
      <w:pPr>
        <w:ind w:left="8244" w:hanging="361"/>
      </w:pPr>
      <w:rPr>
        <w:rFonts w:hint="default"/>
        <w:lang w:val="zh-CN" w:eastAsia="zh-CN" w:bidi="zh-CN"/>
      </w:rPr>
    </w:lvl>
  </w:abstractNum>
  <w:abstractNum w:abstractNumId="3">
    <w:nsid w:val="21BC5819"/>
    <w:multiLevelType w:val="hybridMultilevel"/>
    <w:tmpl w:val="00000000"/>
    <w:lvl w:ilvl="0">
      <w:start w:val="3"/>
      <w:numFmt w:val="decimal"/>
      <w:lvlText w:val="%1"/>
      <w:lvlJc w:val="left"/>
      <w:pPr>
        <w:ind w:left="612" w:hanging="505"/>
        <w:jc w:val="left"/>
      </w:pPr>
      <w:rPr>
        <w:rFonts w:hint="default"/>
        <w:lang w:val="zh-CN" w:eastAsia="zh-CN" w:bidi="zh-CN"/>
      </w:rPr>
    </w:lvl>
    <w:lvl w:ilvl="1">
      <w:start w:val="1"/>
      <w:numFmt w:val="decimal"/>
      <w:lvlText w:val="%1.%2"/>
      <w:lvlJc w:val="left"/>
      <w:pPr>
        <w:ind w:left="612" w:hanging="505"/>
        <w:jc w:val="left"/>
      </w:pPr>
      <w:rPr>
        <w:rFonts w:ascii="微软雅黑" w:eastAsia="微软雅黑" w:hAnsi="微软雅黑" w:cs="微软雅黑" w:hint="default"/>
        <w:b/>
        <w:bCs/>
        <w:color w:val="4B4D4F"/>
        <w:spacing w:val="-2"/>
        <w:w w:val="100"/>
        <w:sz w:val="28"/>
        <w:szCs w:val="28"/>
        <w:lang w:val="zh-CN" w:eastAsia="zh-CN" w:bidi="zh-CN"/>
      </w:rPr>
    </w:lvl>
    <w:lvl w:ilvl="2">
      <w:start w:val="1"/>
      <w:numFmt w:val="decimal"/>
      <w:lvlText w:val="%1.%2.%3"/>
      <w:lvlJc w:val="left"/>
      <w:pPr>
        <w:ind w:left="756" w:hanging="649"/>
        <w:jc w:val="left"/>
      </w:pPr>
      <w:rPr>
        <w:rFonts w:ascii="微软雅黑" w:eastAsia="微软雅黑" w:hAnsi="微软雅黑" w:cs="微软雅黑" w:hint="default"/>
        <w:b/>
        <w:bCs/>
        <w:color w:val="C00000"/>
        <w:spacing w:val="-2"/>
        <w:w w:val="100"/>
        <w:sz w:val="24"/>
        <w:szCs w:val="24"/>
        <w:lang w:val="zh-CN" w:eastAsia="zh-CN" w:bidi="zh-CN"/>
      </w:rPr>
    </w:lvl>
    <w:lvl w:ilvl="3">
      <w:start w:val="0"/>
      <w:numFmt w:val="bullet"/>
      <w:lvlText w:val=""/>
      <w:lvlJc w:val="left"/>
      <w:pPr>
        <w:ind w:left="948" w:hanging="440"/>
      </w:pPr>
      <w:rPr>
        <w:rFonts w:ascii="Wingdings" w:eastAsia="Wingdings" w:hAnsi="Wingdings" w:cs="Wingdings" w:hint="default"/>
        <w:color w:val="333333"/>
        <w:w w:val="99"/>
        <w:sz w:val="20"/>
        <w:szCs w:val="20"/>
        <w:lang w:val="zh-CN" w:eastAsia="zh-CN" w:bidi="zh-CN"/>
      </w:rPr>
    </w:lvl>
    <w:lvl w:ilvl="4">
      <w:start w:val="0"/>
      <w:numFmt w:val="bullet"/>
      <w:lvlText w:val="•"/>
      <w:lvlJc w:val="left"/>
      <w:pPr>
        <w:ind w:left="3381" w:hanging="440"/>
      </w:pPr>
      <w:rPr>
        <w:rFonts w:hint="default"/>
        <w:lang w:val="zh-CN" w:eastAsia="zh-CN" w:bidi="zh-CN"/>
      </w:rPr>
    </w:lvl>
    <w:lvl w:ilvl="5">
      <w:start w:val="0"/>
      <w:numFmt w:val="bullet"/>
      <w:lvlText w:val="•"/>
      <w:lvlJc w:val="left"/>
      <w:pPr>
        <w:ind w:left="4602" w:hanging="440"/>
      </w:pPr>
      <w:rPr>
        <w:rFonts w:hint="default"/>
        <w:lang w:val="zh-CN" w:eastAsia="zh-CN" w:bidi="zh-CN"/>
      </w:rPr>
    </w:lvl>
    <w:lvl w:ilvl="6">
      <w:start w:val="0"/>
      <w:numFmt w:val="bullet"/>
      <w:lvlText w:val="•"/>
      <w:lvlJc w:val="left"/>
      <w:pPr>
        <w:ind w:left="5823" w:hanging="440"/>
      </w:pPr>
      <w:rPr>
        <w:rFonts w:hint="default"/>
        <w:lang w:val="zh-CN" w:eastAsia="zh-CN" w:bidi="zh-CN"/>
      </w:rPr>
    </w:lvl>
    <w:lvl w:ilvl="7">
      <w:start w:val="0"/>
      <w:numFmt w:val="bullet"/>
      <w:lvlText w:val="•"/>
      <w:lvlJc w:val="left"/>
      <w:pPr>
        <w:ind w:left="7044" w:hanging="440"/>
      </w:pPr>
      <w:rPr>
        <w:rFonts w:hint="default"/>
        <w:lang w:val="zh-CN" w:eastAsia="zh-CN" w:bidi="zh-CN"/>
      </w:rPr>
    </w:lvl>
    <w:lvl w:ilvl="8">
      <w:start w:val="0"/>
      <w:numFmt w:val="bullet"/>
      <w:lvlText w:val="•"/>
      <w:lvlJc w:val="left"/>
      <w:pPr>
        <w:ind w:left="8264" w:hanging="440"/>
      </w:pPr>
      <w:rPr>
        <w:rFonts w:hint="default"/>
        <w:lang w:val="zh-CN" w:eastAsia="zh-CN" w:bidi="zh-CN"/>
      </w:rPr>
    </w:lvl>
  </w:abstractNum>
  <w:abstractNum w:abstractNumId="4">
    <w:nsid w:val="2509EC75"/>
    <w:multiLevelType w:val="hybridMultilevel"/>
    <w:tmpl w:val="00000000"/>
    <w:lvl w:ilvl="0">
      <w:start w:val="1"/>
      <w:numFmt w:val="decimal"/>
      <w:lvlText w:val="%1."/>
      <w:lvlJc w:val="left"/>
      <w:pPr>
        <w:ind w:left="272" w:hanging="128"/>
        <w:jc w:val="left"/>
      </w:pPr>
      <w:rPr>
        <w:rFonts w:ascii="微软雅黑" w:eastAsia="微软雅黑" w:hAnsi="微软雅黑" w:cs="微软雅黑" w:hint="default"/>
        <w:b/>
        <w:bCs/>
        <w:color w:val="404040"/>
        <w:w w:val="99"/>
        <w:sz w:val="12"/>
        <w:szCs w:val="12"/>
        <w:lang w:val="zh-CN" w:eastAsia="zh-CN" w:bidi="zh-CN"/>
      </w:rPr>
    </w:lvl>
    <w:lvl w:ilvl="1">
      <w:start w:val="0"/>
      <w:numFmt w:val="bullet"/>
      <w:lvlText w:val="•"/>
      <w:lvlJc w:val="left"/>
      <w:pPr>
        <w:ind w:left="447" w:hanging="128"/>
      </w:pPr>
      <w:rPr>
        <w:rFonts w:hint="default"/>
        <w:lang w:val="zh-CN" w:eastAsia="zh-CN" w:bidi="zh-CN"/>
      </w:rPr>
    </w:lvl>
    <w:lvl w:ilvl="2">
      <w:start w:val="0"/>
      <w:numFmt w:val="bullet"/>
      <w:lvlText w:val="•"/>
      <w:lvlJc w:val="left"/>
      <w:pPr>
        <w:ind w:left="615" w:hanging="128"/>
      </w:pPr>
      <w:rPr>
        <w:rFonts w:hint="default"/>
        <w:lang w:val="zh-CN" w:eastAsia="zh-CN" w:bidi="zh-CN"/>
      </w:rPr>
    </w:lvl>
    <w:lvl w:ilvl="3">
      <w:start w:val="0"/>
      <w:numFmt w:val="bullet"/>
      <w:lvlText w:val="•"/>
      <w:lvlJc w:val="left"/>
      <w:pPr>
        <w:ind w:left="782" w:hanging="128"/>
      </w:pPr>
      <w:rPr>
        <w:rFonts w:hint="default"/>
        <w:lang w:val="zh-CN" w:eastAsia="zh-CN" w:bidi="zh-CN"/>
      </w:rPr>
    </w:lvl>
    <w:lvl w:ilvl="4">
      <w:start w:val="0"/>
      <w:numFmt w:val="bullet"/>
      <w:lvlText w:val="•"/>
      <w:lvlJc w:val="left"/>
      <w:pPr>
        <w:ind w:left="950" w:hanging="128"/>
      </w:pPr>
      <w:rPr>
        <w:rFonts w:hint="default"/>
        <w:lang w:val="zh-CN" w:eastAsia="zh-CN" w:bidi="zh-CN"/>
      </w:rPr>
    </w:lvl>
    <w:lvl w:ilvl="5">
      <w:start w:val="0"/>
      <w:numFmt w:val="bullet"/>
      <w:lvlText w:val="•"/>
      <w:lvlJc w:val="left"/>
      <w:pPr>
        <w:ind w:left="1117" w:hanging="128"/>
      </w:pPr>
      <w:rPr>
        <w:rFonts w:hint="default"/>
        <w:lang w:val="zh-CN" w:eastAsia="zh-CN" w:bidi="zh-CN"/>
      </w:rPr>
    </w:lvl>
    <w:lvl w:ilvl="6">
      <w:start w:val="0"/>
      <w:numFmt w:val="bullet"/>
      <w:lvlText w:val="•"/>
      <w:lvlJc w:val="left"/>
      <w:pPr>
        <w:ind w:left="1285" w:hanging="128"/>
      </w:pPr>
      <w:rPr>
        <w:rFonts w:hint="default"/>
        <w:lang w:val="zh-CN" w:eastAsia="zh-CN" w:bidi="zh-CN"/>
      </w:rPr>
    </w:lvl>
    <w:lvl w:ilvl="7">
      <w:start w:val="0"/>
      <w:numFmt w:val="bullet"/>
      <w:lvlText w:val="•"/>
      <w:lvlJc w:val="left"/>
      <w:pPr>
        <w:ind w:left="1452" w:hanging="128"/>
      </w:pPr>
      <w:rPr>
        <w:rFonts w:hint="default"/>
        <w:lang w:val="zh-CN" w:eastAsia="zh-CN" w:bidi="zh-CN"/>
      </w:rPr>
    </w:lvl>
    <w:lvl w:ilvl="8">
      <w:start w:val="0"/>
      <w:numFmt w:val="bullet"/>
      <w:lvlText w:val="•"/>
      <w:lvlJc w:val="left"/>
      <w:pPr>
        <w:ind w:left="1620" w:hanging="128"/>
      </w:pPr>
      <w:rPr>
        <w:rFonts w:hint="default"/>
        <w:lang w:val="zh-CN" w:eastAsia="zh-CN" w:bidi="zh-CN"/>
      </w:rPr>
    </w:lvl>
  </w:abstractNum>
  <w:abstractNum w:abstractNumId="5">
    <w:nsid w:val="2697AE11"/>
    <w:multiLevelType w:val="hybridMultilevel"/>
    <w:tmpl w:val="00000000"/>
    <w:lvl w:ilvl="0">
      <w:start w:val="1"/>
      <w:numFmt w:val="decimal"/>
      <w:lvlText w:val="%1）"/>
      <w:lvlJc w:val="left"/>
      <w:pPr>
        <w:ind w:left="831" w:hanging="324"/>
        <w:jc w:val="left"/>
      </w:pPr>
      <w:rPr>
        <w:rFonts w:ascii="微软雅黑" w:eastAsia="微软雅黑" w:hAnsi="微软雅黑" w:cs="微软雅黑" w:hint="default"/>
        <w:b/>
        <w:bCs/>
        <w:color w:val="4B4D4F"/>
        <w:w w:val="99"/>
        <w:sz w:val="18"/>
        <w:szCs w:val="18"/>
        <w:lang w:val="zh-CN" w:eastAsia="zh-CN" w:bidi="zh-CN"/>
      </w:rPr>
    </w:lvl>
    <w:lvl w:ilvl="1">
      <w:start w:val="0"/>
      <w:numFmt w:val="bullet"/>
      <w:lvlText w:val="•"/>
      <w:lvlJc w:val="left"/>
      <w:pPr>
        <w:ind w:left="1826" w:hanging="324"/>
      </w:pPr>
      <w:rPr>
        <w:rFonts w:hint="default"/>
        <w:lang w:val="zh-CN" w:eastAsia="zh-CN" w:bidi="zh-CN"/>
      </w:rPr>
    </w:lvl>
    <w:lvl w:ilvl="2">
      <w:start w:val="0"/>
      <w:numFmt w:val="bullet"/>
      <w:lvlText w:val="•"/>
      <w:lvlJc w:val="left"/>
      <w:pPr>
        <w:ind w:left="2813" w:hanging="324"/>
      </w:pPr>
      <w:rPr>
        <w:rFonts w:hint="default"/>
        <w:lang w:val="zh-CN" w:eastAsia="zh-CN" w:bidi="zh-CN"/>
      </w:rPr>
    </w:lvl>
    <w:lvl w:ilvl="3">
      <w:start w:val="0"/>
      <w:numFmt w:val="bullet"/>
      <w:lvlText w:val="•"/>
      <w:lvlJc w:val="left"/>
      <w:pPr>
        <w:ind w:left="3799" w:hanging="324"/>
      </w:pPr>
      <w:rPr>
        <w:rFonts w:hint="default"/>
        <w:lang w:val="zh-CN" w:eastAsia="zh-CN" w:bidi="zh-CN"/>
      </w:rPr>
    </w:lvl>
    <w:lvl w:ilvl="4">
      <w:start w:val="0"/>
      <w:numFmt w:val="bullet"/>
      <w:lvlText w:val="•"/>
      <w:lvlJc w:val="left"/>
      <w:pPr>
        <w:ind w:left="4786" w:hanging="324"/>
      </w:pPr>
      <w:rPr>
        <w:rFonts w:hint="default"/>
        <w:lang w:val="zh-CN" w:eastAsia="zh-CN" w:bidi="zh-CN"/>
      </w:rPr>
    </w:lvl>
    <w:lvl w:ilvl="5">
      <w:start w:val="0"/>
      <w:numFmt w:val="bullet"/>
      <w:lvlText w:val="•"/>
      <w:lvlJc w:val="left"/>
      <w:pPr>
        <w:ind w:left="5773" w:hanging="324"/>
      </w:pPr>
      <w:rPr>
        <w:rFonts w:hint="default"/>
        <w:lang w:val="zh-CN" w:eastAsia="zh-CN" w:bidi="zh-CN"/>
      </w:rPr>
    </w:lvl>
    <w:lvl w:ilvl="6">
      <w:start w:val="0"/>
      <w:numFmt w:val="bullet"/>
      <w:lvlText w:val="•"/>
      <w:lvlJc w:val="left"/>
      <w:pPr>
        <w:ind w:left="6759" w:hanging="324"/>
      </w:pPr>
      <w:rPr>
        <w:rFonts w:hint="default"/>
        <w:lang w:val="zh-CN" w:eastAsia="zh-CN" w:bidi="zh-CN"/>
      </w:rPr>
    </w:lvl>
    <w:lvl w:ilvl="7">
      <w:start w:val="0"/>
      <w:numFmt w:val="bullet"/>
      <w:lvlText w:val="•"/>
      <w:lvlJc w:val="left"/>
      <w:pPr>
        <w:ind w:left="7746" w:hanging="324"/>
      </w:pPr>
      <w:rPr>
        <w:rFonts w:hint="default"/>
        <w:lang w:val="zh-CN" w:eastAsia="zh-CN" w:bidi="zh-CN"/>
      </w:rPr>
    </w:lvl>
    <w:lvl w:ilvl="8">
      <w:start w:val="0"/>
      <w:numFmt w:val="bullet"/>
      <w:lvlText w:val="•"/>
      <w:lvlJc w:val="left"/>
      <w:pPr>
        <w:ind w:left="8733" w:hanging="324"/>
      </w:pPr>
      <w:rPr>
        <w:rFonts w:hint="default"/>
        <w:lang w:val="zh-CN" w:eastAsia="zh-CN" w:bidi="zh-CN"/>
      </w:rPr>
    </w:lvl>
  </w:abstractNum>
  <w:abstractNum w:abstractNumId="6">
    <w:nsid w:val="436299DD"/>
    <w:multiLevelType w:val="hybridMultilevel"/>
    <w:tmpl w:val="00000000"/>
    <w:lvl w:ilvl="0">
      <w:start w:val="1"/>
      <w:numFmt w:val="decimal"/>
      <w:lvlText w:val="%1."/>
      <w:lvlJc w:val="left"/>
      <w:pPr>
        <w:ind w:left="272" w:hanging="128"/>
        <w:jc w:val="left"/>
      </w:pPr>
      <w:rPr>
        <w:rFonts w:ascii="微软雅黑" w:eastAsia="微软雅黑" w:hAnsi="微软雅黑" w:cs="微软雅黑" w:hint="default"/>
        <w:b/>
        <w:bCs/>
        <w:color w:val="404040"/>
        <w:w w:val="99"/>
        <w:sz w:val="12"/>
        <w:szCs w:val="12"/>
        <w:lang w:val="zh-CN" w:eastAsia="zh-CN" w:bidi="zh-CN"/>
      </w:rPr>
    </w:lvl>
    <w:lvl w:ilvl="1">
      <w:start w:val="0"/>
      <w:numFmt w:val="bullet"/>
      <w:lvlText w:val="•"/>
      <w:lvlJc w:val="left"/>
      <w:pPr>
        <w:ind w:left="447" w:hanging="128"/>
      </w:pPr>
      <w:rPr>
        <w:rFonts w:hint="default"/>
        <w:lang w:val="zh-CN" w:eastAsia="zh-CN" w:bidi="zh-CN"/>
      </w:rPr>
    </w:lvl>
    <w:lvl w:ilvl="2">
      <w:start w:val="0"/>
      <w:numFmt w:val="bullet"/>
      <w:lvlText w:val="•"/>
      <w:lvlJc w:val="left"/>
      <w:pPr>
        <w:ind w:left="615" w:hanging="128"/>
      </w:pPr>
      <w:rPr>
        <w:rFonts w:hint="default"/>
        <w:lang w:val="zh-CN" w:eastAsia="zh-CN" w:bidi="zh-CN"/>
      </w:rPr>
    </w:lvl>
    <w:lvl w:ilvl="3">
      <w:start w:val="0"/>
      <w:numFmt w:val="bullet"/>
      <w:lvlText w:val="•"/>
      <w:lvlJc w:val="left"/>
      <w:pPr>
        <w:ind w:left="782" w:hanging="128"/>
      </w:pPr>
      <w:rPr>
        <w:rFonts w:hint="default"/>
        <w:lang w:val="zh-CN" w:eastAsia="zh-CN" w:bidi="zh-CN"/>
      </w:rPr>
    </w:lvl>
    <w:lvl w:ilvl="4">
      <w:start w:val="0"/>
      <w:numFmt w:val="bullet"/>
      <w:lvlText w:val="•"/>
      <w:lvlJc w:val="left"/>
      <w:pPr>
        <w:ind w:left="950" w:hanging="128"/>
      </w:pPr>
      <w:rPr>
        <w:rFonts w:hint="default"/>
        <w:lang w:val="zh-CN" w:eastAsia="zh-CN" w:bidi="zh-CN"/>
      </w:rPr>
    </w:lvl>
    <w:lvl w:ilvl="5">
      <w:start w:val="0"/>
      <w:numFmt w:val="bullet"/>
      <w:lvlText w:val="•"/>
      <w:lvlJc w:val="left"/>
      <w:pPr>
        <w:ind w:left="1117" w:hanging="128"/>
      </w:pPr>
      <w:rPr>
        <w:rFonts w:hint="default"/>
        <w:lang w:val="zh-CN" w:eastAsia="zh-CN" w:bidi="zh-CN"/>
      </w:rPr>
    </w:lvl>
    <w:lvl w:ilvl="6">
      <w:start w:val="0"/>
      <w:numFmt w:val="bullet"/>
      <w:lvlText w:val="•"/>
      <w:lvlJc w:val="left"/>
      <w:pPr>
        <w:ind w:left="1285" w:hanging="128"/>
      </w:pPr>
      <w:rPr>
        <w:rFonts w:hint="default"/>
        <w:lang w:val="zh-CN" w:eastAsia="zh-CN" w:bidi="zh-CN"/>
      </w:rPr>
    </w:lvl>
    <w:lvl w:ilvl="7">
      <w:start w:val="0"/>
      <w:numFmt w:val="bullet"/>
      <w:lvlText w:val="•"/>
      <w:lvlJc w:val="left"/>
      <w:pPr>
        <w:ind w:left="1452" w:hanging="128"/>
      </w:pPr>
      <w:rPr>
        <w:rFonts w:hint="default"/>
        <w:lang w:val="zh-CN" w:eastAsia="zh-CN" w:bidi="zh-CN"/>
      </w:rPr>
    </w:lvl>
    <w:lvl w:ilvl="8">
      <w:start w:val="0"/>
      <w:numFmt w:val="bullet"/>
      <w:lvlText w:val="•"/>
      <w:lvlJc w:val="left"/>
      <w:pPr>
        <w:ind w:left="1620" w:hanging="128"/>
      </w:pPr>
      <w:rPr>
        <w:rFonts w:hint="default"/>
        <w:lang w:val="zh-CN" w:eastAsia="zh-CN" w:bidi="zh-CN"/>
      </w:rPr>
    </w:lvl>
  </w:abstractNum>
  <w:abstractNum w:abstractNumId="7">
    <w:nsid w:val="4665F24C"/>
    <w:multiLevelType w:val="hybridMultilevel"/>
    <w:tmpl w:val="00000000"/>
    <w:lvl w:ilvl="0">
      <w:start w:val="1"/>
      <w:numFmt w:val="decimal"/>
      <w:lvlText w:val="%1."/>
      <w:lvlJc w:val="left"/>
      <w:pPr>
        <w:ind w:left="270" w:hanging="128"/>
        <w:jc w:val="left"/>
      </w:pPr>
      <w:rPr>
        <w:rFonts w:ascii="微软雅黑" w:eastAsia="微软雅黑" w:hAnsi="微软雅黑" w:cs="微软雅黑" w:hint="default"/>
        <w:b/>
        <w:bCs/>
        <w:color w:val="404040"/>
        <w:w w:val="99"/>
        <w:sz w:val="12"/>
        <w:szCs w:val="12"/>
        <w:lang w:val="zh-CN" w:eastAsia="zh-CN" w:bidi="zh-CN"/>
      </w:rPr>
    </w:lvl>
    <w:lvl w:ilvl="1">
      <w:start w:val="0"/>
      <w:numFmt w:val="bullet"/>
      <w:lvlText w:val="•"/>
      <w:lvlJc w:val="left"/>
      <w:pPr>
        <w:ind w:left="447" w:hanging="128"/>
      </w:pPr>
      <w:rPr>
        <w:rFonts w:hint="default"/>
        <w:lang w:val="zh-CN" w:eastAsia="zh-CN" w:bidi="zh-CN"/>
      </w:rPr>
    </w:lvl>
    <w:lvl w:ilvl="2">
      <w:start w:val="0"/>
      <w:numFmt w:val="bullet"/>
      <w:lvlText w:val="•"/>
      <w:lvlJc w:val="left"/>
      <w:pPr>
        <w:ind w:left="615" w:hanging="128"/>
      </w:pPr>
      <w:rPr>
        <w:rFonts w:hint="default"/>
        <w:lang w:val="zh-CN" w:eastAsia="zh-CN" w:bidi="zh-CN"/>
      </w:rPr>
    </w:lvl>
    <w:lvl w:ilvl="3">
      <w:start w:val="0"/>
      <w:numFmt w:val="bullet"/>
      <w:lvlText w:val="•"/>
      <w:lvlJc w:val="left"/>
      <w:pPr>
        <w:ind w:left="782" w:hanging="128"/>
      </w:pPr>
      <w:rPr>
        <w:rFonts w:hint="default"/>
        <w:lang w:val="zh-CN" w:eastAsia="zh-CN" w:bidi="zh-CN"/>
      </w:rPr>
    </w:lvl>
    <w:lvl w:ilvl="4">
      <w:start w:val="0"/>
      <w:numFmt w:val="bullet"/>
      <w:lvlText w:val="•"/>
      <w:lvlJc w:val="left"/>
      <w:pPr>
        <w:ind w:left="950" w:hanging="128"/>
      </w:pPr>
      <w:rPr>
        <w:rFonts w:hint="default"/>
        <w:lang w:val="zh-CN" w:eastAsia="zh-CN" w:bidi="zh-CN"/>
      </w:rPr>
    </w:lvl>
    <w:lvl w:ilvl="5">
      <w:start w:val="0"/>
      <w:numFmt w:val="bullet"/>
      <w:lvlText w:val="•"/>
      <w:lvlJc w:val="left"/>
      <w:pPr>
        <w:ind w:left="1117" w:hanging="128"/>
      </w:pPr>
      <w:rPr>
        <w:rFonts w:hint="default"/>
        <w:lang w:val="zh-CN" w:eastAsia="zh-CN" w:bidi="zh-CN"/>
      </w:rPr>
    </w:lvl>
    <w:lvl w:ilvl="6">
      <w:start w:val="0"/>
      <w:numFmt w:val="bullet"/>
      <w:lvlText w:val="•"/>
      <w:lvlJc w:val="left"/>
      <w:pPr>
        <w:ind w:left="1285" w:hanging="128"/>
      </w:pPr>
      <w:rPr>
        <w:rFonts w:hint="default"/>
        <w:lang w:val="zh-CN" w:eastAsia="zh-CN" w:bidi="zh-CN"/>
      </w:rPr>
    </w:lvl>
    <w:lvl w:ilvl="7">
      <w:start w:val="0"/>
      <w:numFmt w:val="bullet"/>
      <w:lvlText w:val="•"/>
      <w:lvlJc w:val="left"/>
      <w:pPr>
        <w:ind w:left="1452" w:hanging="128"/>
      </w:pPr>
      <w:rPr>
        <w:rFonts w:hint="default"/>
        <w:lang w:val="zh-CN" w:eastAsia="zh-CN" w:bidi="zh-CN"/>
      </w:rPr>
    </w:lvl>
    <w:lvl w:ilvl="8">
      <w:start w:val="0"/>
      <w:numFmt w:val="bullet"/>
      <w:lvlText w:val="•"/>
      <w:lvlJc w:val="left"/>
      <w:pPr>
        <w:ind w:left="1620" w:hanging="128"/>
      </w:pPr>
      <w:rPr>
        <w:rFonts w:hint="default"/>
        <w:lang w:val="zh-CN" w:eastAsia="zh-CN" w:bidi="zh-CN"/>
      </w:rPr>
    </w:lvl>
  </w:abstractNum>
  <w:abstractNum w:abstractNumId="8">
    <w:nsid w:val="54BD4259"/>
    <w:multiLevelType w:val="hybridMultilevel"/>
    <w:tmpl w:val="00000000"/>
    <w:lvl w:ilvl="0">
      <w:start w:val="1"/>
      <w:numFmt w:val="decimal"/>
      <w:lvlText w:val="%1"/>
      <w:lvlJc w:val="left"/>
      <w:pPr>
        <w:ind w:left="393" w:hanging="286"/>
        <w:jc w:val="left"/>
      </w:pPr>
      <w:rPr>
        <w:rFonts w:ascii="微软雅黑" w:eastAsia="微软雅黑" w:hAnsi="微软雅黑" w:cs="微软雅黑" w:hint="default"/>
        <w:b/>
        <w:bCs/>
        <w:color w:val="C00000"/>
        <w:w w:val="99"/>
        <w:sz w:val="32"/>
        <w:szCs w:val="32"/>
        <w:lang w:val="zh-CN" w:eastAsia="zh-CN" w:bidi="zh-CN"/>
      </w:rPr>
    </w:lvl>
    <w:lvl w:ilvl="1">
      <w:start w:val="0"/>
      <w:numFmt w:val="bullet"/>
      <w:lvlText w:val=""/>
      <w:lvlJc w:val="left"/>
      <w:pPr>
        <w:ind w:left="929" w:hanging="421"/>
      </w:pPr>
      <w:rPr>
        <w:rFonts w:ascii="Wingdings" w:eastAsia="Wingdings" w:hAnsi="Wingdings" w:cs="Wingdings" w:hint="default"/>
        <w:color w:val="333333"/>
        <w:w w:val="99"/>
        <w:sz w:val="20"/>
        <w:szCs w:val="20"/>
        <w:lang w:val="zh-CN" w:eastAsia="zh-CN" w:bidi="zh-CN"/>
      </w:rPr>
    </w:lvl>
    <w:lvl w:ilvl="2">
      <w:start w:val="0"/>
      <w:numFmt w:val="bullet"/>
      <w:lvlText w:val="•"/>
      <w:lvlJc w:val="left"/>
      <w:pPr>
        <w:ind w:left="2007" w:hanging="421"/>
      </w:pPr>
      <w:rPr>
        <w:rFonts w:hint="default"/>
        <w:lang w:val="zh-CN" w:eastAsia="zh-CN" w:bidi="zh-CN"/>
      </w:rPr>
    </w:lvl>
    <w:lvl w:ilvl="3">
      <w:start w:val="0"/>
      <w:numFmt w:val="bullet"/>
      <w:lvlText w:val="•"/>
      <w:lvlJc w:val="left"/>
      <w:pPr>
        <w:ind w:left="3094" w:hanging="421"/>
      </w:pPr>
      <w:rPr>
        <w:rFonts w:hint="default"/>
        <w:lang w:val="zh-CN" w:eastAsia="zh-CN" w:bidi="zh-CN"/>
      </w:rPr>
    </w:lvl>
    <w:lvl w:ilvl="4">
      <w:start w:val="0"/>
      <w:numFmt w:val="bullet"/>
      <w:lvlText w:val="•"/>
      <w:lvlJc w:val="left"/>
      <w:pPr>
        <w:ind w:left="4182" w:hanging="421"/>
      </w:pPr>
      <w:rPr>
        <w:rFonts w:hint="default"/>
        <w:lang w:val="zh-CN" w:eastAsia="zh-CN" w:bidi="zh-CN"/>
      </w:rPr>
    </w:lvl>
    <w:lvl w:ilvl="5">
      <w:start w:val="0"/>
      <w:numFmt w:val="bullet"/>
      <w:lvlText w:val="•"/>
      <w:lvlJc w:val="left"/>
      <w:pPr>
        <w:ind w:left="5269" w:hanging="421"/>
      </w:pPr>
      <w:rPr>
        <w:rFonts w:hint="default"/>
        <w:lang w:val="zh-CN" w:eastAsia="zh-CN" w:bidi="zh-CN"/>
      </w:rPr>
    </w:lvl>
    <w:lvl w:ilvl="6">
      <w:start w:val="0"/>
      <w:numFmt w:val="bullet"/>
      <w:lvlText w:val="•"/>
      <w:lvlJc w:val="left"/>
      <w:pPr>
        <w:ind w:left="6356" w:hanging="421"/>
      </w:pPr>
      <w:rPr>
        <w:rFonts w:hint="default"/>
        <w:lang w:val="zh-CN" w:eastAsia="zh-CN" w:bidi="zh-CN"/>
      </w:rPr>
    </w:lvl>
    <w:lvl w:ilvl="7">
      <w:start w:val="0"/>
      <w:numFmt w:val="bullet"/>
      <w:lvlText w:val="•"/>
      <w:lvlJc w:val="left"/>
      <w:pPr>
        <w:ind w:left="7444" w:hanging="421"/>
      </w:pPr>
      <w:rPr>
        <w:rFonts w:hint="default"/>
        <w:lang w:val="zh-CN" w:eastAsia="zh-CN" w:bidi="zh-CN"/>
      </w:rPr>
    </w:lvl>
    <w:lvl w:ilvl="8">
      <w:start w:val="0"/>
      <w:numFmt w:val="bullet"/>
      <w:lvlText w:val="•"/>
      <w:lvlJc w:val="left"/>
      <w:pPr>
        <w:ind w:left="8531" w:hanging="421"/>
      </w:pPr>
      <w:rPr>
        <w:rFonts w:hint="default"/>
        <w:lang w:val="zh-CN" w:eastAsia="zh-CN" w:bidi="zh-CN"/>
      </w:rPr>
    </w:lvl>
  </w:abstractNum>
  <w:abstractNum w:abstractNumId="9">
    <w:nsid w:val="6CED7D26"/>
    <w:multiLevelType w:val="hybridMultilevel"/>
    <w:tmpl w:val="00000000"/>
    <w:lvl w:ilvl="0">
      <w:start w:val="1"/>
      <w:numFmt w:val="decimal"/>
      <w:lvlText w:val="%1."/>
      <w:lvlJc w:val="left"/>
      <w:pPr>
        <w:ind w:left="271" w:hanging="128"/>
        <w:jc w:val="left"/>
      </w:pPr>
      <w:rPr>
        <w:rFonts w:ascii="微软雅黑" w:eastAsia="微软雅黑" w:hAnsi="微软雅黑" w:cs="微软雅黑" w:hint="default"/>
        <w:b/>
        <w:bCs/>
        <w:color w:val="404040"/>
        <w:w w:val="99"/>
        <w:sz w:val="12"/>
        <w:szCs w:val="12"/>
        <w:lang w:val="zh-CN" w:eastAsia="zh-CN" w:bidi="zh-CN"/>
      </w:rPr>
    </w:lvl>
    <w:lvl w:ilvl="1">
      <w:start w:val="0"/>
      <w:numFmt w:val="bullet"/>
      <w:lvlText w:val="•"/>
      <w:lvlJc w:val="left"/>
      <w:pPr>
        <w:ind w:left="447" w:hanging="128"/>
      </w:pPr>
      <w:rPr>
        <w:rFonts w:hint="default"/>
        <w:lang w:val="zh-CN" w:eastAsia="zh-CN" w:bidi="zh-CN"/>
      </w:rPr>
    </w:lvl>
    <w:lvl w:ilvl="2">
      <w:start w:val="0"/>
      <w:numFmt w:val="bullet"/>
      <w:lvlText w:val="•"/>
      <w:lvlJc w:val="left"/>
      <w:pPr>
        <w:ind w:left="615" w:hanging="128"/>
      </w:pPr>
      <w:rPr>
        <w:rFonts w:hint="default"/>
        <w:lang w:val="zh-CN" w:eastAsia="zh-CN" w:bidi="zh-CN"/>
      </w:rPr>
    </w:lvl>
    <w:lvl w:ilvl="3">
      <w:start w:val="0"/>
      <w:numFmt w:val="bullet"/>
      <w:lvlText w:val="•"/>
      <w:lvlJc w:val="left"/>
      <w:pPr>
        <w:ind w:left="782" w:hanging="128"/>
      </w:pPr>
      <w:rPr>
        <w:rFonts w:hint="default"/>
        <w:lang w:val="zh-CN" w:eastAsia="zh-CN" w:bidi="zh-CN"/>
      </w:rPr>
    </w:lvl>
    <w:lvl w:ilvl="4">
      <w:start w:val="0"/>
      <w:numFmt w:val="bullet"/>
      <w:lvlText w:val="•"/>
      <w:lvlJc w:val="left"/>
      <w:pPr>
        <w:ind w:left="950" w:hanging="128"/>
      </w:pPr>
      <w:rPr>
        <w:rFonts w:hint="default"/>
        <w:lang w:val="zh-CN" w:eastAsia="zh-CN" w:bidi="zh-CN"/>
      </w:rPr>
    </w:lvl>
    <w:lvl w:ilvl="5">
      <w:start w:val="0"/>
      <w:numFmt w:val="bullet"/>
      <w:lvlText w:val="•"/>
      <w:lvlJc w:val="left"/>
      <w:pPr>
        <w:ind w:left="1117" w:hanging="128"/>
      </w:pPr>
      <w:rPr>
        <w:rFonts w:hint="default"/>
        <w:lang w:val="zh-CN" w:eastAsia="zh-CN" w:bidi="zh-CN"/>
      </w:rPr>
    </w:lvl>
    <w:lvl w:ilvl="6">
      <w:start w:val="0"/>
      <w:numFmt w:val="bullet"/>
      <w:lvlText w:val="•"/>
      <w:lvlJc w:val="left"/>
      <w:pPr>
        <w:ind w:left="1285" w:hanging="128"/>
      </w:pPr>
      <w:rPr>
        <w:rFonts w:hint="default"/>
        <w:lang w:val="zh-CN" w:eastAsia="zh-CN" w:bidi="zh-CN"/>
      </w:rPr>
    </w:lvl>
    <w:lvl w:ilvl="7">
      <w:start w:val="0"/>
      <w:numFmt w:val="bullet"/>
      <w:lvlText w:val="•"/>
      <w:lvlJc w:val="left"/>
      <w:pPr>
        <w:ind w:left="1452" w:hanging="128"/>
      </w:pPr>
      <w:rPr>
        <w:rFonts w:hint="default"/>
        <w:lang w:val="zh-CN" w:eastAsia="zh-CN" w:bidi="zh-CN"/>
      </w:rPr>
    </w:lvl>
    <w:lvl w:ilvl="8">
      <w:start w:val="0"/>
      <w:numFmt w:val="bullet"/>
      <w:lvlText w:val="•"/>
      <w:lvlJc w:val="left"/>
      <w:pPr>
        <w:ind w:left="1620" w:hanging="128"/>
      </w:pPr>
      <w:rPr>
        <w:rFonts w:hint="default"/>
        <w:lang w:val="zh-CN" w:eastAsia="zh-CN" w:bidi="zh-CN"/>
      </w:rPr>
    </w:lvl>
  </w:abstractNum>
  <w:abstractNum w:abstractNumId="10">
    <w:nsid w:val="7F90E4EB"/>
    <w:multiLevelType w:val="hybridMultilevel"/>
    <w:tmpl w:val="00000000"/>
    <w:lvl w:ilvl="0">
      <w:start w:val="1"/>
      <w:numFmt w:val="decimal"/>
      <w:lvlText w:val="%1."/>
      <w:lvlJc w:val="left"/>
      <w:pPr>
        <w:ind w:left="272" w:hanging="128"/>
        <w:jc w:val="left"/>
      </w:pPr>
      <w:rPr>
        <w:rFonts w:ascii="微软雅黑" w:eastAsia="微软雅黑" w:hAnsi="微软雅黑" w:cs="微软雅黑" w:hint="default"/>
        <w:b/>
        <w:bCs/>
        <w:color w:val="404040"/>
        <w:w w:val="99"/>
        <w:sz w:val="12"/>
        <w:szCs w:val="12"/>
        <w:lang w:val="zh-CN" w:eastAsia="zh-CN" w:bidi="zh-CN"/>
      </w:rPr>
    </w:lvl>
    <w:lvl w:ilvl="1">
      <w:start w:val="0"/>
      <w:numFmt w:val="bullet"/>
      <w:lvlText w:val="•"/>
      <w:lvlJc w:val="left"/>
      <w:pPr>
        <w:ind w:left="447" w:hanging="128"/>
      </w:pPr>
      <w:rPr>
        <w:rFonts w:hint="default"/>
        <w:lang w:val="zh-CN" w:eastAsia="zh-CN" w:bidi="zh-CN"/>
      </w:rPr>
    </w:lvl>
    <w:lvl w:ilvl="2">
      <w:start w:val="0"/>
      <w:numFmt w:val="bullet"/>
      <w:lvlText w:val="•"/>
      <w:lvlJc w:val="left"/>
      <w:pPr>
        <w:ind w:left="615" w:hanging="128"/>
      </w:pPr>
      <w:rPr>
        <w:rFonts w:hint="default"/>
        <w:lang w:val="zh-CN" w:eastAsia="zh-CN" w:bidi="zh-CN"/>
      </w:rPr>
    </w:lvl>
    <w:lvl w:ilvl="3">
      <w:start w:val="0"/>
      <w:numFmt w:val="bullet"/>
      <w:lvlText w:val="•"/>
      <w:lvlJc w:val="left"/>
      <w:pPr>
        <w:ind w:left="782" w:hanging="128"/>
      </w:pPr>
      <w:rPr>
        <w:rFonts w:hint="default"/>
        <w:lang w:val="zh-CN" w:eastAsia="zh-CN" w:bidi="zh-CN"/>
      </w:rPr>
    </w:lvl>
    <w:lvl w:ilvl="4">
      <w:start w:val="0"/>
      <w:numFmt w:val="bullet"/>
      <w:lvlText w:val="•"/>
      <w:lvlJc w:val="left"/>
      <w:pPr>
        <w:ind w:left="950" w:hanging="128"/>
      </w:pPr>
      <w:rPr>
        <w:rFonts w:hint="default"/>
        <w:lang w:val="zh-CN" w:eastAsia="zh-CN" w:bidi="zh-CN"/>
      </w:rPr>
    </w:lvl>
    <w:lvl w:ilvl="5">
      <w:start w:val="0"/>
      <w:numFmt w:val="bullet"/>
      <w:lvlText w:val="•"/>
      <w:lvlJc w:val="left"/>
      <w:pPr>
        <w:ind w:left="1117" w:hanging="128"/>
      </w:pPr>
      <w:rPr>
        <w:rFonts w:hint="default"/>
        <w:lang w:val="zh-CN" w:eastAsia="zh-CN" w:bidi="zh-CN"/>
      </w:rPr>
    </w:lvl>
    <w:lvl w:ilvl="6">
      <w:start w:val="0"/>
      <w:numFmt w:val="bullet"/>
      <w:lvlText w:val="•"/>
      <w:lvlJc w:val="left"/>
      <w:pPr>
        <w:ind w:left="1285" w:hanging="128"/>
      </w:pPr>
      <w:rPr>
        <w:rFonts w:hint="default"/>
        <w:lang w:val="zh-CN" w:eastAsia="zh-CN" w:bidi="zh-CN"/>
      </w:rPr>
    </w:lvl>
    <w:lvl w:ilvl="7">
      <w:start w:val="0"/>
      <w:numFmt w:val="bullet"/>
      <w:lvlText w:val="•"/>
      <w:lvlJc w:val="left"/>
      <w:pPr>
        <w:ind w:left="1452" w:hanging="128"/>
      </w:pPr>
      <w:rPr>
        <w:rFonts w:hint="default"/>
        <w:lang w:val="zh-CN" w:eastAsia="zh-CN" w:bidi="zh-CN"/>
      </w:rPr>
    </w:lvl>
    <w:lvl w:ilvl="8">
      <w:start w:val="0"/>
      <w:numFmt w:val="bullet"/>
      <w:lvlText w:val="•"/>
      <w:lvlJc w:val="left"/>
      <w:pPr>
        <w:ind w:left="1620" w:hanging="128"/>
      </w:pPr>
      <w:rPr>
        <w:rFonts w:hint="default"/>
        <w:lang w:val="zh-CN" w:eastAsia="zh-CN" w:bidi="zh-CN"/>
      </w:rPr>
    </w:lvl>
  </w:abstractNum>
  <w:num w:numId="1">
    <w:abstractNumId w:val="5"/>
  </w:num>
  <w:num w:numId="2">
    <w:abstractNumId w:val="4"/>
  </w:num>
  <w:num w:numId="3">
    <w:abstractNumId w:val="6"/>
  </w:num>
  <w:num w:numId="4">
    <w:abstractNumId w:val="7"/>
  </w:num>
  <w:num w:numId="5">
    <w:abstractNumId w:val="9"/>
  </w:num>
  <w:num w:numId="6">
    <w:abstractNumId w:val="10"/>
  </w:num>
  <w:num w:numId="7">
    <w:abstractNumId w:val="0"/>
  </w:num>
  <w:num w:numId="8">
    <w:abstractNumId w:val="3"/>
  </w:num>
  <w:num w:numId="9">
    <w:abstractNumId w:val="2"/>
  </w:num>
  <w:num w:numId="10">
    <w:abstractNumId w:val="8"/>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zh-CN" w:eastAsia="zh-CN" w:bidi="zh-CN"/>
    </w:rPr>
  </w:style>
  <w:style w:type="paragraph" w:styleId="Heading1">
    <w:name w:val="heading 1"/>
    <w:basedOn w:val="Normal"/>
    <w:uiPriority w:val="1"/>
    <w:qFormat/>
    <w:pPr>
      <w:spacing w:before="15"/>
      <w:ind w:left="393" w:hanging="287"/>
      <w:outlineLvl w:val="0"/>
    </w:pPr>
    <w:rPr>
      <w:rFonts w:ascii="微软雅黑" w:eastAsia="微软雅黑" w:hAnsi="微软雅黑" w:cs="微软雅黑"/>
      <w:b/>
      <w:bCs/>
      <w:i/>
      <w:sz w:val="32"/>
      <w:szCs w:val="32"/>
      <w:lang w:val="zh-CN" w:eastAsia="zh-CN" w:bidi="zh-CN"/>
    </w:rPr>
  </w:style>
  <w:style w:type="paragraph" w:styleId="Heading2">
    <w:name w:val="heading 2"/>
    <w:basedOn w:val="Normal"/>
    <w:uiPriority w:val="1"/>
    <w:qFormat/>
    <w:pPr>
      <w:spacing w:before="27"/>
      <w:ind w:left="107" w:hanging="506"/>
      <w:outlineLvl w:val="1"/>
    </w:pPr>
    <w:rPr>
      <w:rFonts w:ascii="微软雅黑" w:eastAsia="微软雅黑" w:hAnsi="微软雅黑" w:cs="微软雅黑"/>
      <w:b/>
      <w:bCs/>
      <w:i/>
      <w:sz w:val="28"/>
      <w:szCs w:val="28"/>
      <w:lang w:val="zh-CN" w:eastAsia="zh-CN" w:bidi="zh-CN"/>
    </w:rPr>
  </w:style>
  <w:style w:type="paragraph" w:styleId="Heading3">
    <w:name w:val="heading 3"/>
    <w:basedOn w:val="Normal"/>
    <w:uiPriority w:val="1"/>
    <w:qFormat/>
    <w:pPr>
      <w:spacing w:before="37"/>
      <w:ind w:left="756" w:hanging="650"/>
      <w:outlineLvl w:val="2"/>
    </w:pPr>
    <w:rPr>
      <w:rFonts w:ascii="微软雅黑" w:eastAsia="微软雅黑" w:hAnsi="微软雅黑" w:cs="微软雅黑"/>
      <w:b/>
      <w:bCs/>
      <w:i/>
      <w:sz w:val="24"/>
      <w:szCs w:val="24"/>
      <w:lang w:val="zh-CN" w:eastAsia="zh-CN" w:bidi="zh-CN"/>
    </w:rPr>
  </w:style>
  <w:style w:type="paragraph" w:styleId="Heading4">
    <w:name w:val="heading 4"/>
    <w:basedOn w:val="Normal"/>
    <w:uiPriority w:val="1"/>
    <w:qFormat/>
    <w:pPr>
      <w:spacing w:before="47"/>
      <w:ind w:left="107"/>
      <w:outlineLvl w:val="3"/>
    </w:pPr>
    <w:rPr>
      <w:rFonts w:ascii="微软雅黑" w:eastAsia="微软雅黑" w:hAnsi="微软雅黑" w:cs="微软雅黑"/>
      <w:b/>
      <w:bCs/>
      <w:i/>
      <w:sz w:val="20"/>
      <w:szCs w:val="20"/>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340" w:lineRule="exact"/>
      <w:ind w:left="331" w:hanging="225"/>
    </w:pPr>
    <w:rPr>
      <w:rFonts w:ascii="微软雅黑" w:eastAsia="微软雅黑" w:hAnsi="微软雅黑" w:cs="微软雅黑"/>
      <w:b/>
      <w:bCs/>
      <w:i/>
      <w:sz w:val="20"/>
      <w:szCs w:val="20"/>
      <w:lang w:val="zh-CN" w:eastAsia="zh-CN" w:bidi="zh-CN"/>
    </w:rPr>
  </w:style>
  <w:style w:type="paragraph" w:styleId="TOC2">
    <w:name w:val="toc 2"/>
    <w:basedOn w:val="Normal"/>
    <w:uiPriority w:val="1"/>
    <w:qFormat/>
    <w:pPr>
      <w:spacing w:line="340" w:lineRule="exact"/>
      <w:ind w:left="492" w:hanging="385"/>
    </w:pPr>
    <w:rPr>
      <w:rFonts w:ascii="微软雅黑" w:eastAsia="微软雅黑" w:hAnsi="微软雅黑" w:cs="微软雅黑"/>
      <w:sz w:val="20"/>
      <w:szCs w:val="20"/>
      <w:lang w:val="zh-CN" w:eastAsia="zh-CN" w:bidi="zh-CN"/>
    </w:rPr>
  </w:style>
  <w:style w:type="paragraph" w:styleId="TOC3">
    <w:name w:val="toc 3"/>
    <w:basedOn w:val="Normal"/>
    <w:uiPriority w:val="1"/>
    <w:qFormat/>
    <w:pPr>
      <w:spacing w:line="340" w:lineRule="exact"/>
      <w:ind w:left="107"/>
    </w:pPr>
    <w:rPr>
      <w:rFonts w:ascii="微软雅黑" w:eastAsia="微软雅黑" w:hAnsi="微软雅黑" w:cs="微软雅黑"/>
      <w:b/>
      <w:bCs/>
      <w:i/>
      <w:lang w:val="zh-CN" w:eastAsia="zh-CN" w:bidi="zh-CN"/>
    </w:rPr>
  </w:style>
  <w:style w:type="paragraph" w:styleId="BodyText">
    <w:name w:val="Body Text"/>
    <w:basedOn w:val="Normal"/>
    <w:uiPriority w:val="1"/>
    <w:qFormat/>
    <w:rPr>
      <w:rFonts w:ascii="微软雅黑" w:eastAsia="微软雅黑" w:hAnsi="微软雅黑" w:cs="微软雅黑"/>
      <w:sz w:val="20"/>
      <w:szCs w:val="20"/>
      <w:lang w:val="zh-CN" w:eastAsia="zh-CN" w:bidi="zh-CN"/>
    </w:rPr>
  </w:style>
  <w:style w:type="paragraph" w:styleId="ListParagraph">
    <w:name w:val="List Paragraph"/>
    <w:basedOn w:val="Normal"/>
    <w:uiPriority w:val="1"/>
    <w:qFormat/>
    <w:pPr>
      <w:ind w:left="331" w:hanging="385"/>
    </w:pPr>
    <w:rPr>
      <w:rFonts w:ascii="微软雅黑" w:eastAsia="微软雅黑" w:hAnsi="微软雅黑" w:cs="微软雅黑"/>
      <w:lang w:val="zh-CN" w:eastAsia="zh-CN" w:bidi="zh-CN"/>
    </w:rPr>
  </w:style>
  <w:style w:type="paragraph" w:customStyle="1" w:styleId="TableParagraph">
    <w:name w:val="Table Paragraph"/>
    <w:basedOn w:val="Normal"/>
    <w:uiPriority w:val="1"/>
    <w:qFormat/>
    <w:pPr>
      <w:jc w:val="center"/>
    </w:pPr>
    <w:rPr>
      <w:rFonts w:ascii="微软雅黑" w:eastAsia="微软雅黑" w:hAnsi="微软雅黑" w:cs="微软雅黑"/>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yperlink" Target="https://d.book118.com/285041334320011103" TargetMode="External" /><Relationship Id="rId101" Type="http://schemas.openxmlformats.org/officeDocument/2006/relationships/header" Target="header32.xml" /><Relationship Id="rId102" Type="http://schemas.openxmlformats.org/officeDocument/2006/relationships/footer" Target="footer32.xml" /><Relationship Id="rId103" Type="http://schemas.openxmlformats.org/officeDocument/2006/relationships/theme" Target="theme/theme1.xml" /><Relationship Id="rId104" Type="http://schemas.openxmlformats.org/officeDocument/2006/relationships/numbering" Target="numbering.xml" /><Relationship Id="rId105" Type="http://schemas.openxmlformats.org/officeDocument/2006/relationships/styles" Target="styles.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3.png"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image" Target="media/image4.png" /><Relationship Id="rId38" Type="http://schemas.openxmlformats.org/officeDocument/2006/relationships/image" Target="media/image5.png" /><Relationship Id="rId39" Type="http://schemas.openxmlformats.org/officeDocument/2006/relationships/image" Target="media/image6.png"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image" Target="media/image9.png" /><Relationship Id="rId43" Type="http://schemas.openxmlformats.org/officeDocument/2006/relationships/image" Target="media/image10.png"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image" Target="media/image14.png" /><Relationship Id="rId48" Type="http://schemas.openxmlformats.org/officeDocument/2006/relationships/image" Target="media/image15.png" /><Relationship Id="rId49" Type="http://schemas.openxmlformats.org/officeDocument/2006/relationships/image" Target="media/image16.png" /><Relationship Id="rId5" Type="http://schemas.openxmlformats.org/officeDocument/2006/relationships/footer" Target="footer1.xml" /><Relationship Id="rId50" Type="http://schemas.openxmlformats.org/officeDocument/2006/relationships/header" Target="header16.xml" /><Relationship Id="rId51" Type="http://schemas.openxmlformats.org/officeDocument/2006/relationships/footer" Target="footer16.xml" /><Relationship Id="rId52" Type="http://schemas.openxmlformats.org/officeDocument/2006/relationships/header" Target="header17.xml" /><Relationship Id="rId53" Type="http://schemas.openxmlformats.org/officeDocument/2006/relationships/footer" Target="footer17.xm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image" Target="media/image17.png" /><Relationship Id="rId57" Type="http://schemas.openxmlformats.org/officeDocument/2006/relationships/image" Target="media/image18.png" /><Relationship Id="rId58" Type="http://schemas.openxmlformats.org/officeDocument/2006/relationships/header" Target="header19.xml" /><Relationship Id="rId59" Type="http://schemas.openxmlformats.org/officeDocument/2006/relationships/footer" Target="footer19.xml" /><Relationship Id="rId6" Type="http://schemas.openxmlformats.org/officeDocument/2006/relationships/image" Target="media/image1.png" /><Relationship Id="rId60" Type="http://schemas.openxmlformats.org/officeDocument/2006/relationships/header" Target="header20.xml" /><Relationship Id="rId61" Type="http://schemas.openxmlformats.org/officeDocument/2006/relationships/footer" Target="footer20.xml" /><Relationship Id="rId62" Type="http://schemas.openxmlformats.org/officeDocument/2006/relationships/image" Target="media/image19.png" /><Relationship Id="rId63" Type="http://schemas.openxmlformats.org/officeDocument/2006/relationships/image" Target="media/image20.png" /><Relationship Id="rId64" Type="http://schemas.openxmlformats.org/officeDocument/2006/relationships/image" Target="media/image21.png" /><Relationship Id="rId65" Type="http://schemas.openxmlformats.org/officeDocument/2006/relationships/image" Target="media/image22.png" /><Relationship Id="rId66" Type="http://schemas.openxmlformats.org/officeDocument/2006/relationships/image" Target="media/image23.png" /><Relationship Id="rId67" Type="http://schemas.openxmlformats.org/officeDocument/2006/relationships/image" Target="media/image24.png" /><Relationship Id="rId68" Type="http://schemas.openxmlformats.org/officeDocument/2006/relationships/image" Target="media/image25.png" /><Relationship Id="rId69" Type="http://schemas.openxmlformats.org/officeDocument/2006/relationships/image" Target="media/image26.png" /><Relationship Id="rId7" Type="http://schemas.openxmlformats.org/officeDocument/2006/relationships/image" Target="media/image2.png" /><Relationship Id="rId70" Type="http://schemas.openxmlformats.org/officeDocument/2006/relationships/image" Target="media/image27.png" /><Relationship Id="rId71" Type="http://schemas.openxmlformats.org/officeDocument/2006/relationships/header" Target="header21.xml" /><Relationship Id="rId72" Type="http://schemas.openxmlformats.org/officeDocument/2006/relationships/footer" Target="footer21.xml" /><Relationship Id="rId73" Type="http://schemas.openxmlformats.org/officeDocument/2006/relationships/header" Target="header22.xml" /><Relationship Id="rId74" Type="http://schemas.openxmlformats.org/officeDocument/2006/relationships/footer" Target="footer22.xml" /><Relationship Id="rId75" Type="http://schemas.openxmlformats.org/officeDocument/2006/relationships/image" Target="media/image28.png" /><Relationship Id="rId76" Type="http://schemas.openxmlformats.org/officeDocument/2006/relationships/image" Target="media/image29.png" /><Relationship Id="rId77" Type="http://schemas.openxmlformats.org/officeDocument/2006/relationships/image" Target="media/image30.png" /><Relationship Id="rId78" Type="http://schemas.openxmlformats.org/officeDocument/2006/relationships/header" Target="header23.xml" /><Relationship Id="rId79" Type="http://schemas.openxmlformats.org/officeDocument/2006/relationships/footer" Target="footer23.xml" /><Relationship Id="rId8" Type="http://schemas.openxmlformats.org/officeDocument/2006/relationships/header" Target="header2.xml" /><Relationship Id="rId80" Type="http://schemas.openxmlformats.org/officeDocument/2006/relationships/image" Target="media/image31.png" /><Relationship Id="rId81" Type="http://schemas.openxmlformats.org/officeDocument/2006/relationships/image" Target="media/image32.png" /><Relationship Id="rId82" Type="http://schemas.openxmlformats.org/officeDocument/2006/relationships/image" Target="media/image33.png" /><Relationship Id="rId83" Type="http://schemas.openxmlformats.org/officeDocument/2006/relationships/header" Target="header24.xml" /><Relationship Id="rId84" Type="http://schemas.openxmlformats.org/officeDocument/2006/relationships/footer" Target="footer24.xml" /><Relationship Id="rId85" Type="http://schemas.openxmlformats.org/officeDocument/2006/relationships/header" Target="header25.xml" /><Relationship Id="rId86" Type="http://schemas.openxmlformats.org/officeDocument/2006/relationships/footer" Target="footer25.xml" /><Relationship Id="rId87" Type="http://schemas.openxmlformats.org/officeDocument/2006/relationships/header" Target="header26.xml" /><Relationship Id="rId88" Type="http://schemas.openxmlformats.org/officeDocument/2006/relationships/footer" Target="footer26.xml" /><Relationship Id="rId89" Type="http://schemas.openxmlformats.org/officeDocument/2006/relationships/header" Target="header27.xml" /><Relationship Id="rId9" Type="http://schemas.openxmlformats.org/officeDocument/2006/relationships/footer" Target="footer2.xml" /><Relationship Id="rId90" Type="http://schemas.openxmlformats.org/officeDocument/2006/relationships/footer" Target="footer27.xml" /><Relationship Id="rId91" Type="http://schemas.openxmlformats.org/officeDocument/2006/relationships/header" Target="header28.xml" /><Relationship Id="rId92" Type="http://schemas.openxmlformats.org/officeDocument/2006/relationships/footer" Target="footer28.xml" /><Relationship Id="rId93" Type="http://schemas.openxmlformats.org/officeDocument/2006/relationships/header" Target="header29.xml" /><Relationship Id="rId94" Type="http://schemas.openxmlformats.org/officeDocument/2006/relationships/footer" Target="footer29.xml" /><Relationship Id="rId95" Type="http://schemas.openxmlformats.org/officeDocument/2006/relationships/header" Target="header30.xml" /><Relationship Id="rId96" Type="http://schemas.openxmlformats.org/officeDocument/2006/relationships/footer" Target="footer30.xml" /><Relationship Id="rId97" Type="http://schemas.openxmlformats.org/officeDocument/2006/relationships/header" Target="header31.xml" /><Relationship Id="rId98" Type="http://schemas.openxmlformats.org/officeDocument/2006/relationships/footer" Target="footer31.xml" /><Relationship Id="rId99" Type="http://schemas.openxmlformats.org/officeDocument/2006/relationships/image" Target="media/image3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2024-01-30T03:36:42Z</dcterms:created>
  <dcterms:modified xsi:type="dcterms:W3CDTF">2024-01-30T03:36:42Z</dcterms:modified>
</cp:coreProperties>
</file>