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18.xml" ContentType="application/vnd.openxmlformats-officedocument.wordprocessingml.footer+xml"/>
  <Override PartName="/word/footer19.xml" ContentType="application/vnd.openxmlformats-officedocument.wordprocessingml.footer+xml"/>
  <Override PartName="/word/footer2.xml" ContentType="application/vnd.openxmlformats-officedocument.wordprocessingml.footer+xml"/>
  <Override PartName="/word/footer20.xml" ContentType="application/vnd.openxmlformats-officedocument.wordprocessingml.footer+xml"/>
  <Override PartName="/word/footer21.xml" ContentType="application/vnd.openxmlformats-officedocument.wordprocessingml.footer+xml"/>
  <Override PartName="/word/footer22.xml" ContentType="application/vnd.openxmlformats-officedocument.wordprocessingml.footer+xml"/>
  <Override PartName="/word/footer23.xml" ContentType="application/vnd.openxmlformats-officedocument.wordprocessingml.footer+xml"/>
  <Override PartName="/word/footer24.xml" ContentType="application/vnd.openxmlformats-officedocument.wordprocessingml.footer+xml"/>
  <Override PartName="/word/footer25.xml" ContentType="application/vnd.openxmlformats-officedocument.wordprocessingml.footer+xml"/>
  <Override PartName="/word/footer26.xml" ContentType="application/vnd.openxmlformats-officedocument.wordprocessingml.footer+xml"/>
  <Override PartName="/word/footer27.xml" ContentType="application/vnd.openxmlformats-officedocument.wordprocessingml.footer+xml"/>
  <Override PartName="/word/footer28.xml" ContentType="application/vnd.openxmlformats-officedocument.wordprocessingml.footer+xml"/>
  <Override PartName="/word/footer29.xml" ContentType="application/vnd.openxmlformats-officedocument.wordprocessingml.footer+xml"/>
  <Override PartName="/word/footer3.xml" ContentType="application/vnd.openxmlformats-officedocument.wordprocessingml.footer+xml"/>
  <Override PartName="/word/footer30.xml" ContentType="application/vnd.openxmlformats-officedocument.wordprocessingml.footer+xml"/>
  <Override PartName="/word/footer31.xml" ContentType="application/vnd.openxmlformats-officedocument.wordprocessingml.footer+xml"/>
  <Override PartName="/word/footer32.xml" ContentType="application/vnd.openxmlformats-officedocument.wordprocessingml.footer+xml"/>
  <Override PartName="/word/footer33.xml" ContentType="application/vnd.openxmlformats-officedocument.wordprocessingml.footer+xml"/>
  <Override PartName="/word/footer34.xml" ContentType="application/vnd.openxmlformats-officedocument.wordprocessingml.footer+xml"/>
  <Override PartName="/word/footer35.xml" ContentType="application/vnd.openxmlformats-officedocument.wordprocessingml.footer+xml"/>
  <Override PartName="/word/footer36.xml" ContentType="application/vnd.openxmlformats-officedocument.wordprocessingml.footer+xml"/>
  <Override PartName="/word/footer37.xml" ContentType="application/vnd.openxmlformats-officedocument.wordprocessingml.footer+xml"/>
  <Override PartName="/word/footer38.xml" ContentType="application/vnd.openxmlformats-officedocument.wordprocessingml.footer+xml"/>
  <Override PartName="/word/footer39.xml" ContentType="application/vnd.openxmlformats-officedocument.wordprocessingml.footer+xml"/>
  <Override PartName="/word/footer4.xml" ContentType="application/vnd.openxmlformats-officedocument.wordprocessingml.footer+xml"/>
  <Override PartName="/word/footer40.xml" ContentType="application/vnd.openxmlformats-officedocument.wordprocessingml.footer+xml"/>
  <Override PartName="/word/footer41.xml" ContentType="application/vnd.openxmlformats-officedocument.wordprocessingml.footer+xml"/>
  <Override PartName="/word/footer42.xml" ContentType="application/vnd.openxmlformats-officedocument.wordprocessingml.footer+xml"/>
  <Override PartName="/word/footer43.xml" ContentType="application/vnd.openxmlformats-officedocument.wordprocessingml.footer+xml"/>
  <Override PartName="/word/footer44.xml" ContentType="application/vnd.openxmlformats-officedocument.wordprocessingml.footer+xml"/>
  <Override PartName="/word/footer45.xml" ContentType="application/vnd.openxmlformats-officedocument.wordprocessingml.footer+xml"/>
  <Override PartName="/word/footer46.xml" ContentType="application/vnd.openxmlformats-officedocument.wordprocessingml.footer+xml"/>
  <Override PartName="/word/footer47.xml" ContentType="application/vnd.openxmlformats-officedocument.wordprocessingml.footer+xml"/>
  <Override PartName="/word/footer48.xml" ContentType="application/vnd.openxmlformats-officedocument.wordprocessingml.footer+xml"/>
  <Override PartName="/word/footer49.xml" ContentType="application/vnd.openxmlformats-officedocument.wordprocessingml.footer+xml"/>
  <Override PartName="/word/footer5.xml" ContentType="application/vnd.openxmlformats-officedocument.wordprocessingml.footer+xml"/>
  <Override PartName="/word/footer50.xml" ContentType="application/vnd.openxmlformats-officedocument.wordprocessingml.footer+xml"/>
  <Override PartName="/word/footer51.xml" ContentType="application/vnd.openxmlformats-officedocument.wordprocessingml.footer+xml"/>
  <Override PartName="/word/footer52.xml" ContentType="application/vnd.openxmlformats-officedocument.wordprocessingml.footer+xml"/>
  <Override PartName="/word/footer53.xml" ContentType="application/vnd.openxmlformats-officedocument.wordprocessingml.footer+xml"/>
  <Override PartName="/word/footer54.xml" ContentType="application/vnd.openxmlformats-officedocument.wordprocessingml.footer+xml"/>
  <Override PartName="/word/footer55.xml" ContentType="application/vnd.openxmlformats-officedocument.wordprocessingml.footer+xml"/>
  <Override PartName="/word/footer56.xml" ContentType="application/vnd.openxmlformats-officedocument.wordprocessingml.footer+xml"/>
  <Override PartName="/word/footer57.xml" ContentType="application/vnd.openxmlformats-officedocument.wordprocessingml.footer+xml"/>
  <Override PartName="/word/footer58.xml" ContentType="application/vnd.openxmlformats-officedocument.wordprocessingml.footer+xml"/>
  <Override PartName="/word/footer59.xml" ContentType="application/vnd.openxmlformats-officedocument.wordprocessingml.footer+xml"/>
  <Override PartName="/word/footer6.xml" ContentType="application/vnd.openxmlformats-officedocument.wordprocessingml.footer+xml"/>
  <Override PartName="/word/footer60.xml" ContentType="application/vnd.openxmlformats-officedocument.wordprocessingml.footer+xml"/>
  <Override PartName="/word/footer61.xml" ContentType="application/vnd.openxmlformats-officedocument.wordprocessingml.footer+xml"/>
  <Override PartName="/word/footer62.xml" ContentType="application/vnd.openxmlformats-officedocument.wordprocessingml.footer+xml"/>
  <Override PartName="/word/footer63.xml" ContentType="application/vnd.openxmlformats-officedocument.wordprocessingml.footer+xml"/>
  <Override PartName="/word/footer64.xml" ContentType="application/vnd.openxmlformats-officedocument.wordprocessingml.footer+xml"/>
  <Override PartName="/word/footer65.xml" ContentType="application/vnd.openxmlformats-officedocument.wordprocessingml.footer+xml"/>
  <Override PartName="/word/footer66.xml" ContentType="application/vnd.openxmlformats-officedocument.wordprocessingml.footer+xml"/>
  <Override PartName="/word/footer67.xml" ContentType="application/vnd.openxmlformats-officedocument.wordprocessingml.footer+xml"/>
  <Override PartName="/word/footer68.xml" ContentType="application/vnd.openxmlformats-officedocument.wordprocessingml.footer+xml"/>
  <Override PartName="/word/footer69.xml" ContentType="application/vnd.openxmlformats-officedocument.wordprocessingml.footer+xml"/>
  <Override PartName="/word/footer7.xml" ContentType="application/vnd.openxmlformats-officedocument.wordprocessingml.footer+xml"/>
  <Override PartName="/word/footer70.xml" ContentType="application/vnd.openxmlformats-officedocument.wordprocessingml.footer+xml"/>
  <Override PartName="/word/footer71.xml" ContentType="application/vnd.openxmlformats-officedocument.wordprocessingml.footer+xml"/>
  <Override PartName="/word/footer72.xml" ContentType="application/vnd.openxmlformats-officedocument.wordprocessingml.footer+xml"/>
  <Override PartName="/word/footer73.xml" ContentType="application/vnd.openxmlformats-officedocument.wordprocessingml.footer+xml"/>
  <Override PartName="/word/footer74.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18.xml" ContentType="application/vnd.openxmlformats-officedocument.wordprocessingml.header+xml"/>
  <Override PartName="/word/header19.xml" ContentType="application/vnd.openxmlformats-officedocument.wordprocessingml.header+xml"/>
  <Override PartName="/word/header2.xml" ContentType="application/vnd.openxmlformats-officedocument.wordprocessingml.header+xml"/>
  <Override PartName="/word/header20.xml" ContentType="application/vnd.openxmlformats-officedocument.wordprocessingml.header+xml"/>
  <Override PartName="/word/header21.xml" ContentType="application/vnd.openxmlformats-officedocument.wordprocessingml.header+xml"/>
  <Override PartName="/word/header22.xml" ContentType="application/vnd.openxmlformats-officedocument.wordprocessingml.header+xml"/>
  <Override PartName="/word/header23.xml" ContentType="application/vnd.openxmlformats-officedocument.wordprocessingml.header+xml"/>
  <Override PartName="/word/header24.xml" ContentType="application/vnd.openxmlformats-officedocument.wordprocessingml.header+xml"/>
  <Override PartName="/word/header25.xml" ContentType="application/vnd.openxmlformats-officedocument.wordprocessingml.header+xml"/>
  <Override PartName="/word/header26.xml" ContentType="application/vnd.openxmlformats-officedocument.wordprocessingml.header+xml"/>
  <Override PartName="/word/header27.xml" ContentType="application/vnd.openxmlformats-officedocument.wordprocessingml.header+xml"/>
  <Override PartName="/word/header28.xml" ContentType="application/vnd.openxmlformats-officedocument.wordprocessingml.header+xml"/>
  <Override PartName="/word/header29.xml" ContentType="application/vnd.openxmlformats-officedocument.wordprocessingml.header+xml"/>
  <Override PartName="/word/header3.xml" ContentType="application/vnd.openxmlformats-officedocument.wordprocessingml.header+xml"/>
  <Override PartName="/word/header30.xml" ContentType="application/vnd.openxmlformats-officedocument.wordprocessingml.header+xml"/>
  <Override PartName="/word/header31.xml" ContentType="application/vnd.openxmlformats-officedocument.wordprocessingml.header+xml"/>
  <Override PartName="/word/header32.xml" ContentType="application/vnd.openxmlformats-officedocument.wordprocessingml.header+xml"/>
  <Override PartName="/word/header33.xml" ContentType="application/vnd.openxmlformats-officedocument.wordprocessingml.header+xml"/>
  <Override PartName="/word/header34.xml" ContentType="application/vnd.openxmlformats-officedocument.wordprocessingml.header+xml"/>
  <Override PartName="/word/header35.xml" ContentType="application/vnd.openxmlformats-officedocument.wordprocessingml.header+xml"/>
  <Override PartName="/word/header36.xml" ContentType="application/vnd.openxmlformats-officedocument.wordprocessingml.header+xml"/>
  <Override PartName="/word/header37.xml" ContentType="application/vnd.openxmlformats-officedocument.wordprocessingml.header+xml"/>
  <Override PartName="/word/header38.xml" ContentType="application/vnd.openxmlformats-officedocument.wordprocessingml.header+xml"/>
  <Override PartName="/word/header39.xml" ContentType="application/vnd.openxmlformats-officedocument.wordprocessingml.header+xml"/>
  <Override PartName="/word/header4.xml" ContentType="application/vnd.openxmlformats-officedocument.wordprocessingml.header+xml"/>
  <Override PartName="/word/header40.xml" ContentType="application/vnd.openxmlformats-officedocument.wordprocessingml.header+xml"/>
  <Override PartName="/word/header41.xml" ContentType="application/vnd.openxmlformats-officedocument.wordprocessingml.header+xml"/>
  <Override PartName="/word/header42.xml" ContentType="application/vnd.openxmlformats-officedocument.wordprocessingml.header+xml"/>
  <Override PartName="/word/header43.xml" ContentType="application/vnd.openxmlformats-officedocument.wordprocessingml.header+xml"/>
  <Override PartName="/word/header44.xml" ContentType="application/vnd.openxmlformats-officedocument.wordprocessingml.header+xml"/>
  <Override PartName="/word/header45.xml" ContentType="application/vnd.openxmlformats-officedocument.wordprocessingml.header+xml"/>
  <Override PartName="/word/header46.xml" ContentType="application/vnd.openxmlformats-officedocument.wordprocessingml.header+xml"/>
  <Override PartName="/word/header47.xml" ContentType="application/vnd.openxmlformats-officedocument.wordprocessingml.header+xml"/>
  <Override PartName="/word/header48.xml" ContentType="application/vnd.openxmlformats-officedocument.wordprocessingml.header+xml"/>
  <Override PartName="/word/header49.xml" ContentType="application/vnd.openxmlformats-officedocument.wordprocessingml.header+xml"/>
  <Override PartName="/word/header5.xml" ContentType="application/vnd.openxmlformats-officedocument.wordprocessingml.header+xml"/>
  <Override PartName="/word/header50.xml" ContentType="application/vnd.openxmlformats-officedocument.wordprocessingml.header+xml"/>
  <Override PartName="/word/header51.xml" ContentType="application/vnd.openxmlformats-officedocument.wordprocessingml.header+xml"/>
  <Override PartName="/word/header52.xml" ContentType="application/vnd.openxmlformats-officedocument.wordprocessingml.header+xml"/>
  <Override PartName="/word/header53.xml" ContentType="application/vnd.openxmlformats-officedocument.wordprocessingml.header+xml"/>
  <Override PartName="/word/header54.xml" ContentType="application/vnd.openxmlformats-officedocument.wordprocessingml.header+xml"/>
  <Override PartName="/word/header55.xml" ContentType="application/vnd.openxmlformats-officedocument.wordprocessingml.header+xml"/>
  <Override PartName="/word/header56.xml" ContentType="application/vnd.openxmlformats-officedocument.wordprocessingml.header+xml"/>
  <Override PartName="/word/header57.xml" ContentType="application/vnd.openxmlformats-officedocument.wordprocessingml.header+xml"/>
  <Override PartName="/word/header58.xml" ContentType="application/vnd.openxmlformats-officedocument.wordprocessingml.header+xml"/>
  <Override PartName="/word/header59.xml" ContentType="application/vnd.openxmlformats-officedocument.wordprocessingml.header+xml"/>
  <Override PartName="/word/header6.xml" ContentType="application/vnd.openxmlformats-officedocument.wordprocessingml.header+xml"/>
  <Override PartName="/word/header60.xml" ContentType="application/vnd.openxmlformats-officedocument.wordprocessingml.header+xml"/>
  <Override PartName="/word/header61.xml" ContentType="application/vnd.openxmlformats-officedocument.wordprocessingml.header+xml"/>
  <Override PartName="/word/header62.xml" ContentType="application/vnd.openxmlformats-officedocument.wordprocessingml.header+xml"/>
  <Override PartName="/word/header63.xml" ContentType="application/vnd.openxmlformats-officedocument.wordprocessingml.header+xml"/>
  <Override PartName="/word/header64.xml" ContentType="application/vnd.openxmlformats-officedocument.wordprocessingml.header+xml"/>
  <Override PartName="/word/header65.xml" ContentType="application/vnd.openxmlformats-officedocument.wordprocessingml.header+xml"/>
  <Override PartName="/word/header66.xml" ContentType="application/vnd.openxmlformats-officedocument.wordprocessingml.header+xml"/>
  <Override PartName="/word/header67.xml" ContentType="application/vnd.openxmlformats-officedocument.wordprocessingml.header+xml"/>
  <Override PartName="/word/header68.xml" ContentType="application/vnd.openxmlformats-officedocument.wordprocessingml.header+xml"/>
  <Override PartName="/word/header69.xml" ContentType="application/vnd.openxmlformats-officedocument.wordprocessingml.header+xml"/>
  <Override PartName="/word/header7.xml" ContentType="application/vnd.openxmlformats-officedocument.wordprocessingml.header+xml"/>
  <Override PartName="/word/header70.xml" ContentType="application/vnd.openxmlformats-officedocument.wordprocessingml.header+xml"/>
  <Override PartName="/word/header71.xml" ContentType="application/vnd.openxmlformats-officedocument.wordprocessingml.header+xml"/>
  <Override PartName="/word/header72.xml" ContentType="application/vnd.openxmlformats-officedocument.wordprocessingml.header+xml"/>
  <Override PartName="/word/header73.xml" ContentType="application/vnd.openxmlformats-officedocument.wordprocessingml.header+xml"/>
  <Override PartName="/word/header74.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before="100" w:beforeAutospacing="1" w:after="100" w:afterAutospacing="1" w:line="360" w:lineRule="auto"/>
        <w:jc w:val="center"/>
        <w:rPr>
          <w:rFonts w:hint="eastAsia"/>
          <w:b/>
          <w:color w:val="000000"/>
          <w:kern w:val="0"/>
          <w:sz w:val="36"/>
          <w:szCs w:val="36"/>
        </w:rPr>
      </w:pPr>
    </w:p>
    <w:p>
      <w:pPr>
        <w:spacing w:before="100" w:beforeAutospacing="1" w:after="100" w:afterAutospacing="1" w:line="360" w:lineRule="auto"/>
        <w:jc w:val="center"/>
        <w:rPr>
          <w:rFonts w:eastAsia="宋体" w:hint="eastAsia"/>
          <w:b/>
          <w:color w:val="000000"/>
          <w:kern w:val="0"/>
          <w:sz w:val="36"/>
          <w:szCs w:val="36"/>
        </w:rPr>
      </w:pPr>
      <w:r>
        <w:rPr>
          <w:rFonts w:hint="eastAsia"/>
          <w:b/>
          <w:color w:val="000000"/>
          <w:kern w:val="0"/>
          <w:sz w:val="36"/>
          <w:szCs w:val="36"/>
          <w:lang w:val="en-US" w:eastAsia="zh-CN"/>
        </w:rPr>
        <w:t>XXX有限公司</w:t>
      </w:r>
    </w:p>
    <w:p>
      <w:pPr>
        <w:spacing w:before="100" w:beforeAutospacing="1" w:after="100" w:afterAutospacing="1" w:line="360" w:lineRule="auto"/>
        <w:jc w:val="center"/>
        <w:rPr>
          <w:rFonts w:hint="eastAsia"/>
          <w:b/>
          <w:color w:val="000000"/>
          <w:kern w:val="0"/>
          <w:sz w:val="44"/>
          <w:szCs w:val="44"/>
        </w:rPr>
      </w:pPr>
      <w:r>
        <w:rPr>
          <w:rFonts w:hint="eastAsia"/>
          <w:b/>
          <w:color w:val="000000"/>
          <w:kern w:val="0"/>
          <w:sz w:val="44"/>
          <w:szCs w:val="44"/>
          <w:lang w:eastAsia="zh-CN"/>
        </w:rPr>
        <w:t>标准化香菇示范基地</w:t>
      </w:r>
      <w:r>
        <w:rPr>
          <w:rFonts w:hint="eastAsia"/>
          <w:b/>
          <w:color w:val="000000"/>
          <w:kern w:val="0"/>
          <w:sz w:val="44"/>
          <w:szCs w:val="44"/>
        </w:rPr>
        <w:t>项目</w:t>
      </w:r>
    </w:p>
    <w:p>
      <w:pPr>
        <w:spacing w:before="100" w:beforeAutospacing="1" w:after="100" w:afterAutospacing="1" w:line="360" w:lineRule="auto"/>
        <w:rPr>
          <w:rFonts w:hint="eastAsia"/>
          <w:b/>
          <w:color w:val="000000"/>
          <w:kern w:val="0"/>
          <w:sz w:val="48"/>
          <w:szCs w:val="48"/>
        </w:rPr>
      </w:pPr>
    </w:p>
    <w:p>
      <w:pPr>
        <w:jc w:val="center"/>
        <w:rPr>
          <w:rFonts w:ascii="黑体" w:eastAsia="黑体" w:hint="eastAsia"/>
          <w:b/>
          <w:color w:val="000000"/>
          <w:sz w:val="52"/>
          <w:szCs w:val="52"/>
        </w:rPr>
      </w:pPr>
      <w:r>
        <w:rPr>
          <w:rFonts w:ascii="黑体" w:eastAsia="黑体" w:hint="eastAsia"/>
          <w:b/>
          <w:color w:val="000000"/>
          <w:sz w:val="52"/>
          <w:szCs w:val="52"/>
        </w:rPr>
        <w:t>可</w:t>
      </w:r>
    </w:p>
    <w:p>
      <w:pPr>
        <w:jc w:val="center"/>
        <w:rPr>
          <w:rFonts w:ascii="黑体" w:eastAsia="黑体" w:hint="eastAsia"/>
          <w:b/>
          <w:color w:val="000000"/>
          <w:sz w:val="52"/>
          <w:szCs w:val="52"/>
        </w:rPr>
      </w:pPr>
      <w:r>
        <w:rPr>
          <w:rFonts w:ascii="黑体" w:eastAsia="黑体" w:hint="eastAsia"/>
          <w:b/>
          <w:color w:val="000000"/>
          <w:sz w:val="52"/>
          <w:szCs w:val="52"/>
        </w:rPr>
        <w:t>行</w:t>
      </w:r>
    </w:p>
    <w:p>
      <w:pPr>
        <w:jc w:val="center"/>
        <w:rPr>
          <w:rFonts w:ascii="黑体" w:eastAsia="黑体" w:hint="eastAsia"/>
          <w:b/>
          <w:color w:val="000000"/>
          <w:sz w:val="52"/>
          <w:szCs w:val="52"/>
        </w:rPr>
      </w:pPr>
      <w:r>
        <w:rPr>
          <w:rFonts w:ascii="黑体" w:eastAsia="黑体" w:hint="eastAsia"/>
          <w:b/>
          <w:color w:val="000000"/>
          <w:sz w:val="52"/>
          <w:szCs w:val="52"/>
        </w:rPr>
        <w:t>性</w:t>
      </w:r>
    </w:p>
    <w:p>
      <w:pPr>
        <w:jc w:val="center"/>
        <w:rPr>
          <w:rFonts w:ascii="黑体" w:eastAsia="黑体" w:hint="eastAsia"/>
          <w:b/>
          <w:color w:val="000000"/>
          <w:sz w:val="52"/>
          <w:szCs w:val="52"/>
        </w:rPr>
      </w:pPr>
      <w:r>
        <w:rPr>
          <w:rFonts w:ascii="黑体" w:eastAsia="黑体" w:hint="eastAsia"/>
          <w:b/>
          <w:color w:val="000000"/>
          <w:sz w:val="52"/>
          <w:szCs w:val="52"/>
        </w:rPr>
        <w:t>研</w:t>
      </w:r>
    </w:p>
    <w:p>
      <w:pPr>
        <w:jc w:val="center"/>
        <w:rPr>
          <w:rFonts w:ascii="黑体" w:eastAsia="黑体" w:hint="eastAsia"/>
          <w:b/>
          <w:color w:val="000000"/>
          <w:sz w:val="52"/>
          <w:szCs w:val="52"/>
        </w:rPr>
      </w:pPr>
      <w:r>
        <w:rPr>
          <w:rFonts w:ascii="黑体" w:eastAsia="黑体" w:hint="eastAsia"/>
          <w:b/>
          <w:color w:val="000000"/>
          <w:sz w:val="52"/>
          <w:szCs w:val="52"/>
        </w:rPr>
        <w:t>究</w:t>
      </w:r>
    </w:p>
    <w:p>
      <w:pPr>
        <w:jc w:val="center"/>
        <w:rPr>
          <w:rFonts w:ascii="黑体" w:eastAsia="黑体" w:hint="eastAsia"/>
          <w:b/>
          <w:color w:val="000000"/>
          <w:sz w:val="52"/>
          <w:szCs w:val="52"/>
        </w:rPr>
      </w:pPr>
      <w:r>
        <w:rPr>
          <w:rFonts w:ascii="黑体" w:eastAsia="黑体" w:hint="eastAsia"/>
          <w:b/>
          <w:color w:val="000000"/>
          <w:sz w:val="52"/>
          <w:szCs w:val="52"/>
        </w:rPr>
        <w:t>报</w:t>
      </w:r>
    </w:p>
    <w:p>
      <w:pPr>
        <w:jc w:val="center"/>
        <w:rPr>
          <w:rFonts w:ascii="黑体" w:eastAsia="黑体" w:hint="eastAsia"/>
          <w:b/>
          <w:color w:val="000000"/>
          <w:sz w:val="52"/>
          <w:szCs w:val="52"/>
        </w:rPr>
      </w:pPr>
      <w:r>
        <w:rPr>
          <w:rFonts w:ascii="黑体" w:eastAsia="黑体" w:hint="eastAsia"/>
          <w:b/>
          <w:color w:val="000000"/>
          <w:sz w:val="52"/>
          <w:szCs w:val="52"/>
        </w:rPr>
        <w:t>告</w:t>
      </w:r>
    </w:p>
    <w:p>
      <w:pPr>
        <w:jc w:val="center"/>
        <w:rPr>
          <w:rFonts w:ascii="黑体" w:eastAsia="黑体" w:hint="eastAsia"/>
          <w:b/>
          <w:color w:val="000000"/>
          <w:sz w:val="52"/>
          <w:szCs w:val="52"/>
        </w:rPr>
      </w:pPr>
    </w:p>
    <w:p>
      <w:pPr>
        <w:jc w:val="both"/>
        <w:rPr>
          <w:rFonts w:hint="eastAsia"/>
          <w:b/>
          <w:color w:val="000000"/>
          <w:sz w:val="28"/>
          <w:szCs w:val="28"/>
        </w:rPr>
      </w:pPr>
    </w:p>
    <w:p>
      <w:pPr>
        <w:spacing w:line="240" w:lineRule="auto"/>
        <w:jc w:val="center"/>
        <w:rPr>
          <w:rFonts w:hint="eastAsia"/>
          <w:b/>
          <w:color w:val="000000"/>
          <w:sz w:val="28"/>
          <w:szCs w:val="28"/>
        </w:rPr>
      </w:pPr>
      <w:r>
        <w:rPr>
          <w:rFonts w:hint="eastAsia"/>
          <w:b/>
          <w:color w:val="000000"/>
          <w:sz w:val="28"/>
          <w:szCs w:val="28"/>
          <w:lang w:val="en-US" w:eastAsia="zh-CN"/>
        </w:rPr>
        <w:t>编制单位：北京中投信德工程咨询有限公司</w:t>
      </w:r>
    </w:p>
    <w:p>
      <w:pPr>
        <w:spacing w:line="240" w:lineRule="auto"/>
        <w:jc w:val="center"/>
        <w:rPr>
          <w:rFonts w:hint="eastAsia"/>
          <w:b/>
          <w:color w:val="000000"/>
          <w:sz w:val="28"/>
          <w:szCs w:val="28"/>
        </w:rPr>
      </w:pPr>
      <w:r>
        <w:rPr>
          <w:rFonts w:hint="eastAsia"/>
          <w:b/>
          <w:color w:val="000000"/>
          <w:sz w:val="28"/>
          <w:szCs w:val="28"/>
          <w:lang w:val="en-US" w:eastAsia="zh-CN"/>
        </w:rPr>
        <w:t>编制工程师：中投信德杨刚</w:t>
      </w:r>
    </w:p>
    <w:p>
      <w:pPr>
        <w:spacing w:line="240" w:lineRule="auto"/>
        <w:jc w:val="center"/>
        <w:rPr>
          <w:rFonts w:hint="eastAsia"/>
          <w:b/>
          <w:color w:val="000000"/>
          <w:sz w:val="28"/>
          <w:szCs w:val="28"/>
        </w:rPr>
      </w:pPr>
    </w:p>
    <w:p>
      <w:pPr>
        <w:spacing w:before="100" w:beforeAutospacing="1" w:after="100" w:afterAutospacing="1" w:line="360" w:lineRule="auto"/>
        <w:jc w:val="center"/>
        <w:rPr>
          <w:rFonts w:hAnsi="宋体"/>
          <w:b/>
          <w:color w:val="000000"/>
          <w:sz w:val="32"/>
          <w:szCs w:val="32"/>
        </w:rPr>
        <w:sectPr>
          <w:headerReference w:type="default" r:id="rId4"/>
          <w:footerReference w:type="default" r:id="rId5"/>
          <w:headerReference w:type="first" r:id="rId6"/>
          <w:footerReference w:type="first" r:id="rId7"/>
          <w:pgSz w:w="11906" w:h="16838"/>
          <w:pgMar w:top="1440" w:right="1797" w:bottom="1440" w:left="1797" w:header="851" w:footer="992" w:gutter="0"/>
          <w:pgNumType w:start="1"/>
          <w:cols w:space="708"/>
          <w:titlePg/>
          <w:docGrid w:type="lines" w:linePitch="312"/>
        </w:sectPr>
      </w:pPr>
    </w:p>
    <w:p>
      <w:pPr>
        <w:spacing w:before="100" w:beforeAutospacing="1" w:after="100" w:afterAutospacing="1" w:line="360" w:lineRule="auto"/>
        <w:jc w:val="center"/>
        <w:rPr>
          <w:rFonts w:eastAsia="宋体" w:hint="eastAsia"/>
          <w:b/>
          <w:color w:val="000000"/>
          <w:sz w:val="32"/>
          <w:szCs w:val="32"/>
        </w:rPr>
      </w:pPr>
      <w:r>
        <w:rPr>
          <w:rFonts w:hAnsi="宋体"/>
          <w:b/>
          <w:color w:val="000000"/>
          <w:sz w:val="32"/>
          <w:szCs w:val="32"/>
        </w:rPr>
        <w:t>目</w:t>
      </w:r>
      <w:r>
        <w:rPr>
          <w:b/>
          <w:color w:val="000000"/>
          <w:sz w:val="32"/>
          <w:szCs w:val="32"/>
        </w:rPr>
        <w:t xml:space="preserve"> </w:t>
      </w:r>
      <w:r>
        <w:rPr>
          <w:rFonts w:hAnsi="宋体"/>
          <w:b/>
          <w:color w:val="000000"/>
          <w:sz w:val="32"/>
          <w:szCs w:val="32"/>
        </w:rPr>
        <w:t>录</w:t>
      </w:r>
    </w:p>
    <w:p>
      <w:pPr>
        <w:pStyle w:val="TOC1"/>
        <w:tabs>
          <w:tab w:val="clear" w:pos="8296"/>
          <w:tab w:val="right" w:leader="dot" w:pos="8312"/>
        </w:tabs>
      </w:pPr>
      <w:r>
        <w:rPr>
          <w:rFonts w:ascii="Times New Roman" w:eastAsia="宋体"/>
          <w:color w:val="000000"/>
        </w:rPr>
        <w:fldChar w:fldCharType="begin"/>
      </w:r>
      <w:r>
        <w:rPr>
          <w:rFonts w:ascii="Times New Roman" w:eastAsia="宋体"/>
          <w:color w:val="000000"/>
        </w:rPr>
        <w:instrText xml:space="preserve"> TOC \o "1-3" \h \z \u </w:instrText>
      </w:r>
      <w:r>
        <w:rPr>
          <w:rFonts w:ascii="Times New Roman" w:eastAsia="宋体"/>
          <w:color w:val="000000"/>
        </w:rPr>
        <w:fldChar w:fldCharType="separate"/>
      </w:r>
      <w:hyperlink w:anchor="_Toc6314" w:history="1">
        <w:r>
          <w:rPr>
            <w:rFonts w:ascii="Times New Roman" w:hAnsi="宋体"/>
          </w:rPr>
          <w:t>第一章</w:t>
        </w:r>
        <w:r>
          <w:rPr>
            <w:rFonts w:ascii="Times New Roman" w:hAnsi="Times New Roman"/>
          </w:rPr>
          <w:t xml:space="preserve"> </w:t>
        </w:r>
        <w:r>
          <w:rPr>
            <w:rFonts w:ascii="Times New Roman" w:hAnsi="宋体" w:hint="eastAsia"/>
          </w:rPr>
          <w:t>总 论</w:t>
        </w:r>
        <w:r>
          <w:tab/>
        </w:r>
        <w:r>
          <w:fldChar w:fldCharType="begin"/>
        </w:r>
        <w:r>
          <w:instrText xml:space="preserve"> PAGEREF _Toc6314 \h </w:instrText>
        </w:r>
        <w:r>
          <w:fldChar w:fldCharType="separate"/>
        </w:r>
        <w:r>
          <w:t>1</w:t>
        </w:r>
        <w:r>
          <w:fldChar w:fldCharType="end"/>
        </w:r>
      </w:hyperlink>
    </w:p>
    <w:p>
      <w:pPr>
        <w:pStyle w:val="TOC2"/>
        <w:tabs>
          <w:tab w:val="clear" w:pos="8302"/>
          <w:tab w:val="right" w:leader="dot" w:pos="8312"/>
        </w:tabs>
      </w:pPr>
      <w:hyperlink w:anchor="_Toc27280" w:history="1">
        <w:r>
          <w:rPr>
            <w:rFonts w:ascii="Times New Roman" w:eastAsia="宋体" w:hAnsi="Times New Roman"/>
            <w:szCs w:val="28"/>
          </w:rPr>
          <w:t>1.1项目概要</w:t>
        </w:r>
        <w:r>
          <w:tab/>
        </w:r>
        <w:r>
          <w:fldChar w:fldCharType="begin"/>
        </w:r>
        <w:r>
          <w:instrText xml:space="preserve"> PAGEREF _Toc27280 \h </w:instrText>
        </w:r>
        <w:r>
          <w:fldChar w:fldCharType="separate"/>
        </w:r>
        <w:r>
          <w:t>1</w:t>
        </w:r>
        <w:r>
          <w:fldChar w:fldCharType="end"/>
        </w:r>
      </w:hyperlink>
    </w:p>
    <w:p>
      <w:pPr>
        <w:pStyle w:val="TOC3"/>
        <w:tabs>
          <w:tab w:val="right" w:leader="dot" w:pos="8312"/>
        </w:tabs>
      </w:pPr>
      <w:hyperlink w:anchor="_Toc18334" w:history="1">
        <w:r>
          <w:rPr>
            <w:szCs w:val="24"/>
          </w:rPr>
          <w:t>1.1.1项目名称</w:t>
        </w:r>
        <w:r>
          <w:tab/>
        </w:r>
        <w:r>
          <w:fldChar w:fldCharType="begin"/>
        </w:r>
        <w:r>
          <w:instrText xml:space="preserve"> PAGEREF _Toc18334 \h </w:instrText>
        </w:r>
        <w:r>
          <w:fldChar w:fldCharType="separate"/>
        </w:r>
        <w:r>
          <w:t>1</w:t>
        </w:r>
        <w:r>
          <w:fldChar w:fldCharType="end"/>
        </w:r>
      </w:hyperlink>
    </w:p>
    <w:p>
      <w:pPr>
        <w:pStyle w:val="TOC3"/>
        <w:tabs>
          <w:tab w:val="right" w:leader="dot" w:pos="8312"/>
        </w:tabs>
      </w:pPr>
      <w:hyperlink w:anchor="_Toc19103" w:history="1">
        <w:r>
          <w:rPr>
            <w:rFonts w:hint="eastAsia"/>
            <w:szCs w:val="24"/>
          </w:rPr>
          <w:t>1</w:t>
        </w:r>
        <w:r>
          <w:rPr>
            <w:szCs w:val="24"/>
          </w:rPr>
          <w:t>.</w:t>
        </w:r>
        <w:r>
          <w:rPr>
            <w:rFonts w:hint="eastAsia"/>
            <w:szCs w:val="24"/>
          </w:rPr>
          <w:t>1</w:t>
        </w:r>
        <w:r>
          <w:rPr>
            <w:szCs w:val="24"/>
          </w:rPr>
          <w:t>.</w:t>
        </w:r>
        <w:r>
          <w:rPr>
            <w:rFonts w:hint="eastAsia"/>
            <w:szCs w:val="24"/>
          </w:rPr>
          <w:t>2项目建设单位</w:t>
        </w:r>
        <w:r>
          <w:tab/>
        </w:r>
        <w:r>
          <w:fldChar w:fldCharType="begin"/>
        </w:r>
        <w:r>
          <w:instrText xml:space="preserve"> PAGEREF _Toc19103 \h </w:instrText>
        </w:r>
        <w:r>
          <w:fldChar w:fldCharType="separate"/>
        </w:r>
        <w:r>
          <w:t>1</w:t>
        </w:r>
        <w:r>
          <w:fldChar w:fldCharType="end"/>
        </w:r>
      </w:hyperlink>
    </w:p>
    <w:p>
      <w:pPr>
        <w:pStyle w:val="TOC3"/>
        <w:tabs>
          <w:tab w:val="right" w:leader="dot" w:pos="8312"/>
        </w:tabs>
      </w:pPr>
      <w:hyperlink w:anchor="_Toc31693" w:history="1">
        <w:r>
          <w:rPr>
            <w:szCs w:val="24"/>
          </w:rPr>
          <w:t>1.1.3项目建设性质</w:t>
        </w:r>
        <w:r>
          <w:tab/>
        </w:r>
        <w:r>
          <w:fldChar w:fldCharType="begin"/>
        </w:r>
        <w:r>
          <w:instrText xml:space="preserve"> PAGEREF _Toc31693 \h </w:instrText>
        </w:r>
        <w:r>
          <w:fldChar w:fldCharType="separate"/>
        </w:r>
        <w:r>
          <w:t>1</w:t>
        </w:r>
        <w:r>
          <w:fldChar w:fldCharType="end"/>
        </w:r>
      </w:hyperlink>
    </w:p>
    <w:p>
      <w:pPr>
        <w:pStyle w:val="TOC3"/>
        <w:tabs>
          <w:tab w:val="right" w:leader="dot" w:pos="8312"/>
        </w:tabs>
      </w:pPr>
      <w:hyperlink w:anchor="_Toc24481" w:history="1">
        <w:r>
          <w:rPr>
            <w:rFonts w:hint="eastAsia"/>
            <w:szCs w:val="24"/>
          </w:rPr>
          <w:t>1</w:t>
        </w:r>
        <w:r>
          <w:rPr>
            <w:szCs w:val="24"/>
          </w:rPr>
          <w:t>.</w:t>
        </w:r>
        <w:r>
          <w:rPr>
            <w:rFonts w:hint="eastAsia"/>
            <w:szCs w:val="24"/>
          </w:rPr>
          <w:t>1</w:t>
        </w:r>
        <w:r>
          <w:rPr>
            <w:szCs w:val="24"/>
          </w:rPr>
          <w:t>.</w:t>
        </w:r>
        <w:r>
          <w:rPr>
            <w:rFonts w:hint="eastAsia"/>
            <w:szCs w:val="24"/>
          </w:rPr>
          <w:t>4项目建设地点</w:t>
        </w:r>
        <w:r>
          <w:tab/>
        </w:r>
        <w:r>
          <w:fldChar w:fldCharType="begin"/>
        </w:r>
        <w:r>
          <w:instrText xml:space="preserve"> PAGEREF _Toc24481 \h </w:instrText>
        </w:r>
        <w:r>
          <w:fldChar w:fldCharType="separate"/>
        </w:r>
        <w:r>
          <w:t>1</w:t>
        </w:r>
        <w:r>
          <w:fldChar w:fldCharType="end"/>
        </w:r>
      </w:hyperlink>
    </w:p>
    <w:p>
      <w:pPr>
        <w:pStyle w:val="TOC3"/>
        <w:tabs>
          <w:tab w:val="right" w:leader="dot" w:pos="8312"/>
        </w:tabs>
      </w:pPr>
      <w:hyperlink w:anchor="_Toc7227" w:history="1">
        <w:r>
          <w:rPr>
            <w:rFonts w:hint="eastAsia"/>
            <w:szCs w:val="24"/>
          </w:rPr>
          <w:t>1</w:t>
        </w:r>
        <w:r>
          <w:rPr>
            <w:szCs w:val="24"/>
          </w:rPr>
          <w:t>.</w:t>
        </w:r>
        <w:r>
          <w:rPr>
            <w:rFonts w:hint="eastAsia"/>
            <w:szCs w:val="24"/>
          </w:rPr>
          <w:t>1</w:t>
        </w:r>
        <w:r>
          <w:rPr>
            <w:szCs w:val="24"/>
          </w:rPr>
          <w:t>.</w:t>
        </w:r>
        <w:r>
          <w:rPr>
            <w:rFonts w:hint="eastAsia"/>
            <w:szCs w:val="24"/>
          </w:rPr>
          <w:t>5项目负责人</w:t>
        </w:r>
        <w:r>
          <w:tab/>
        </w:r>
        <w:r>
          <w:fldChar w:fldCharType="begin"/>
        </w:r>
        <w:r>
          <w:instrText xml:space="preserve"> PAGEREF _Toc7227 \h </w:instrText>
        </w:r>
        <w:r>
          <w:fldChar w:fldCharType="separate"/>
        </w:r>
        <w:r>
          <w:t>1</w:t>
        </w:r>
        <w:r>
          <w:fldChar w:fldCharType="end"/>
        </w:r>
      </w:hyperlink>
    </w:p>
    <w:p>
      <w:pPr>
        <w:pStyle w:val="TOC3"/>
        <w:tabs>
          <w:tab w:val="right" w:leader="dot" w:pos="8312"/>
        </w:tabs>
      </w:pPr>
      <w:hyperlink w:anchor="_Toc923" w:history="1">
        <w:r>
          <w:rPr>
            <w:rFonts w:hint="eastAsia"/>
            <w:szCs w:val="24"/>
          </w:rPr>
          <w:t>1</w:t>
        </w:r>
        <w:r>
          <w:rPr>
            <w:szCs w:val="24"/>
          </w:rPr>
          <w:t>.</w:t>
        </w:r>
        <w:r>
          <w:rPr>
            <w:rFonts w:hint="eastAsia"/>
            <w:szCs w:val="24"/>
          </w:rPr>
          <w:t>1</w:t>
        </w:r>
        <w:r>
          <w:rPr>
            <w:szCs w:val="24"/>
          </w:rPr>
          <w:t>.</w:t>
        </w:r>
        <w:r>
          <w:rPr>
            <w:rFonts w:hint="eastAsia"/>
            <w:szCs w:val="24"/>
          </w:rPr>
          <w:t>6项目投资规模</w:t>
        </w:r>
        <w:r>
          <w:tab/>
        </w:r>
        <w:r>
          <w:fldChar w:fldCharType="begin"/>
        </w:r>
        <w:r>
          <w:instrText xml:space="preserve"> PAGEREF _Toc923 \h </w:instrText>
        </w:r>
        <w:r>
          <w:fldChar w:fldCharType="separate"/>
        </w:r>
        <w:r>
          <w:t>1</w:t>
        </w:r>
        <w:r>
          <w:fldChar w:fldCharType="end"/>
        </w:r>
      </w:hyperlink>
    </w:p>
    <w:p>
      <w:pPr>
        <w:pStyle w:val="TOC3"/>
        <w:tabs>
          <w:tab w:val="right" w:leader="dot" w:pos="8312"/>
        </w:tabs>
      </w:pPr>
      <w:hyperlink w:anchor="_Toc13733" w:history="1">
        <w:r>
          <w:rPr>
            <w:szCs w:val="24"/>
          </w:rPr>
          <w:t>1.1.</w:t>
        </w:r>
        <w:r>
          <w:rPr>
            <w:rFonts w:hint="eastAsia"/>
            <w:szCs w:val="24"/>
          </w:rPr>
          <w:t>7</w:t>
        </w:r>
        <w:r>
          <w:rPr>
            <w:szCs w:val="24"/>
          </w:rPr>
          <w:t>项目建设规模</w:t>
        </w:r>
        <w:r>
          <w:tab/>
        </w:r>
        <w:r>
          <w:fldChar w:fldCharType="begin"/>
        </w:r>
        <w:r>
          <w:instrText xml:space="preserve"> PAGEREF _Toc13733 \h </w:instrText>
        </w:r>
        <w:r>
          <w:fldChar w:fldCharType="separate"/>
        </w:r>
        <w:r>
          <w:t>2</w:t>
        </w:r>
        <w:r>
          <w:fldChar w:fldCharType="end"/>
        </w:r>
      </w:hyperlink>
    </w:p>
    <w:p>
      <w:pPr>
        <w:pStyle w:val="TOC3"/>
        <w:tabs>
          <w:tab w:val="right" w:leader="dot" w:pos="8312"/>
        </w:tabs>
      </w:pPr>
      <w:hyperlink w:anchor="_Toc26614" w:history="1">
        <w:r>
          <w:rPr>
            <w:rFonts w:hint="eastAsia"/>
            <w:szCs w:val="24"/>
          </w:rPr>
          <w:t>1</w:t>
        </w:r>
        <w:r>
          <w:rPr>
            <w:szCs w:val="24"/>
          </w:rPr>
          <w:t>.</w:t>
        </w:r>
        <w:r>
          <w:rPr>
            <w:rFonts w:hint="eastAsia"/>
            <w:szCs w:val="24"/>
          </w:rPr>
          <w:t>1</w:t>
        </w:r>
        <w:r>
          <w:rPr>
            <w:szCs w:val="24"/>
          </w:rPr>
          <w:t>.</w:t>
        </w:r>
        <w:r>
          <w:rPr>
            <w:rFonts w:hint="eastAsia"/>
            <w:szCs w:val="24"/>
          </w:rPr>
          <w:t>8项目资金来源</w:t>
        </w:r>
        <w:r>
          <w:tab/>
        </w:r>
        <w:r>
          <w:fldChar w:fldCharType="begin"/>
        </w:r>
        <w:r>
          <w:instrText xml:space="preserve"> PAGEREF _Toc26614 \h </w:instrText>
        </w:r>
        <w:r>
          <w:fldChar w:fldCharType="separate"/>
        </w:r>
        <w:r>
          <w:t>2</w:t>
        </w:r>
        <w:r>
          <w:fldChar w:fldCharType="end"/>
        </w:r>
      </w:hyperlink>
    </w:p>
    <w:p>
      <w:pPr>
        <w:pStyle w:val="TOC3"/>
        <w:tabs>
          <w:tab w:val="right" w:leader="dot" w:pos="8312"/>
        </w:tabs>
      </w:pPr>
      <w:hyperlink w:anchor="_Toc13544" w:history="1">
        <w:r>
          <w:rPr>
            <w:rFonts w:hint="eastAsia"/>
            <w:szCs w:val="24"/>
          </w:rPr>
          <w:t>1</w:t>
        </w:r>
        <w:r>
          <w:rPr>
            <w:szCs w:val="24"/>
          </w:rPr>
          <w:t>.</w:t>
        </w:r>
        <w:r>
          <w:rPr>
            <w:rFonts w:hint="eastAsia"/>
            <w:szCs w:val="24"/>
          </w:rPr>
          <w:t>1</w:t>
        </w:r>
        <w:r>
          <w:rPr>
            <w:szCs w:val="24"/>
          </w:rPr>
          <w:t>.</w:t>
        </w:r>
        <w:r>
          <w:rPr>
            <w:rFonts w:hint="eastAsia"/>
            <w:szCs w:val="24"/>
          </w:rPr>
          <w:t>9项目建设期限</w:t>
        </w:r>
        <w:r>
          <w:tab/>
        </w:r>
        <w:r>
          <w:fldChar w:fldCharType="begin"/>
        </w:r>
        <w:r>
          <w:instrText xml:space="preserve"> PAGEREF _Toc13544 \h </w:instrText>
        </w:r>
        <w:r>
          <w:fldChar w:fldCharType="separate"/>
        </w:r>
        <w:r>
          <w:t>2</w:t>
        </w:r>
        <w:r>
          <w:fldChar w:fldCharType="end"/>
        </w:r>
      </w:hyperlink>
    </w:p>
    <w:p>
      <w:pPr>
        <w:pStyle w:val="TOC2"/>
        <w:tabs>
          <w:tab w:val="clear" w:pos="8302"/>
          <w:tab w:val="right" w:leader="dot" w:pos="8312"/>
        </w:tabs>
      </w:pPr>
      <w:hyperlink w:anchor="_Toc10956" w:history="1">
        <w:r>
          <w:rPr>
            <w:rFonts w:ascii="Times New Roman" w:eastAsia="宋体" w:hAnsi="Times New Roman"/>
            <w:szCs w:val="28"/>
          </w:rPr>
          <w:t>1.</w:t>
        </w:r>
        <w:r>
          <w:rPr>
            <w:rFonts w:ascii="Times New Roman" w:eastAsia="宋体" w:hAnsi="Times New Roman" w:hint="eastAsia"/>
            <w:szCs w:val="28"/>
          </w:rPr>
          <w:t>2项目建设单位介绍</w:t>
        </w:r>
        <w:r>
          <w:tab/>
        </w:r>
        <w:r>
          <w:fldChar w:fldCharType="begin"/>
        </w:r>
        <w:r>
          <w:instrText xml:space="preserve"> PAGEREF _Toc10956 \h </w:instrText>
        </w:r>
        <w:r>
          <w:fldChar w:fldCharType="separate"/>
        </w:r>
        <w:r>
          <w:t>3</w:t>
        </w:r>
        <w:r>
          <w:fldChar w:fldCharType="end"/>
        </w:r>
      </w:hyperlink>
    </w:p>
    <w:p>
      <w:pPr>
        <w:pStyle w:val="TOC2"/>
        <w:tabs>
          <w:tab w:val="clear" w:pos="8302"/>
          <w:tab w:val="right" w:leader="dot" w:pos="8312"/>
        </w:tabs>
      </w:pPr>
      <w:hyperlink w:anchor="_Toc22948" w:history="1">
        <w:r>
          <w:rPr>
            <w:rFonts w:ascii="Times New Roman" w:eastAsia="宋体" w:hAnsi="Times New Roman"/>
            <w:szCs w:val="28"/>
          </w:rPr>
          <w:t>1.</w:t>
        </w:r>
        <w:r>
          <w:rPr>
            <w:rFonts w:ascii="Times New Roman" w:eastAsia="宋体" w:hAnsi="Times New Roman" w:hint="eastAsia"/>
            <w:szCs w:val="28"/>
          </w:rPr>
          <w:t>3编制依据</w:t>
        </w:r>
        <w:r>
          <w:tab/>
        </w:r>
        <w:r>
          <w:fldChar w:fldCharType="begin"/>
        </w:r>
        <w:r>
          <w:instrText xml:space="preserve"> PAGEREF _Toc22948 \h </w:instrText>
        </w:r>
        <w:r>
          <w:fldChar w:fldCharType="separate"/>
        </w:r>
        <w:r>
          <w:t>4</w:t>
        </w:r>
        <w:r>
          <w:fldChar w:fldCharType="end"/>
        </w:r>
      </w:hyperlink>
    </w:p>
    <w:p>
      <w:pPr>
        <w:pStyle w:val="TOC2"/>
        <w:tabs>
          <w:tab w:val="clear" w:pos="8302"/>
          <w:tab w:val="right" w:leader="dot" w:pos="8312"/>
        </w:tabs>
      </w:pPr>
      <w:hyperlink w:anchor="_Toc26501" w:history="1">
        <w:r>
          <w:rPr>
            <w:rFonts w:ascii="Times New Roman" w:eastAsia="宋体" w:hAnsi="Times New Roman"/>
            <w:szCs w:val="28"/>
          </w:rPr>
          <w:t>1.</w:t>
        </w:r>
        <w:r>
          <w:rPr>
            <w:rFonts w:ascii="Times New Roman" w:eastAsia="宋体" w:hAnsi="Times New Roman" w:hint="eastAsia"/>
            <w:szCs w:val="28"/>
          </w:rPr>
          <w:t>4 编制原则</w:t>
        </w:r>
        <w:r>
          <w:tab/>
        </w:r>
        <w:r>
          <w:fldChar w:fldCharType="begin"/>
        </w:r>
        <w:r>
          <w:instrText xml:space="preserve"> PAGEREF _Toc26501 \h </w:instrText>
        </w:r>
        <w:r>
          <w:fldChar w:fldCharType="separate"/>
        </w:r>
        <w:r>
          <w:t>5</w:t>
        </w:r>
        <w:r>
          <w:fldChar w:fldCharType="end"/>
        </w:r>
      </w:hyperlink>
    </w:p>
    <w:p>
      <w:pPr>
        <w:pStyle w:val="TOC2"/>
        <w:tabs>
          <w:tab w:val="clear" w:pos="8302"/>
          <w:tab w:val="right" w:leader="dot" w:pos="8312"/>
        </w:tabs>
      </w:pPr>
      <w:hyperlink w:anchor="_Toc19158" w:history="1">
        <w:r>
          <w:rPr>
            <w:rFonts w:ascii="Times New Roman" w:eastAsia="宋体" w:hAnsi="Times New Roman" w:hint="eastAsia"/>
            <w:szCs w:val="28"/>
          </w:rPr>
          <w:t>1.5研究范围</w:t>
        </w:r>
        <w:r>
          <w:tab/>
        </w:r>
        <w:r>
          <w:fldChar w:fldCharType="begin"/>
        </w:r>
        <w:r>
          <w:instrText xml:space="preserve"> PAGEREF _Toc19158 \h </w:instrText>
        </w:r>
        <w:r>
          <w:fldChar w:fldCharType="separate"/>
        </w:r>
        <w:r>
          <w:t>5</w:t>
        </w:r>
        <w:r>
          <w:fldChar w:fldCharType="end"/>
        </w:r>
      </w:hyperlink>
    </w:p>
    <w:p>
      <w:pPr>
        <w:pStyle w:val="TOC2"/>
        <w:tabs>
          <w:tab w:val="clear" w:pos="8302"/>
          <w:tab w:val="right" w:leader="dot" w:pos="8312"/>
        </w:tabs>
      </w:pPr>
      <w:hyperlink w:anchor="_Toc9591" w:history="1">
        <w:r>
          <w:rPr>
            <w:rFonts w:ascii="Times New Roman" w:eastAsia="宋体" w:hAnsi="Times New Roman" w:hint="eastAsia"/>
            <w:szCs w:val="28"/>
          </w:rPr>
          <w:t>1.6主要经济技术指标</w:t>
        </w:r>
        <w:r>
          <w:tab/>
        </w:r>
        <w:r>
          <w:fldChar w:fldCharType="begin"/>
        </w:r>
        <w:r>
          <w:instrText xml:space="preserve"> PAGEREF _Toc9591 \h </w:instrText>
        </w:r>
        <w:r>
          <w:fldChar w:fldCharType="separate"/>
        </w:r>
        <w:r>
          <w:t>5</w:t>
        </w:r>
        <w:r>
          <w:fldChar w:fldCharType="end"/>
        </w:r>
      </w:hyperlink>
    </w:p>
    <w:p>
      <w:pPr>
        <w:pStyle w:val="TOC2"/>
        <w:tabs>
          <w:tab w:val="clear" w:pos="8302"/>
          <w:tab w:val="right" w:leader="dot" w:pos="8312"/>
        </w:tabs>
      </w:pPr>
      <w:hyperlink w:anchor="_Toc17801" w:history="1">
        <w:r>
          <w:rPr>
            <w:rFonts w:ascii="Times New Roman" w:eastAsia="宋体" w:hAnsi="Times New Roman"/>
            <w:szCs w:val="28"/>
          </w:rPr>
          <w:t>1.</w:t>
        </w:r>
        <w:r>
          <w:rPr>
            <w:rFonts w:ascii="Times New Roman" w:eastAsia="宋体" w:hAnsi="Times New Roman" w:hint="eastAsia"/>
            <w:szCs w:val="28"/>
          </w:rPr>
          <w:t>7综合评价</w:t>
        </w:r>
        <w:r>
          <w:tab/>
        </w:r>
        <w:r>
          <w:fldChar w:fldCharType="begin"/>
        </w:r>
        <w:r>
          <w:instrText xml:space="preserve"> PAGEREF _Toc17801 \h </w:instrText>
        </w:r>
        <w:r>
          <w:fldChar w:fldCharType="separate"/>
        </w:r>
        <w:r>
          <w:t>6</w:t>
        </w:r>
        <w:r>
          <w:fldChar w:fldCharType="end"/>
        </w:r>
      </w:hyperlink>
    </w:p>
    <w:p>
      <w:pPr>
        <w:pStyle w:val="TOC1"/>
        <w:tabs>
          <w:tab w:val="clear" w:pos="8296"/>
          <w:tab w:val="right" w:leader="dot" w:pos="8312"/>
        </w:tabs>
      </w:pPr>
      <w:hyperlink w:anchor="_Toc23653" w:history="1">
        <w:r>
          <w:rPr>
            <w:rFonts w:ascii="Times New Roman" w:hAnsi="宋体"/>
          </w:rPr>
          <w:t>第</w:t>
        </w:r>
        <w:r>
          <w:rPr>
            <w:rFonts w:ascii="Times New Roman" w:hAnsi="宋体" w:hint="eastAsia"/>
            <w:lang w:eastAsia="zh-CN"/>
          </w:rPr>
          <w:t>二</w:t>
        </w:r>
        <w:r>
          <w:rPr>
            <w:rFonts w:ascii="Times New Roman" w:hAnsi="宋体"/>
          </w:rPr>
          <w:t>章</w:t>
        </w:r>
        <w:r>
          <w:rPr>
            <w:rFonts w:ascii="Times New Roman" w:hAnsi="Times New Roman"/>
          </w:rPr>
          <w:t xml:space="preserve"> </w:t>
        </w:r>
        <w:r>
          <w:rPr>
            <w:rFonts w:ascii="Times New Roman" w:hAnsi="宋体" w:hint="eastAsia"/>
          </w:rPr>
          <w:t>项目市场分析</w:t>
        </w:r>
        <w:r>
          <w:tab/>
        </w:r>
        <w:r>
          <w:fldChar w:fldCharType="begin"/>
        </w:r>
        <w:r>
          <w:instrText xml:space="preserve"> PAGEREF _Toc23653 \h </w:instrText>
        </w:r>
        <w:r>
          <w:fldChar w:fldCharType="separate"/>
        </w:r>
        <w:r>
          <w:t>8</w:t>
        </w:r>
        <w:r>
          <w:fldChar w:fldCharType="end"/>
        </w:r>
      </w:hyperlink>
    </w:p>
    <w:p>
      <w:pPr>
        <w:pStyle w:val="TOC2"/>
        <w:tabs>
          <w:tab w:val="clear" w:pos="8302"/>
          <w:tab w:val="right" w:leader="dot" w:pos="8312"/>
        </w:tabs>
      </w:pPr>
      <w:hyperlink w:anchor="_Toc24013" w:history="1">
        <w:r>
          <w:rPr>
            <w:rFonts w:ascii="Times New Roman" w:eastAsia="宋体" w:hAnsi="Times New Roman" w:hint="eastAsia"/>
            <w:lang w:val="en-US" w:eastAsia="zh-CN"/>
          </w:rPr>
          <w:t>2</w:t>
        </w:r>
        <w:r>
          <w:rPr>
            <w:rFonts w:ascii="Times New Roman" w:eastAsia="宋体" w:hAnsi="Times New Roman"/>
          </w:rPr>
          <w:t>.1</w:t>
        </w:r>
        <w:r>
          <w:rPr>
            <w:rFonts w:ascii="Times New Roman" w:eastAsia="宋体" w:hAnsi="Times New Roman" w:hint="eastAsia"/>
            <w:lang w:eastAsia="zh-CN"/>
          </w:rPr>
          <w:t>建设地经济发展概况</w:t>
        </w:r>
        <w:r>
          <w:tab/>
        </w:r>
        <w:r>
          <w:fldChar w:fldCharType="begin"/>
        </w:r>
        <w:r>
          <w:instrText xml:space="preserve"> PAGEREF _Toc24013 \h </w:instrText>
        </w:r>
        <w:r>
          <w:fldChar w:fldCharType="separate"/>
        </w:r>
        <w:r>
          <w:t>8</w:t>
        </w:r>
        <w:r>
          <w:fldChar w:fldCharType="end"/>
        </w:r>
      </w:hyperlink>
    </w:p>
    <w:p>
      <w:pPr>
        <w:pStyle w:val="TOC2"/>
        <w:tabs>
          <w:tab w:val="clear" w:pos="8302"/>
          <w:tab w:val="right" w:leader="dot" w:pos="8312"/>
        </w:tabs>
      </w:pPr>
      <w:hyperlink w:anchor="_Toc17934" w:history="1">
        <w:r>
          <w:rPr>
            <w:rFonts w:ascii="Times New Roman" w:eastAsia="宋体" w:hAnsi="Times New Roman" w:hint="eastAsia"/>
            <w:lang w:val="en-US" w:eastAsia="zh-CN"/>
          </w:rPr>
          <w:t>2.2</w:t>
        </w:r>
        <w:r>
          <w:rPr>
            <w:rFonts w:ascii="Times New Roman" w:eastAsia="宋体" w:hAnsi="Times New Roman" w:hint="eastAsia"/>
          </w:rPr>
          <w:t>我国</w:t>
        </w:r>
        <w:r>
          <w:rPr>
            <w:rFonts w:ascii="Times New Roman" w:eastAsia="宋体" w:hAnsi="Times New Roman" w:hint="eastAsia"/>
            <w:lang w:eastAsia="zh-CN"/>
          </w:rPr>
          <w:t>标准化香菇示范基地</w:t>
        </w:r>
        <w:r>
          <w:rPr>
            <w:rFonts w:ascii="Times New Roman" w:eastAsia="宋体" w:hAnsi="Times New Roman" w:hint="eastAsia"/>
          </w:rPr>
          <w:t>行业发展状况分析</w:t>
        </w:r>
        <w:r>
          <w:tab/>
        </w:r>
        <w:r>
          <w:fldChar w:fldCharType="begin"/>
        </w:r>
        <w:r>
          <w:instrText xml:space="preserve"> PAGEREF _Toc17934 \h </w:instrText>
        </w:r>
        <w:r>
          <w:fldChar w:fldCharType="separate"/>
        </w:r>
        <w:r>
          <w:t>9</w:t>
        </w:r>
        <w:r>
          <w:fldChar w:fldCharType="end"/>
        </w:r>
      </w:hyperlink>
    </w:p>
    <w:p>
      <w:pPr>
        <w:pStyle w:val="TOC2"/>
        <w:tabs>
          <w:tab w:val="clear" w:pos="8302"/>
          <w:tab w:val="right" w:leader="dot" w:pos="8312"/>
        </w:tabs>
      </w:pPr>
      <w:hyperlink w:anchor="_Toc19598" w:history="1">
        <w:r>
          <w:rPr>
            <w:rFonts w:ascii="Times New Roman" w:eastAsia="宋体" w:hAnsi="Times New Roman" w:hint="eastAsia"/>
            <w:lang w:val="en-US" w:eastAsia="zh-CN"/>
          </w:rPr>
          <w:t>2</w:t>
        </w:r>
        <w:r>
          <w:rPr>
            <w:rFonts w:ascii="Times New Roman" w:eastAsia="宋体" w:hAnsi="Times New Roman"/>
          </w:rPr>
          <w:t>.</w:t>
        </w:r>
        <w:r>
          <w:rPr>
            <w:rFonts w:ascii="Times New Roman" w:eastAsia="宋体" w:hAnsi="Times New Roman" w:hint="eastAsia"/>
            <w:lang w:val="en-US" w:eastAsia="zh-CN"/>
          </w:rPr>
          <w:t>3</w:t>
        </w:r>
        <w:r>
          <w:rPr>
            <w:rFonts w:ascii="Times New Roman" w:eastAsia="宋体" w:hAnsi="Times New Roman" w:hint="eastAsia"/>
          </w:rPr>
          <w:t>我国</w:t>
        </w:r>
        <w:r>
          <w:rPr>
            <w:rFonts w:ascii="Times New Roman" w:eastAsia="宋体" w:hAnsi="Times New Roman" w:hint="eastAsia"/>
            <w:lang w:eastAsia="zh-CN"/>
          </w:rPr>
          <w:t>标准化香菇示范基地</w:t>
        </w:r>
        <w:r>
          <w:rPr>
            <w:rFonts w:ascii="Times New Roman" w:eastAsia="宋体" w:hAnsi="Times New Roman" w:hint="eastAsia"/>
          </w:rPr>
          <w:t>行业发展趋势分析</w:t>
        </w:r>
        <w:r>
          <w:tab/>
        </w:r>
        <w:r>
          <w:fldChar w:fldCharType="begin"/>
        </w:r>
        <w:r>
          <w:instrText xml:space="preserve"> PAGEREF _Toc19598 \h </w:instrText>
        </w:r>
        <w:r>
          <w:fldChar w:fldCharType="separate"/>
        </w:r>
        <w:r>
          <w:t>10</w:t>
        </w:r>
        <w:r>
          <w:fldChar w:fldCharType="end"/>
        </w:r>
      </w:hyperlink>
    </w:p>
    <w:p>
      <w:pPr>
        <w:pStyle w:val="TOC2"/>
        <w:tabs>
          <w:tab w:val="clear" w:pos="8302"/>
          <w:tab w:val="right" w:leader="dot" w:pos="8312"/>
        </w:tabs>
      </w:pPr>
      <w:hyperlink w:anchor="_Toc11570" w:history="1">
        <w:r>
          <w:rPr>
            <w:rFonts w:ascii="Times New Roman" w:eastAsia="宋体" w:hAnsi="Times New Roman" w:hint="eastAsia"/>
            <w:lang w:val="en-US" w:eastAsia="zh-CN"/>
          </w:rPr>
          <w:t>2</w:t>
        </w:r>
        <w:r>
          <w:rPr>
            <w:rFonts w:ascii="Times New Roman" w:eastAsia="宋体" w:hAnsi="Times New Roman"/>
          </w:rPr>
          <w:t>.</w:t>
        </w:r>
        <w:r>
          <w:rPr>
            <w:rFonts w:ascii="Times New Roman" w:eastAsia="宋体" w:hAnsi="Times New Roman" w:hint="eastAsia"/>
            <w:lang w:val="en-US" w:eastAsia="zh-CN"/>
          </w:rPr>
          <w:t>4</w:t>
        </w:r>
        <w:r>
          <w:rPr>
            <w:rFonts w:ascii="Times New Roman" w:eastAsia="宋体" w:hAnsi="宋体" w:hint="eastAsia"/>
          </w:rPr>
          <w:t>市场小结</w:t>
        </w:r>
        <w:r>
          <w:tab/>
        </w:r>
        <w:r>
          <w:fldChar w:fldCharType="begin"/>
        </w:r>
        <w:r>
          <w:instrText xml:space="preserve"> PAGEREF _Toc11570 \h </w:instrText>
        </w:r>
        <w:r>
          <w:fldChar w:fldCharType="separate"/>
        </w:r>
        <w:r>
          <w:t>10</w:t>
        </w:r>
        <w:r>
          <w:fldChar w:fldCharType="end"/>
        </w:r>
      </w:hyperlink>
    </w:p>
    <w:p>
      <w:pPr>
        <w:pStyle w:val="TOC1"/>
        <w:tabs>
          <w:tab w:val="clear" w:pos="8296"/>
          <w:tab w:val="right" w:leader="dot" w:pos="8312"/>
        </w:tabs>
      </w:pPr>
      <w:hyperlink w:anchor="_Toc22792" w:history="1">
        <w:r>
          <w:rPr>
            <w:rFonts w:hAnsi="宋体" w:hint="eastAsia"/>
            <w:bCs/>
            <w:szCs w:val="30"/>
            <w:lang w:eastAsia="zh-CN"/>
          </w:rPr>
          <w:t>第三章</w:t>
        </w:r>
        <w:r>
          <w:rPr>
            <w:rFonts w:hAnsi="宋体" w:hint="eastAsia"/>
            <w:bCs/>
            <w:szCs w:val="30"/>
            <w:lang w:val="en-US" w:eastAsia="zh-CN"/>
          </w:rPr>
          <w:t xml:space="preserve"> </w:t>
        </w:r>
        <w:r>
          <w:rPr>
            <w:rFonts w:hAnsi="宋体" w:hint="eastAsia"/>
            <w:bCs/>
            <w:szCs w:val="30"/>
          </w:rPr>
          <w:t>项目建设的背景和必要性</w:t>
        </w:r>
        <w:r>
          <w:tab/>
        </w:r>
        <w:r>
          <w:fldChar w:fldCharType="begin"/>
        </w:r>
        <w:r>
          <w:instrText xml:space="preserve"> PAGEREF _Toc22792 \h </w:instrText>
        </w:r>
        <w:r>
          <w:fldChar w:fldCharType="separate"/>
        </w:r>
        <w:r>
          <w:t>11</w:t>
        </w:r>
        <w:r>
          <w:fldChar w:fldCharType="end"/>
        </w:r>
      </w:hyperlink>
    </w:p>
    <w:p>
      <w:pPr>
        <w:pStyle w:val="TOC2"/>
        <w:tabs>
          <w:tab w:val="clear" w:pos="8302"/>
          <w:tab w:val="right" w:leader="dot" w:pos="8312"/>
        </w:tabs>
      </w:pPr>
      <w:hyperlink w:anchor="_Toc11698" w:history="1">
        <w:r>
          <w:rPr>
            <w:rFonts w:ascii="Times New Roman" w:eastAsia="宋体" w:hAnsi="Times New Roman" w:hint="eastAsia"/>
            <w:szCs w:val="28"/>
            <w:lang w:val="en-US" w:eastAsia="zh-CN"/>
          </w:rPr>
          <w:t>3</w:t>
        </w:r>
        <w:r>
          <w:rPr>
            <w:rFonts w:ascii="Times New Roman" w:eastAsia="宋体" w:hAnsi="Times New Roman" w:hint="eastAsia"/>
            <w:szCs w:val="28"/>
          </w:rPr>
          <w:t>.1项目提出背景</w:t>
        </w:r>
        <w:r>
          <w:tab/>
        </w:r>
        <w:r>
          <w:fldChar w:fldCharType="begin"/>
        </w:r>
        <w:r>
          <w:instrText xml:space="preserve"> PAGEREF _Toc11698 \h </w:instrText>
        </w:r>
        <w:r>
          <w:fldChar w:fldCharType="separate"/>
        </w:r>
        <w:r>
          <w:t>11</w:t>
        </w:r>
        <w:r>
          <w:fldChar w:fldCharType="end"/>
        </w:r>
      </w:hyperlink>
    </w:p>
    <w:p>
      <w:pPr>
        <w:pStyle w:val="TOC2"/>
        <w:tabs>
          <w:tab w:val="clear" w:pos="8302"/>
          <w:tab w:val="right" w:leader="dot" w:pos="8312"/>
        </w:tabs>
      </w:pPr>
      <w:hyperlink w:anchor="_Toc8931" w:history="1">
        <w:r>
          <w:rPr>
            <w:rFonts w:ascii="Times New Roman" w:eastAsia="宋体" w:hAnsi="Times New Roman" w:hint="eastAsia"/>
            <w:szCs w:val="28"/>
            <w:lang w:val="en-US" w:eastAsia="zh-CN"/>
          </w:rPr>
          <w:t>3</w:t>
        </w:r>
        <w:r>
          <w:rPr>
            <w:rFonts w:ascii="Times New Roman" w:eastAsia="宋体" w:hAnsi="Times New Roman" w:hint="eastAsia"/>
            <w:szCs w:val="28"/>
          </w:rPr>
          <w:t>.2项目建设必要性分析</w:t>
        </w:r>
        <w:r>
          <w:tab/>
        </w:r>
        <w:r>
          <w:fldChar w:fldCharType="begin"/>
        </w:r>
        <w:r>
          <w:instrText xml:space="preserve"> PAGEREF _Toc8931 \h </w:instrText>
        </w:r>
        <w:r>
          <w:fldChar w:fldCharType="separate"/>
        </w:r>
        <w:r>
          <w:t>12</w:t>
        </w:r>
        <w:r>
          <w:fldChar w:fldCharType="end"/>
        </w:r>
      </w:hyperlink>
    </w:p>
    <w:p>
      <w:pPr>
        <w:pStyle w:val="TOC3"/>
        <w:tabs>
          <w:tab w:val="right" w:leader="dot" w:pos="8312"/>
        </w:tabs>
      </w:pPr>
      <w:hyperlink w:anchor="_Toc14003" w:history="1">
        <w:r>
          <w:rPr>
            <w:rFonts w:hint="eastAsia"/>
            <w:szCs w:val="24"/>
            <w:lang w:val="en-US" w:eastAsia="zh-CN"/>
          </w:rPr>
          <w:t>3</w:t>
        </w:r>
        <w:r>
          <w:rPr>
            <w:rFonts w:hint="eastAsia"/>
            <w:szCs w:val="24"/>
          </w:rPr>
          <w:t>.2.1有利于促进我国</w:t>
        </w:r>
        <w:r>
          <w:rPr>
            <w:rFonts w:hint="eastAsia"/>
            <w:szCs w:val="24"/>
            <w:lang w:eastAsia="zh-CN"/>
          </w:rPr>
          <w:t>标准化香菇示范基地</w:t>
        </w:r>
        <w:r>
          <w:rPr>
            <w:rFonts w:hint="eastAsia"/>
            <w:szCs w:val="24"/>
          </w:rPr>
          <w:t>工业快速发展</w:t>
        </w:r>
        <w:r>
          <w:rPr>
            <w:szCs w:val="24"/>
          </w:rPr>
          <w:t>的需要</w:t>
        </w:r>
        <w:r>
          <w:tab/>
        </w:r>
        <w:r>
          <w:fldChar w:fldCharType="begin"/>
        </w:r>
        <w:r>
          <w:instrText xml:space="preserve"> PAGEREF _Toc14003 \h </w:instrText>
        </w:r>
        <w:r>
          <w:fldChar w:fldCharType="separate"/>
        </w:r>
        <w:r>
          <w:t>12</w:t>
        </w:r>
        <w:r>
          <w:fldChar w:fldCharType="end"/>
        </w:r>
      </w:hyperlink>
    </w:p>
    <w:p>
      <w:pPr>
        <w:pStyle w:val="TOC3"/>
        <w:tabs>
          <w:tab w:val="right" w:leader="dot" w:pos="8312"/>
        </w:tabs>
      </w:pPr>
      <w:hyperlink w:anchor="_Toc31302" w:history="1">
        <w:r>
          <w:rPr>
            <w:rFonts w:hint="eastAsia"/>
            <w:szCs w:val="24"/>
            <w:lang w:val="en-US" w:eastAsia="zh-CN"/>
          </w:rPr>
          <w:t>3</w:t>
        </w:r>
        <w:r>
          <w:rPr>
            <w:rFonts w:hint="eastAsia"/>
            <w:szCs w:val="24"/>
          </w:rPr>
          <w:t>.2.2提升技术进步，满足</w:t>
        </w:r>
        <w:r>
          <w:rPr>
            <w:rFonts w:hint="eastAsia"/>
            <w:szCs w:val="24"/>
            <w:lang w:eastAsia="zh-CN"/>
          </w:rPr>
          <w:t>标准化香菇示范基地</w:t>
        </w:r>
        <w:r>
          <w:rPr>
            <w:rFonts w:hint="eastAsia"/>
            <w:szCs w:val="24"/>
          </w:rPr>
          <w:t>行业生产高品质产品的需要</w:t>
        </w:r>
        <w:r>
          <w:tab/>
        </w:r>
        <w:r>
          <w:fldChar w:fldCharType="begin"/>
        </w:r>
        <w:r>
          <w:instrText xml:space="preserve"> PAGEREF _Toc31302 \h </w:instrText>
        </w:r>
        <w:r>
          <w:fldChar w:fldCharType="separate"/>
        </w:r>
        <w:r>
          <w:t>13</w:t>
        </w:r>
        <w:r>
          <w:fldChar w:fldCharType="end"/>
        </w:r>
      </w:hyperlink>
    </w:p>
    <w:p>
      <w:pPr>
        <w:pStyle w:val="TOC3"/>
        <w:tabs>
          <w:tab w:val="right" w:leader="dot" w:pos="8312"/>
        </w:tabs>
      </w:pPr>
      <w:hyperlink w:anchor="_Toc26358" w:history="1">
        <w:r>
          <w:rPr>
            <w:rFonts w:hint="eastAsia"/>
            <w:szCs w:val="24"/>
            <w:lang w:val="en-US" w:eastAsia="zh-CN"/>
          </w:rPr>
          <w:t>3</w:t>
        </w:r>
        <w:r>
          <w:rPr>
            <w:szCs w:val="24"/>
          </w:rPr>
          <w:t>.</w:t>
        </w:r>
        <w:r>
          <w:rPr>
            <w:rFonts w:hint="eastAsia"/>
            <w:szCs w:val="24"/>
          </w:rPr>
          <w:t>2</w:t>
        </w:r>
        <w:r>
          <w:rPr>
            <w:szCs w:val="24"/>
          </w:rPr>
          <w:t>.</w:t>
        </w:r>
        <w:r>
          <w:rPr>
            <w:rFonts w:hint="eastAsia"/>
            <w:szCs w:val="24"/>
            <w:lang w:val="en-US" w:eastAsia="zh-CN"/>
          </w:rPr>
          <w:t>3</w:t>
        </w:r>
        <w:r>
          <w:rPr>
            <w:rFonts w:hint="eastAsia"/>
            <w:szCs w:val="24"/>
          </w:rPr>
          <w:t>符合现行产业政策及清洁生产要求</w:t>
        </w:r>
        <w:r>
          <w:tab/>
        </w:r>
        <w:r>
          <w:fldChar w:fldCharType="begin"/>
        </w:r>
        <w:r>
          <w:instrText xml:space="preserve"> PAGEREF _Toc26358 \h </w:instrText>
        </w:r>
        <w:r>
          <w:fldChar w:fldCharType="separate"/>
        </w:r>
        <w:r>
          <w:t>14</w:t>
        </w:r>
        <w:r>
          <w:fldChar w:fldCharType="end"/>
        </w:r>
      </w:hyperlink>
    </w:p>
    <w:p>
      <w:pPr>
        <w:pStyle w:val="TOC3"/>
        <w:tabs>
          <w:tab w:val="right" w:leader="dot" w:pos="8312"/>
        </w:tabs>
      </w:pPr>
      <w:hyperlink w:anchor="_Toc7516" w:history="1">
        <w:r>
          <w:rPr>
            <w:rFonts w:hint="eastAsia"/>
            <w:szCs w:val="24"/>
            <w:lang w:val="en-US" w:eastAsia="zh-CN"/>
          </w:rPr>
          <w:t>3</w:t>
        </w:r>
        <w:r>
          <w:rPr>
            <w:szCs w:val="24"/>
          </w:rPr>
          <w:t>.</w:t>
        </w:r>
        <w:r>
          <w:rPr>
            <w:rFonts w:hint="eastAsia"/>
            <w:szCs w:val="24"/>
          </w:rPr>
          <w:t>2</w:t>
        </w:r>
        <w:r>
          <w:rPr>
            <w:szCs w:val="24"/>
          </w:rPr>
          <w:t>.</w:t>
        </w:r>
        <w:r>
          <w:rPr>
            <w:rFonts w:hint="eastAsia"/>
            <w:szCs w:val="24"/>
            <w:lang w:val="en-US" w:eastAsia="zh-CN"/>
          </w:rPr>
          <w:t>4</w:t>
        </w:r>
        <w:r>
          <w:rPr>
            <w:szCs w:val="24"/>
          </w:rPr>
          <w:t>提升我国</w:t>
        </w:r>
        <w:r>
          <w:rPr>
            <w:rFonts w:hint="eastAsia"/>
            <w:szCs w:val="24"/>
            <w:lang w:val="en-US" w:eastAsia="zh-CN"/>
          </w:rPr>
          <w:t>标准化香菇示范基地</w:t>
        </w:r>
        <w:r>
          <w:rPr>
            <w:szCs w:val="24"/>
          </w:rPr>
          <w:t>产品研发和技术创新</w:t>
        </w:r>
        <w:r>
          <w:rPr>
            <w:rFonts w:hint="eastAsia"/>
            <w:szCs w:val="24"/>
          </w:rPr>
          <w:t>水平的需要</w:t>
        </w:r>
        <w:r>
          <w:tab/>
        </w:r>
        <w:r>
          <w:fldChar w:fldCharType="begin"/>
        </w:r>
        <w:r>
          <w:instrText xml:space="preserve"> PAGEREF _Toc7516 \h </w:instrText>
        </w:r>
        <w:r>
          <w:fldChar w:fldCharType="separate"/>
        </w:r>
        <w:r>
          <w:t>14</w:t>
        </w:r>
        <w:r>
          <w:fldChar w:fldCharType="end"/>
        </w:r>
      </w:hyperlink>
    </w:p>
    <w:p>
      <w:pPr>
        <w:pStyle w:val="TOC3"/>
        <w:tabs>
          <w:tab w:val="right" w:leader="dot" w:pos="8312"/>
        </w:tabs>
      </w:pPr>
      <w:hyperlink w:anchor="_Toc23738" w:history="1">
        <w:r>
          <w:rPr>
            <w:rFonts w:hint="eastAsia"/>
            <w:szCs w:val="24"/>
            <w:lang w:val="en-US" w:eastAsia="zh-CN"/>
          </w:rPr>
          <w:t>3</w:t>
        </w:r>
        <w:r>
          <w:rPr>
            <w:szCs w:val="24"/>
          </w:rPr>
          <w:t>.</w:t>
        </w:r>
        <w:r>
          <w:rPr>
            <w:rFonts w:hint="eastAsia"/>
            <w:szCs w:val="24"/>
          </w:rPr>
          <w:t>2</w:t>
        </w:r>
        <w:r>
          <w:rPr>
            <w:szCs w:val="24"/>
          </w:rPr>
          <w:t>.</w:t>
        </w:r>
        <w:r>
          <w:rPr>
            <w:rFonts w:hint="eastAsia"/>
            <w:szCs w:val="24"/>
            <w:lang w:val="en-US" w:eastAsia="zh-CN"/>
          </w:rPr>
          <w:t>5</w:t>
        </w:r>
        <w:r>
          <w:rPr>
            <w:rFonts w:hint="eastAsia"/>
            <w:szCs w:val="24"/>
          </w:rPr>
          <w:t>提升企业竞争力水平，有助于企业长远战略发展的需要</w:t>
        </w:r>
        <w:r>
          <w:tab/>
        </w:r>
        <w:r>
          <w:fldChar w:fldCharType="begin"/>
        </w:r>
        <w:r>
          <w:instrText xml:space="preserve"> PAGEREF _Toc23738 \h </w:instrText>
        </w:r>
        <w:r>
          <w:fldChar w:fldCharType="separate"/>
        </w:r>
        <w:r>
          <w:t>14</w:t>
        </w:r>
        <w:r>
          <w:fldChar w:fldCharType="end"/>
        </w:r>
      </w:hyperlink>
    </w:p>
    <w:p>
      <w:pPr>
        <w:pStyle w:val="TOC3"/>
        <w:tabs>
          <w:tab w:val="right" w:leader="dot" w:pos="8312"/>
        </w:tabs>
      </w:pPr>
      <w:hyperlink w:anchor="_Toc12062" w:history="1">
        <w:r>
          <w:rPr>
            <w:rFonts w:hint="eastAsia"/>
            <w:szCs w:val="24"/>
            <w:lang w:val="en-US" w:eastAsia="zh-CN"/>
          </w:rPr>
          <w:t>3</w:t>
        </w:r>
        <w:r>
          <w:rPr>
            <w:rFonts w:hint="eastAsia"/>
            <w:szCs w:val="24"/>
          </w:rPr>
          <w:t>.2.</w:t>
        </w:r>
        <w:r>
          <w:rPr>
            <w:rFonts w:hint="eastAsia"/>
            <w:szCs w:val="24"/>
            <w:lang w:val="en-US" w:eastAsia="zh-CN"/>
          </w:rPr>
          <w:t>6</w:t>
        </w:r>
        <w:r>
          <w:rPr>
            <w:szCs w:val="24"/>
          </w:rPr>
          <w:t>增加</w:t>
        </w:r>
        <w:r>
          <w:rPr>
            <w:rFonts w:hint="eastAsia"/>
            <w:szCs w:val="24"/>
          </w:rPr>
          <w:t>当地就业</w:t>
        </w:r>
        <w:r>
          <w:rPr>
            <w:szCs w:val="24"/>
          </w:rPr>
          <w:t>带动产业链发展</w:t>
        </w:r>
        <w:r>
          <w:rPr>
            <w:rFonts w:hint="eastAsia"/>
            <w:szCs w:val="24"/>
          </w:rPr>
          <w:t>的需要</w:t>
        </w:r>
        <w:r>
          <w:tab/>
        </w:r>
        <w:r>
          <w:fldChar w:fldCharType="begin"/>
        </w:r>
        <w:r>
          <w:instrText xml:space="preserve"> PAGEREF _Toc12062 \h </w:instrText>
        </w:r>
        <w:r>
          <w:fldChar w:fldCharType="separate"/>
        </w:r>
        <w:r>
          <w:t>15</w:t>
        </w:r>
        <w:r>
          <w:fldChar w:fldCharType="end"/>
        </w:r>
      </w:hyperlink>
    </w:p>
    <w:p>
      <w:pPr>
        <w:pStyle w:val="TOC2"/>
        <w:tabs>
          <w:tab w:val="clear" w:pos="8302"/>
          <w:tab w:val="right" w:leader="dot" w:pos="8312"/>
        </w:tabs>
      </w:pPr>
      <w:hyperlink w:anchor="_Toc7654" w:history="1">
        <w:r>
          <w:rPr>
            <w:rFonts w:ascii="Times New Roman" w:eastAsia="宋体" w:hAnsi="Times New Roman" w:hint="eastAsia"/>
            <w:szCs w:val="28"/>
            <w:lang w:val="en-US" w:eastAsia="zh-CN"/>
          </w:rPr>
          <w:t>3</w:t>
        </w:r>
        <w:r>
          <w:rPr>
            <w:rFonts w:ascii="Times New Roman" w:eastAsia="宋体" w:hAnsi="Times New Roman"/>
            <w:szCs w:val="28"/>
          </w:rPr>
          <w:t>.</w:t>
        </w:r>
        <w:r>
          <w:rPr>
            <w:rFonts w:ascii="Times New Roman" w:eastAsia="宋体" w:hAnsi="Times New Roman" w:hint="eastAsia"/>
            <w:szCs w:val="28"/>
          </w:rPr>
          <w:t>3项目建设可行性分析</w:t>
        </w:r>
        <w:r>
          <w:tab/>
        </w:r>
        <w:r>
          <w:fldChar w:fldCharType="begin"/>
        </w:r>
        <w:r>
          <w:instrText xml:space="preserve"> PAGEREF _Toc7654 \h </w:instrText>
        </w:r>
        <w:r>
          <w:fldChar w:fldCharType="separate"/>
        </w:r>
        <w:r>
          <w:t>15</w:t>
        </w:r>
        <w:r>
          <w:fldChar w:fldCharType="end"/>
        </w:r>
      </w:hyperlink>
    </w:p>
    <w:p>
      <w:pPr>
        <w:pStyle w:val="TOC3"/>
        <w:tabs>
          <w:tab w:val="right" w:leader="dot" w:pos="8312"/>
        </w:tabs>
      </w:pPr>
      <w:hyperlink w:anchor="_Toc6503" w:history="1">
        <w:r>
          <w:rPr>
            <w:rFonts w:hint="eastAsia"/>
            <w:szCs w:val="24"/>
            <w:lang w:val="en-US" w:eastAsia="zh-CN"/>
          </w:rPr>
          <w:t>3</w:t>
        </w:r>
        <w:r>
          <w:rPr>
            <w:rFonts w:hint="eastAsia"/>
            <w:szCs w:val="24"/>
          </w:rPr>
          <w:t>.3.1政策可行性</w:t>
        </w:r>
        <w:r>
          <w:tab/>
        </w:r>
        <w:r>
          <w:fldChar w:fldCharType="begin"/>
        </w:r>
        <w:r>
          <w:instrText xml:space="preserve"> PAGEREF _Toc6503 \h </w:instrText>
        </w:r>
        <w:r>
          <w:fldChar w:fldCharType="separate"/>
        </w:r>
        <w:r>
          <w:t>15</w:t>
        </w:r>
        <w:r>
          <w:fldChar w:fldCharType="end"/>
        </w:r>
      </w:hyperlink>
    </w:p>
    <w:p>
      <w:pPr>
        <w:pStyle w:val="TOC3"/>
        <w:tabs>
          <w:tab w:val="right" w:leader="dot" w:pos="8312"/>
        </w:tabs>
      </w:pPr>
      <w:hyperlink w:anchor="_Toc8780" w:history="1">
        <w:r>
          <w:rPr>
            <w:rFonts w:hint="eastAsia"/>
            <w:szCs w:val="24"/>
            <w:lang w:val="en-US" w:eastAsia="zh-CN"/>
          </w:rPr>
          <w:t>3</w:t>
        </w:r>
        <w:r>
          <w:rPr>
            <w:rFonts w:hint="eastAsia"/>
            <w:szCs w:val="24"/>
          </w:rPr>
          <w:t>.3.2技术可行性</w:t>
        </w:r>
        <w:r>
          <w:tab/>
        </w:r>
        <w:r>
          <w:fldChar w:fldCharType="begin"/>
        </w:r>
        <w:r>
          <w:instrText xml:space="preserve"> PAGEREF _Toc8780 \h </w:instrText>
        </w:r>
        <w:r>
          <w:fldChar w:fldCharType="separate"/>
        </w:r>
        <w:r>
          <w:t>16</w:t>
        </w:r>
        <w:r>
          <w:fldChar w:fldCharType="end"/>
        </w:r>
      </w:hyperlink>
    </w:p>
    <w:p>
      <w:pPr>
        <w:pStyle w:val="TOC3"/>
        <w:tabs>
          <w:tab w:val="right" w:leader="dot" w:pos="8312"/>
        </w:tabs>
      </w:pPr>
      <w:hyperlink w:anchor="_Toc23699" w:history="1">
        <w:r>
          <w:rPr>
            <w:rFonts w:hint="eastAsia"/>
            <w:szCs w:val="24"/>
            <w:lang w:val="en-US" w:eastAsia="zh-CN"/>
          </w:rPr>
          <w:t>3</w:t>
        </w:r>
        <w:r>
          <w:rPr>
            <w:rFonts w:hint="eastAsia"/>
            <w:szCs w:val="24"/>
          </w:rPr>
          <w:t>.3.3管理可行性</w:t>
        </w:r>
        <w:r>
          <w:tab/>
        </w:r>
        <w:r>
          <w:fldChar w:fldCharType="begin"/>
        </w:r>
        <w:r>
          <w:instrText xml:space="preserve"> PAGEREF _Toc23699 \h </w:instrText>
        </w:r>
        <w:r>
          <w:fldChar w:fldCharType="separate"/>
        </w:r>
        <w:r>
          <w:t>17</w:t>
        </w:r>
        <w:r>
          <w:fldChar w:fldCharType="end"/>
        </w:r>
      </w:hyperlink>
    </w:p>
    <w:p>
      <w:pPr>
        <w:pStyle w:val="TOC2"/>
        <w:tabs>
          <w:tab w:val="clear" w:pos="8302"/>
          <w:tab w:val="right" w:leader="dot" w:pos="8312"/>
        </w:tabs>
        <w:sectPr>
          <w:headerReference w:type="default" r:id="rId8"/>
          <w:footerReference w:type="default" r:id="rId9"/>
          <w:headerReference w:type="first" r:id="rId10"/>
          <w:footerReference w:type="first" r:id="rId11"/>
          <w:type w:val="nextPage"/>
          <w:pgSz w:w="11906" w:h="16838"/>
          <w:pgMar w:top="1440" w:right="1797" w:bottom="1440" w:left="1797" w:header="851" w:footer="992" w:gutter="0"/>
          <w:pgNumType w:fmt="decimal" w:start="1"/>
          <w:cols w:space="708"/>
          <w:titlePg/>
          <w:docGrid w:type="lines" w:linePitch="312"/>
        </w:sectPr>
      </w:pPr>
      <w:hyperlink w:anchor="_Toc6472" w:history="1">
        <w:r>
          <w:rPr>
            <w:rFonts w:ascii="Times New Roman" w:eastAsia="宋体" w:hAnsi="Times New Roman" w:hint="eastAsia"/>
            <w:szCs w:val="28"/>
            <w:lang w:val="en-US" w:eastAsia="zh-CN"/>
          </w:rPr>
          <w:t>3</w:t>
        </w:r>
        <w:r>
          <w:rPr>
            <w:rFonts w:ascii="Times New Roman" w:eastAsia="宋体" w:hAnsi="Times New Roman"/>
            <w:szCs w:val="28"/>
          </w:rPr>
          <w:t>.</w:t>
        </w:r>
        <w:r>
          <w:rPr>
            <w:rFonts w:ascii="Times New Roman" w:eastAsia="宋体" w:hAnsi="Times New Roman" w:hint="eastAsia"/>
            <w:szCs w:val="28"/>
          </w:rPr>
          <w:t>4分析结论</w:t>
        </w:r>
        <w:r>
          <w:tab/>
        </w:r>
        <w:r>
          <w:fldChar w:fldCharType="begin"/>
        </w:r>
        <w:r>
          <w:instrText xml:space="preserve"> PAGEREF _Toc6472 \h </w:instrText>
        </w:r>
        <w:r>
          <w:fldChar w:fldCharType="separate"/>
        </w:r>
        <w:r>
          <w:t>17</w:t>
        </w:r>
        <w:r>
          <w:fldChar w:fldCharType="end"/>
        </w:r>
      </w:hyperlink>
    </w:p>
    <w:p>
      <w:pPr>
        <w:pStyle w:val="TOC1"/>
        <w:tabs>
          <w:tab w:val="clear" w:pos="8296"/>
          <w:tab w:val="right" w:leader="dot" w:pos="8312"/>
        </w:tabs>
      </w:pPr>
      <w:hyperlink w:anchor="_Toc8512" w:history="1">
        <w:r>
          <w:rPr>
            <w:rFonts w:ascii="Times New Roman" w:hAnsi="宋体"/>
          </w:rPr>
          <w:t>第</w:t>
        </w:r>
        <w:r>
          <w:rPr>
            <w:rFonts w:ascii="Times New Roman" w:hAnsi="宋体" w:hint="eastAsia"/>
          </w:rPr>
          <w:t>四</w:t>
        </w:r>
        <w:r>
          <w:rPr>
            <w:rFonts w:ascii="Times New Roman" w:hAnsi="宋体"/>
          </w:rPr>
          <w:t xml:space="preserve">章 </w:t>
        </w:r>
        <w:r>
          <w:rPr>
            <w:rFonts w:ascii="Times New Roman" w:hAnsi="宋体" w:hint="eastAsia"/>
          </w:rPr>
          <w:t>项目建设条件</w:t>
        </w:r>
        <w:r>
          <w:tab/>
        </w:r>
        <w:r>
          <w:fldChar w:fldCharType="begin"/>
        </w:r>
        <w:r>
          <w:instrText xml:space="preserve"> PAGEREF _Toc8512 \h </w:instrText>
        </w:r>
        <w:r>
          <w:fldChar w:fldCharType="separate"/>
        </w:r>
        <w:r>
          <w:t>18</w:t>
        </w:r>
        <w:r>
          <w:fldChar w:fldCharType="end"/>
        </w:r>
      </w:hyperlink>
    </w:p>
    <w:p>
      <w:pPr>
        <w:pStyle w:val="TOC2"/>
        <w:tabs>
          <w:tab w:val="clear" w:pos="8302"/>
          <w:tab w:val="right" w:leader="dot" w:pos="8312"/>
        </w:tabs>
      </w:pPr>
      <w:hyperlink w:anchor="_Toc3330" w:history="1">
        <w:r>
          <w:rPr>
            <w:rFonts w:ascii="Times New Roman" w:eastAsia="宋体" w:hAnsi="Times New Roman" w:hint="eastAsia"/>
            <w:lang w:val="en-US" w:eastAsia="zh-CN"/>
          </w:rPr>
          <w:t>4</w:t>
        </w:r>
        <w:r>
          <w:rPr>
            <w:rFonts w:ascii="Times New Roman" w:eastAsia="宋体" w:hAnsi="Times New Roman"/>
          </w:rPr>
          <w:t>.1</w:t>
        </w:r>
        <w:r>
          <w:rPr>
            <w:rFonts w:ascii="Times New Roman" w:eastAsia="宋体" w:hAnsi="Times New Roman" w:hint="eastAsia"/>
          </w:rPr>
          <w:t>地理位置选择</w:t>
        </w:r>
        <w:r>
          <w:tab/>
        </w:r>
        <w:r>
          <w:fldChar w:fldCharType="begin"/>
        </w:r>
        <w:r>
          <w:instrText xml:space="preserve"> PAGEREF _Toc3330 \h </w:instrText>
        </w:r>
        <w:r>
          <w:fldChar w:fldCharType="separate"/>
        </w:r>
        <w:r>
          <w:t>18</w:t>
        </w:r>
        <w:r>
          <w:fldChar w:fldCharType="end"/>
        </w:r>
      </w:hyperlink>
    </w:p>
    <w:p>
      <w:pPr>
        <w:pStyle w:val="TOC2"/>
        <w:tabs>
          <w:tab w:val="clear" w:pos="8302"/>
          <w:tab w:val="right" w:leader="dot" w:pos="8312"/>
        </w:tabs>
      </w:pPr>
      <w:hyperlink w:anchor="_Toc17640" w:history="1">
        <w:r>
          <w:rPr>
            <w:rFonts w:ascii="Times New Roman" w:eastAsia="宋体" w:hAnsi="Times New Roman" w:hint="eastAsia"/>
            <w:lang w:val="en-US" w:eastAsia="zh-CN"/>
          </w:rPr>
          <w:t>4</w:t>
        </w:r>
        <w:r>
          <w:rPr>
            <w:rFonts w:ascii="Times New Roman" w:eastAsia="宋体" w:hAnsi="Times New Roman"/>
          </w:rPr>
          <w:t>.2</w:t>
        </w:r>
        <w:r>
          <w:rPr>
            <w:rFonts w:ascii="Times New Roman" w:eastAsia="宋体" w:hAnsi="Times New Roman" w:hint="eastAsia"/>
          </w:rPr>
          <w:t>区域建设条件</w:t>
        </w:r>
        <w:r>
          <w:tab/>
        </w:r>
        <w:r>
          <w:fldChar w:fldCharType="begin"/>
        </w:r>
        <w:r>
          <w:instrText xml:space="preserve"> PAGEREF _Toc17640 \h </w:instrText>
        </w:r>
        <w:r>
          <w:fldChar w:fldCharType="separate"/>
        </w:r>
        <w:r>
          <w:t>18</w:t>
        </w:r>
        <w:r>
          <w:fldChar w:fldCharType="end"/>
        </w:r>
      </w:hyperlink>
    </w:p>
    <w:p>
      <w:pPr>
        <w:pStyle w:val="TOC3"/>
        <w:tabs>
          <w:tab w:val="right" w:leader="dot" w:pos="8312"/>
        </w:tabs>
      </w:pPr>
      <w:hyperlink w:anchor="_Toc22817" w:history="1">
        <w:r>
          <w:rPr>
            <w:rFonts w:hint="eastAsia"/>
            <w:lang w:val="en-US" w:eastAsia="zh-CN"/>
          </w:rPr>
          <w:t>4</w:t>
        </w:r>
        <w:r>
          <w:t>.2.1</w:t>
        </w:r>
        <w:r>
          <w:rPr>
            <w:rFonts w:hint="eastAsia"/>
          </w:rPr>
          <w:t>区域位置概况</w:t>
        </w:r>
        <w:r>
          <w:tab/>
        </w:r>
        <w:r>
          <w:fldChar w:fldCharType="begin"/>
        </w:r>
        <w:r>
          <w:instrText xml:space="preserve"> PAGEREF _Toc22817 \h </w:instrText>
        </w:r>
        <w:r>
          <w:fldChar w:fldCharType="separate"/>
        </w:r>
        <w:r>
          <w:t>18</w:t>
        </w:r>
        <w:r>
          <w:fldChar w:fldCharType="end"/>
        </w:r>
      </w:hyperlink>
    </w:p>
    <w:p>
      <w:pPr>
        <w:pStyle w:val="TOC3"/>
        <w:tabs>
          <w:tab w:val="right" w:leader="dot" w:pos="8312"/>
        </w:tabs>
      </w:pPr>
      <w:hyperlink w:anchor="_Toc8296" w:history="1">
        <w:r>
          <w:rPr>
            <w:rFonts w:hint="eastAsia"/>
            <w:lang w:val="en-US" w:eastAsia="zh-CN"/>
          </w:rPr>
          <w:t>4</w:t>
        </w:r>
        <w:r>
          <w:t>.2.</w:t>
        </w:r>
        <w:r>
          <w:rPr>
            <w:rFonts w:hint="eastAsia"/>
          </w:rPr>
          <w:t>2区域经济发展条件</w:t>
        </w:r>
        <w:r>
          <w:tab/>
        </w:r>
        <w:r>
          <w:fldChar w:fldCharType="begin"/>
        </w:r>
        <w:r>
          <w:instrText xml:space="preserve"> PAGEREF _Toc8296 \h </w:instrText>
        </w:r>
        <w:r>
          <w:fldChar w:fldCharType="separate"/>
        </w:r>
        <w:r>
          <w:t>19</w:t>
        </w:r>
        <w:r>
          <w:fldChar w:fldCharType="end"/>
        </w:r>
      </w:hyperlink>
    </w:p>
    <w:p>
      <w:pPr>
        <w:pStyle w:val="TOC3"/>
        <w:tabs>
          <w:tab w:val="right" w:leader="dot" w:pos="8312"/>
        </w:tabs>
      </w:pPr>
      <w:hyperlink w:anchor="_Toc22447" w:history="1">
        <w:r>
          <w:rPr>
            <w:rFonts w:hint="eastAsia"/>
            <w:lang w:val="en-US" w:eastAsia="zh-CN"/>
          </w:rPr>
          <w:t>4</w:t>
        </w:r>
        <w:r>
          <w:t>.2.</w:t>
        </w:r>
        <w:r>
          <w:rPr>
            <w:rFonts w:hint="eastAsia"/>
          </w:rPr>
          <w:t>3区域交通运输条件</w:t>
        </w:r>
        <w:r>
          <w:tab/>
        </w:r>
        <w:r>
          <w:fldChar w:fldCharType="begin"/>
        </w:r>
        <w:r>
          <w:instrText xml:space="preserve"> PAGEREF _Toc22447 \h </w:instrText>
        </w:r>
        <w:r>
          <w:fldChar w:fldCharType="separate"/>
        </w:r>
        <w:r>
          <w:t>20</w:t>
        </w:r>
        <w:r>
          <w:fldChar w:fldCharType="end"/>
        </w:r>
      </w:hyperlink>
    </w:p>
    <w:p>
      <w:pPr>
        <w:pStyle w:val="TOC3"/>
        <w:tabs>
          <w:tab w:val="right" w:leader="dot" w:pos="8312"/>
        </w:tabs>
      </w:pPr>
      <w:hyperlink w:anchor="_Toc32694" w:history="1">
        <w:r>
          <w:rPr>
            <w:rFonts w:hint="eastAsia"/>
            <w:lang w:val="en-US" w:eastAsia="zh-CN"/>
          </w:rPr>
          <w:t>4</w:t>
        </w:r>
        <w:r>
          <w:t>.2.</w:t>
        </w:r>
        <w:r>
          <w:rPr>
            <w:rFonts w:hint="eastAsia"/>
          </w:rPr>
          <w:t>4区域自然资源条件</w:t>
        </w:r>
        <w:r>
          <w:tab/>
        </w:r>
        <w:r>
          <w:fldChar w:fldCharType="begin"/>
        </w:r>
        <w:r>
          <w:instrText xml:space="preserve"> PAGEREF _Toc32694 \h </w:instrText>
        </w:r>
        <w:r>
          <w:fldChar w:fldCharType="separate"/>
        </w:r>
        <w:r>
          <w:t>22</w:t>
        </w:r>
        <w:r>
          <w:fldChar w:fldCharType="end"/>
        </w:r>
      </w:hyperlink>
    </w:p>
    <w:p>
      <w:pPr>
        <w:pStyle w:val="TOC3"/>
        <w:tabs>
          <w:tab w:val="right" w:leader="dot" w:pos="8312"/>
        </w:tabs>
      </w:pPr>
      <w:hyperlink w:anchor="_Toc32379" w:history="1">
        <w:r>
          <w:rPr>
            <w:rFonts w:hint="eastAsia"/>
            <w:lang w:val="en-US" w:eastAsia="zh-CN"/>
          </w:rPr>
          <w:t>4</w:t>
        </w:r>
        <w:r>
          <w:t>.2.</w:t>
        </w:r>
        <w:r>
          <w:rPr>
            <w:rFonts w:hint="eastAsia"/>
          </w:rPr>
          <w:t>6城市发展目标</w:t>
        </w:r>
        <w:r>
          <w:tab/>
        </w:r>
        <w:r>
          <w:fldChar w:fldCharType="begin"/>
        </w:r>
        <w:r>
          <w:instrText xml:space="preserve"> PAGEREF _Toc32379 \h </w:instrText>
        </w:r>
        <w:r>
          <w:fldChar w:fldCharType="separate"/>
        </w:r>
        <w:r>
          <w:t>23</w:t>
        </w:r>
        <w:r>
          <w:fldChar w:fldCharType="end"/>
        </w:r>
      </w:hyperlink>
    </w:p>
    <w:p>
      <w:pPr>
        <w:pStyle w:val="TOC3"/>
        <w:tabs>
          <w:tab w:val="right" w:leader="dot" w:pos="8312"/>
        </w:tabs>
      </w:pPr>
      <w:hyperlink w:anchor="_Toc15443" w:history="1">
        <w:r>
          <w:rPr>
            <w:rFonts w:hint="eastAsia"/>
            <w:lang w:val="en-US" w:eastAsia="zh-CN"/>
          </w:rPr>
          <w:t>4</w:t>
        </w:r>
        <w:r>
          <w:t>.2.</w:t>
        </w:r>
        <w:r>
          <w:rPr>
            <w:rFonts w:hint="eastAsia"/>
          </w:rPr>
          <w:t>7城市经济发展前瞻</w:t>
        </w:r>
        <w:r>
          <w:tab/>
        </w:r>
        <w:r>
          <w:fldChar w:fldCharType="begin"/>
        </w:r>
        <w:r>
          <w:instrText xml:space="preserve"> PAGEREF _Toc15443 \h </w:instrText>
        </w:r>
        <w:r>
          <w:fldChar w:fldCharType="separate"/>
        </w:r>
        <w:r>
          <w:t>24</w:t>
        </w:r>
        <w:r>
          <w:fldChar w:fldCharType="end"/>
        </w:r>
      </w:hyperlink>
    </w:p>
    <w:p>
      <w:pPr>
        <w:pStyle w:val="TOC1"/>
        <w:tabs>
          <w:tab w:val="clear" w:pos="8296"/>
          <w:tab w:val="right" w:leader="dot" w:pos="8312"/>
        </w:tabs>
      </w:pPr>
      <w:hyperlink w:anchor="_Toc14403" w:history="1">
        <w:r>
          <w:rPr>
            <w:rFonts w:ascii="Times New Roman" w:hAnsi="宋体" w:hint="eastAsia"/>
          </w:rPr>
          <w:t>第五章</w:t>
        </w:r>
        <w:r>
          <w:rPr>
            <w:rFonts w:ascii="Times New Roman" w:hAnsi="宋体"/>
          </w:rPr>
          <w:t xml:space="preserve"> </w:t>
        </w:r>
        <w:r>
          <w:rPr>
            <w:rFonts w:ascii="Times New Roman" w:hAnsi="宋体" w:hint="eastAsia"/>
          </w:rPr>
          <w:t>总体建设方案</w:t>
        </w:r>
        <w:r>
          <w:tab/>
        </w:r>
        <w:r>
          <w:fldChar w:fldCharType="begin"/>
        </w:r>
        <w:r>
          <w:instrText xml:space="preserve"> PAGEREF _Toc14403 \h </w:instrText>
        </w:r>
        <w:r>
          <w:fldChar w:fldCharType="separate"/>
        </w:r>
        <w:r>
          <w:t>26</w:t>
        </w:r>
        <w:r>
          <w:fldChar w:fldCharType="end"/>
        </w:r>
      </w:hyperlink>
    </w:p>
    <w:p>
      <w:pPr>
        <w:pStyle w:val="TOC2"/>
        <w:tabs>
          <w:tab w:val="clear" w:pos="8302"/>
          <w:tab w:val="right" w:leader="dot" w:pos="8312"/>
        </w:tabs>
      </w:pPr>
      <w:hyperlink w:anchor="_Toc14395" w:history="1">
        <w:r>
          <w:rPr>
            <w:rFonts w:ascii="Times New Roman" w:eastAsia="宋体" w:hAnsi="Times New Roman"/>
          </w:rPr>
          <w:t>5.1</w:t>
        </w:r>
        <w:r>
          <w:rPr>
            <w:rFonts w:ascii="Times New Roman" w:eastAsia="宋体" w:hAnsi="Times New Roman" w:hint="eastAsia"/>
          </w:rPr>
          <w:t>总图布置原则</w:t>
        </w:r>
        <w:r>
          <w:tab/>
        </w:r>
        <w:r>
          <w:fldChar w:fldCharType="begin"/>
        </w:r>
        <w:r>
          <w:instrText xml:space="preserve"> PAGEREF _Toc14395 \h </w:instrText>
        </w:r>
        <w:r>
          <w:fldChar w:fldCharType="separate"/>
        </w:r>
        <w:r>
          <w:t>26</w:t>
        </w:r>
        <w:r>
          <w:fldChar w:fldCharType="end"/>
        </w:r>
      </w:hyperlink>
    </w:p>
    <w:p>
      <w:pPr>
        <w:pStyle w:val="TOC2"/>
        <w:tabs>
          <w:tab w:val="clear" w:pos="8302"/>
          <w:tab w:val="right" w:leader="dot" w:pos="8312"/>
        </w:tabs>
      </w:pPr>
      <w:hyperlink w:anchor="_Toc24678" w:history="1">
        <w:r>
          <w:rPr>
            <w:rFonts w:ascii="Times New Roman" w:eastAsia="宋体" w:hAnsi="Times New Roman"/>
          </w:rPr>
          <w:t>5.</w:t>
        </w:r>
        <w:r>
          <w:rPr>
            <w:rFonts w:ascii="Times New Roman" w:eastAsia="宋体" w:hAnsi="Times New Roman" w:hint="eastAsia"/>
          </w:rPr>
          <w:t>2土建方案</w:t>
        </w:r>
        <w:r>
          <w:tab/>
        </w:r>
        <w:r>
          <w:fldChar w:fldCharType="begin"/>
        </w:r>
        <w:r>
          <w:instrText xml:space="preserve"> PAGEREF _Toc24678 \h </w:instrText>
        </w:r>
        <w:r>
          <w:fldChar w:fldCharType="separate"/>
        </w:r>
        <w:r>
          <w:t>26</w:t>
        </w:r>
        <w:r>
          <w:fldChar w:fldCharType="end"/>
        </w:r>
      </w:hyperlink>
    </w:p>
    <w:p>
      <w:pPr>
        <w:pStyle w:val="TOC3"/>
        <w:tabs>
          <w:tab w:val="right" w:leader="dot" w:pos="8312"/>
        </w:tabs>
      </w:pPr>
      <w:hyperlink w:anchor="_Toc9568" w:history="1">
        <w:r>
          <w:t>5.</w:t>
        </w:r>
        <w:r>
          <w:rPr>
            <w:rFonts w:hint="eastAsia"/>
          </w:rPr>
          <w:t>2</w:t>
        </w:r>
        <w:r>
          <w:t>.1</w:t>
        </w:r>
        <w:r>
          <w:rPr>
            <w:rFonts w:hint="eastAsia"/>
          </w:rPr>
          <w:t>总体规划方案</w:t>
        </w:r>
        <w:r>
          <w:tab/>
        </w:r>
        <w:r>
          <w:fldChar w:fldCharType="begin"/>
        </w:r>
        <w:r>
          <w:instrText xml:space="preserve"> PAGEREF _Toc9568 \h </w:instrText>
        </w:r>
        <w:r>
          <w:fldChar w:fldCharType="separate"/>
        </w:r>
        <w:r>
          <w:t>26</w:t>
        </w:r>
        <w:r>
          <w:fldChar w:fldCharType="end"/>
        </w:r>
      </w:hyperlink>
    </w:p>
    <w:p>
      <w:pPr>
        <w:pStyle w:val="TOC3"/>
        <w:tabs>
          <w:tab w:val="right" w:leader="dot" w:pos="8312"/>
        </w:tabs>
      </w:pPr>
      <w:hyperlink w:anchor="_Toc15600" w:history="1">
        <w:r>
          <w:t>5.</w:t>
        </w:r>
        <w:r>
          <w:rPr>
            <w:rFonts w:hint="eastAsia"/>
          </w:rPr>
          <w:t>2</w:t>
        </w:r>
        <w:r>
          <w:t>.2</w:t>
        </w:r>
        <w:r>
          <w:rPr>
            <w:rFonts w:hint="eastAsia"/>
          </w:rPr>
          <w:t>土建工程方案</w:t>
        </w:r>
        <w:r>
          <w:tab/>
        </w:r>
        <w:r>
          <w:fldChar w:fldCharType="begin"/>
        </w:r>
        <w:r>
          <w:instrText xml:space="preserve"> PAGEREF _Toc15600 \h </w:instrText>
        </w:r>
        <w:r>
          <w:fldChar w:fldCharType="separate"/>
        </w:r>
        <w:r>
          <w:t>27</w:t>
        </w:r>
        <w:r>
          <w:fldChar w:fldCharType="end"/>
        </w:r>
      </w:hyperlink>
    </w:p>
    <w:p>
      <w:pPr>
        <w:pStyle w:val="TOC2"/>
        <w:tabs>
          <w:tab w:val="clear" w:pos="8302"/>
          <w:tab w:val="right" w:leader="dot" w:pos="8312"/>
        </w:tabs>
      </w:pPr>
      <w:hyperlink w:anchor="_Toc9717" w:history="1">
        <w:r>
          <w:rPr>
            <w:rFonts w:ascii="Times New Roman" w:eastAsia="宋体" w:hAnsi="Times New Roman"/>
          </w:rPr>
          <w:t>5.</w:t>
        </w:r>
        <w:r>
          <w:rPr>
            <w:rFonts w:ascii="Times New Roman" w:eastAsia="宋体" w:hAnsi="Times New Roman" w:hint="eastAsia"/>
          </w:rPr>
          <w:t>3主要建设内容</w:t>
        </w:r>
        <w:r>
          <w:tab/>
        </w:r>
        <w:r>
          <w:fldChar w:fldCharType="begin"/>
        </w:r>
        <w:r>
          <w:instrText xml:space="preserve"> PAGEREF _Toc9717 \h </w:instrText>
        </w:r>
        <w:r>
          <w:fldChar w:fldCharType="separate"/>
        </w:r>
        <w:r>
          <w:t>28</w:t>
        </w:r>
        <w:r>
          <w:fldChar w:fldCharType="end"/>
        </w:r>
      </w:hyperlink>
    </w:p>
    <w:p>
      <w:pPr>
        <w:pStyle w:val="TOC2"/>
        <w:tabs>
          <w:tab w:val="clear" w:pos="8302"/>
          <w:tab w:val="right" w:leader="dot" w:pos="8312"/>
        </w:tabs>
      </w:pPr>
      <w:hyperlink w:anchor="_Toc29245" w:history="1">
        <w:r>
          <w:rPr>
            <w:rFonts w:ascii="Times New Roman" w:eastAsia="宋体" w:hAnsi="Times New Roman"/>
          </w:rPr>
          <w:t>5.</w:t>
        </w:r>
        <w:r>
          <w:rPr>
            <w:rFonts w:ascii="Times New Roman" w:eastAsia="宋体" w:hAnsi="Times New Roman" w:hint="eastAsia"/>
          </w:rPr>
          <w:t>4工程管线布置方案</w:t>
        </w:r>
        <w:r>
          <w:tab/>
        </w:r>
        <w:r>
          <w:fldChar w:fldCharType="begin"/>
        </w:r>
        <w:r>
          <w:instrText xml:space="preserve"> PAGEREF _Toc29245 \h </w:instrText>
        </w:r>
        <w:r>
          <w:fldChar w:fldCharType="separate"/>
        </w:r>
        <w:r>
          <w:t>28</w:t>
        </w:r>
        <w:r>
          <w:fldChar w:fldCharType="end"/>
        </w:r>
      </w:hyperlink>
    </w:p>
    <w:p>
      <w:pPr>
        <w:pStyle w:val="TOC3"/>
        <w:tabs>
          <w:tab w:val="right" w:leader="dot" w:pos="8312"/>
        </w:tabs>
      </w:pPr>
      <w:hyperlink w:anchor="_Toc29711" w:history="1">
        <w:r>
          <w:rPr>
            <w:rFonts w:hint="eastAsia"/>
          </w:rPr>
          <w:t>5.4.1给排水</w:t>
        </w:r>
        <w:r>
          <w:tab/>
        </w:r>
        <w:r>
          <w:fldChar w:fldCharType="begin"/>
        </w:r>
        <w:r>
          <w:instrText xml:space="preserve"> PAGEREF _Toc29711 \h </w:instrText>
        </w:r>
        <w:r>
          <w:fldChar w:fldCharType="separate"/>
        </w:r>
        <w:r>
          <w:t>28</w:t>
        </w:r>
        <w:r>
          <w:fldChar w:fldCharType="end"/>
        </w:r>
      </w:hyperlink>
    </w:p>
    <w:p>
      <w:pPr>
        <w:pStyle w:val="TOC3"/>
        <w:tabs>
          <w:tab w:val="right" w:leader="dot" w:pos="8312"/>
        </w:tabs>
      </w:pPr>
      <w:hyperlink w:anchor="_Toc1163" w:history="1">
        <w:r>
          <w:rPr>
            <w:rFonts w:hint="eastAsia"/>
          </w:rPr>
          <w:t>5.4.2供电</w:t>
        </w:r>
        <w:r>
          <w:tab/>
        </w:r>
        <w:r>
          <w:fldChar w:fldCharType="begin"/>
        </w:r>
        <w:r>
          <w:instrText xml:space="preserve"> PAGEREF _Toc1163 \h </w:instrText>
        </w:r>
        <w:r>
          <w:fldChar w:fldCharType="separate"/>
        </w:r>
        <w:r>
          <w:t>30</w:t>
        </w:r>
        <w:r>
          <w:fldChar w:fldCharType="end"/>
        </w:r>
      </w:hyperlink>
    </w:p>
    <w:p>
      <w:pPr>
        <w:pStyle w:val="TOC2"/>
        <w:tabs>
          <w:tab w:val="clear" w:pos="8302"/>
          <w:tab w:val="right" w:leader="dot" w:pos="8312"/>
        </w:tabs>
      </w:pPr>
      <w:hyperlink w:anchor="_Toc29551" w:history="1">
        <w:r>
          <w:rPr>
            <w:rFonts w:ascii="Times New Roman" w:eastAsia="宋体" w:hAnsi="Times New Roman" w:hint="eastAsia"/>
          </w:rPr>
          <w:t>5.5道路设计</w:t>
        </w:r>
        <w:r>
          <w:tab/>
        </w:r>
        <w:r>
          <w:fldChar w:fldCharType="begin"/>
        </w:r>
        <w:r>
          <w:instrText xml:space="preserve"> PAGEREF _Toc29551 \h </w:instrText>
        </w:r>
        <w:r>
          <w:fldChar w:fldCharType="separate"/>
        </w:r>
        <w:r>
          <w:t>32</w:t>
        </w:r>
        <w:r>
          <w:fldChar w:fldCharType="end"/>
        </w:r>
      </w:hyperlink>
    </w:p>
    <w:p>
      <w:pPr>
        <w:pStyle w:val="TOC2"/>
        <w:tabs>
          <w:tab w:val="clear" w:pos="8302"/>
          <w:tab w:val="right" w:leader="dot" w:pos="8312"/>
        </w:tabs>
      </w:pPr>
      <w:hyperlink w:anchor="_Toc24362" w:history="1">
        <w:r>
          <w:rPr>
            <w:rFonts w:ascii="Times New Roman" w:eastAsia="宋体" w:hAnsi="Times New Roman"/>
          </w:rPr>
          <w:t>5.</w:t>
        </w:r>
        <w:r>
          <w:rPr>
            <w:rFonts w:ascii="Times New Roman" w:eastAsia="宋体" w:hAnsi="Times New Roman" w:hint="eastAsia"/>
          </w:rPr>
          <w:t>6总图运输方案</w:t>
        </w:r>
        <w:r>
          <w:tab/>
        </w:r>
        <w:r>
          <w:fldChar w:fldCharType="begin"/>
        </w:r>
        <w:r>
          <w:instrText xml:space="preserve"> PAGEREF _Toc24362 \h </w:instrText>
        </w:r>
        <w:r>
          <w:fldChar w:fldCharType="separate"/>
        </w:r>
        <w:r>
          <w:t>33</w:t>
        </w:r>
        <w:r>
          <w:fldChar w:fldCharType="end"/>
        </w:r>
      </w:hyperlink>
    </w:p>
    <w:p>
      <w:pPr>
        <w:pStyle w:val="TOC2"/>
        <w:tabs>
          <w:tab w:val="clear" w:pos="8302"/>
          <w:tab w:val="right" w:leader="dot" w:pos="8312"/>
        </w:tabs>
      </w:pPr>
      <w:hyperlink w:anchor="_Toc26223" w:history="1">
        <w:r>
          <w:rPr>
            <w:rFonts w:ascii="Times New Roman" w:eastAsia="宋体" w:hAnsi="Times New Roman"/>
          </w:rPr>
          <w:t>5.</w:t>
        </w:r>
        <w:r>
          <w:rPr>
            <w:rFonts w:ascii="Times New Roman" w:eastAsia="宋体" w:hAnsi="Times New Roman" w:hint="eastAsia"/>
          </w:rPr>
          <w:t>7土地利用情况</w:t>
        </w:r>
        <w:r>
          <w:tab/>
        </w:r>
        <w:r>
          <w:fldChar w:fldCharType="begin"/>
        </w:r>
        <w:r>
          <w:instrText xml:space="preserve"> PAGEREF _Toc26223 \h </w:instrText>
        </w:r>
        <w:r>
          <w:fldChar w:fldCharType="separate"/>
        </w:r>
        <w:r>
          <w:t>33</w:t>
        </w:r>
        <w:r>
          <w:fldChar w:fldCharType="end"/>
        </w:r>
      </w:hyperlink>
    </w:p>
    <w:p>
      <w:pPr>
        <w:pStyle w:val="TOC3"/>
        <w:tabs>
          <w:tab w:val="right" w:leader="dot" w:pos="8312"/>
        </w:tabs>
      </w:pPr>
      <w:hyperlink w:anchor="_Toc22068" w:history="1">
        <w:r>
          <w:rPr>
            <w:rFonts w:hint="eastAsia"/>
          </w:rPr>
          <w:t>5.7.1项目用地规划选址</w:t>
        </w:r>
        <w:r>
          <w:tab/>
        </w:r>
        <w:r>
          <w:fldChar w:fldCharType="begin"/>
        </w:r>
        <w:r>
          <w:instrText xml:space="preserve"> PAGEREF _Toc22068 \h </w:instrText>
        </w:r>
        <w:r>
          <w:fldChar w:fldCharType="separate"/>
        </w:r>
        <w:r>
          <w:t>33</w:t>
        </w:r>
        <w:r>
          <w:fldChar w:fldCharType="end"/>
        </w:r>
      </w:hyperlink>
    </w:p>
    <w:p>
      <w:pPr>
        <w:pStyle w:val="TOC3"/>
        <w:tabs>
          <w:tab w:val="right" w:leader="dot" w:pos="8312"/>
        </w:tabs>
      </w:pPr>
      <w:hyperlink w:anchor="_Toc1884" w:history="1">
        <w:r>
          <w:rPr>
            <w:rFonts w:hint="eastAsia"/>
          </w:rPr>
          <w:t>5.7.2用地规模及用地类型</w:t>
        </w:r>
        <w:r>
          <w:tab/>
        </w:r>
        <w:r>
          <w:fldChar w:fldCharType="begin"/>
        </w:r>
        <w:r>
          <w:instrText xml:space="preserve"> PAGEREF _Toc1884 \h </w:instrText>
        </w:r>
        <w:r>
          <w:fldChar w:fldCharType="separate"/>
        </w:r>
        <w:r>
          <w:t>33</w:t>
        </w:r>
        <w:r>
          <w:fldChar w:fldCharType="end"/>
        </w:r>
      </w:hyperlink>
    </w:p>
    <w:p>
      <w:pPr>
        <w:pStyle w:val="TOC1"/>
        <w:tabs>
          <w:tab w:val="clear" w:pos="8296"/>
          <w:tab w:val="right" w:leader="dot" w:pos="8312"/>
        </w:tabs>
      </w:pPr>
      <w:hyperlink w:anchor="_Toc32492" w:history="1">
        <w:r>
          <w:rPr>
            <w:rFonts w:hAnsi="宋体" w:hint="eastAsia"/>
          </w:rPr>
          <w:t>第六章</w:t>
        </w:r>
        <w:r>
          <w:rPr>
            <w:rFonts w:hAnsi="宋体"/>
          </w:rPr>
          <w:t xml:space="preserve"> </w:t>
        </w:r>
        <w:r>
          <w:rPr>
            <w:rFonts w:hAnsi="宋体" w:hint="eastAsia"/>
          </w:rPr>
          <w:t>产品方案及技术方案</w:t>
        </w:r>
        <w:r>
          <w:tab/>
        </w:r>
        <w:r>
          <w:fldChar w:fldCharType="begin"/>
        </w:r>
        <w:r>
          <w:instrText xml:space="preserve"> PAGEREF _Toc32492 \h </w:instrText>
        </w:r>
        <w:r>
          <w:fldChar w:fldCharType="separate"/>
        </w:r>
        <w:r>
          <w:t>35</w:t>
        </w:r>
        <w:r>
          <w:fldChar w:fldCharType="end"/>
        </w:r>
      </w:hyperlink>
    </w:p>
    <w:p>
      <w:pPr>
        <w:pStyle w:val="TOC2"/>
        <w:tabs>
          <w:tab w:val="clear" w:pos="8302"/>
          <w:tab w:val="right" w:leader="dot" w:pos="8312"/>
        </w:tabs>
      </w:pPr>
      <w:hyperlink w:anchor="_Toc4565" w:history="1">
        <w:r>
          <w:rPr>
            <w:rFonts w:ascii="Times New Roman" w:eastAsia="宋体" w:hAnsi="Times New Roman" w:hint="eastAsia"/>
            <w:szCs w:val="28"/>
          </w:rPr>
          <w:t>6</w:t>
        </w:r>
        <w:r>
          <w:rPr>
            <w:rFonts w:ascii="Times New Roman" w:eastAsia="宋体" w:hAnsi="Times New Roman"/>
            <w:szCs w:val="28"/>
          </w:rPr>
          <w:t>.1</w:t>
        </w:r>
        <w:r>
          <w:rPr>
            <w:rFonts w:ascii="Times New Roman" w:eastAsia="宋体" w:hAnsi="Times New Roman" w:hint="eastAsia"/>
            <w:szCs w:val="28"/>
          </w:rPr>
          <w:t>主要产品方案</w:t>
        </w:r>
        <w:r>
          <w:tab/>
        </w:r>
        <w:r>
          <w:fldChar w:fldCharType="begin"/>
        </w:r>
        <w:r>
          <w:instrText xml:space="preserve"> PAGEREF _Toc4565 \h </w:instrText>
        </w:r>
        <w:r>
          <w:fldChar w:fldCharType="separate"/>
        </w:r>
        <w:r>
          <w:t>35</w:t>
        </w:r>
        <w:r>
          <w:fldChar w:fldCharType="end"/>
        </w:r>
      </w:hyperlink>
    </w:p>
    <w:p>
      <w:pPr>
        <w:pStyle w:val="TOC2"/>
        <w:tabs>
          <w:tab w:val="clear" w:pos="8302"/>
          <w:tab w:val="right" w:leader="dot" w:pos="8312"/>
        </w:tabs>
      </w:pPr>
      <w:hyperlink w:anchor="_Toc23609" w:history="1">
        <w:r>
          <w:rPr>
            <w:rFonts w:ascii="Times New Roman" w:eastAsia="宋体" w:hAnsi="Times New Roman" w:hint="eastAsia"/>
            <w:szCs w:val="28"/>
          </w:rPr>
          <w:t>6</w:t>
        </w:r>
        <w:r>
          <w:rPr>
            <w:rFonts w:ascii="Times New Roman" w:eastAsia="宋体" w:hAnsi="Times New Roman"/>
            <w:szCs w:val="28"/>
          </w:rPr>
          <w:t>.</w:t>
        </w:r>
        <w:r>
          <w:rPr>
            <w:rFonts w:ascii="Times New Roman" w:eastAsia="宋体" w:hAnsi="Times New Roman" w:hint="eastAsia"/>
            <w:szCs w:val="28"/>
          </w:rPr>
          <w:t>2产品质量指标</w:t>
        </w:r>
        <w:r>
          <w:tab/>
        </w:r>
        <w:r>
          <w:fldChar w:fldCharType="begin"/>
        </w:r>
        <w:r>
          <w:instrText xml:space="preserve"> PAGEREF _Toc23609 \h </w:instrText>
        </w:r>
        <w:r>
          <w:fldChar w:fldCharType="separate"/>
        </w:r>
        <w:r>
          <w:t>35</w:t>
        </w:r>
        <w:r>
          <w:fldChar w:fldCharType="end"/>
        </w:r>
      </w:hyperlink>
    </w:p>
    <w:p>
      <w:pPr>
        <w:pStyle w:val="TOC2"/>
        <w:tabs>
          <w:tab w:val="clear" w:pos="8302"/>
          <w:tab w:val="right" w:leader="dot" w:pos="8312"/>
        </w:tabs>
      </w:pPr>
      <w:hyperlink w:anchor="_Toc25570" w:history="1">
        <w:r>
          <w:rPr>
            <w:rFonts w:ascii="Times New Roman" w:eastAsia="宋体" w:hAnsi="Times New Roman"/>
            <w:szCs w:val="28"/>
          </w:rPr>
          <w:t>6.</w:t>
        </w:r>
        <w:r>
          <w:rPr>
            <w:rFonts w:ascii="Times New Roman" w:eastAsia="宋体" w:hAnsi="Times New Roman" w:hint="eastAsia"/>
            <w:szCs w:val="28"/>
          </w:rPr>
          <w:t>3产品价格制定原则</w:t>
        </w:r>
        <w:r>
          <w:tab/>
        </w:r>
        <w:r>
          <w:fldChar w:fldCharType="begin"/>
        </w:r>
        <w:r>
          <w:instrText xml:space="preserve"> PAGEREF _Toc25570 \h </w:instrText>
        </w:r>
        <w:r>
          <w:fldChar w:fldCharType="separate"/>
        </w:r>
        <w:r>
          <w:t>35</w:t>
        </w:r>
        <w:r>
          <w:fldChar w:fldCharType="end"/>
        </w:r>
      </w:hyperlink>
    </w:p>
    <w:p>
      <w:pPr>
        <w:pStyle w:val="TOC2"/>
        <w:tabs>
          <w:tab w:val="clear" w:pos="8302"/>
          <w:tab w:val="right" w:leader="dot" w:pos="8312"/>
        </w:tabs>
      </w:pPr>
      <w:hyperlink w:anchor="_Toc2008" w:history="1">
        <w:r>
          <w:rPr>
            <w:rFonts w:ascii="Times New Roman" w:eastAsia="宋体" w:hAnsi="Times New Roman" w:hint="eastAsia"/>
            <w:szCs w:val="28"/>
          </w:rPr>
          <w:t>6.4产品生产规模确定</w:t>
        </w:r>
        <w:r>
          <w:tab/>
        </w:r>
        <w:r>
          <w:fldChar w:fldCharType="begin"/>
        </w:r>
        <w:r>
          <w:instrText xml:space="preserve"> PAGEREF _Toc2008 \h </w:instrText>
        </w:r>
        <w:r>
          <w:fldChar w:fldCharType="separate"/>
        </w:r>
        <w:r>
          <w:t>35</w:t>
        </w:r>
        <w:r>
          <w:fldChar w:fldCharType="end"/>
        </w:r>
      </w:hyperlink>
    </w:p>
    <w:p>
      <w:pPr>
        <w:pStyle w:val="TOC2"/>
        <w:tabs>
          <w:tab w:val="clear" w:pos="8302"/>
          <w:tab w:val="right" w:leader="dot" w:pos="8312"/>
        </w:tabs>
      </w:pPr>
      <w:hyperlink w:anchor="_Toc23763" w:history="1">
        <w:r>
          <w:rPr>
            <w:rFonts w:ascii="Times New Roman" w:eastAsia="宋体" w:hAnsi="Times New Roman" w:hint="eastAsia"/>
            <w:szCs w:val="28"/>
          </w:rPr>
          <w:t>6.5项目生产工艺简述</w:t>
        </w:r>
        <w:r>
          <w:tab/>
        </w:r>
        <w:r>
          <w:fldChar w:fldCharType="begin"/>
        </w:r>
        <w:r>
          <w:instrText xml:space="preserve"> PAGEREF _Toc23763 \h </w:instrText>
        </w:r>
        <w:r>
          <w:fldChar w:fldCharType="separate"/>
        </w:r>
        <w:r>
          <w:t>36</w:t>
        </w:r>
        <w:r>
          <w:fldChar w:fldCharType="end"/>
        </w:r>
      </w:hyperlink>
    </w:p>
    <w:p>
      <w:pPr>
        <w:pStyle w:val="TOC3"/>
        <w:tabs>
          <w:tab w:val="right" w:leader="dot" w:pos="8312"/>
        </w:tabs>
      </w:pPr>
      <w:hyperlink w:anchor="_Toc1592" w:history="1">
        <w:r>
          <w:rPr>
            <w:rFonts w:hint="eastAsia"/>
          </w:rPr>
          <w:t>6</w:t>
        </w:r>
        <w:r>
          <w:t>.</w:t>
        </w:r>
        <w:r>
          <w:rPr>
            <w:rFonts w:hint="eastAsia"/>
          </w:rPr>
          <w:t>5</w:t>
        </w:r>
        <w:r>
          <w:t>.</w:t>
        </w:r>
        <w:r>
          <w:rPr>
            <w:rFonts w:hint="eastAsia"/>
          </w:rPr>
          <w:t>1产品工艺方案选择</w:t>
        </w:r>
        <w:r>
          <w:tab/>
        </w:r>
        <w:r>
          <w:fldChar w:fldCharType="begin"/>
        </w:r>
        <w:r>
          <w:instrText xml:space="preserve"> PAGEREF _Toc1592 \h </w:instrText>
        </w:r>
        <w:r>
          <w:fldChar w:fldCharType="separate"/>
        </w:r>
        <w:r>
          <w:t>36</w:t>
        </w:r>
        <w:r>
          <w:fldChar w:fldCharType="end"/>
        </w:r>
      </w:hyperlink>
    </w:p>
    <w:p>
      <w:pPr>
        <w:pStyle w:val="TOC3"/>
        <w:tabs>
          <w:tab w:val="right" w:leader="dot" w:pos="8312"/>
        </w:tabs>
      </w:pPr>
      <w:hyperlink w:anchor="_Toc4152" w:history="1">
        <w:r>
          <w:rPr>
            <w:rFonts w:hint="eastAsia"/>
          </w:rPr>
          <w:t>6.5.2工艺技术流程及简述</w:t>
        </w:r>
        <w:r>
          <w:tab/>
        </w:r>
        <w:r>
          <w:fldChar w:fldCharType="begin"/>
        </w:r>
        <w:r>
          <w:instrText xml:space="preserve"> PAGEREF _Toc4152 \h </w:instrText>
        </w:r>
        <w:r>
          <w:fldChar w:fldCharType="separate"/>
        </w:r>
        <w:r>
          <w:t>36</w:t>
        </w:r>
        <w:r>
          <w:fldChar w:fldCharType="end"/>
        </w:r>
      </w:hyperlink>
    </w:p>
    <w:p>
      <w:pPr>
        <w:pStyle w:val="TOC1"/>
        <w:tabs>
          <w:tab w:val="clear" w:pos="8296"/>
          <w:tab w:val="right" w:leader="dot" w:pos="8312"/>
        </w:tabs>
      </w:pPr>
      <w:hyperlink w:anchor="_Toc8734" w:history="1">
        <w:r>
          <w:rPr>
            <w:rFonts w:ascii="Times New Roman" w:hAnsi="宋体" w:hint="eastAsia"/>
          </w:rPr>
          <w:t>第七章</w:t>
        </w:r>
        <w:r>
          <w:rPr>
            <w:rFonts w:ascii="Times New Roman" w:hAnsi="宋体"/>
          </w:rPr>
          <w:t xml:space="preserve"> </w:t>
        </w:r>
        <w:r>
          <w:rPr>
            <w:rFonts w:ascii="Times New Roman" w:hAnsi="宋体" w:hint="eastAsia"/>
          </w:rPr>
          <w:t>原料供应及设备选型</w:t>
        </w:r>
        <w:r>
          <w:tab/>
        </w:r>
        <w:r>
          <w:fldChar w:fldCharType="begin"/>
        </w:r>
        <w:r>
          <w:instrText xml:space="preserve"> PAGEREF _Toc8734 \h </w:instrText>
        </w:r>
        <w:r>
          <w:fldChar w:fldCharType="separate"/>
        </w:r>
        <w:r>
          <w:t>37</w:t>
        </w:r>
        <w:r>
          <w:fldChar w:fldCharType="end"/>
        </w:r>
      </w:hyperlink>
    </w:p>
    <w:p>
      <w:pPr>
        <w:pStyle w:val="TOC2"/>
        <w:tabs>
          <w:tab w:val="clear" w:pos="8302"/>
          <w:tab w:val="right" w:leader="dot" w:pos="8312"/>
        </w:tabs>
      </w:pPr>
      <w:hyperlink w:anchor="_Toc21864" w:history="1">
        <w:r>
          <w:rPr>
            <w:rFonts w:ascii="Times New Roman" w:eastAsia="宋体" w:hAnsi="Times New Roman" w:hint="eastAsia"/>
          </w:rPr>
          <w:t>7.1主要原材料供应</w:t>
        </w:r>
        <w:r>
          <w:tab/>
        </w:r>
        <w:r>
          <w:fldChar w:fldCharType="begin"/>
        </w:r>
        <w:r>
          <w:instrText xml:space="preserve"> PAGEREF _Toc21864 \h </w:instrText>
        </w:r>
        <w:r>
          <w:fldChar w:fldCharType="separate"/>
        </w:r>
        <w:r>
          <w:t>37</w:t>
        </w:r>
        <w:r>
          <w:fldChar w:fldCharType="end"/>
        </w:r>
      </w:hyperlink>
    </w:p>
    <w:p>
      <w:pPr>
        <w:pStyle w:val="TOC2"/>
        <w:tabs>
          <w:tab w:val="clear" w:pos="8302"/>
          <w:tab w:val="right" w:leader="dot" w:pos="8312"/>
        </w:tabs>
      </w:pPr>
      <w:hyperlink w:anchor="_Toc22148" w:history="1">
        <w:r>
          <w:rPr>
            <w:rFonts w:ascii="Times New Roman" w:eastAsia="宋体" w:hAnsi="Times New Roman" w:hint="eastAsia"/>
          </w:rPr>
          <w:t>7.2主要设备选型</w:t>
        </w:r>
        <w:r>
          <w:tab/>
        </w:r>
        <w:r>
          <w:fldChar w:fldCharType="begin"/>
        </w:r>
        <w:r>
          <w:instrText xml:space="preserve"> PAGEREF _Toc22148 \h </w:instrText>
        </w:r>
        <w:r>
          <w:fldChar w:fldCharType="separate"/>
        </w:r>
        <w:r>
          <w:t>37</w:t>
        </w:r>
        <w:r>
          <w:fldChar w:fldCharType="end"/>
        </w:r>
      </w:hyperlink>
    </w:p>
    <w:p>
      <w:pPr>
        <w:pStyle w:val="TOC3"/>
        <w:tabs>
          <w:tab w:val="right" w:leader="dot" w:pos="8312"/>
        </w:tabs>
      </w:pPr>
      <w:hyperlink w:anchor="_Toc16499" w:history="1">
        <w:r>
          <w:rPr>
            <w:rFonts w:hint="eastAsia"/>
          </w:rPr>
          <w:t>7</w:t>
        </w:r>
        <w:r>
          <w:t>.</w:t>
        </w:r>
        <w:r>
          <w:rPr>
            <w:rFonts w:hint="eastAsia"/>
          </w:rPr>
          <w:t>2</w:t>
        </w:r>
        <w:r>
          <w:t>.</w:t>
        </w:r>
        <w:r>
          <w:rPr>
            <w:rFonts w:hint="eastAsia"/>
          </w:rPr>
          <w:t>1设备选型原则</w:t>
        </w:r>
        <w:r>
          <w:tab/>
        </w:r>
        <w:r>
          <w:fldChar w:fldCharType="begin"/>
        </w:r>
        <w:r>
          <w:instrText xml:space="preserve"> PAGEREF _Toc16499 \h </w:instrText>
        </w:r>
        <w:r>
          <w:fldChar w:fldCharType="separate"/>
        </w:r>
        <w:r>
          <w:t>37</w:t>
        </w:r>
        <w:r>
          <w:fldChar w:fldCharType="end"/>
        </w:r>
      </w:hyperlink>
    </w:p>
    <w:p>
      <w:pPr>
        <w:pStyle w:val="TOC3"/>
        <w:tabs>
          <w:tab w:val="right" w:leader="dot" w:pos="8312"/>
        </w:tabs>
      </w:pPr>
      <w:hyperlink w:anchor="_Toc16462" w:history="1">
        <w:r>
          <w:rPr>
            <w:rFonts w:hint="eastAsia"/>
          </w:rPr>
          <w:t>7</w:t>
        </w:r>
        <w:r>
          <w:t>.</w:t>
        </w:r>
        <w:r>
          <w:rPr>
            <w:rFonts w:hint="eastAsia"/>
          </w:rPr>
          <w:t>2</w:t>
        </w:r>
        <w:r>
          <w:t>.</w:t>
        </w:r>
        <w:r>
          <w:rPr>
            <w:rFonts w:hint="eastAsia"/>
          </w:rPr>
          <w:t>2主要设备明细</w:t>
        </w:r>
        <w:r>
          <w:tab/>
        </w:r>
        <w:r>
          <w:fldChar w:fldCharType="begin"/>
        </w:r>
        <w:r>
          <w:instrText xml:space="preserve"> PAGEREF _Toc16462 \h </w:instrText>
        </w:r>
        <w:r>
          <w:fldChar w:fldCharType="separate"/>
        </w:r>
        <w:r>
          <w:t>38</w:t>
        </w:r>
        <w:r>
          <w:fldChar w:fldCharType="end"/>
        </w:r>
      </w:hyperlink>
    </w:p>
    <w:p>
      <w:pPr>
        <w:pStyle w:val="TOC1"/>
        <w:tabs>
          <w:tab w:val="clear" w:pos="8296"/>
          <w:tab w:val="right" w:leader="dot" w:pos="8312"/>
        </w:tabs>
        <w:sectPr>
          <w:headerReference w:type="default" r:id="rId12"/>
          <w:footerReference w:type="default" r:id="rId13"/>
          <w:headerReference w:type="first" r:id="rId14"/>
          <w:footerReference w:type="first" r:id="rId15"/>
          <w:type w:val="nextPage"/>
          <w:pgSz w:w="11906" w:h="16838"/>
          <w:pgMar w:top="1440" w:right="1797" w:bottom="1440" w:left="1797" w:header="851" w:footer="992" w:gutter="0"/>
          <w:pgNumType w:fmt="decimal" w:start="2"/>
          <w:cols w:space="708"/>
          <w:titlePg w:val="0"/>
          <w:docGrid w:type="lines" w:linePitch="312"/>
        </w:sectPr>
      </w:pPr>
      <w:hyperlink w:anchor="_Toc14197" w:history="1">
        <w:r>
          <w:rPr>
            <w:rFonts w:ascii="Times New Roman" w:hAnsi="宋体" w:hint="eastAsia"/>
          </w:rPr>
          <w:t>第八章</w:t>
        </w:r>
        <w:r>
          <w:rPr>
            <w:rFonts w:ascii="Times New Roman" w:hAnsi="宋体"/>
          </w:rPr>
          <w:t xml:space="preserve"> </w:t>
        </w:r>
        <w:r>
          <w:rPr>
            <w:rFonts w:ascii="宋体" w:hint="eastAsia"/>
            <w:kern w:val="0"/>
          </w:rPr>
          <w:t>节约能源方案</w:t>
        </w:r>
        <w:r>
          <w:tab/>
        </w:r>
        <w:r>
          <w:fldChar w:fldCharType="begin"/>
        </w:r>
        <w:r>
          <w:instrText xml:space="preserve"> PAGEREF _Toc14197 \h </w:instrText>
        </w:r>
        <w:r>
          <w:fldChar w:fldCharType="separate"/>
        </w:r>
        <w:r>
          <w:t>39</w:t>
        </w:r>
        <w:r>
          <w:fldChar w:fldCharType="end"/>
        </w:r>
      </w:hyperlink>
    </w:p>
    <w:p>
      <w:pPr>
        <w:pStyle w:val="TOC2"/>
        <w:tabs>
          <w:tab w:val="clear" w:pos="8302"/>
          <w:tab w:val="right" w:leader="dot" w:pos="8312"/>
        </w:tabs>
      </w:pPr>
      <w:hyperlink w:anchor="_Toc7882" w:history="1">
        <w:r>
          <w:rPr>
            <w:rFonts w:ascii="Times New Roman" w:eastAsia="宋体" w:hAnsi="Times New Roman" w:hint="eastAsia"/>
          </w:rPr>
          <w:t>8.1本项目遵循的合理用能标准及节能设计规范</w:t>
        </w:r>
        <w:r>
          <w:tab/>
        </w:r>
        <w:r>
          <w:fldChar w:fldCharType="begin"/>
        </w:r>
        <w:r>
          <w:instrText xml:space="preserve"> PAGEREF _Toc7882 \h </w:instrText>
        </w:r>
        <w:r>
          <w:fldChar w:fldCharType="separate"/>
        </w:r>
        <w:r>
          <w:t>39</w:t>
        </w:r>
        <w:r>
          <w:fldChar w:fldCharType="end"/>
        </w:r>
      </w:hyperlink>
    </w:p>
    <w:p>
      <w:pPr>
        <w:pStyle w:val="TOC2"/>
        <w:tabs>
          <w:tab w:val="clear" w:pos="8302"/>
          <w:tab w:val="right" w:leader="dot" w:pos="8312"/>
        </w:tabs>
      </w:pPr>
      <w:hyperlink w:anchor="_Toc12189" w:history="1">
        <w:r>
          <w:rPr>
            <w:rFonts w:ascii="Times New Roman" w:eastAsia="宋体" w:hAnsi="Times New Roman" w:hint="eastAsia"/>
          </w:rPr>
          <w:t>8.2建设项目能源消耗种类和数量分析</w:t>
        </w:r>
        <w:r>
          <w:tab/>
        </w:r>
        <w:r>
          <w:fldChar w:fldCharType="begin"/>
        </w:r>
        <w:r>
          <w:instrText xml:space="preserve"> PAGEREF _Toc12189 \h </w:instrText>
        </w:r>
        <w:r>
          <w:fldChar w:fldCharType="separate"/>
        </w:r>
        <w:r>
          <w:t>39</w:t>
        </w:r>
        <w:r>
          <w:fldChar w:fldCharType="end"/>
        </w:r>
      </w:hyperlink>
    </w:p>
    <w:p>
      <w:pPr>
        <w:pStyle w:val="TOC3"/>
        <w:tabs>
          <w:tab w:val="right" w:leader="dot" w:pos="8312"/>
        </w:tabs>
      </w:pPr>
      <w:hyperlink w:anchor="_Toc24859" w:history="1">
        <w:r>
          <w:rPr>
            <w:rFonts w:hint="eastAsia"/>
          </w:rPr>
          <w:t>8.2.1能源消耗种类</w:t>
        </w:r>
        <w:r>
          <w:tab/>
        </w:r>
        <w:r>
          <w:fldChar w:fldCharType="begin"/>
        </w:r>
        <w:r>
          <w:instrText xml:space="preserve"> PAGEREF _Toc24859 \h </w:instrText>
        </w:r>
        <w:r>
          <w:fldChar w:fldCharType="separate"/>
        </w:r>
        <w:r>
          <w:t>39</w:t>
        </w:r>
        <w:r>
          <w:fldChar w:fldCharType="end"/>
        </w:r>
      </w:hyperlink>
    </w:p>
    <w:p>
      <w:pPr>
        <w:pStyle w:val="TOC3"/>
        <w:tabs>
          <w:tab w:val="right" w:leader="dot" w:pos="8312"/>
        </w:tabs>
      </w:pPr>
      <w:hyperlink w:anchor="_Toc14192" w:history="1">
        <w:r>
          <w:rPr>
            <w:rFonts w:hint="eastAsia"/>
          </w:rPr>
          <w:t>8.2.2能源消耗数量分析</w:t>
        </w:r>
        <w:r>
          <w:tab/>
        </w:r>
        <w:r>
          <w:fldChar w:fldCharType="begin"/>
        </w:r>
        <w:r>
          <w:instrText xml:space="preserve"> PAGEREF _Toc14192 \h </w:instrText>
        </w:r>
        <w:r>
          <w:fldChar w:fldCharType="separate"/>
        </w:r>
        <w:r>
          <w:t>39</w:t>
        </w:r>
        <w:r>
          <w:fldChar w:fldCharType="end"/>
        </w:r>
      </w:hyperlink>
    </w:p>
    <w:p>
      <w:pPr>
        <w:pStyle w:val="TOC2"/>
        <w:tabs>
          <w:tab w:val="clear" w:pos="8302"/>
          <w:tab w:val="right" w:leader="dot" w:pos="8312"/>
        </w:tabs>
      </w:pPr>
      <w:hyperlink w:anchor="_Toc28661" w:history="1">
        <w:r>
          <w:rPr>
            <w:rFonts w:ascii="Times New Roman" w:eastAsia="宋体" w:hAnsi="Times New Roman" w:hint="eastAsia"/>
          </w:rPr>
          <w:t>8.3项目所在地能源供应状况分析</w:t>
        </w:r>
        <w:r>
          <w:tab/>
        </w:r>
        <w:r>
          <w:fldChar w:fldCharType="begin"/>
        </w:r>
        <w:r>
          <w:instrText xml:space="preserve"> PAGEREF _Toc28661 \h </w:instrText>
        </w:r>
        <w:r>
          <w:fldChar w:fldCharType="separate"/>
        </w:r>
        <w:r>
          <w:t>40</w:t>
        </w:r>
        <w:r>
          <w:fldChar w:fldCharType="end"/>
        </w:r>
      </w:hyperlink>
    </w:p>
    <w:p>
      <w:pPr>
        <w:pStyle w:val="TOC2"/>
        <w:tabs>
          <w:tab w:val="clear" w:pos="8302"/>
          <w:tab w:val="right" w:leader="dot" w:pos="8312"/>
        </w:tabs>
      </w:pPr>
      <w:hyperlink w:anchor="_Toc24584" w:history="1">
        <w:r>
          <w:rPr>
            <w:rFonts w:ascii="Times New Roman" w:eastAsia="宋体" w:hAnsi="Times New Roman" w:hint="eastAsia"/>
          </w:rPr>
          <w:t>8.4主要能耗指标及分析</w:t>
        </w:r>
        <w:r>
          <w:tab/>
        </w:r>
        <w:r>
          <w:fldChar w:fldCharType="begin"/>
        </w:r>
        <w:r>
          <w:instrText xml:space="preserve"> PAGEREF _Toc24584 \h </w:instrText>
        </w:r>
        <w:r>
          <w:fldChar w:fldCharType="separate"/>
        </w:r>
        <w:r>
          <w:t>40</w:t>
        </w:r>
        <w:r>
          <w:fldChar w:fldCharType="end"/>
        </w:r>
      </w:hyperlink>
    </w:p>
    <w:p>
      <w:pPr>
        <w:pStyle w:val="TOC2"/>
        <w:tabs>
          <w:tab w:val="clear" w:pos="8302"/>
          <w:tab w:val="right" w:leader="dot" w:pos="8312"/>
        </w:tabs>
      </w:pPr>
      <w:hyperlink w:anchor="_Toc7774" w:history="1">
        <w:r>
          <w:rPr>
            <w:rFonts w:ascii="Times New Roman" w:eastAsia="宋体" w:hAnsi="Times New Roman" w:hint="eastAsia"/>
          </w:rPr>
          <w:t>8.5节能措施和节能效果分析</w:t>
        </w:r>
        <w:r>
          <w:tab/>
        </w:r>
        <w:r>
          <w:fldChar w:fldCharType="begin"/>
        </w:r>
        <w:r>
          <w:instrText xml:space="preserve"> PAGEREF _Toc7774 \h </w:instrText>
        </w:r>
        <w:r>
          <w:fldChar w:fldCharType="separate"/>
        </w:r>
        <w:r>
          <w:t>41</w:t>
        </w:r>
        <w:r>
          <w:fldChar w:fldCharType="end"/>
        </w:r>
      </w:hyperlink>
    </w:p>
    <w:p>
      <w:pPr>
        <w:pStyle w:val="TOC3"/>
        <w:tabs>
          <w:tab w:val="right" w:leader="dot" w:pos="8312"/>
        </w:tabs>
      </w:pPr>
      <w:hyperlink w:anchor="_Toc25948" w:history="1">
        <w:r>
          <w:rPr>
            <w:rFonts w:hint="eastAsia"/>
          </w:rPr>
          <w:t>8.5.1工业节能</w:t>
        </w:r>
        <w:r>
          <w:tab/>
        </w:r>
        <w:r>
          <w:fldChar w:fldCharType="begin"/>
        </w:r>
        <w:r>
          <w:instrText xml:space="preserve"> PAGEREF _Toc25948 \h </w:instrText>
        </w:r>
        <w:r>
          <w:fldChar w:fldCharType="separate"/>
        </w:r>
        <w:r>
          <w:t>41</w:t>
        </w:r>
        <w:r>
          <w:fldChar w:fldCharType="end"/>
        </w:r>
      </w:hyperlink>
    </w:p>
    <w:p>
      <w:pPr>
        <w:pStyle w:val="TOC3"/>
        <w:tabs>
          <w:tab w:val="right" w:leader="dot" w:pos="8312"/>
        </w:tabs>
      </w:pPr>
      <w:hyperlink w:anchor="_Toc16718" w:history="1">
        <w:r>
          <w:rPr>
            <w:rFonts w:hint="eastAsia"/>
          </w:rPr>
          <w:t>8.5.2节水措施</w:t>
        </w:r>
        <w:r>
          <w:tab/>
        </w:r>
        <w:r>
          <w:fldChar w:fldCharType="begin"/>
        </w:r>
        <w:r>
          <w:instrText xml:space="preserve"> PAGEREF _Toc16718 \h </w:instrText>
        </w:r>
        <w:r>
          <w:fldChar w:fldCharType="separate"/>
        </w:r>
        <w:r>
          <w:t>41</w:t>
        </w:r>
        <w:r>
          <w:fldChar w:fldCharType="end"/>
        </w:r>
      </w:hyperlink>
    </w:p>
    <w:p>
      <w:pPr>
        <w:pStyle w:val="TOC3"/>
        <w:tabs>
          <w:tab w:val="right" w:leader="dot" w:pos="8312"/>
        </w:tabs>
      </w:pPr>
      <w:hyperlink w:anchor="_Toc13793" w:history="1">
        <w:r>
          <w:rPr>
            <w:rFonts w:hint="eastAsia"/>
          </w:rPr>
          <w:t>8.5.3建筑节能</w:t>
        </w:r>
        <w:r>
          <w:tab/>
        </w:r>
        <w:r>
          <w:fldChar w:fldCharType="begin"/>
        </w:r>
        <w:r>
          <w:instrText xml:space="preserve"> PAGEREF _Toc13793 \h </w:instrText>
        </w:r>
        <w:r>
          <w:fldChar w:fldCharType="separate"/>
        </w:r>
        <w:r>
          <w:t>42</w:t>
        </w:r>
        <w:r>
          <w:fldChar w:fldCharType="end"/>
        </w:r>
      </w:hyperlink>
    </w:p>
    <w:p>
      <w:pPr>
        <w:pStyle w:val="TOC3"/>
        <w:tabs>
          <w:tab w:val="right" w:leader="dot" w:pos="8312"/>
        </w:tabs>
      </w:pPr>
      <w:hyperlink w:anchor="_Toc11614" w:history="1">
        <w:r>
          <w:rPr>
            <w:rFonts w:hint="eastAsia"/>
          </w:rPr>
          <w:t>8.5.4企业节能管理</w:t>
        </w:r>
        <w:r>
          <w:tab/>
        </w:r>
        <w:r>
          <w:fldChar w:fldCharType="begin"/>
        </w:r>
        <w:r>
          <w:instrText xml:space="preserve"> PAGEREF _Toc11614 \h </w:instrText>
        </w:r>
        <w:r>
          <w:fldChar w:fldCharType="separate"/>
        </w:r>
        <w:r>
          <w:t>43</w:t>
        </w:r>
        <w:r>
          <w:fldChar w:fldCharType="end"/>
        </w:r>
      </w:hyperlink>
    </w:p>
    <w:p>
      <w:pPr>
        <w:pStyle w:val="TOC2"/>
        <w:tabs>
          <w:tab w:val="clear" w:pos="8302"/>
          <w:tab w:val="right" w:leader="dot" w:pos="8312"/>
        </w:tabs>
      </w:pPr>
      <w:hyperlink w:anchor="_Toc15353" w:history="1">
        <w:r>
          <w:rPr>
            <w:rFonts w:ascii="Times New Roman" w:eastAsia="宋体" w:hAnsi="Times New Roman" w:hint="eastAsia"/>
          </w:rPr>
          <w:t>8.6结论</w:t>
        </w:r>
        <w:r>
          <w:tab/>
        </w:r>
        <w:r>
          <w:fldChar w:fldCharType="begin"/>
        </w:r>
        <w:r>
          <w:instrText xml:space="preserve"> PAGEREF _Toc15353 \h </w:instrText>
        </w:r>
        <w:r>
          <w:fldChar w:fldCharType="separate"/>
        </w:r>
        <w:r>
          <w:t>43</w:t>
        </w:r>
        <w:r>
          <w:fldChar w:fldCharType="end"/>
        </w:r>
      </w:hyperlink>
    </w:p>
    <w:p>
      <w:pPr>
        <w:pStyle w:val="TOC1"/>
        <w:tabs>
          <w:tab w:val="clear" w:pos="8296"/>
          <w:tab w:val="right" w:leader="dot" w:pos="8312"/>
        </w:tabs>
      </w:pPr>
      <w:hyperlink w:anchor="_Toc4840" w:history="1">
        <w:r>
          <w:rPr>
            <w:rFonts w:ascii="Times New Roman" w:hAnsi="Times New Roman" w:hint="eastAsia"/>
          </w:rPr>
          <w:t>第九章</w:t>
        </w:r>
        <w:r>
          <w:rPr>
            <w:rFonts w:ascii="Times New Roman" w:hAnsi="Times New Roman"/>
          </w:rPr>
          <w:t xml:space="preserve"> </w:t>
        </w:r>
        <w:r>
          <w:rPr>
            <w:rFonts w:ascii="Times New Roman" w:hAnsi="Times New Roman" w:hint="eastAsia"/>
          </w:rPr>
          <w:t>环境保护与消防措施</w:t>
        </w:r>
        <w:r>
          <w:tab/>
        </w:r>
        <w:r>
          <w:fldChar w:fldCharType="begin"/>
        </w:r>
        <w:r>
          <w:instrText xml:space="preserve"> PAGEREF _Toc4840 \h </w:instrText>
        </w:r>
        <w:r>
          <w:fldChar w:fldCharType="separate"/>
        </w:r>
        <w:r>
          <w:t>45</w:t>
        </w:r>
        <w:r>
          <w:fldChar w:fldCharType="end"/>
        </w:r>
      </w:hyperlink>
    </w:p>
    <w:p>
      <w:pPr>
        <w:pStyle w:val="TOC2"/>
        <w:tabs>
          <w:tab w:val="clear" w:pos="8302"/>
          <w:tab w:val="right" w:leader="dot" w:pos="8312"/>
        </w:tabs>
      </w:pPr>
      <w:hyperlink w:anchor="_Toc8200" w:history="1">
        <w:r>
          <w:rPr>
            <w:rFonts w:ascii="Times New Roman" w:eastAsia="宋体" w:hAnsi="Times New Roman" w:hint="eastAsia"/>
          </w:rPr>
          <w:t>9</w:t>
        </w:r>
        <w:r>
          <w:rPr>
            <w:rFonts w:ascii="Times New Roman" w:eastAsia="宋体" w:hAnsi="Times New Roman"/>
          </w:rPr>
          <w:t>.1</w:t>
        </w:r>
        <w:r>
          <w:rPr>
            <w:rFonts w:ascii="Times New Roman" w:eastAsia="宋体" w:hAnsi="Times New Roman" w:hint="eastAsia"/>
          </w:rPr>
          <w:t>设计依据及原则</w:t>
        </w:r>
        <w:r>
          <w:tab/>
        </w:r>
        <w:r>
          <w:fldChar w:fldCharType="begin"/>
        </w:r>
        <w:r>
          <w:instrText xml:space="preserve"> PAGEREF _Toc8200 \h </w:instrText>
        </w:r>
        <w:r>
          <w:fldChar w:fldCharType="separate"/>
        </w:r>
        <w:r>
          <w:t>45</w:t>
        </w:r>
        <w:r>
          <w:fldChar w:fldCharType="end"/>
        </w:r>
      </w:hyperlink>
    </w:p>
    <w:p>
      <w:pPr>
        <w:pStyle w:val="TOC3"/>
        <w:tabs>
          <w:tab w:val="right" w:leader="dot" w:pos="8312"/>
        </w:tabs>
      </w:pPr>
      <w:hyperlink w:anchor="_Toc13390" w:history="1">
        <w:r>
          <w:rPr>
            <w:rFonts w:hint="eastAsia"/>
          </w:rPr>
          <w:t>9</w:t>
        </w:r>
        <w:r>
          <w:t>.1.1</w:t>
        </w:r>
        <w:r>
          <w:rPr>
            <w:rFonts w:ascii="宋体" w:hAnsi="宋体" w:hint="eastAsia"/>
          </w:rPr>
          <w:t>环境保护设计依据</w:t>
        </w:r>
        <w:r>
          <w:tab/>
        </w:r>
        <w:r>
          <w:fldChar w:fldCharType="begin"/>
        </w:r>
        <w:r>
          <w:instrText xml:space="preserve"> PAGEREF _Toc13390 \h </w:instrText>
        </w:r>
        <w:r>
          <w:fldChar w:fldCharType="separate"/>
        </w:r>
        <w:r>
          <w:t>45</w:t>
        </w:r>
        <w:r>
          <w:fldChar w:fldCharType="end"/>
        </w:r>
      </w:hyperlink>
    </w:p>
    <w:p>
      <w:pPr>
        <w:pStyle w:val="TOC3"/>
        <w:tabs>
          <w:tab w:val="right" w:leader="dot" w:pos="8312"/>
        </w:tabs>
      </w:pPr>
      <w:hyperlink w:anchor="_Toc12344" w:history="1">
        <w:r>
          <w:rPr>
            <w:rFonts w:hint="eastAsia"/>
          </w:rPr>
          <w:t>9</w:t>
        </w:r>
        <w:r>
          <w:t>.1.2</w:t>
        </w:r>
        <w:r>
          <w:rPr>
            <w:rFonts w:ascii="宋体" w:hAnsi="宋体" w:hint="eastAsia"/>
          </w:rPr>
          <w:t>设计原则</w:t>
        </w:r>
        <w:r>
          <w:tab/>
        </w:r>
        <w:r>
          <w:fldChar w:fldCharType="begin"/>
        </w:r>
        <w:r>
          <w:instrText xml:space="preserve"> PAGEREF _Toc12344 \h </w:instrText>
        </w:r>
        <w:r>
          <w:fldChar w:fldCharType="separate"/>
        </w:r>
        <w:r>
          <w:t>45</w:t>
        </w:r>
        <w:r>
          <w:fldChar w:fldCharType="end"/>
        </w:r>
      </w:hyperlink>
    </w:p>
    <w:p>
      <w:pPr>
        <w:pStyle w:val="TOC2"/>
        <w:tabs>
          <w:tab w:val="clear" w:pos="8302"/>
          <w:tab w:val="right" w:leader="dot" w:pos="8312"/>
        </w:tabs>
      </w:pPr>
      <w:hyperlink w:anchor="_Toc3899" w:history="1">
        <w:r>
          <w:rPr>
            <w:rFonts w:ascii="Times New Roman" w:eastAsia="宋体" w:hAnsi="Times New Roman" w:hint="eastAsia"/>
          </w:rPr>
          <w:t>9</w:t>
        </w:r>
        <w:r>
          <w:rPr>
            <w:rFonts w:ascii="Times New Roman" w:eastAsia="宋体" w:hAnsi="Times New Roman"/>
          </w:rPr>
          <w:t>.</w:t>
        </w:r>
        <w:r>
          <w:rPr>
            <w:rFonts w:ascii="Times New Roman" w:eastAsia="宋体" w:hAnsi="Times New Roman" w:hint="eastAsia"/>
          </w:rPr>
          <w:t>2建设地环境条件</w:t>
        </w:r>
        <w:r>
          <w:tab/>
        </w:r>
        <w:r>
          <w:fldChar w:fldCharType="begin"/>
        </w:r>
        <w:r>
          <w:instrText xml:space="preserve"> PAGEREF _Toc3899 \h </w:instrText>
        </w:r>
        <w:r>
          <w:fldChar w:fldCharType="separate"/>
        </w:r>
        <w:r>
          <w:t>45</w:t>
        </w:r>
        <w:r>
          <w:fldChar w:fldCharType="end"/>
        </w:r>
      </w:hyperlink>
    </w:p>
    <w:p>
      <w:pPr>
        <w:pStyle w:val="TOC2"/>
        <w:tabs>
          <w:tab w:val="clear" w:pos="8302"/>
          <w:tab w:val="right" w:leader="dot" w:pos="8312"/>
        </w:tabs>
      </w:pPr>
      <w:hyperlink w:anchor="_Toc17183" w:history="1">
        <w:r>
          <w:rPr>
            <w:rFonts w:ascii="Times New Roman" w:eastAsia="宋体" w:hAnsi="Times New Roman" w:hint="eastAsia"/>
          </w:rPr>
          <w:t>9.3 项目建设和生产对环境的影响</w:t>
        </w:r>
        <w:r>
          <w:tab/>
        </w:r>
        <w:r>
          <w:fldChar w:fldCharType="begin"/>
        </w:r>
        <w:r>
          <w:instrText xml:space="preserve"> PAGEREF _Toc17183 \h </w:instrText>
        </w:r>
        <w:r>
          <w:fldChar w:fldCharType="separate"/>
        </w:r>
        <w:r>
          <w:t>46</w:t>
        </w:r>
        <w:r>
          <w:fldChar w:fldCharType="end"/>
        </w:r>
      </w:hyperlink>
    </w:p>
    <w:p>
      <w:pPr>
        <w:pStyle w:val="TOC3"/>
        <w:tabs>
          <w:tab w:val="right" w:leader="dot" w:pos="8312"/>
        </w:tabs>
      </w:pPr>
      <w:hyperlink w:anchor="_Toc6423" w:history="1">
        <w:r>
          <w:rPr>
            <w:rFonts w:hint="eastAsia"/>
          </w:rPr>
          <w:t>9.3.1 项目建设对环境的影响</w:t>
        </w:r>
        <w:r>
          <w:tab/>
        </w:r>
        <w:r>
          <w:fldChar w:fldCharType="begin"/>
        </w:r>
        <w:r>
          <w:instrText xml:space="preserve"> PAGEREF _Toc6423 \h </w:instrText>
        </w:r>
        <w:r>
          <w:fldChar w:fldCharType="separate"/>
        </w:r>
        <w:r>
          <w:t>46</w:t>
        </w:r>
        <w:r>
          <w:fldChar w:fldCharType="end"/>
        </w:r>
      </w:hyperlink>
    </w:p>
    <w:p>
      <w:pPr>
        <w:pStyle w:val="TOC3"/>
        <w:tabs>
          <w:tab w:val="right" w:leader="dot" w:pos="8312"/>
        </w:tabs>
      </w:pPr>
      <w:hyperlink w:anchor="_Toc21745" w:history="1">
        <w:r>
          <w:rPr>
            <w:rFonts w:hint="eastAsia"/>
          </w:rPr>
          <w:t>9.3.2 项目生产过程产生的污染物</w:t>
        </w:r>
        <w:r>
          <w:tab/>
        </w:r>
        <w:r>
          <w:fldChar w:fldCharType="begin"/>
        </w:r>
        <w:r>
          <w:instrText xml:space="preserve"> PAGEREF _Toc21745 \h </w:instrText>
        </w:r>
        <w:r>
          <w:fldChar w:fldCharType="separate"/>
        </w:r>
        <w:r>
          <w:t>47</w:t>
        </w:r>
        <w:r>
          <w:fldChar w:fldCharType="end"/>
        </w:r>
      </w:hyperlink>
    </w:p>
    <w:p>
      <w:pPr>
        <w:pStyle w:val="TOC2"/>
        <w:tabs>
          <w:tab w:val="clear" w:pos="8302"/>
          <w:tab w:val="right" w:leader="dot" w:pos="8312"/>
        </w:tabs>
      </w:pPr>
      <w:hyperlink w:anchor="_Toc28687" w:history="1">
        <w:r>
          <w:rPr>
            <w:rFonts w:ascii="Times New Roman" w:eastAsia="宋体" w:hAnsi="Times New Roman"/>
          </w:rPr>
          <w:t>9.4 环境保护措施方案</w:t>
        </w:r>
        <w:r>
          <w:tab/>
        </w:r>
        <w:r>
          <w:fldChar w:fldCharType="begin"/>
        </w:r>
        <w:r>
          <w:instrText xml:space="preserve"> PAGEREF _Toc28687 \h </w:instrText>
        </w:r>
        <w:r>
          <w:fldChar w:fldCharType="separate"/>
        </w:r>
        <w:r>
          <w:t>47</w:t>
        </w:r>
        <w:r>
          <w:fldChar w:fldCharType="end"/>
        </w:r>
      </w:hyperlink>
    </w:p>
    <w:p>
      <w:pPr>
        <w:pStyle w:val="TOC3"/>
        <w:tabs>
          <w:tab w:val="right" w:leader="dot" w:pos="8312"/>
        </w:tabs>
      </w:pPr>
      <w:hyperlink w:anchor="_Toc23266" w:history="1">
        <w:r>
          <w:t>9.4.1 项目建设期环保措施</w:t>
        </w:r>
        <w:r>
          <w:tab/>
        </w:r>
        <w:r>
          <w:fldChar w:fldCharType="begin"/>
        </w:r>
        <w:r>
          <w:instrText xml:space="preserve"> PAGEREF _Toc23266 \h </w:instrText>
        </w:r>
        <w:r>
          <w:fldChar w:fldCharType="separate"/>
        </w:r>
        <w:r>
          <w:t>47</w:t>
        </w:r>
        <w:r>
          <w:fldChar w:fldCharType="end"/>
        </w:r>
      </w:hyperlink>
    </w:p>
    <w:p>
      <w:pPr>
        <w:pStyle w:val="TOC3"/>
        <w:tabs>
          <w:tab w:val="right" w:leader="dot" w:pos="8312"/>
        </w:tabs>
      </w:pPr>
      <w:hyperlink w:anchor="_Toc11608" w:history="1">
        <w:r>
          <w:t>9.4.2 项目运营期环保措施</w:t>
        </w:r>
        <w:r>
          <w:tab/>
        </w:r>
        <w:r>
          <w:fldChar w:fldCharType="begin"/>
        </w:r>
        <w:r>
          <w:instrText xml:space="preserve"> PAGEREF _Toc11608 \h </w:instrText>
        </w:r>
        <w:r>
          <w:fldChar w:fldCharType="separate"/>
        </w:r>
        <w:r>
          <w:t>48</w:t>
        </w:r>
        <w:r>
          <w:fldChar w:fldCharType="end"/>
        </w:r>
      </w:hyperlink>
    </w:p>
    <w:p>
      <w:pPr>
        <w:pStyle w:val="TOC2"/>
        <w:tabs>
          <w:tab w:val="clear" w:pos="8302"/>
          <w:tab w:val="right" w:leader="dot" w:pos="8312"/>
        </w:tabs>
      </w:pPr>
      <w:hyperlink w:anchor="_Toc26328" w:history="1">
        <w:r>
          <w:rPr>
            <w:rFonts w:ascii="Times New Roman" w:eastAsia="宋体" w:hAnsi="Times New Roman" w:hint="eastAsia"/>
          </w:rPr>
          <w:t>9.5绿化方案</w:t>
        </w:r>
        <w:r>
          <w:tab/>
        </w:r>
        <w:r>
          <w:fldChar w:fldCharType="begin"/>
        </w:r>
        <w:r>
          <w:instrText xml:space="preserve"> PAGEREF _Toc26328 \h </w:instrText>
        </w:r>
        <w:r>
          <w:fldChar w:fldCharType="separate"/>
        </w:r>
        <w:r>
          <w:t>49</w:t>
        </w:r>
        <w:r>
          <w:fldChar w:fldCharType="end"/>
        </w:r>
      </w:hyperlink>
    </w:p>
    <w:p>
      <w:pPr>
        <w:pStyle w:val="TOC2"/>
        <w:tabs>
          <w:tab w:val="clear" w:pos="8302"/>
          <w:tab w:val="right" w:leader="dot" w:pos="8312"/>
        </w:tabs>
      </w:pPr>
      <w:hyperlink w:anchor="_Toc10908" w:history="1">
        <w:r>
          <w:rPr>
            <w:rFonts w:ascii="Times New Roman" w:eastAsia="宋体" w:hAnsi="Times New Roman" w:hint="eastAsia"/>
            <w:szCs w:val="28"/>
          </w:rPr>
          <w:t>9.6消防措施</w:t>
        </w:r>
        <w:r>
          <w:tab/>
        </w:r>
        <w:r>
          <w:fldChar w:fldCharType="begin"/>
        </w:r>
        <w:r>
          <w:instrText xml:space="preserve"> PAGEREF _Toc10908 \h </w:instrText>
        </w:r>
        <w:r>
          <w:fldChar w:fldCharType="separate"/>
        </w:r>
        <w:r>
          <w:t>49</w:t>
        </w:r>
        <w:r>
          <w:fldChar w:fldCharType="end"/>
        </w:r>
      </w:hyperlink>
    </w:p>
    <w:p>
      <w:pPr>
        <w:pStyle w:val="TOC3"/>
        <w:tabs>
          <w:tab w:val="right" w:leader="dot" w:pos="8312"/>
        </w:tabs>
      </w:pPr>
      <w:hyperlink w:anchor="_Toc17846" w:history="1">
        <w:r>
          <w:rPr>
            <w:rFonts w:hint="eastAsia"/>
          </w:rPr>
          <w:t>9.6.1设计依据</w:t>
        </w:r>
        <w:r>
          <w:tab/>
        </w:r>
        <w:r>
          <w:fldChar w:fldCharType="begin"/>
        </w:r>
        <w:r>
          <w:instrText xml:space="preserve"> PAGEREF _Toc17846 \h </w:instrText>
        </w:r>
        <w:r>
          <w:fldChar w:fldCharType="separate"/>
        </w:r>
        <w:r>
          <w:t>49</w:t>
        </w:r>
        <w:r>
          <w:fldChar w:fldCharType="end"/>
        </w:r>
      </w:hyperlink>
    </w:p>
    <w:p>
      <w:pPr>
        <w:pStyle w:val="TOC3"/>
        <w:tabs>
          <w:tab w:val="right" w:leader="dot" w:pos="8312"/>
        </w:tabs>
      </w:pPr>
      <w:hyperlink w:anchor="_Toc23467" w:history="1">
        <w:r>
          <w:rPr>
            <w:rFonts w:hint="eastAsia"/>
          </w:rPr>
          <w:t>9.6.2防范措施</w:t>
        </w:r>
        <w:r>
          <w:tab/>
        </w:r>
        <w:r>
          <w:fldChar w:fldCharType="begin"/>
        </w:r>
        <w:r>
          <w:instrText xml:space="preserve"> PAGEREF _Toc23467 \h </w:instrText>
        </w:r>
        <w:r>
          <w:fldChar w:fldCharType="separate"/>
        </w:r>
        <w:r>
          <w:t>50</w:t>
        </w:r>
        <w:r>
          <w:fldChar w:fldCharType="end"/>
        </w:r>
      </w:hyperlink>
    </w:p>
    <w:p>
      <w:pPr>
        <w:pStyle w:val="TOC3"/>
        <w:tabs>
          <w:tab w:val="right" w:leader="dot" w:pos="8312"/>
        </w:tabs>
      </w:pPr>
      <w:hyperlink w:anchor="_Toc21678" w:history="1">
        <w:r>
          <w:rPr>
            <w:rFonts w:hint="eastAsia"/>
          </w:rPr>
          <w:t>9.6.3消防管理</w:t>
        </w:r>
        <w:r>
          <w:tab/>
        </w:r>
        <w:r>
          <w:fldChar w:fldCharType="begin"/>
        </w:r>
        <w:r>
          <w:instrText xml:space="preserve"> PAGEREF _Toc21678 \h </w:instrText>
        </w:r>
        <w:r>
          <w:fldChar w:fldCharType="separate"/>
        </w:r>
        <w:r>
          <w:t>51</w:t>
        </w:r>
        <w:r>
          <w:fldChar w:fldCharType="end"/>
        </w:r>
      </w:hyperlink>
    </w:p>
    <w:p>
      <w:pPr>
        <w:pStyle w:val="TOC3"/>
        <w:tabs>
          <w:tab w:val="right" w:leader="dot" w:pos="8312"/>
        </w:tabs>
      </w:pPr>
      <w:hyperlink w:anchor="_Toc9967" w:history="1">
        <w:r>
          <w:rPr>
            <w:rFonts w:hint="eastAsia"/>
          </w:rPr>
          <w:t>9.6.4消防措施的预期效果</w:t>
        </w:r>
        <w:r>
          <w:tab/>
        </w:r>
        <w:r>
          <w:fldChar w:fldCharType="begin"/>
        </w:r>
        <w:r>
          <w:instrText xml:space="preserve"> PAGEREF _Toc9967 \h </w:instrText>
        </w:r>
        <w:r>
          <w:fldChar w:fldCharType="separate"/>
        </w:r>
        <w:r>
          <w:t>51</w:t>
        </w:r>
        <w:r>
          <w:fldChar w:fldCharType="end"/>
        </w:r>
      </w:hyperlink>
    </w:p>
    <w:p>
      <w:pPr>
        <w:pStyle w:val="TOC1"/>
        <w:tabs>
          <w:tab w:val="clear" w:pos="8296"/>
          <w:tab w:val="right" w:leader="dot" w:pos="8312"/>
        </w:tabs>
      </w:pPr>
      <w:hyperlink w:anchor="_Toc28292" w:history="1">
        <w:r>
          <w:rPr>
            <w:rFonts w:ascii="Times New Roman" w:hAnsi="宋体" w:hint="eastAsia"/>
          </w:rPr>
          <w:t xml:space="preserve">第十章 </w:t>
        </w:r>
        <w:r>
          <w:rPr>
            <w:rFonts w:ascii="Times New Roman" w:hAnsi="宋体"/>
          </w:rPr>
          <w:t>劳动安全</w:t>
        </w:r>
        <w:r>
          <w:rPr>
            <w:rFonts w:ascii="Times New Roman" w:hAnsi="宋体" w:hint="eastAsia"/>
          </w:rPr>
          <w:t>卫生</w:t>
        </w:r>
        <w:r>
          <w:tab/>
        </w:r>
        <w:r>
          <w:fldChar w:fldCharType="begin"/>
        </w:r>
        <w:r>
          <w:instrText xml:space="preserve"> PAGEREF _Toc28292 \h </w:instrText>
        </w:r>
        <w:r>
          <w:fldChar w:fldCharType="separate"/>
        </w:r>
        <w:r>
          <w:t>53</w:t>
        </w:r>
        <w:r>
          <w:fldChar w:fldCharType="end"/>
        </w:r>
      </w:hyperlink>
    </w:p>
    <w:p>
      <w:pPr>
        <w:pStyle w:val="TOC2"/>
        <w:tabs>
          <w:tab w:val="clear" w:pos="8302"/>
          <w:tab w:val="right" w:leader="dot" w:pos="8312"/>
        </w:tabs>
      </w:pPr>
      <w:hyperlink w:anchor="_Toc14891" w:history="1">
        <w:r>
          <w:rPr>
            <w:rFonts w:ascii="Times New Roman" w:eastAsia="宋体" w:hAnsi="Times New Roman" w:hint="eastAsia"/>
            <w:szCs w:val="28"/>
          </w:rPr>
          <w:t>10.1 编制依据</w:t>
        </w:r>
        <w:r>
          <w:tab/>
        </w:r>
        <w:r>
          <w:fldChar w:fldCharType="begin"/>
        </w:r>
        <w:r>
          <w:instrText xml:space="preserve"> PAGEREF _Toc14891 \h </w:instrText>
        </w:r>
        <w:r>
          <w:fldChar w:fldCharType="separate"/>
        </w:r>
        <w:r>
          <w:t>53</w:t>
        </w:r>
        <w:r>
          <w:fldChar w:fldCharType="end"/>
        </w:r>
      </w:hyperlink>
    </w:p>
    <w:p>
      <w:pPr>
        <w:pStyle w:val="TOC2"/>
        <w:tabs>
          <w:tab w:val="clear" w:pos="8302"/>
          <w:tab w:val="right" w:leader="dot" w:pos="8312"/>
        </w:tabs>
      </w:pPr>
      <w:hyperlink w:anchor="_Toc6068" w:history="1">
        <w:r>
          <w:rPr>
            <w:rFonts w:ascii="Times New Roman" w:eastAsia="宋体" w:hAnsi="Times New Roman" w:hint="eastAsia"/>
            <w:szCs w:val="28"/>
          </w:rPr>
          <w:t>10.2概况</w:t>
        </w:r>
        <w:r>
          <w:tab/>
        </w:r>
        <w:r>
          <w:fldChar w:fldCharType="begin"/>
        </w:r>
        <w:r>
          <w:instrText xml:space="preserve"> PAGEREF _Toc6068 \h </w:instrText>
        </w:r>
        <w:r>
          <w:fldChar w:fldCharType="separate"/>
        </w:r>
        <w:r>
          <w:t>53</w:t>
        </w:r>
        <w:r>
          <w:fldChar w:fldCharType="end"/>
        </w:r>
      </w:hyperlink>
    </w:p>
    <w:p>
      <w:pPr>
        <w:pStyle w:val="TOC2"/>
        <w:tabs>
          <w:tab w:val="clear" w:pos="8302"/>
          <w:tab w:val="right" w:leader="dot" w:pos="8312"/>
        </w:tabs>
      </w:pPr>
      <w:hyperlink w:anchor="_Toc1679" w:history="1">
        <w:r>
          <w:rPr>
            <w:rFonts w:ascii="Times New Roman" w:eastAsia="宋体" w:hAnsi="Times New Roman" w:hint="eastAsia"/>
            <w:szCs w:val="28"/>
          </w:rPr>
          <w:t>10.3 劳动安全</w:t>
        </w:r>
        <w:r>
          <w:tab/>
        </w:r>
        <w:r>
          <w:fldChar w:fldCharType="begin"/>
        </w:r>
        <w:r>
          <w:instrText xml:space="preserve"> PAGEREF _Toc1679 \h </w:instrText>
        </w:r>
        <w:r>
          <w:fldChar w:fldCharType="separate"/>
        </w:r>
        <w:r>
          <w:t>53</w:t>
        </w:r>
        <w:r>
          <w:fldChar w:fldCharType="end"/>
        </w:r>
      </w:hyperlink>
    </w:p>
    <w:p>
      <w:pPr>
        <w:pStyle w:val="TOC3"/>
        <w:tabs>
          <w:tab w:val="right" w:leader="dot" w:pos="8312"/>
        </w:tabs>
      </w:pPr>
      <w:hyperlink w:anchor="_Toc2247" w:history="1">
        <w:r>
          <w:rPr>
            <w:rFonts w:hint="eastAsia"/>
            <w:szCs w:val="28"/>
          </w:rPr>
          <w:t>10</w:t>
        </w:r>
        <w:r>
          <w:rPr>
            <w:rFonts w:hint="eastAsia"/>
            <w:szCs w:val="24"/>
          </w:rPr>
          <w:t>.3.1工程消防</w:t>
        </w:r>
        <w:r>
          <w:tab/>
        </w:r>
        <w:r>
          <w:fldChar w:fldCharType="begin"/>
        </w:r>
        <w:r>
          <w:instrText xml:space="preserve"> PAGEREF _Toc2247 \h </w:instrText>
        </w:r>
        <w:r>
          <w:fldChar w:fldCharType="separate"/>
        </w:r>
        <w:r>
          <w:t>53</w:t>
        </w:r>
        <w:r>
          <w:fldChar w:fldCharType="end"/>
        </w:r>
      </w:hyperlink>
    </w:p>
    <w:p>
      <w:pPr>
        <w:pStyle w:val="TOC3"/>
        <w:tabs>
          <w:tab w:val="right" w:leader="dot" w:pos="8312"/>
        </w:tabs>
      </w:pPr>
      <w:hyperlink w:anchor="_Toc9779" w:history="1">
        <w:r>
          <w:rPr>
            <w:rFonts w:hint="eastAsia"/>
            <w:szCs w:val="28"/>
          </w:rPr>
          <w:t>10</w:t>
        </w:r>
        <w:r>
          <w:rPr>
            <w:szCs w:val="24"/>
          </w:rPr>
          <w:t>.3.</w:t>
        </w:r>
        <w:r>
          <w:rPr>
            <w:rFonts w:hint="eastAsia"/>
            <w:szCs w:val="24"/>
          </w:rPr>
          <w:t>2</w:t>
        </w:r>
        <w:r>
          <w:rPr>
            <w:szCs w:val="24"/>
          </w:rPr>
          <w:t>防火防爆</w:t>
        </w:r>
        <w:r>
          <w:rPr>
            <w:rFonts w:hint="eastAsia"/>
            <w:szCs w:val="24"/>
          </w:rPr>
          <w:t>设计</w:t>
        </w:r>
        <w:r>
          <w:tab/>
        </w:r>
        <w:r>
          <w:fldChar w:fldCharType="begin"/>
        </w:r>
        <w:r>
          <w:instrText xml:space="preserve"> PAGEREF _Toc9779 \h </w:instrText>
        </w:r>
        <w:r>
          <w:fldChar w:fldCharType="separate"/>
        </w:r>
        <w:r>
          <w:t>54</w:t>
        </w:r>
        <w:r>
          <w:fldChar w:fldCharType="end"/>
        </w:r>
      </w:hyperlink>
    </w:p>
    <w:p>
      <w:pPr>
        <w:pStyle w:val="TOC3"/>
        <w:tabs>
          <w:tab w:val="right" w:leader="dot" w:pos="8312"/>
        </w:tabs>
      </w:pPr>
      <w:hyperlink w:anchor="_Toc28773" w:history="1">
        <w:r>
          <w:rPr>
            <w:rFonts w:hint="eastAsia"/>
            <w:szCs w:val="28"/>
          </w:rPr>
          <w:t>10</w:t>
        </w:r>
        <w:r>
          <w:rPr>
            <w:szCs w:val="24"/>
          </w:rPr>
          <w:t>.3.</w:t>
        </w:r>
        <w:r>
          <w:rPr>
            <w:rFonts w:hint="eastAsia"/>
            <w:szCs w:val="24"/>
          </w:rPr>
          <w:t>3</w:t>
        </w:r>
        <w:r>
          <w:rPr>
            <w:szCs w:val="24"/>
          </w:rPr>
          <w:t>电</w:t>
        </w:r>
        <w:r>
          <w:rPr>
            <w:rFonts w:hint="eastAsia"/>
            <w:szCs w:val="24"/>
          </w:rPr>
          <w:t>力</w:t>
        </w:r>
        <w:r>
          <w:tab/>
        </w:r>
        <w:r>
          <w:fldChar w:fldCharType="begin"/>
        </w:r>
        <w:r>
          <w:instrText xml:space="preserve"> PAGEREF _Toc28773 \h </w:instrText>
        </w:r>
        <w:r>
          <w:fldChar w:fldCharType="separate"/>
        </w:r>
        <w:r>
          <w:t>54</w:t>
        </w:r>
        <w:r>
          <w:fldChar w:fldCharType="end"/>
        </w:r>
      </w:hyperlink>
    </w:p>
    <w:p>
      <w:pPr>
        <w:pStyle w:val="TOC3"/>
        <w:tabs>
          <w:tab w:val="right" w:leader="dot" w:pos="8312"/>
        </w:tabs>
      </w:pPr>
      <w:hyperlink w:anchor="_Toc15969" w:history="1">
        <w:r>
          <w:rPr>
            <w:rFonts w:hint="eastAsia"/>
            <w:szCs w:val="28"/>
          </w:rPr>
          <w:t>10</w:t>
        </w:r>
        <w:r>
          <w:rPr>
            <w:szCs w:val="24"/>
          </w:rPr>
          <w:t>.3.</w:t>
        </w:r>
        <w:r>
          <w:rPr>
            <w:rFonts w:hint="eastAsia"/>
            <w:szCs w:val="24"/>
          </w:rPr>
          <w:t>4</w:t>
        </w:r>
        <w:r>
          <w:rPr>
            <w:szCs w:val="24"/>
          </w:rPr>
          <w:t>防静电防雷措施</w:t>
        </w:r>
        <w:r>
          <w:tab/>
        </w:r>
        <w:r>
          <w:fldChar w:fldCharType="begin"/>
        </w:r>
        <w:r>
          <w:instrText xml:space="preserve"> PAGEREF _Toc15969 \h </w:instrText>
        </w:r>
        <w:r>
          <w:fldChar w:fldCharType="separate"/>
        </w:r>
        <w:r>
          <w:t>54</w:t>
        </w:r>
        <w:r>
          <w:fldChar w:fldCharType="end"/>
        </w:r>
      </w:hyperlink>
    </w:p>
    <w:p>
      <w:pPr>
        <w:pStyle w:val="TOC2"/>
        <w:tabs>
          <w:tab w:val="clear" w:pos="8302"/>
          <w:tab w:val="right" w:leader="dot" w:pos="8312"/>
        </w:tabs>
      </w:pPr>
      <w:hyperlink w:anchor="_Toc21220" w:history="1">
        <w:r>
          <w:rPr>
            <w:rFonts w:ascii="Times New Roman" w:eastAsia="宋体" w:hAnsi="Times New Roman" w:hint="eastAsia"/>
            <w:szCs w:val="28"/>
          </w:rPr>
          <w:t>10</w:t>
        </w:r>
        <w:r>
          <w:rPr>
            <w:rFonts w:ascii="Times New Roman" w:eastAsia="宋体" w:hAnsi="Times New Roman"/>
            <w:szCs w:val="28"/>
          </w:rPr>
          <w:t>.4劳动卫生</w:t>
        </w:r>
        <w:r>
          <w:tab/>
        </w:r>
        <w:r>
          <w:fldChar w:fldCharType="begin"/>
        </w:r>
        <w:r>
          <w:instrText xml:space="preserve"> PAGEREF _Toc21220 \h </w:instrText>
        </w:r>
        <w:r>
          <w:fldChar w:fldCharType="separate"/>
        </w:r>
        <w:r>
          <w:t>55</w:t>
        </w:r>
        <w:r>
          <w:fldChar w:fldCharType="end"/>
        </w:r>
      </w:hyperlink>
    </w:p>
    <w:p>
      <w:pPr>
        <w:pStyle w:val="TOC3"/>
        <w:tabs>
          <w:tab w:val="right" w:leader="dot" w:pos="8312"/>
        </w:tabs>
      </w:pPr>
      <w:hyperlink w:anchor="_Toc19816" w:history="1">
        <w:r>
          <w:rPr>
            <w:rFonts w:hint="eastAsia"/>
            <w:szCs w:val="28"/>
          </w:rPr>
          <w:t>10</w:t>
        </w:r>
        <w:r>
          <w:rPr>
            <w:szCs w:val="24"/>
          </w:rPr>
          <w:t>.4.1防暑降温</w:t>
        </w:r>
        <w:r>
          <w:tab/>
        </w:r>
        <w:r>
          <w:fldChar w:fldCharType="begin"/>
        </w:r>
        <w:r>
          <w:instrText xml:space="preserve"> PAGEREF _Toc19816 \h </w:instrText>
        </w:r>
        <w:r>
          <w:fldChar w:fldCharType="separate"/>
        </w:r>
        <w:r>
          <w:t>55</w:t>
        </w:r>
        <w:r>
          <w:fldChar w:fldCharType="end"/>
        </w:r>
      </w:hyperlink>
    </w:p>
    <w:p>
      <w:pPr>
        <w:pStyle w:val="TOC3"/>
        <w:tabs>
          <w:tab w:val="right" w:leader="dot" w:pos="8312"/>
        </w:tabs>
      </w:pPr>
      <w:hyperlink w:anchor="_Toc23396" w:history="1">
        <w:r>
          <w:rPr>
            <w:rFonts w:hint="eastAsia"/>
            <w:szCs w:val="28"/>
          </w:rPr>
          <w:t>10</w:t>
        </w:r>
        <w:r>
          <w:rPr>
            <w:szCs w:val="24"/>
          </w:rPr>
          <w:t>.4.</w:t>
        </w:r>
        <w:r>
          <w:rPr>
            <w:rFonts w:hint="eastAsia"/>
            <w:szCs w:val="24"/>
          </w:rPr>
          <w:t>2</w:t>
        </w:r>
        <w:r>
          <w:rPr>
            <w:szCs w:val="24"/>
          </w:rPr>
          <w:t>卫生</w:t>
        </w:r>
        <w:r>
          <w:tab/>
        </w:r>
        <w:r>
          <w:fldChar w:fldCharType="begin"/>
        </w:r>
        <w:r>
          <w:instrText xml:space="preserve"> PAGEREF _Toc23396 \h </w:instrText>
        </w:r>
        <w:r>
          <w:fldChar w:fldCharType="separate"/>
        </w:r>
        <w:r>
          <w:t>55</w:t>
        </w:r>
        <w:r>
          <w:fldChar w:fldCharType="end"/>
        </w:r>
      </w:hyperlink>
    </w:p>
    <w:p>
      <w:pPr>
        <w:pStyle w:val="TOC3"/>
        <w:tabs>
          <w:tab w:val="right" w:leader="dot" w:pos="8312"/>
        </w:tabs>
        <w:sectPr>
          <w:headerReference w:type="default" r:id="rId16"/>
          <w:footerReference w:type="default" r:id="rId17"/>
          <w:headerReference w:type="first" r:id="rId18"/>
          <w:footerReference w:type="first" r:id="rId19"/>
          <w:type w:val="nextPage"/>
          <w:pgSz w:w="11906" w:h="16838"/>
          <w:pgMar w:top="1440" w:right="1797" w:bottom="1440" w:left="1797" w:header="851" w:footer="992" w:gutter="0"/>
          <w:pgNumType w:fmt="decimal" w:start="3"/>
          <w:cols w:space="708"/>
          <w:titlePg w:val="0"/>
          <w:docGrid w:type="lines" w:linePitch="312"/>
        </w:sectPr>
      </w:pPr>
      <w:hyperlink w:anchor="_Toc1993" w:history="1">
        <w:r>
          <w:rPr>
            <w:rFonts w:hint="eastAsia"/>
            <w:szCs w:val="24"/>
          </w:rPr>
          <w:t>10</w:t>
        </w:r>
        <w:r>
          <w:rPr>
            <w:szCs w:val="24"/>
          </w:rPr>
          <w:t>.4.</w:t>
        </w:r>
        <w:r>
          <w:rPr>
            <w:rFonts w:hint="eastAsia"/>
            <w:szCs w:val="24"/>
          </w:rPr>
          <w:t>3</w:t>
        </w:r>
        <w:r>
          <w:rPr>
            <w:szCs w:val="24"/>
          </w:rPr>
          <w:t>噪声</w:t>
        </w:r>
        <w:r>
          <w:tab/>
        </w:r>
        <w:r>
          <w:fldChar w:fldCharType="begin"/>
        </w:r>
        <w:r>
          <w:instrText xml:space="preserve"> PAGEREF _Toc1993 \h </w:instrText>
        </w:r>
        <w:r>
          <w:fldChar w:fldCharType="separate"/>
        </w:r>
        <w:r>
          <w:t>55</w:t>
        </w:r>
        <w:r>
          <w:fldChar w:fldCharType="end"/>
        </w:r>
      </w:hyperlink>
    </w:p>
    <w:p>
      <w:pPr>
        <w:pStyle w:val="TOC3"/>
        <w:tabs>
          <w:tab w:val="right" w:leader="dot" w:pos="8312"/>
        </w:tabs>
      </w:pPr>
      <w:hyperlink w:anchor="_Toc21179" w:history="1">
        <w:r>
          <w:rPr>
            <w:rFonts w:hint="eastAsia"/>
            <w:szCs w:val="28"/>
          </w:rPr>
          <w:t>10</w:t>
        </w:r>
        <w:r>
          <w:rPr>
            <w:szCs w:val="24"/>
          </w:rPr>
          <w:t>.4.</w:t>
        </w:r>
        <w:r>
          <w:rPr>
            <w:rFonts w:hint="eastAsia"/>
            <w:szCs w:val="24"/>
          </w:rPr>
          <w:t>4照明</w:t>
        </w:r>
        <w:r>
          <w:tab/>
        </w:r>
        <w:r>
          <w:fldChar w:fldCharType="begin"/>
        </w:r>
        <w:r>
          <w:instrText xml:space="preserve"> PAGEREF _Toc21179 \h </w:instrText>
        </w:r>
        <w:r>
          <w:fldChar w:fldCharType="separate"/>
        </w:r>
        <w:r>
          <w:t>55</w:t>
        </w:r>
        <w:r>
          <w:fldChar w:fldCharType="end"/>
        </w:r>
      </w:hyperlink>
    </w:p>
    <w:p>
      <w:pPr>
        <w:pStyle w:val="TOC3"/>
        <w:tabs>
          <w:tab w:val="right" w:leader="dot" w:pos="8312"/>
        </w:tabs>
      </w:pPr>
      <w:hyperlink w:anchor="_Toc18425" w:history="1">
        <w:r>
          <w:rPr>
            <w:rFonts w:hint="eastAsia"/>
            <w:szCs w:val="28"/>
          </w:rPr>
          <w:t>10</w:t>
        </w:r>
        <w:r>
          <w:rPr>
            <w:szCs w:val="28"/>
          </w:rPr>
          <w:t>.4.</w:t>
        </w:r>
        <w:r>
          <w:rPr>
            <w:rFonts w:hint="eastAsia"/>
            <w:szCs w:val="28"/>
          </w:rPr>
          <w:t>5个人防护</w:t>
        </w:r>
        <w:r>
          <w:tab/>
        </w:r>
        <w:r>
          <w:fldChar w:fldCharType="begin"/>
        </w:r>
        <w:r>
          <w:instrText xml:space="preserve"> PAGEREF _Toc18425 \h </w:instrText>
        </w:r>
        <w:r>
          <w:fldChar w:fldCharType="separate"/>
        </w:r>
        <w:r>
          <w:t>55</w:t>
        </w:r>
        <w:r>
          <w:fldChar w:fldCharType="end"/>
        </w:r>
      </w:hyperlink>
    </w:p>
    <w:p>
      <w:pPr>
        <w:pStyle w:val="TOC3"/>
        <w:tabs>
          <w:tab w:val="right" w:leader="dot" w:pos="8312"/>
        </w:tabs>
      </w:pPr>
      <w:hyperlink w:anchor="_Toc21172" w:history="1">
        <w:r>
          <w:rPr>
            <w:rFonts w:hint="eastAsia"/>
            <w:szCs w:val="28"/>
          </w:rPr>
          <w:t>10</w:t>
        </w:r>
        <w:r>
          <w:rPr>
            <w:szCs w:val="28"/>
          </w:rPr>
          <w:t>.4.</w:t>
        </w:r>
        <w:r>
          <w:rPr>
            <w:rFonts w:hint="eastAsia"/>
            <w:szCs w:val="28"/>
          </w:rPr>
          <w:t>6安全教育及防护</w:t>
        </w:r>
        <w:r>
          <w:tab/>
        </w:r>
        <w:r>
          <w:fldChar w:fldCharType="begin"/>
        </w:r>
        <w:r>
          <w:instrText xml:space="preserve"> PAGEREF _Toc21172 \h </w:instrText>
        </w:r>
        <w:r>
          <w:fldChar w:fldCharType="separate"/>
        </w:r>
        <w:r>
          <w:t>55</w:t>
        </w:r>
        <w:r>
          <w:fldChar w:fldCharType="end"/>
        </w:r>
      </w:hyperlink>
    </w:p>
    <w:p>
      <w:pPr>
        <w:pStyle w:val="TOC1"/>
        <w:tabs>
          <w:tab w:val="clear" w:pos="8296"/>
          <w:tab w:val="right" w:leader="dot" w:pos="8312"/>
        </w:tabs>
      </w:pPr>
      <w:hyperlink w:anchor="_Toc27922" w:history="1">
        <w:r>
          <w:rPr>
            <w:rFonts w:ascii="Times New Roman" w:hAnsi="宋体"/>
          </w:rPr>
          <w:t>第</w:t>
        </w:r>
        <w:r>
          <w:rPr>
            <w:rFonts w:ascii="Times New Roman" w:hAnsi="宋体" w:hint="eastAsia"/>
          </w:rPr>
          <w:t>十一</w:t>
        </w:r>
        <w:r>
          <w:rPr>
            <w:rFonts w:ascii="Times New Roman" w:hAnsi="宋体"/>
          </w:rPr>
          <w:t xml:space="preserve">章 </w:t>
        </w:r>
        <w:r>
          <w:rPr>
            <w:rFonts w:ascii="Times New Roman" w:hAnsi="宋体" w:hint="eastAsia"/>
          </w:rPr>
          <w:t>企业</w:t>
        </w:r>
        <w:r>
          <w:rPr>
            <w:rFonts w:ascii="Times New Roman" w:hAnsi="宋体"/>
          </w:rPr>
          <w:t>组织机构</w:t>
        </w:r>
        <w:r>
          <w:rPr>
            <w:rFonts w:ascii="Times New Roman" w:hAnsi="宋体" w:hint="eastAsia"/>
          </w:rPr>
          <w:t>与</w:t>
        </w:r>
        <w:r>
          <w:rPr>
            <w:rFonts w:ascii="Times New Roman" w:hAnsi="宋体"/>
          </w:rPr>
          <w:t>劳动定员</w:t>
        </w:r>
        <w:r>
          <w:tab/>
        </w:r>
        <w:r>
          <w:fldChar w:fldCharType="begin"/>
        </w:r>
        <w:r>
          <w:instrText xml:space="preserve"> PAGEREF _Toc27922 \h </w:instrText>
        </w:r>
        <w:r>
          <w:fldChar w:fldCharType="separate"/>
        </w:r>
        <w:r>
          <w:t>57</w:t>
        </w:r>
        <w:r>
          <w:fldChar w:fldCharType="end"/>
        </w:r>
      </w:hyperlink>
    </w:p>
    <w:p>
      <w:pPr>
        <w:pStyle w:val="TOC2"/>
        <w:tabs>
          <w:tab w:val="clear" w:pos="8302"/>
          <w:tab w:val="right" w:leader="dot" w:pos="8312"/>
        </w:tabs>
      </w:pPr>
      <w:hyperlink w:anchor="_Toc16507" w:history="1">
        <w:r>
          <w:rPr>
            <w:rFonts w:ascii="Times New Roman" w:eastAsia="宋体" w:hAnsi="Times New Roman" w:hint="eastAsia"/>
            <w:szCs w:val="28"/>
          </w:rPr>
          <w:t>11.1</w:t>
        </w:r>
        <w:r>
          <w:rPr>
            <w:rFonts w:ascii="Times New Roman" w:eastAsia="宋体" w:hAnsi="Times New Roman"/>
            <w:szCs w:val="28"/>
          </w:rPr>
          <w:t>组织机构</w:t>
        </w:r>
        <w:r>
          <w:tab/>
        </w:r>
        <w:r>
          <w:fldChar w:fldCharType="begin"/>
        </w:r>
        <w:r>
          <w:instrText xml:space="preserve"> PAGEREF _Toc16507 \h </w:instrText>
        </w:r>
        <w:r>
          <w:fldChar w:fldCharType="separate"/>
        </w:r>
        <w:r>
          <w:t>57</w:t>
        </w:r>
        <w:r>
          <w:fldChar w:fldCharType="end"/>
        </w:r>
      </w:hyperlink>
    </w:p>
    <w:p>
      <w:pPr>
        <w:pStyle w:val="TOC2"/>
        <w:tabs>
          <w:tab w:val="clear" w:pos="8302"/>
          <w:tab w:val="right" w:leader="dot" w:pos="8312"/>
        </w:tabs>
      </w:pPr>
      <w:hyperlink w:anchor="_Toc10277" w:history="1">
        <w:r>
          <w:rPr>
            <w:rFonts w:ascii="Times New Roman" w:eastAsia="宋体" w:hAnsi="Times New Roman" w:hint="eastAsia"/>
            <w:szCs w:val="28"/>
          </w:rPr>
          <w:t>11.2</w:t>
        </w:r>
        <w:r>
          <w:rPr>
            <w:rFonts w:ascii="Times New Roman" w:eastAsia="宋体" w:hAnsi="Times New Roman"/>
            <w:szCs w:val="28"/>
          </w:rPr>
          <w:t>劳动定员</w:t>
        </w:r>
        <w:r>
          <w:tab/>
        </w:r>
        <w:r>
          <w:fldChar w:fldCharType="begin"/>
        </w:r>
        <w:r>
          <w:instrText xml:space="preserve"> PAGEREF _Toc10277 \h </w:instrText>
        </w:r>
        <w:r>
          <w:fldChar w:fldCharType="separate"/>
        </w:r>
        <w:r>
          <w:t>57</w:t>
        </w:r>
        <w:r>
          <w:fldChar w:fldCharType="end"/>
        </w:r>
      </w:hyperlink>
    </w:p>
    <w:p>
      <w:pPr>
        <w:pStyle w:val="TOC2"/>
        <w:tabs>
          <w:tab w:val="clear" w:pos="8302"/>
          <w:tab w:val="right" w:leader="dot" w:pos="8312"/>
        </w:tabs>
      </w:pPr>
      <w:hyperlink w:anchor="_Toc12071" w:history="1">
        <w:r>
          <w:rPr>
            <w:rFonts w:ascii="Times New Roman" w:eastAsia="宋体" w:hAnsi="Times New Roman" w:hint="eastAsia"/>
            <w:szCs w:val="28"/>
          </w:rPr>
          <w:t>11.3人力资源管理</w:t>
        </w:r>
        <w:r>
          <w:tab/>
        </w:r>
        <w:r>
          <w:fldChar w:fldCharType="begin"/>
        </w:r>
        <w:r>
          <w:instrText xml:space="preserve"> PAGEREF _Toc12071 \h </w:instrText>
        </w:r>
        <w:r>
          <w:fldChar w:fldCharType="separate"/>
        </w:r>
        <w:r>
          <w:t>57</w:t>
        </w:r>
        <w:r>
          <w:fldChar w:fldCharType="end"/>
        </w:r>
      </w:hyperlink>
    </w:p>
    <w:p>
      <w:pPr>
        <w:pStyle w:val="TOC2"/>
        <w:tabs>
          <w:tab w:val="clear" w:pos="8302"/>
          <w:tab w:val="right" w:leader="dot" w:pos="8312"/>
        </w:tabs>
      </w:pPr>
      <w:hyperlink w:anchor="_Toc29968" w:history="1">
        <w:r>
          <w:rPr>
            <w:rFonts w:ascii="Times New Roman" w:eastAsia="宋体" w:hAnsi="Times New Roman" w:hint="eastAsia"/>
            <w:szCs w:val="28"/>
          </w:rPr>
          <w:t>11.4福利待遇</w:t>
        </w:r>
        <w:r>
          <w:tab/>
        </w:r>
        <w:r>
          <w:fldChar w:fldCharType="begin"/>
        </w:r>
        <w:r>
          <w:instrText xml:space="preserve"> PAGEREF _Toc29968 \h </w:instrText>
        </w:r>
        <w:r>
          <w:fldChar w:fldCharType="separate"/>
        </w:r>
        <w:r>
          <w:t>58</w:t>
        </w:r>
        <w:r>
          <w:fldChar w:fldCharType="end"/>
        </w:r>
      </w:hyperlink>
    </w:p>
    <w:p>
      <w:pPr>
        <w:pStyle w:val="TOC1"/>
        <w:tabs>
          <w:tab w:val="clear" w:pos="8296"/>
          <w:tab w:val="right" w:leader="dot" w:pos="8312"/>
        </w:tabs>
      </w:pPr>
      <w:hyperlink w:anchor="_Toc5050" w:history="1">
        <w:r>
          <w:rPr>
            <w:rFonts w:ascii="Times New Roman" w:hAnsi="宋体" w:hint="eastAsia"/>
          </w:rPr>
          <w:t>第十二章 项目实施规划</w:t>
        </w:r>
        <w:r>
          <w:tab/>
        </w:r>
        <w:r>
          <w:fldChar w:fldCharType="begin"/>
        </w:r>
        <w:r>
          <w:instrText xml:space="preserve"> PAGEREF _Toc5050 \h </w:instrText>
        </w:r>
        <w:r>
          <w:fldChar w:fldCharType="separate"/>
        </w:r>
        <w:r>
          <w:t>59</w:t>
        </w:r>
        <w:r>
          <w:fldChar w:fldCharType="end"/>
        </w:r>
      </w:hyperlink>
    </w:p>
    <w:p>
      <w:pPr>
        <w:pStyle w:val="TOC2"/>
        <w:tabs>
          <w:tab w:val="clear" w:pos="8302"/>
          <w:tab w:val="right" w:leader="dot" w:pos="8312"/>
        </w:tabs>
      </w:pPr>
      <w:hyperlink w:anchor="_Toc8958" w:history="1">
        <w:r>
          <w:rPr>
            <w:rFonts w:ascii="Times New Roman" w:eastAsia="宋体" w:hAnsi="Times New Roman" w:hint="eastAsia"/>
            <w:szCs w:val="28"/>
          </w:rPr>
          <w:t>12</w:t>
        </w:r>
        <w:r>
          <w:rPr>
            <w:rFonts w:ascii="Times New Roman" w:eastAsia="宋体" w:hAnsi="Times New Roman"/>
            <w:szCs w:val="28"/>
          </w:rPr>
          <w:t>.1建设工期的规划</w:t>
        </w:r>
        <w:r>
          <w:tab/>
        </w:r>
        <w:r>
          <w:fldChar w:fldCharType="begin"/>
        </w:r>
        <w:r>
          <w:instrText xml:space="preserve"> PAGEREF _Toc8958 \h </w:instrText>
        </w:r>
        <w:r>
          <w:fldChar w:fldCharType="separate"/>
        </w:r>
        <w:r>
          <w:t>59</w:t>
        </w:r>
        <w:r>
          <w:fldChar w:fldCharType="end"/>
        </w:r>
      </w:hyperlink>
    </w:p>
    <w:p>
      <w:pPr>
        <w:pStyle w:val="TOC2"/>
        <w:tabs>
          <w:tab w:val="clear" w:pos="8302"/>
          <w:tab w:val="right" w:leader="dot" w:pos="8312"/>
        </w:tabs>
      </w:pPr>
      <w:hyperlink w:anchor="_Toc15897" w:history="1">
        <w:r>
          <w:rPr>
            <w:rFonts w:ascii="Times New Roman" w:eastAsia="宋体" w:hAnsi="Times New Roman" w:hint="eastAsia"/>
            <w:szCs w:val="28"/>
          </w:rPr>
          <w:t>1</w:t>
        </w:r>
        <w:r>
          <w:rPr>
            <w:rFonts w:ascii="Times New Roman" w:eastAsia="宋体" w:hAnsi="Times New Roman" w:hint="eastAsia"/>
            <w:szCs w:val="28"/>
            <w:lang w:val="en-US" w:eastAsia="zh-CN"/>
          </w:rPr>
          <w:t>2</w:t>
        </w:r>
        <w:r>
          <w:rPr>
            <w:rFonts w:ascii="Times New Roman" w:eastAsia="宋体" w:hAnsi="Times New Roman"/>
            <w:szCs w:val="28"/>
          </w:rPr>
          <w:t>.2</w:t>
        </w:r>
        <w:r>
          <w:rPr>
            <w:rFonts w:ascii="Times New Roman" w:eastAsia="宋体" w:hAnsi="Times New Roman" w:hint="eastAsia"/>
            <w:szCs w:val="28"/>
          </w:rPr>
          <w:t>建设</w:t>
        </w:r>
        <w:r>
          <w:rPr>
            <w:rFonts w:ascii="Times New Roman" w:eastAsia="宋体" w:hAnsi="Times New Roman"/>
            <w:szCs w:val="28"/>
          </w:rPr>
          <w:t>工期</w:t>
        </w:r>
        <w:r>
          <w:tab/>
        </w:r>
        <w:r>
          <w:fldChar w:fldCharType="begin"/>
        </w:r>
        <w:r>
          <w:instrText xml:space="preserve"> PAGEREF _Toc15897 \h </w:instrText>
        </w:r>
        <w:r>
          <w:fldChar w:fldCharType="separate"/>
        </w:r>
        <w:r>
          <w:t>59</w:t>
        </w:r>
        <w:r>
          <w:fldChar w:fldCharType="end"/>
        </w:r>
      </w:hyperlink>
    </w:p>
    <w:p>
      <w:pPr>
        <w:pStyle w:val="TOC2"/>
        <w:tabs>
          <w:tab w:val="clear" w:pos="8302"/>
          <w:tab w:val="right" w:leader="dot" w:pos="8312"/>
        </w:tabs>
      </w:pPr>
      <w:hyperlink w:anchor="_Toc12803" w:history="1">
        <w:r>
          <w:rPr>
            <w:rFonts w:ascii="Times New Roman" w:eastAsia="宋体" w:hAnsi="Times New Roman" w:hint="eastAsia"/>
            <w:szCs w:val="28"/>
          </w:rPr>
          <w:t>1</w:t>
        </w:r>
        <w:r>
          <w:rPr>
            <w:rFonts w:ascii="Times New Roman" w:eastAsia="宋体" w:hAnsi="Times New Roman" w:hint="eastAsia"/>
            <w:szCs w:val="28"/>
            <w:lang w:val="en-US" w:eastAsia="zh-CN"/>
          </w:rPr>
          <w:t>2</w:t>
        </w:r>
        <w:r>
          <w:rPr>
            <w:rFonts w:ascii="Times New Roman" w:eastAsia="宋体" w:hAnsi="Times New Roman"/>
            <w:szCs w:val="28"/>
          </w:rPr>
          <w:t>.3实施进度安排</w:t>
        </w:r>
        <w:r>
          <w:tab/>
        </w:r>
        <w:r>
          <w:fldChar w:fldCharType="begin"/>
        </w:r>
        <w:r>
          <w:instrText xml:space="preserve"> PAGEREF _Toc12803 \h </w:instrText>
        </w:r>
        <w:r>
          <w:fldChar w:fldCharType="separate"/>
        </w:r>
        <w:r>
          <w:t>59</w:t>
        </w:r>
        <w:r>
          <w:fldChar w:fldCharType="end"/>
        </w:r>
      </w:hyperlink>
    </w:p>
    <w:p>
      <w:pPr>
        <w:pStyle w:val="TOC1"/>
        <w:tabs>
          <w:tab w:val="clear" w:pos="8296"/>
          <w:tab w:val="right" w:leader="dot" w:pos="8312"/>
        </w:tabs>
      </w:pPr>
      <w:hyperlink w:anchor="_Toc26309" w:history="1">
        <w:r>
          <w:rPr>
            <w:rFonts w:ascii="Times New Roman" w:hAnsi="Times New Roman"/>
          </w:rPr>
          <w:t>第十</w:t>
        </w:r>
        <w:r>
          <w:rPr>
            <w:rFonts w:ascii="Times New Roman" w:hAnsi="Times New Roman" w:hint="eastAsia"/>
          </w:rPr>
          <w:t>三</w:t>
        </w:r>
        <w:r>
          <w:rPr>
            <w:rFonts w:ascii="Times New Roman" w:hAnsi="Times New Roman"/>
          </w:rPr>
          <w:t>章 投资估算与资金筹措</w:t>
        </w:r>
        <w:r>
          <w:tab/>
        </w:r>
        <w:r>
          <w:fldChar w:fldCharType="begin"/>
        </w:r>
        <w:r>
          <w:instrText xml:space="preserve"> PAGEREF _Toc26309 \h </w:instrText>
        </w:r>
        <w:r>
          <w:fldChar w:fldCharType="separate"/>
        </w:r>
        <w:r>
          <w:t>61</w:t>
        </w:r>
        <w:r>
          <w:fldChar w:fldCharType="end"/>
        </w:r>
      </w:hyperlink>
    </w:p>
    <w:p>
      <w:pPr>
        <w:pStyle w:val="TOC2"/>
        <w:tabs>
          <w:tab w:val="clear" w:pos="8302"/>
          <w:tab w:val="right" w:leader="dot" w:pos="8312"/>
        </w:tabs>
      </w:pPr>
      <w:hyperlink w:anchor="_Toc13933" w:history="1">
        <w:r>
          <w:rPr>
            <w:rFonts w:ascii="Times New Roman" w:eastAsia="宋体" w:hAnsi="Times New Roman"/>
            <w:szCs w:val="28"/>
          </w:rPr>
          <w:t>1</w:t>
        </w:r>
        <w:r>
          <w:rPr>
            <w:rFonts w:ascii="Times New Roman" w:eastAsia="宋体" w:hAnsi="Times New Roman" w:hint="eastAsia"/>
            <w:szCs w:val="28"/>
          </w:rPr>
          <w:t>3</w:t>
        </w:r>
        <w:r>
          <w:rPr>
            <w:rFonts w:ascii="Times New Roman" w:eastAsia="宋体" w:hAnsi="Times New Roman"/>
            <w:szCs w:val="28"/>
          </w:rPr>
          <w:t>.1投资估算依据</w:t>
        </w:r>
        <w:r>
          <w:tab/>
        </w:r>
        <w:r>
          <w:fldChar w:fldCharType="begin"/>
        </w:r>
        <w:r>
          <w:instrText xml:space="preserve"> PAGEREF _Toc13933 \h </w:instrText>
        </w:r>
        <w:r>
          <w:fldChar w:fldCharType="separate"/>
        </w:r>
        <w:r>
          <w:t>61</w:t>
        </w:r>
        <w:r>
          <w:fldChar w:fldCharType="end"/>
        </w:r>
      </w:hyperlink>
    </w:p>
    <w:p>
      <w:pPr>
        <w:pStyle w:val="TOC2"/>
        <w:tabs>
          <w:tab w:val="clear" w:pos="8302"/>
          <w:tab w:val="right" w:leader="dot" w:pos="8312"/>
        </w:tabs>
      </w:pPr>
      <w:hyperlink w:anchor="_Toc24413" w:history="1">
        <w:r>
          <w:rPr>
            <w:rFonts w:ascii="Times New Roman" w:eastAsia="宋体" w:hAnsi="Times New Roman"/>
            <w:szCs w:val="28"/>
          </w:rPr>
          <w:t>1</w:t>
        </w:r>
        <w:r>
          <w:rPr>
            <w:rFonts w:ascii="Times New Roman" w:eastAsia="宋体" w:hAnsi="Times New Roman" w:hint="eastAsia"/>
            <w:szCs w:val="28"/>
            <w:lang w:val="en-US" w:eastAsia="zh-CN"/>
          </w:rPr>
          <w:t>3</w:t>
        </w:r>
        <w:r>
          <w:rPr>
            <w:rFonts w:ascii="Times New Roman" w:eastAsia="宋体" w:hAnsi="Times New Roman"/>
            <w:szCs w:val="28"/>
          </w:rPr>
          <w:t>.2</w:t>
        </w:r>
        <w:r>
          <w:rPr>
            <w:rFonts w:ascii="Times New Roman" w:eastAsia="宋体" w:hAnsi="Times New Roman" w:hint="eastAsia"/>
            <w:szCs w:val="28"/>
          </w:rPr>
          <w:t>项目建设投资</w:t>
        </w:r>
        <w:r>
          <w:rPr>
            <w:rFonts w:ascii="Times New Roman" w:eastAsia="宋体" w:hAnsi="Times New Roman"/>
            <w:szCs w:val="28"/>
          </w:rPr>
          <w:t>估算</w:t>
        </w:r>
        <w:r>
          <w:tab/>
        </w:r>
        <w:r>
          <w:fldChar w:fldCharType="begin"/>
        </w:r>
        <w:r>
          <w:instrText xml:space="preserve"> PAGEREF _Toc24413 \h </w:instrText>
        </w:r>
        <w:r>
          <w:fldChar w:fldCharType="separate"/>
        </w:r>
        <w:r>
          <w:t>61</w:t>
        </w:r>
        <w:r>
          <w:fldChar w:fldCharType="end"/>
        </w:r>
      </w:hyperlink>
    </w:p>
    <w:p>
      <w:pPr>
        <w:pStyle w:val="TOC2"/>
        <w:tabs>
          <w:tab w:val="clear" w:pos="8302"/>
          <w:tab w:val="right" w:leader="dot" w:pos="8312"/>
        </w:tabs>
      </w:pPr>
      <w:hyperlink w:anchor="_Toc14271" w:history="1">
        <w:r>
          <w:rPr>
            <w:rFonts w:ascii="Times New Roman" w:eastAsia="宋体" w:hAnsi="Times New Roman"/>
            <w:szCs w:val="28"/>
          </w:rPr>
          <w:t>1</w:t>
        </w:r>
        <w:r>
          <w:rPr>
            <w:rFonts w:ascii="Times New Roman" w:eastAsia="宋体" w:hAnsi="Times New Roman" w:hint="eastAsia"/>
            <w:szCs w:val="28"/>
            <w:lang w:val="en-US" w:eastAsia="zh-CN"/>
          </w:rPr>
          <w:t>3</w:t>
        </w:r>
        <w:r>
          <w:rPr>
            <w:rFonts w:ascii="Times New Roman" w:eastAsia="宋体" w:hAnsi="Times New Roman"/>
            <w:szCs w:val="28"/>
          </w:rPr>
          <w:t>.</w:t>
        </w:r>
        <w:r>
          <w:rPr>
            <w:rFonts w:ascii="Times New Roman" w:eastAsia="宋体" w:hAnsi="Times New Roman" w:hint="eastAsia"/>
            <w:szCs w:val="28"/>
          </w:rPr>
          <w:t>3</w:t>
        </w:r>
        <w:r>
          <w:rPr>
            <w:rFonts w:ascii="Times New Roman" w:eastAsia="宋体" w:hAnsi="Times New Roman"/>
            <w:szCs w:val="28"/>
          </w:rPr>
          <w:t>流动资金估算</w:t>
        </w:r>
        <w:r>
          <w:tab/>
        </w:r>
        <w:r>
          <w:fldChar w:fldCharType="begin"/>
        </w:r>
        <w:r>
          <w:instrText xml:space="preserve"> PAGEREF _Toc14271 \h </w:instrText>
        </w:r>
        <w:r>
          <w:fldChar w:fldCharType="separate"/>
        </w:r>
        <w:r>
          <w:t>62</w:t>
        </w:r>
        <w:r>
          <w:fldChar w:fldCharType="end"/>
        </w:r>
      </w:hyperlink>
    </w:p>
    <w:p>
      <w:pPr>
        <w:pStyle w:val="TOC2"/>
        <w:tabs>
          <w:tab w:val="clear" w:pos="8302"/>
          <w:tab w:val="right" w:leader="dot" w:pos="8312"/>
        </w:tabs>
      </w:pPr>
      <w:hyperlink w:anchor="_Toc9268" w:history="1">
        <w:r>
          <w:rPr>
            <w:rFonts w:ascii="Times New Roman" w:eastAsia="宋体" w:hAnsi="Times New Roman"/>
            <w:szCs w:val="28"/>
          </w:rPr>
          <w:t>1</w:t>
        </w:r>
        <w:r>
          <w:rPr>
            <w:rFonts w:ascii="Times New Roman" w:eastAsia="宋体" w:hAnsi="Times New Roman" w:hint="eastAsia"/>
            <w:szCs w:val="28"/>
            <w:lang w:val="en-US" w:eastAsia="zh-CN"/>
          </w:rPr>
          <w:t>3</w:t>
        </w:r>
        <w:r>
          <w:rPr>
            <w:rFonts w:ascii="Times New Roman" w:eastAsia="宋体" w:hAnsi="Times New Roman"/>
            <w:szCs w:val="28"/>
          </w:rPr>
          <w:t>.</w:t>
        </w:r>
        <w:r>
          <w:rPr>
            <w:rFonts w:ascii="Times New Roman" w:eastAsia="宋体" w:hAnsi="Times New Roman" w:hint="eastAsia"/>
            <w:szCs w:val="28"/>
          </w:rPr>
          <w:t>4</w:t>
        </w:r>
        <w:r>
          <w:rPr>
            <w:rFonts w:ascii="Times New Roman" w:eastAsia="宋体" w:hAnsi="Times New Roman"/>
            <w:szCs w:val="28"/>
          </w:rPr>
          <w:t>资金筹措</w:t>
        </w:r>
        <w:r>
          <w:tab/>
        </w:r>
        <w:r>
          <w:fldChar w:fldCharType="begin"/>
        </w:r>
        <w:r>
          <w:instrText xml:space="preserve"> PAGEREF _Toc9268 \h </w:instrText>
        </w:r>
        <w:r>
          <w:fldChar w:fldCharType="separate"/>
        </w:r>
        <w:r>
          <w:t>62</w:t>
        </w:r>
        <w:r>
          <w:fldChar w:fldCharType="end"/>
        </w:r>
      </w:hyperlink>
    </w:p>
    <w:p>
      <w:pPr>
        <w:pStyle w:val="TOC2"/>
        <w:tabs>
          <w:tab w:val="clear" w:pos="8302"/>
          <w:tab w:val="right" w:leader="dot" w:pos="8312"/>
        </w:tabs>
      </w:pPr>
      <w:hyperlink w:anchor="_Toc28791" w:history="1">
        <w:r>
          <w:rPr>
            <w:rFonts w:ascii="Times New Roman" w:eastAsia="宋体" w:hAnsi="Times New Roman"/>
            <w:szCs w:val="28"/>
          </w:rPr>
          <w:t>1</w:t>
        </w:r>
        <w:r>
          <w:rPr>
            <w:rFonts w:ascii="Times New Roman" w:eastAsia="宋体" w:hAnsi="Times New Roman" w:hint="eastAsia"/>
            <w:szCs w:val="28"/>
          </w:rPr>
          <w:t>4</w:t>
        </w:r>
        <w:r>
          <w:rPr>
            <w:rFonts w:ascii="Times New Roman" w:eastAsia="宋体" w:hAnsi="Times New Roman" w:hint="eastAsia"/>
            <w:szCs w:val="28"/>
            <w:lang w:val="en-US" w:eastAsia="zh-CN"/>
          </w:rPr>
          <w:t>3</w:t>
        </w:r>
        <w:r>
          <w:rPr>
            <w:rFonts w:ascii="Times New Roman" w:eastAsia="宋体" w:hAnsi="Times New Roman"/>
            <w:szCs w:val="28"/>
          </w:rPr>
          <w:t>.</w:t>
        </w:r>
        <w:r>
          <w:rPr>
            <w:rFonts w:ascii="Times New Roman" w:eastAsia="宋体" w:hAnsi="Times New Roman" w:hint="eastAsia"/>
            <w:szCs w:val="28"/>
          </w:rPr>
          <w:t>5</w:t>
        </w:r>
        <w:r>
          <w:rPr>
            <w:rFonts w:ascii="Times New Roman" w:eastAsia="宋体" w:hAnsi="Times New Roman"/>
            <w:szCs w:val="28"/>
          </w:rPr>
          <w:t>项目投资总额</w:t>
        </w:r>
        <w:r>
          <w:tab/>
        </w:r>
        <w:r>
          <w:fldChar w:fldCharType="begin"/>
        </w:r>
        <w:r>
          <w:instrText xml:space="preserve"> PAGEREF _Toc28791 \h </w:instrText>
        </w:r>
        <w:r>
          <w:fldChar w:fldCharType="separate"/>
        </w:r>
        <w:r>
          <w:t>62</w:t>
        </w:r>
        <w:r>
          <w:fldChar w:fldCharType="end"/>
        </w:r>
      </w:hyperlink>
    </w:p>
    <w:p>
      <w:pPr>
        <w:pStyle w:val="TOC2"/>
        <w:tabs>
          <w:tab w:val="clear" w:pos="8302"/>
          <w:tab w:val="right" w:leader="dot" w:pos="8312"/>
        </w:tabs>
      </w:pPr>
      <w:hyperlink w:anchor="_Toc16248" w:history="1">
        <w:r>
          <w:rPr>
            <w:rFonts w:ascii="Times New Roman" w:eastAsia="宋体" w:hAnsi="Times New Roman"/>
            <w:szCs w:val="28"/>
          </w:rPr>
          <w:t>1</w:t>
        </w:r>
        <w:r>
          <w:rPr>
            <w:rFonts w:ascii="Times New Roman" w:eastAsia="宋体" w:hAnsi="Times New Roman" w:hint="eastAsia"/>
            <w:szCs w:val="28"/>
          </w:rPr>
          <w:t>3</w:t>
        </w:r>
        <w:r>
          <w:rPr>
            <w:rFonts w:ascii="Times New Roman" w:eastAsia="宋体" w:hAnsi="Times New Roman"/>
            <w:szCs w:val="28"/>
          </w:rPr>
          <w:t>.6资金使用和管理</w:t>
        </w:r>
        <w:r>
          <w:tab/>
        </w:r>
        <w:r>
          <w:fldChar w:fldCharType="begin"/>
        </w:r>
        <w:r>
          <w:instrText xml:space="preserve"> PAGEREF _Toc16248 \h </w:instrText>
        </w:r>
        <w:r>
          <w:fldChar w:fldCharType="separate"/>
        </w:r>
        <w:r>
          <w:t>65</w:t>
        </w:r>
        <w:r>
          <w:fldChar w:fldCharType="end"/>
        </w:r>
      </w:hyperlink>
    </w:p>
    <w:p>
      <w:pPr>
        <w:pStyle w:val="TOC1"/>
        <w:tabs>
          <w:tab w:val="clear" w:pos="8296"/>
          <w:tab w:val="right" w:leader="dot" w:pos="8312"/>
        </w:tabs>
      </w:pPr>
      <w:hyperlink w:anchor="_Toc15626" w:history="1">
        <w:r>
          <w:rPr>
            <w:rFonts w:ascii="Times New Roman" w:hAnsi="Times New Roman"/>
          </w:rPr>
          <w:t>第十</w:t>
        </w:r>
        <w:r>
          <w:rPr>
            <w:rFonts w:ascii="Times New Roman" w:hAnsi="Times New Roman" w:hint="eastAsia"/>
          </w:rPr>
          <w:t>四</w:t>
        </w:r>
        <w:r>
          <w:rPr>
            <w:rFonts w:ascii="Times New Roman" w:hAnsi="Times New Roman"/>
          </w:rPr>
          <w:t>章 财务及经济评价</w:t>
        </w:r>
        <w:r>
          <w:tab/>
        </w:r>
        <w:r>
          <w:fldChar w:fldCharType="begin"/>
        </w:r>
        <w:r>
          <w:instrText xml:space="preserve"> PAGEREF _Toc15626 \h </w:instrText>
        </w:r>
        <w:r>
          <w:fldChar w:fldCharType="separate"/>
        </w:r>
        <w:r>
          <w:t>66</w:t>
        </w:r>
        <w:r>
          <w:fldChar w:fldCharType="end"/>
        </w:r>
      </w:hyperlink>
    </w:p>
    <w:p>
      <w:pPr>
        <w:pStyle w:val="TOC2"/>
        <w:tabs>
          <w:tab w:val="clear" w:pos="8302"/>
          <w:tab w:val="right" w:leader="dot" w:pos="8312"/>
        </w:tabs>
      </w:pPr>
      <w:hyperlink w:anchor="_Toc12994" w:history="1">
        <w:r>
          <w:rPr>
            <w:rFonts w:ascii="Times New Roman" w:eastAsia="宋体" w:hAnsi="Times New Roman"/>
            <w:szCs w:val="28"/>
          </w:rPr>
          <w:t>1</w:t>
        </w:r>
        <w:r>
          <w:rPr>
            <w:rFonts w:ascii="Times New Roman" w:eastAsia="宋体" w:hAnsi="Times New Roman" w:hint="eastAsia"/>
            <w:szCs w:val="28"/>
          </w:rPr>
          <w:t>4</w:t>
        </w:r>
        <w:r>
          <w:rPr>
            <w:rFonts w:ascii="Times New Roman" w:eastAsia="宋体" w:hAnsi="Times New Roman"/>
            <w:szCs w:val="28"/>
          </w:rPr>
          <w:t>.1</w:t>
        </w:r>
        <w:r>
          <w:rPr>
            <w:rFonts w:ascii="Times New Roman" w:eastAsia="宋体" w:hAnsi="Times New Roman" w:hint="eastAsia"/>
            <w:szCs w:val="28"/>
          </w:rPr>
          <w:t>销售收入及</w:t>
        </w:r>
        <w:r>
          <w:rPr>
            <w:rFonts w:ascii="Times New Roman" w:eastAsia="宋体" w:hAnsi="Times New Roman"/>
            <w:szCs w:val="28"/>
          </w:rPr>
          <w:t>成本费用估算</w:t>
        </w:r>
        <w:r>
          <w:tab/>
        </w:r>
        <w:r>
          <w:fldChar w:fldCharType="begin"/>
        </w:r>
        <w:r>
          <w:instrText xml:space="preserve"> PAGEREF _Toc12994 \h </w:instrText>
        </w:r>
        <w:r>
          <w:fldChar w:fldCharType="separate"/>
        </w:r>
        <w:r>
          <w:t>66</w:t>
        </w:r>
        <w:r>
          <w:fldChar w:fldCharType="end"/>
        </w:r>
      </w:hyperlink>
    </w:p>
    <w:p>
      <w:pPr>
        <w:pStyle w:val="TOC3"/>
        <w:tabs>
          <w:tab w:val="right" w:leader="dot" w:pos="8312"/>
        </w:tabs>
      </w:pPr>
      <w:hyperlink w:anchor="_Toc15294" w:history="1">
        <w:r>
          <w:rPr>
            <w:szCs w:val="24"/>
          </w:rPr>
          <w:t>1</w:t>
        </w:r>
        <w:r>
          <w:rPr>
            <w:rFonts w:hint="eastAsia"/>
            <w:szCs w:val="24"/>
          </w:rPr>
          <w:t>4</w:t>
        </w:r>
        <w:r>
          <w:rPr>
            <w:szCs w:val="24"/>
          </w:rPr>
          <w:t>.1.1基本数据的确立</w:t>
        </w:r>
        <w:r>
          <w:tab/>
        </w:r>
        <w:r>
          <w:fldChar w:fldCharType="begin"/>
        </w:r>
        <w:r>
          <w:instrText xml:space="preserve"> PAGEREF _Toc15294 \h </w:instrText>
        </w:r>
        <w:r>
          <w:fldChar w:fldCharType="separate"/>
        </w:r>
        <w:r>
          <w:t>66</w:t>
        </w:r>
        <w:r>
          <w:fldChar w:fldCharType="end"/>
        </w:r>
      </w:hyperlink>
    </w:p>
    <w:p>
      <w:pPr>
        <w:pStyle w:val="TOC3"/>
        <w:tabs>
          <w:tab w:val="right" w:leader="dot" w:pos="8312"/>
        </w:tabs>
      </w:pPr>
      <w:hyperlink w:anchor="_Toc525" w:history="1">
        <w:r>
          <w:rPr>
            <w:rFonts w:hint="eastAsia"/>
            <w:szCs w:val="24"/>
          </w:rPr>
          <w:t>1</w:t>
        </w:r>
        <w:r>
          <w:rPr>
            <w:rFonts w:hint="eastAsia"/>
            <w:szCs w:val="24"/>
            <w:lang w:val="en-US" w:eastAsia="zh-CN"/>
          </w:rPr>
          <w:t>4</w:t>
        </w:r>
        <w:r>
          <w:rPr>
            <w:szCs w:val="24"/>
          </w:rPr>
          <w:t>.1.2产品成本</w:t>
        </w:r>
        <w:r>
          <w:tab/>
        </w:r>
        <w:r>
          <w:fldChar w:fldCharType="begin"/>
        </w:r>
        <w:r>
          <w:instrText xml:space="preserve"> PAGEREF _Toc525 \h </w:instrText>
        </w:r>
        <w:r>
          <w:fldChar w:fldCharType="separate"/>
        </w:r>
        <w:r>
          <w:t>67</w:t>
        </w:r>
        <w:r>
          <w:fldChar w:fldCharType="end"/>
        </w:r>
      </w:hyperlink>
    </w:p>
    <w:p>
      <w:pPr>
        <w:pStyle w:val="TOC3"/>
        <w:tabs>
          <w:tab w:val="right" w:leader="dot" w:pos="8312"/>
        </w:tabs>
      </w:pPr>
      <w:hyperlink w:anchor="_Toc27718" w:history="1">
        <w:r>
          <w:rPr>
            <w:rFonts w:hint="eastAsia"/>
            <w:szCs w:val="24"/>
          </w:rPr>
          <w:t>1</w:t>
        </w:r>
        <w:r>
          <w:rPr>
            <w:rFonts w:hint="eastAsia"/>
            <w:szCs w:val="24"/>
            <w:lang w:val="en-US" w:eastAsia="zh-CN"/>
          </w:rPr>
          <w:t>4</w:t>
        </w:r>
        <w:r>
          <w:rPr>
            <w:szCs w:val="24"/>
          </w:rPr>
          <w:t>.1.3平均产品利润</w:t>
        </w:r>
        <w:r>
          <w:tab/>
        </w:r>
        <w:r>
          <w:fldChar w:fldCharType="begin"/>
        </w:r>
        <w:r>
          <w:instrText xml:space="preserve"> PAGEREF _Toc27718 \h </w:instrText>
        </w:r>
        <w:r>
          <w:fldChar w:fldCharType="separate"/>
        </w:r>
        <w:r>
          <w:t>68</w:t>
        </w:r>
        <w:r>
          <w:fldChar w:fldCharType="end"/>
        </w:r>
      </w:hyperlink>
    </w:p>
    <w:p>
      <w:pPr>
        <w:pStyle w:val="TOC2"/>
        <w:tabs>
          <w:tab w:val="clear" w:pos="8302"/>
          <w:tab w:val="right" w:leader="dot" w:pos="8312"/>
        </w:tabs>
      </w:pPr>
      <w:hyperlink w:anchor="_Toc4956" w:history="1">
        <w:r>
          <w:rPr>
            <w:rFonts w:ascii="Times New Roman" w:eastAsia="宋体" w:hAnsi="Times New Roman" w:hint="eastAsia"/>
            <w:szCs w:val="28"/>
          </w:rPr>
          <w:t>1</w:t>
        </w:r>
        <w:r>
          <w:rPr>
            <w:rFonts w:ascii="Times New Roman" w:eastAsia="宋体" w:hAnsi="Times New Roman" w:hint="eastAsia"/>
            <w:szCs w:val="28"/>
            <w:lang w:val="en-US" w:eastAsia="zh-CN"/>
          </w:rPr>
          <w:t>4</w:t>
        </w:r>
        <w:r>
          <w:rPr>
            <w:rFonts w:ascii="Times New Roman" w:eastAsia="宋体" w:hAnsi="Times New Roman"/>
            <w:szCs w:val="28"/>
          </w:rPr>
          <w:t>.2</w:t>
        </w:r>
        <w:r>
          <w:rPr>
            <w:rFonts w:ascii="Times New Roman" w:eastAsia="宋体" w:hAnsi="Times New Roman" w:hint="eastAsia"/>
            <w:szCs w:val="28"/>
          </w:rPr>
          <w:t>财务评价</w:t>
        </w:r>
        <w:r>
          <w:tab/>
        </w:r>
        <w:r>
          <w:fldChar w:fldCharType="begin"/>
        </w:r>
        <w:r>
          <w:instrText xml:space="preserve"> PAGEREF _Toc4956 \h </w:instrText>
        </w:r>
        <w:r>
          <w:fldChar w:fldCharType="separate"/>
        </w:r>
        <w:r>
          <w:t>68</w:t>
        </w:r>
        <w:r>
          <w:fldChar w:fldCharType="end"/>
        </w:r>
      </w:hyperlink>
    </w:p>
    <w:p>
      <w:pPr>
        <w:pStyle w:val="TOC3"/>
        <w:tabs>
          <w:tab w:val="right" w:leader="dot" w:pos="8312"/>
        </w:tabs>
      </w:pPr>
      <w:hyperlink w:anchor="_Toc21835" w:history="1">
        <w:r>
          <w:rPr>
            <w:rFonts w:hint="eastAsia"/>
            <w:szCs w:val="24"/>
          </w:rPr>
          <w:t>1</w:t>
        </w:r>
        <w:r>
          <w:rPr>
            <w:rFonts w:hint="eastAsia"/>
            <w:szCs w:val="24"/>
            <w:lang w:val="en-US" w:eastAsia="zh-CN"/>
          </w:rPr>
          <w:t>4</w:t>
        </w:r>
        <w:r>
          <w:rPr>
            <w:szCs w:val="24"/>
          </w:rPr>
          <w:t>.2.1项目投资回收期</w:t>
        </w:r>
        <w:r>
          <w:tab/>
        </w:r>
        <w:r>
          <w:fldChar w:fldCharType="begin"/>
        </w:r>
        <w:r>
          <w:instrText xml:space="preserve"> PAGEREF _Toc21835 \h </w:instrText>
        </w:r>
        <w:r>
          <w:fldChar w:fldCharType="separate"/>
        </w:r>
        <w:r>
          <w:t>68</w:t>
        </w:r>
        <w:r>
          <w:fldChar w:fldCharType="end"/>
        </w:r>
      </w:hyperlink>
    </w:p>
    <w:p>
      <w:pPr>
        <w:pStyle w:val="TOC3"/>
        <w:tabs>
          <w:tab w:val="right" w:leader="dot" w:pos="8312"/>
        </w:tabs>
      </w:pPr>
      <w:hyperlink w:anchor="_Toc28825" w:history="1">
        <w:r>
          <w:rPr>
            <w:rFonts w:hint="eastAsia"/>
            <w:szCs w:val="24"/>
          </w:rPr>
          <w:t>1</w:t>
        </w:r>
        <w:r>
          <w:rPr>
            <w:rFonts w:hint="eastAsia"/>
            <w:szCs w:val="24"/>
            <w:lang w:val="en-US" w:eastAsia="zh-CN"/>
          </w:rPr>
          <w:t>4</w:t>
        </w:r>
        <w:r>
          <w:rPr>
            <w:szCs w:val="24"/>
          </w:rPr>
          <w:t>.2.2项目投资利润率</w:t>
        </w:r>
        <w:r>
          <w:tab/>
        </w:r>
        <w:r>
          <w:fldChar w:fldCharType="begin"/>
        </w:r>
        <w:r>
          <w:instrText xml:space="preserve"> PAGEREF _Toc28825 \h </w:instrText>
        </w:r>
        <w:r>
          <w:fldChar w:fldCharType="separate"/>
        </w:r>
        <w:r>
          <w:t>68</w:t>
        </w:r>
        <w:r>
          <w:fldChar w:fldCharType="end"/>
        </w:r>
      </w:hyperlink>
    </w:p>
    <w:p>
      <w:pPr>
        <w:pStyle w:val="TOC3"/>
        <w:tabs>
          <w:tab w:val="right" w:leader="dot" w:pos="8312"/>
        </w:tabs>
      </w:pPr>
      <w:hyperlink w:anchor="_Toc10064" w:history="1">
        <w:r>
          <w:rPr>
            <w:rFonts w:hint="eastAsia"/>
            <w:szCs w:val="24"/>
          </w:rPr>
          <w:t>1</w:t>
        </w:r>
        <w:r>
          <w:rPr>
            <w:rFonts w:hint="eastAsia"/>
            <w:szCs w:val="24"/>
            <w:lang w:val="en-US" w:eastAsia="zh-CN"/>
          </w:rPr>
          <w:t>4</w:t>
        </w:r>
        <w:r>
          <w:rPr>
            <w:szCs w:val="24"/>
          </w:rPr>
          <w:t>.2.3不确定性分析</w:t>
        </w:r>
        <w:r>
          <w:tab/>
        </w:r>
        <w:r>
          <w:fldChar w:fldCharType="begin"/>
        </w:r>
        <w:r>
          <w:instrText xml:space="preserve"> PAGEREF _Toc10064 \h </w:instrText>
        </w:r>
        <w:r>
          <w:fldChar w:fldCharType="separate"/>
        </w:r>
        <w:r>
          <w:t>68</w:t>
        </w:r>
        <w:r>
          <w:fldChar w:fldCharType="end"/>
        </w:r>
      </w:hyperlink>
    </w:p>
    <w:p>
      <w:pPr>
        <w:pStyle w:val="TOC2"/>
        <w:tabs>
          <w:tab w:val="clear" w:pos="8302"/>
          <w:tab w:val="right" w:leader="dot" w:pos="8312"/>
        </w:tabs>
      </w:pPr>
      <w:hyperlink w:anchor="_Toc9592" w:history="1">
        <w:r>
          <w:rPr>
            <w:rFonts w:ascii="Times New Roman" w:eastAsia="宋体" w:hAnsi="Times New Roman" w:hint="eastAsia"/>
            <w:szCs w:val="28"/>
          </w:rPr>
          <w:t>1</w:t>
        </w:r>
        <w:r>
          <w:rPr>
            <w:rFonts w:ascii="Times New Roman" w:eastAsia="宋体" w:hAnsi="Times New Roman" w:hint="eastAsia"/>
            <w:szCs w:val="28"/>
            <w:lang w:val="en-US" w:eastAsia="zh-CN"/>
          </w:rPr>
          <w:t>4</w:t>
        </w:r>
        <w:r>
          <w:rPr>
            <w:rFonts w:ascii="Times New Roman" w:eastAsia="宋体" w:hAnsi="Times New Roman"/>
            <w:szCs w:val="28"/>
          </w:rPr>
          <w:t>.3</w:t>
        </w:r>
        <w:r>
          <w:rPr>
            <w:rFonts w:ascii="Times New Roman" w:eastAsia="宋体" w:hAnsi="Times New Roman" w:hint="eastAsia"/>
            <w:szCs w:val="28"/>
          </w:rPr>
          <w:t>经济</w:t>
        </w:r>
        <w:r>
          <w:rPr>
            <w:rFonts w:ascii="Times New Roman" w:eastAsia="宋体" w:hAnsi="Times New Roman"/>
            <w:szCs w:val="28"/>
          </w:rPr>
          <w:t>效益评价</w:t>
        </w:r>
        <w:r>
          <w:rPr>
            <w:rFonts w:ascii="Times New Roman" w:eastAsia="宋体" w:hAnsi="Times New Roman" w:hint="eastAsia"/>
            <w:szCs w:val="28"/>
          </w:rPr>
          <w:t>结论</w:t>
        </w:r>
        <w:r>
          <w:tab/>
        </w:r>
        <w:r>
          <w:fldChar w:fldCharType="begin"/>
        </w:r>
        <w:r>
          <w:instrText xml:space="preserve"> PAGEREF _Toc9592 \h </w:instrText>
        </w:r>
        <w:r>
          <w:fldChar w:fldCharType="separate"/>
        </w:r>
        <w:r>
          <w:t>72</w:t>
        </w:r>
        <w:r>
          <w:fldChar w:fldCharType="end"/>
        </w:r>
      </w:hyperlink>
    </w:p>
    <w:p>
      <w:pPr>
        <w:pStyle w:val="TOC1"/>
        <w:tabs>
          <w:tab w:val="clear" w:pos="8296"/>
          <w:tab w:val="right" w:leader="dot" w:pos="8312"/>
        </w:tabs>
      </w:pPr>
      <w:hyperlink w:anchor="_Toc20362" w:history="1">
        <w:r>
          <w:rPr>
            <w:rFonts w:ascii="Times New Roman" w:hAnsi="宋体" w:hint="eastAsia"/>
            <w:bCs w:val="0"/>
          </w:rPr>
          <w:t>第十五章</w:t>
        </w:r>
        <w:r>
          <w:rPr>
            <w:rFonts w:ascii="Times New Roman" w:hAnsi="宋体"/>
            <w:bCs w:val="0"/>
          </w:rPr>
          <w:t xml:space="preserve"> </w:t>
        </w:r>
        <w:r>
          <w:rPr>
            <w:rFonts w:ascii="Times New Roman" w:hAnsi="宋体" w:hint="eastAsia"/>
            <w:bCs w:val="0"/>
          </w:rPr>
          <w:t>风险分析及规避</w:t>
        </w:r>
        <w:r>
          <w:tab/>
        </w:r>
        <w:r>
          <w:fldChar w:fldCharType="begin"/>
        </w:r>
        <w:r>
          <w:instrText xml:space="preserve"> PAGEREF _Toc20362 \h </w:instrText>
        </w:r>
        <w:r>
          <w:fldChar w:fldCharType="separate"/>
        </w:r>
        <w:r>
          <w:t>74</w:t>
        </w:r>
        <w:r>
          <w:fldChar w:fldCharType="end"/>
        </w:r>
      </w:hyperlink>
    </w:p>
    <w:p>
      <w:pPr>
        <w:pStyle w:val="TOC2"/>
        <w:tabs>
          <w:tab w:val="clear" w:pos="8302"/>
          <w:tab w:val="right" w:leader="dot" w:pos="8312"/>
        </w:tabs>
      </w:pPr>
      <w:hyperlink w:anchor="_Toc353" w:history="1">
        <w:r>
          <w:rPr>
            <w:rFonts w:ascii="Times New Roman" w:eastAsia="宋体" w:hAnsi="Times New Roman"/>
            <w:szCs w:val="28"/>
          </w:rPr>
          <w:t>1</w:t>
        </w:r>
        <w:r>
          <w:rPr>
            <w:rFonts w:ascii="Times New Roman" w:eastAsia="宋体" w:hAnsi="Times New Roman" w:hint="eastAsia"/>
            <w:szCs w:val="28"/>
          </w:rPr>
          <w:t>5</w:t>
        </w:r>
        <w:r>
          <w:rPr>
            <w:rFonts w:ascii="Times New Roman" w:eastAsia="宋体" w:hAnsi="Times New Roman"/>
            <w:szCs w:val="28"/>
          </w:rPr>
          <w:t>.1</w:t>
        </w:r>
        <w:r>
          <w:rPr>
            <w:rFonts w:ascii="Times New Roman" w:eastAsia="宋体" w:hAnsi="Times New Roman" w:hint="eastAsia"/>
            <w:szCs w:val="28"/>
          </w:rPr>
          <w:t>项目风险因素</w:t>
        </w:r>
        <w:r>
          <w:tab/>
        </w:r>
        <w:r>
          <w:fldChar w:fldCharType="begin"/>
        </w:r>
        <w:r>
          <w:instrText xml:space="preserve"> PAGEREF _Toc353 \h </w:instrText>
        </w:r>
        <w:r>
          <w:fldChar w:fldCharType="separate"/>
        </w:r>
        <w:r>
          <w:t>74</w:t>
        </w:r>
        <w:r>
          <w:fldChar w:fldCharType="end"/>
        </w:r>
      </w:hyperlink>
    </w:p>
    <w:p>
      <w:pPr>
        <w:pStyle w:val="TOC3"/>
        <w:tabs>
          <w:tab w:val="right" w:leader="dot" w:pos="8312"/>
        </w:tabs>
      </w:pPr>
      <w:hyperlink w:anchor="_Toc17063" w:history="1">
        <w:r>
          <w:rPr>
            <w:szCs w:val="24"/>
          </w:rPr>
          <w:t>1</w:t>
        </w:r>
        <w:r>
          <w:rPr>
            <w:rFonts w:hint="eastAsia"/>
            <w:szCs w:val="24"/>
          </w:rPr>
          <w:t>5</w:t>
        </w:r>
        <w:r>
          <w:rPr>
            <w:szCs w:val="24"/>
          </w:rPr>
          <w:t>.1.1</w:t>
        </w:r>
        <w:r>
          <w:rPr>
            <w:rFonts w:hint="eastAsia"/>
            <w:szCs w:val="24"/>
          </w:rPr>
          <w:t>不可抗力因素风险</w:t>
        </w:r>
        <w:r>
          <w:tab/>
        </w:r>
        <w:r>
          <w:fldChar w:fldCharType="begin"/>
        </w:r>
        <w:r>
          <w:instrText xml:space="preserve"> PAGEREF _Toc17063 \h </w:instrText>
        </w:r>
        <w:r>
          <w:fldChar w:fldCharType="separate"/>
        </w:r>
        <w:r>
          <w:t>74</w:t>
        </w:r>
        <w:r>
          <w:fldChar w:fldCharType="end"/>
        </w:r>
      </w:hyperlink>
    </w:p>
    <w:p>
      <w:pPr>
        <w:pStyle w:val="TOC3"/>
        <w:tabs>
          <w:tab w:val="right" w:leader="dot" w:pos="8312"/>
        </w:tabs>
      </w:pPr>
      <w:hyperlink w:anchor="_Toc1448" w:history="1">
        <w:r>
          <w:rPr>
            <w:szCs w:val="24"/>
          </w:rPr>
          <w:t>1</w:t>
        </w:r>
        <w:r>
          <w:rPr>
            <w:rFonts w:hint="eastAsia"/>
            <w:szCs w:val="24"/>
          </w:rPr>
          <w:t>5</w:t>
        </w:r>
        <w:r>
          <w:rPr>
            <w:szCs w:val="24"/>
          </w:rPr>
          <w:t>.1.</w:t>
        </w:r>
        <w:r>
          <w:rPr>
            <w:rFonts w:hint="eastAsia"/>
            <w:szCs w:val="24"/>
          </w:rPr>
          <w:t>2市场风险</w:t>
        </w:r>
        <w:r>
          <w:tab/>
        </w:r>
        <w:r>
          <w:fldChar w:fldCharType="begin"/>
        </w:r>
        <w:r>
          <w:instrText xml:space="preserve"> PAGEREF _Toc1448 \h </w:instrText>
        </w:r>
        <w:r>
          <w:fldChar w:fldCharType="separate"/>
        </w:r>
        <w:r>
          <w:t>74</w:t>
        </w:r>
        <w:r>
          <w:fldChar w:fldCharType="end"/>
        </w:r>
      </w:hyperlink>
    </w:p>
    <w:p>
      <w:pPr>
        <w:pStyle w:val="TOC3"/>
        <w:tabs>
          <w:tab w:val="right" w:leader="dot" w:pos="8312"/>
        </w:tabs>
      </w:pPr>
      <w:hyperlink w:anchor="_Toc18070" w:history="1">
        <w:r>
          <w:rPr>
            <w:szCs w:val="24"/>
          </w:rPr>
          <w:t>1</w:t>
        </w:r>
        <w:r>
          <w:rPr>
            <w:rFonts w:hint="eastAsia"/>
            <w:szCs w:val="24"/>
          </w:rPr>
          <w:t>5</w:t>
        </w:r>
        <w:r>
          <w:rPr>
            <w:szCs w:val="24"/>
          </w:rPr>
          <w:t>.1.</w:t>
        </w:r>
        <w:r>
          <w:rPr>
            <w:rFonts w:hint="eastAsia"/>
            <w:szCs w:val="24"/>
          </w:rPr>
          <w:t>3资金管理风险</w:t>
        </w:r>
        <w:r>
          <w:tab/>
        </w:r>
        <w:r>
          <w:fldChar w:fldCharType="begin"/>
        </w:r>
        <w:r>
          <w:instrText xml:space="preserve"> PAGEREF _Toc18070 \h </w:instrText>
        </w:r>
        <w:r>
          <w:fldChar w:fldCharType="separate"/>
        </w:r>
        <w:r>
          <w:t>74</w:t>
        </w:r>
        <w:r>
          <w:fldChar w:fldCharType="end"/>
        </w:r>
      </w:hyperlink>
    </w:p>
    <w:p>
      <w:pPr>
        <w:pStyle w:val="TOC2"/>
        <w:tabs>
          <w:tab w:val="clear" w:pos="8302"/>
          <w:tab w:val="right" w:leader="dot" w:pos="8312"/>
        </w:tabs>
      </w:pPr>
      <w:hyperlink w:anchor="_Toc19112" w:history="1">
        <w:r>
          <w:rPr>
            <w:rFonts w:ascii="Times New Roman" w:eastAsia="宋体" w:hAnsi="Times New Roman"/>
            <w:szCs w:val="28"/>
          </w:rPr>
          <w:t>1</w:t>
        </w:r>
        <w:r>
          <w:rPr>
            <w:rFonts w:ascii="Times New Roman" w:eastAsia="宋体" w:hAnsi="Times New Roman" w:hint="eastAsia"/>
            <w:szCs w:val="28"/>
          </w:rPr>
          <w:t>5</w:t>
        </w:r>
        <w:r>
          <w:rPr>
            <w:rFonts w:ascii="Times New Roman" w:eastAsia="宋体" w:hAnsi="Times New Roman"/>
            <w:szCs w:val="28"/>
          </w:rPr>
          <w:t>.2</w:t>
        </w:r>
        <w:r>
          <w:rPr>
            <w:rFonts w:ascii="Times New Roman" w:eastAsia="宋体" w:hAnsi="Times New Roman" w:hint="eastAsia"/>
            <w:szCs w:val="28"/>
          </w:rPr>
          <w:t>风险规避对策</w:t>
        </w:r>
        <w:r>
          <w:tab/>
        </w:r>
        <w:r>
          <w:fldChar w:fldCharType="begin"/>
        </w:r>
        <w:r>
          <w:instrText xml:space="preserve"> PAGEREF _Toc19112 \h </w:instrText>
        </w:r>
        <w:r>
          <w:fldChar w:fldCharType="separate"/>
        </w:r>
        <w:r>
          <w:t>74</w:t>
        </w:r>
        <w:r>
          <w:fldChar w:fldCharType="end"/>
        </w:r>
      </w:hyperlink>
    </w:p>
    <w:p>
      <w:pPr>
        <w:pStyle w:val="TOC3"/>
        <w:tabs>
          <w:tab w:val="right" w:leader="dot" w:pos="8312"/>
        </w:tabs>
        <w:sectPr>
          <w:headerReference w:type="default" r:id="rId20"/>
          <w:footerReference w:type="default" r:id="rId21"/>
          <w:headerReference w:type="first" r:id="rId22"/>
          <w:footerReference w:type="first" r:id="rId23"/>
          <w:type w:val="nextPage"/>
          <w:pgSz w:w="11906" w:h="16838"/>
          <w:pgMar w:top="1440" w:right="1797" w:bottom="1440" w:left="1797" w:header="851" w:footer="992" w:gutter="0"/>
          <w:pgNumType w:fmt="decimal" w:start="4"/>
          <w:cols w:space="708"/>
          <w:titlePg w:val="0"/>
          <w:docGrid w:type="lines" w:linePitch="312"/>
        </w:sectPr>
      </w:pPr>
      <w:hyperlink w:anchor="_Toc31697" w:history="1">
        <w:r>
          <w:rPr>
            <w:szCs w:val="24"/>
          </w:rPr>
          <w:t>1</w:t>
        </w:r>
        <w:r>
          <w:rPr>
            <w:rFonts w:hint="eastAsia"/>
            <w:szCs w:val="24"/>
          </w:rPr>
          <w:t>5</w:t>
        </w:r>
        <w:r>
          <w:rPr>
            <w:szCs w:val="24"/>
          </w:rPr>
          <w:t>.2.1</w:t>
        </w:r>
        <w:r>
          <w:rPr>
            <w:rFonts w:hint="eastAsia"/>
            <w:szCs w:val="24"/>
          </w:rPr>
          <w:t>不可抗力因素风险规避对策</w:t>
        </w:r>
        <w:r>
          <w:tab/>
        </w:r>
        <w:r>
          <w:fldChar w:fldCharType="begin"/>
        </w:r>
        <w:r>
          <w:instrText xml:space="preserve"> PAGEREF _Toc31697 \h </w:instrText>
        </w:r>
        <w:r>
          <w:fldChar w:fldCharType="separate"/>
        </w:r>
        <w:r>
          <w:t>75</w:t>
        </w:r>
        <w:r>
          <w:fldChar w:fldCharType="end"/>
        </w:r>
      </w:hyperlink>
    </w:p>
    <w:p>
      <w:pPr>
        <w:pStyle w:val="TOC3"/>
        <w:tabs>
          <w:tab w:val="right" w:leader="dot" w:pos="8312"/>
        </w:tabs>
      </w:pPr>
      <w:hyperlink w:anchor="_Toc14959" w:history="1">
        <w:r>
          <w:rPr>
            <w:szCs w:val="24"/>
          </w:rPr>
          <w:t>1</w:t>
        </w:r>
        <w:r>
          <w:rPr>
            <w:rFonts w:hint="eastAsia"/>
            <w:szCs w:val="24"/>
          </w:rPr>
          <w:t>5</w:t>
        </w:r>
        <w:r>
          <w:rPr>
            <w:szCs w:val="24"/>
          </w:rPr>
          <w:t>.2.</w:t>
        </w:r>
        <w:r>
          <w:rPr>
            <w:rFonts w:hint="eastAsia"/>
            <w:szCs w:val="24"/>
          </w:rPr>
          <w:t>2市场风险规避对策</w:t>
        </w:r>
        <w:r>
          <w:tab/>
        </w:r>
        <w:r>
          <w:fldChar w:fldCharType="begin"/>
        </w:r>
        <w:r>
          <w:instrText xml:space="preserve"> PAGEREF _Toc14959 \h </w:instrText>
        </w:r>
        <w:r>
          <w:fldChar w:fldCharType="separate"/>
        </w:r>
        <w:r>
          <w:t>75</w:t>
        </w:r>
        <w:r>
          <w:fldChar w:fldCharType="end"/>
        </w:r>
      </w:hyperlink>
    </w:p>
    <w:p>
      <w:pPr>
        <w:pStyle w:val="TOC3"/>
        <w:tabs>
          <w:tab w:val="right" w:leader="dot" w:pos="8312"/>
        </w:tabs>
      </w:pPr>
      <w:hyperlink w:anchor="_Toc10679" w:history="1">
        <w:r>
          <w:rPr>
            <w:szCs w:val="24"/>
          </w:rPr>
          <w:t>1</w:t>
        </w:r>
        <w:r>
          <w:rPr>
            <w:rFonts w:hint="eastAsia"/>
            <w:szCs w:val="24"/>
          </w:rPr>
          <w:t>5</w:t>
        </w:r>
        <w:r>
          <w:rPr>
            <w:szCs w:val="24"/>
          </w:rPr>
          <w:t>.2.</w:t>
        </w:r>
        <w:r>
          <w:rPr>
            <w:rFonts w:hint="eastAsia"/>
            <w:szCs w:val="24"/>
          </w:rPr>
          <w:t>3资金管理风险规避对策</w:t>
        </w:r>
        <w:r>
          <w:tab/>
        </w:r>
        <w:r>
          <w:fldChar w:fldCharType="begin"/>
        </w:r>
        <w:r>
          <w:instrText xml:space="preserve"> PAGEREF _Toc10679 \h </w:instrText>
        </w:r>
        <w:r>
          <w:fldChar w:fldCharType="separate"/>
        </w:r>
        <w:r>
          <w:t>75</w:t>
        </w:r>
        <w:r>
          <w:fldChar w:fldCharType="end"/>
        </w:r>
      </w:hyperlink>
    </w:p>
    <w:p>
      <w:pPr>
        <w:pStyle w:val="TOC1"/>
        <w:tabs>
          <w:tab w:val="clear" w:pos="8296"/>
          <w:tab w:val="right" w:leader="dot" w:pos="8312"/>
        </w:tabs>
      </w:pPr>
      <w:hyperlink w:anchor="_Toc13860" w:history="1">
        <w:r>
          <w:rPr>
            <w:rFonts w:ascii="Times New Roman" w:hAnsi="宋体" w:hint="eastAsia"/>
          </w:rPr>
          <w:t>第十</w:t>
        </w:r>
        <w:r>
          <w:rPr>
            <w:rFonts w:ascii="Times New Roman" w:hAnsi="宋体" w:hint="eastAsia"/>
            <w:lang w:eastAsia="zh-CN"/>
          </w:rPr>
          <w:t>六</w:t>
        </w:r>
        <w:r>
          <w:rPr>
            <w:rFonts w:ascii="Times New Roman" w:hAnsi="宋体" w:hint="eastAsia"/>
          </w:rPr>
          <w:t>章 结论与建议</w:t>
        </w:r>
        <w:r>
          <w:tab/>
        </w:r>
        <w:r>
          <w:fldChar w:fldCharType="begin"/>
        </w:r>
        <w:r>
          <w:instrText xml:space="preserve"> PAGEREF _Toc13860 \h </w:instrText>
        </w:r>
        <w:r>
          <w:fldChar w:fldCharType="separate"/>
        </w:r>
        <w:r>
          <w:t>76</w:t>
        </w:r>
        <w:r>
          <w:fldChar w:fldCharType="end"/>
        </w:r>
      </w:hyperlink>
    </w:p>
    <w:p>
      <w:pPr>
        <w:pStyle w:val="TOC2"/>
        <w:tabs>
          <w:tab w:val="clear" w:pos="8302"/>
          <w:tab w:val="right" w:leader="dot" w:pos="8312"/>
        </w:tabs>
      </w:pPr>
      <w:hyperlink w:anchor="_Toc12026" w:history="1">
        <w:r>
          <w:rPr>
            <w:rFonts w:ascii="Times New Roman" w:eastAsia="宋体" w:hAnsi="Times New Roman" w:hint="eastAsia"/>
            <w:szCs w:val="28"/>
          </w:rPr>
          <w:t>1</w:t>
        </w:r>
        <w:r>
          <w:rPr>
            <w:rFonts w:ascii="Times New Roman" w:eastAsia="宋体" w:hAnsi="Times New Roman" w:hint="eastAsia"/>
            <w:szCs w:val="28"/>
            <w:lang w:val="en-US" w:eastAsia="zh-CN"/>
          </w:rPr>
          <w:t>6</w:t>
        </w:r>
        <w:r>
          <w:rPr>
            <w:rFonts w:ascii="Times New Roman" w:eastAsia="宋体" w:hAnsi="Times New Roman" w:hint="eastAsia"/>
            <w:szCs w:val="28"/>
          </w:rPr>
          <w:t>.1结论</w:t>
        </w:r>
        <w:r>
          <w:tab/>
        </w:r>
        <w:r>
          <w:fldChar w:fldCharType="begin"/>
        </w:r>
        <w:r>
          <w:instrText xml:space="preserve"> PAGEREF _Toc12026 \h </w:instrText>
        </w:r>
        <w:r>
          <w:fldChar w:fldCharType="separate"/>
        </w:r>
        <w:r>
          <w:t>76</w:t>
        </w:r>
        <w:r>
          <w:fldChar w:fldCharType="end"/>
        </w:r>
      </w:hyperlink>
    </w:p>
    <w:p>
      <w:pPr>
        <w:pStyle w:val="TOC2"/>
        <w:tabs>
          <w:tab w:val="clear" w:pos="8302"/>
          <w:tab w:val="right" w:leader="dot" w:pos="8312"/>
        </w:tabs>
      </w:pPr>
      <w:hyperlink w:anchor="_Toc9043" w:history="1">
        <w:r>
          <w:rPr>
            <w:rFonts w:ascii="Times New Roman" w:eastAsia="宋体" w:hAnsi="Times New Roman" w:hint="eastAsia"/>
            <w:szCs w:val="28"/>
          </w:rPr>
          <w:t>1</w:t>
        </w:r>
        <w:r>
          <w:rPr>
            <w:rFonts w:ascii="Times New Roman" w:eastAsia="宋体" w:hAnsi="Times New Roman" w:hint="eastAsia"/>
            <w:szCs w:val="28"/>
            <w:lang w:val="en-US" w:eastAsia="zh-CN"/>
          </w:rPr>
          <w:t>6</w:t>
        </w:r>
        <w:r>
          <w:rPr>
            <w:rFonts w:ascii="Times New Roman" w:eastAsia="宋体" w:hAnsi="Times New Roman" w:hint="eastAsia"/>
            <w:szCs w:val="28"/>
          </w:rPr>
          <w:t>.2建议</w:t>
        </w:r>
        <w:r>
          <w:tab/>
        </w:r>
        <w:r>
          <w:fldChar w:fldCharType="begin"/>
        </w:r>
        <w:r>
          <w:instrText xml:space="preserve"> PAGEREF _Toc9043 \h </w:instrText>
        </w:r>
        <w:r>
          <w:fldChar w:fldCharType="separate"/>
        </w:r>
        <w:r>
          <w:t>76</w:t>
        </w:r>
        <w:r>
          <w:fldChar w:fldCharType="end"/>
        </w:r>
      </w:hyperlink>
    </w:p>
    <w:p>
      <w:pPr>
        <w:ind w:firstLine="315" w:firstLineChars="150"/>
        <w:rPr>
          <w:rFonts w:hint="eastAsia"/>
          <w:color w:val="000000"/>
          <w:szCs w:val="21"/>
        </w:rPr>
      </w:pPr>
      <w:r>
        <w:rPr>
          <w:color w:val="000000"/>
        </w:rPr>
        <w:fldChar w:fldCharType="end"/>
      </w:r>
    </w:p>
    <w:p>
      <w:pPr>
        <w:pStyle w:val="TOC1"/>
        <w:tabs>
          <w:tab w:val="right" w:leader="dot" w:pos="8296"/>
        </w:tabs>
        <w:spacing w:before="100" w:beforeLines="0" w:beforeAutospacing="1" w:after="100" w:afterLines="0" w:afterAutospacing="1" w:line="360" w:lineRule="auto"/>
        <w:rPr>
          <w:rFonts w:ascii="Times New Roman" w:eastAsia="宋体"/>
          <w:color w:val="000000"/>
        </w:rPr>
      </w:pPr>
    </w:p>
    <w:p>
      <w:pPr>
        <w:rPr>
          <w:rFonts w:ascii="Times New Roman" w:eastAsia="宋体"/>
          <w:color w:val="000000"/>
        </w:rPr>
      </w:pPr>
    </w:p>
    <w:p>
      <w:pPr>
        <w:rPr>
          <w:rFonts w:ascii="Times New Roman" w:eastAsia="宋体"/>
          <w:color w:val="000000"/>
        </w:rPr>
      </w:pPr>
    </w:p>
    <w:p>
      <w:pPr>
        <w:ind w:firstLine="420" w:firstLineChars="0"/>
        <w:rPr>
          <w:rFonts w:ascii="Times New Roman" w:eastAsia="宋体" w:hint="default"/>
          <w:color w:val="000000"/>
          <w:sz w:val="28"/>
          <w:szCs w:val="36"/>
        </w:rPr>
        <w:sectPr>
          <w:headerReference w:type="default" r:id="rId24"/>
          <w:footerReference w:type="default" r:id="rId25"/>
          <w:headerReference w:type="first" r:id="rId26"/>
          <w:footerReference w:type="first" r:id="rId27"/>
          <w:type w:val="nextPage"/>
          <w:pgSz w:w="11906" w:h="16838"/>
          <w:pgMar w:top="1440" w:right="1797" w:bottom="1440" w:left="1797" w:header="851" w:footer="992" w:gutter="0"/>
          <w:pgNumType w:fmt="decimal" w:start="5"/>
          <w:cols w:space="708"/>
          <w:titlePg w:val="0"/>
          <w:docGrid w:type="lines" w:linePitch="312"/>
        </w:sectPr>
      </w:pPr>
      <w:r>
        <w:rPr>
          <w:rFonts w:ascii="Times New Roman" w:eastAsia="宋体" w:hint="eastAsia"/>
          <w:color w:val="000000"/>
          <w:sz w:val="28"/>
          <w:szCs w:val="36"/>
          <w:lang w:eastAsia="zh-CN"/>
        </w:rPr>
        <w:t>标准化香菇示范基地项目可行性研</w:t>
      </w:r>
      <w:r>
        <w:rPr>
          <w:rFonts w:ascii="Times New Roman" w:eastAsia="宋体" w:hint="eastAsia"/>
          <w:color w:val="000000"/>
          <w:sz w:val="28"/>
          <w:szCs w:val="36"/>
          <w:lang w:val="en-US" w:eastAsia="zh-CN"/>
        </w:rPr>
        <w:t>究</w:t>
      </w:r>
      <w:r>
        <w:rPr>
          <w:rFonts w:ascii="Times New Roman" w:eastAsia="宋体" w:hint="eastAsia"/>
          <w:color w:val="000000"/>
          <w:sz w:val="28"/>
          <w:szCs w:val="36"/>
          <w:lang w:eastAsia="zh-CN"/>
        </w:rPr>
        <w:t>报告模版仅供参考或编写过程中格式借鉴使用，不作为实际项目投资使用。本报告中所发表的观点和结论仅供报告持有者参考使用；报告编制人员对本报告披露的信息不作承诺性保证，也不对各级政府部门（客户或潜在投资者）因参考报告内容而产生的相关后果承担法律责任；因此，报告的持有者和审阅者应当完全拥有自主采纳权和取舍权，敬请本报告的所有读者给予谅解！</w:t>
      </w:r>
    </w:p>
    <w:p>
      <w:pPr>
        <w:pStyle w:val="Heading1"/>
        <w:spacing w:before="100" w:beforeLines="0" w:beforeAutospacing="1" w:after="100" w:afterLines="0" w:afterAutospacing="1" w:line="360" w:lineRule="auto"/>
        <w:jc w:val="center"/>
        <w:rPr>
          <w:rFonts w:ascii="Times New Roman" w:hAnsi="Times New Roman" w:hint="eastAsia"/>
          <w:color w:val="000000"/>
          <w:sz w:val="30"/>
        </w:rPr>
      </w:pPr>
      <w:bookmarkStart w:id="0" w:name="_Toc6314"/>
      <w:r>
        <w:rPr>
          <w:rFonts w:ascii="Times New Roman" w:hAnsi="宋体"/>
          <w:color w:val="000000"/>
          <w:sz w:val="30"/>
        </w:rPr>
        <w:t>第一章</w:t>
      </w:r>
      <w:r>
        <w:rPr>
          <w:rFonts w:ascii="Times New Roman" w:hAnsi="Times New Roman"/>
          <w:color w:val="000000"/>
          <w:sz w:val="30"/>
        </w:rPr>
        <w:t xml:space="preserve"> </w:t>
      </w:r>
      <w:r>
        <w:rPr>
          <w:rFonts w:ascii="Times New Roman" w:hAnsi="宋体" w:hint="eastAsia"/>
          <w:color w:val="000000"/>
          <w:sz w:val="30"/>
        </w:rPr>
        <w:t>总 论</w:t>
      </w:r>
      <w:bookmarkEnd w:id="0"/>
    </w:p>
    <w:p>
      <w:pPr>
        <w:pStyle w:val="Heading2"/>
        <w:spacing w:before="156" w:beforeLines="50" w:after="156" w:afterLines="50" w:line="360" w:lineRule="auto"/>
        <w:rPr>
          <w:rFonts w:ascii="Times New Roman" w:eastAsia="宋体" w:hAnsi="Times New Roman"/>
          <w:color w:val="000000"/>
          <w:sz w:val="26"/>
          <w:szCs w:val="28"/>
        </w:rPr>
      </w:pPr>
      <w:bookmarkStart w:id="1" w:name="_Toc27280"/>
      <w:r>
        <w:rPr>
          <w:rFonts w:ascii="Times New Roman" w:eastAsia="宋体" w:hAnsi="Times New Roman"/>
          <w:color w:val="000000"/>
          <w:sz w:val="26"/>
          <w:szCs w:val="28"/>
        </w:rPr>
        <w:t>1.1项目概要</w:t>
      </w:r>
      <w:bookmarkEnd w:id="1"/>
    </w:p>
    <w:p>
      <w:pPr>
        <w:pStyle w:val="Heading3"/>
        <w:rPr>
          <w:color w:val="000000"/>
          <w:sz w:val="24"/>
          <w:szCs w:val="24"/>
        </w:rPr>
      </w:pPr>
      <w:bookmarkStart w:id="2" w:name="_Toc18334"/>
      <w:r>
        <w:rPr>
          <w:color w:val="000000"/>
          <w:sz w:val="24"/>
          <w:szCs w:val="24"/>
        </w:rPr>
        <w:t>1.1.1项目名称</w:t>
      </w:r>
      <w:bookmarkEnd w:id="2"/>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lang w:eastAsia="zh-CN"/>
        </w:rPr>
        <w:t>标准化香菇示范基地</w:t>
      </w:r>
      <w:r>
        <w:rPr>
          <w:rFonts w:hint="eastAsia"/>
          <w:color w:val="000000"/>
          <w:kern w:val="0"/>
          <w:sz w:val="26"/>
          <w:szCs w:val="28"/>
        </w:rPr>
        <w:t>项目</w:t>
      </w:r>
    </w:p>
    <w:p>
      <w:pPr>
        <w:pStyle w:val="Heading3"/>
        <w:rPr>
          <w:rFonts w:hint="eastAsia"/>
          <w:color w:val="000000"/>
          <w:sz w:val="24"/>
          <w:szCs w:val="24"/>
        </w:rPr>
      </w:pPr>
      <w:bookmarkStart w:id="3" w:name="_Toc19103"/>
      <w:r>
        <w:rPr>
          <w:rFonts w:hint="eastAsia"/>
          <w:color w:val="000000"/>
          <w:sz w:val="24"/>
          <w:szCs w:val="24"/>
        </w:rPr>
        <w:t>1</w:t>
      </w:r>
      <w:r>
        <w:rPr>
          <w:color w:val="000000"/>
          <w:sz w:val="24"/>
          <w:szCs w:val="24"/>
        </w:rPr>
        <w:t>.</w:t>
      </w:r>
      <w:r>
        <w:rPr>
          <w:rFonts w:hint="eastAsia"/>
          <w:color w:val="000000"/>
          <w:sz w:val="24"/>
          <w:szCs w:val="24"/>
        </w:rPr>
        <w:t>1</w:t>
      </w:r>
      <w:r>
        <w:rPr>
          <w:color w:val="000000"/>
          <w:sz w:val="24"/>
          <w:szCs w:val="24"/>
        </w:rPr>
        <w:t>.</w:t>
      </w:r>
      <w:r>
        <w:rPr>
          <w:rFonts w:hint="eastAsia"/>
          <w:color w:val="000000"/>
          <w:sz w:val="24"/>
          <w:szCs w:val="24"/>
        </w:rPr>
        <w:t>2项目建设单位</w:t>
      </w:r>
      <w:bookmarkEnd w:id="3"/>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lang w:val="en-US" w:eastAsia="zh-CN"/>
        </w:rPr>
        <w:t>X</w:t>
      </w:r>
      <w:r>
        <w:rPr>
          <w:rFonts w:hint="eastAsia"/>
          <w:color w:val="000000"/>
          <w:kern w:val="0"/>
          <w:sz w:val="26"/>
          <w:szCs w:val="28"/>
          <w:lang w:eastAsia="zh-CN"/>
        </w:rPr>
        <w:t>XX有限公司</w:t>
      </w:r>
    </w:p>
    <w:p>
      <w:pPr>
        <w:pStyle w:val="Heading3"/>
        <w:rPr>
          <w:color w:val="000000"/>
          <w:sz w:val="24"/>
          <w:szCs w:val="24"/>
        </w:rPr>
      </w:pPr>
      <w:bookmarkStart w:id="4" w:name="_Toc31693"/>
      <w:r>
        <w:rPr>
          <w:color w:val="000000"/>
          <w:sz w:val="24"/>
          <w:szCs w:val="24"/>
        </w:rPr>
        <w:t>1.1.3项目建设性质</w:t>
      </w:r>
      <w:bookmarkEnd w:id="4"/>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新建项目</w:t>
      </w:r>
    </w:p>
    <w:p>
      <w:pPr>
        <w:pStyle w:val="Heading3"/>
        <w:rPr>
          <w:rFonts w:hint="eastAsia"/>
          <w:color w:val="000000"/>
          <w:sz w:val="24"/>
          <w:szCs w:val="24"/>
        </w:rPr>
      </w:pPr>
      <w:bookmarkStart w:id="5" w:name="_Toc24481"/>
      <w:r>
        <w:rPr>
          <w:rFonts w:hint="eastAsia"/>
          <w:color w:val="000000"/>
          <w:sz w:val="24"/>
          <w:szCs w:val="24"/>
        </w:rPr>
        <w:t>1</w:t>
      </w:r>
      <w:r>
        <w:rPr>
          <w:color w:val="000000"/>
          <w:sz w:val="24"/>
          <w:szCs w:val="24"/>
        </w:rPr>
        <w:t>.</w:t>
      </w:r>
      <w:r>
        <w:rPr>
          <w:rFonts w:hint="eastAsia"/>
          <w:color w:val="000000"/>
          <w:sz w:val="24"/>
          <w:szCs w:val="24"/>
        </w:rPr>
        <w:t>1</w:t>
      </w:r>
      <w:r>
        <w:rPr>
          <w:color w:val="000000"/>
          <w:sz w:val="24"/>
          <w:szCs w:val="24"/>
        </w:rPr>
        <w:t>.</w:t>
      </w:r>
      <w:r>
        <w:rPr>
          <w:rFonts w:hint="eastAsia"/>
          <w:color w:val="000000"/>
          <w:sz w:val="24"/>
          <w:szCs w:val="24"/>
        </w:rPr>
        <w:t>4项目建设地点</w:t>
      </w:r>
      <w:bookmarkEnd w:id="5"/>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本项目建设地址是</w:t>
      </w:r>
      <w:r>
        <w:rPr>
          <w:rFonts w:hint="eastAsia"/>
          <w:color w:val="000000"/>
          <w:kern w:val="0"/>
          <w:sz w:val="26"/>
          <w:szCs w:val="28"/>
          <w:lang w:eastAsia="zh-CN"/>
        </w:rPr>
        <w:t>武汉市</w:t>
      </w:r>
    </w:p>
    <w:p>
      <w:pPr>
        <w:pStyle w:val="Heading3"/>
        <w:rPr>
          <w:rFonts w:hint="eastAsia"/>
          <w:color w:val="000000"/>
          <w:sz w:val="24"/>
          <w:szCs w:val="24"/>
        </w:rPr>
      </w:pPr>
      <w:bookmarkStart w:id="6" w:name="_Toc7227"/>
      <w:r>
        <w:rPr>
          <w:rFonts w:hint="eastAsia"/>
          <w:color w:val="000000"/>
          <w:sz w:val="24"/>
          <w:szCs w:val="24"/>
        </w:rPr>
        <w:t>1</w:t>
      </w:r>
      <w:r>
        <w:rPr>
          <w:color w:val="000000"/>
          <w:sz w:val="24"/>
          <w:szCs w:val="24"/>
        </w:rPr>
        <w:t>.</w:t>
      </w:r>
      <w:r>
        <w:rPr>
          <w:rFonts w:hint="eastAsia"/>
          <w:color w:val="000000"/>
          <w:sz w:val="24"/>
          <w:szCs w:val="24"/>
        </w:rPr>
        <w:t>1</w:t>
      </w:r>
      <w:r>
        <w:rPr>
          <w:color w:val="000000"/>
          <w:sz w:val="24"/>
          <w:szCs w:val="24"/>
        </w:rPr>
        <w:t>.</w:t>
      </w:r>
      <w:r>
        <w:rPr>
          <w:rFonts w:hint="eastAsia"/>
          <w:color w:val="000000"/>
          <w:sz w:val="24"/>
          <w:szCs w:val="24"/>
        </w:rPr>
        <w:t>5项目负责人</w:t>
      </w:r>
      <w:bookmarkEnd w:id="6"/>
    </w:p>
    <w:p>
      <w:pPr>
        <w:spacing w:after="156" w:afterLines="50" w:line="520" w:lineRule="exact"/>
        <w:ind w:firstLine="560" w:firstLineChars="200"/>
        <w:rPr>
          <w:rFonts w:eastAsia="宋体" w:hint="eastAsia"/>
          <w:color w:val="000000"/>
          <w:kern w:val="0"/>
          <w:sz w:val="26"/>
          <w:szCs w:val="28"/>
        </w:rPr>
      </w:pPr>
      <w:r>
        <w:rPr>
          <w:rFonts w:ascii="宋体" w:eastAsia="宋体" w:hAnsi="宋体" w:cs="宋体"/>
          <w:sz w:val="28"/>
          <w:szCs w:val="28"/>
        </w:rPr>
        <w:t>报告</w:t>
      </w:r>
      <w:r>
        <w:rPr>
          <w:rFonts w:ascii="宋体" w:eastAsia="宋体" w:hAnsi="宋体" w:cs="宋体" w:hint="eastAsia"/>
          <w:sz w:val="28"/>
          <w:szCs w:val="28"/>
          <w:lang w:val="en-US" w:eastAsia="zh-CN"/>
        </w:rPr>
        <w:t>定制编写</w:t>
      </w:r>
      <w:r>
        <w:rPr>
          <w:rFonts w:ascii="宋体" w:eastAsia="宋体" w:hAnsi="宋体" w:cs="宋体"/>
          <w:sz w:val="28"/>
          <w:szCs w:val="28"/>
        </w:rPr>
        <w:t>：</w:t>
      </w:r>
      <w:r>
        <w:rPr>
          <w:rFonts w:ascii="宋体" w:eastAsia="宋体" w:hAnsi="宋体" w:cs="宋体" w:hint="eastAsia"/>
          <w:color w:val="000000"/>
          <w:sz w:val="28"/>
          <w:szCs w:val="36"/>
          <w:lang w:val="en-US" w:eastAsia="zh-CN"/>
        </w:rPr>
        <w:t>中投信德杨刚工程师</w:t>
      </w:r>
    </w:p>
    <w:p>
      <w:pPr>
        <w:pStyle w:val="Heading3"/>
        <w:rPr>
          <w:rFonts w:hint="eastAsia"/>
          <w:color w:val="000000"/>
          <w:sz w:val="24"/>
          <w:szCs w:val="24"/>
        </w:rPr>
      </w:pPr>
      <w:bookmarkStart w:id="7" w:name="_Toc923"/>
      <w:bookmarkStart w:id="8" w:name="_Toc19872374"/>
      <w:r>
        <w:rPr>
          <w:rFonts w:hint="eastAsia"/>
          <w:color w:val="000000"/>
          <w:sz w:val="24"/>
          <w:szCs w:val="24"/>
        </w:rPr>
        <w:t>1</w:t>
      </w:r>
      <w:r>
        <w:rPr>
          <w:color w:val="000000"/>
          <w:sz w:val="24"/>
          <w:szCs w:val="24"/>
        </w:rPr>
        <w:t>.</w:t>
      </w:r>
      <w:r>
        <w:rPr>
          <w:rFonts w:hint="eastAsia"/>
          <w:color w:val="000000"/>
          <w:sz w:val="24"/>
          <w:szCs w:val="24"/>
        </w:rPr>
        <w:t>1</w:t>
      </w:r>
      <w:r>
        <w:rPr>
          <w:color w:val="000000"/>
          <w:sz w:val="24"/>
          <w:szCs w:val="24"/>
        </w:rPr>
        <w:t>.</w:t>
      </w:r>
      <w:r>
        <w:rPr>
          <w:rFonts w:hint="eastAsia"/>
          <w:color w:val="000000"/>
          <w:sz w:val="24"/>
          <w:szCs w:val="24"/>
        </w:rPr>
        <w:t>6项目投资规模</w:t>
      </w:r>
      <w:bookmarkEnd w:id="7"/>
      <w:bookmarkEnd w:id="8"/>
    </w:p>
    <w:p>
      <w:pPr>
        <w:spacing w:after="156" w:afterLines="50" w:line="520" w:lineRule="exact"/>
        <w:ind w:firstLine="520" w:firstLineChars="200"/>
        <w:rPr>
          <w:rFonts w:hint="eastAsia"/>
          <w:color w:val="000000"/>
          <w:kern w:val="0"/>
          <w:sz w:val="26"/>
          <w:szCs w:val="28"/>
        </w:rPr>
      </w:pPr>
      <w:r>
        <w:rPr>
          <w:color w:val="000000"/>
          <w:kern w:val="0"/>
          <w:sz w:val="26"/>
          <w:szCs w:val="28"/>
        </w:rPr>
        <w:t>本项目总投资金额为18000.00万</w:t>
      </w:r>
      <w:r>
        <w:rPr>
          <w:rFonts w:hint="eastAsia"/>
          <w:color w:val="000000"/>
          <w:kern w:val="0"/>
          <w:sz w:val="26"/>
          <w:szCs w:val="28"/>
        </w:rPr>
        <w:t>元，其中，建设投资为16000.00万元（土建工程为6841.90万元，设备及安装投资6881.00万元，土地费用为1500.00万元，其他费用为463.10万元，预备费314.00万元），铺底流动资金为2000.00万元。</w:t>
      </w:r>
    </w:p>
    <w:p>
      <w:pPr>
        <w:spacing w:after="156" w:afterLines="50" w:line="520" w:lineRule="exact"/>
        <w:ind w:firstLine="520" w:firstLineChars="200"/>
        <w:rPr>
          <w:rFonts w:hint="eastAsia"/>
          <w:color w:val="000000"/>
          <w:kern w:val="0"/>
          <w:sz w:val="26"/>
          <w:szCs w:val="28"/>
        </w:rPr>
        <w:sectPr>
          <w:headerReference w:type="default" r:id="rId28"/>
          <w:footerReference w:type="default" r:id="rId29"/>
          <w:headerReference w:type="first" r:id="rId30"/>
          <w:footerReference w:type="first" r:id="rId31"/>
          <w:type w:val="nextPage"/>
          <w:pgSz w:w="11906" w:h="16838"/>
          <w:pgMar w:top="1440" w:right="1800" w:bottom="1440" w:left="1800" w:header="851" w:footer="992" w:gutter="0"/>
          <w:pgNumType w:fmt="decimal" w:start="1"/>
          <w:cols w:space="708"/>
          <w:docGrid w:type="lines" w:linePitch="312" w:charSpace="0"/>
        </w:sectPr>
      </w:pP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本项目建成后，正常达产年可实现年产值180000.00万元，计算期内年均销售收入为145600.00万元，年均利润总额5908.74万元，年均净利润为4431.55万元，年均上缴增值税2054.73万元，年均上缴销售税金及附加246.57万元，投资利润率32.83%，投资利税率45.61%，税后投资回收期（含建设期）7.12年。</w:t>
      </w:r>
    </w:p>
    <w:p>
      <w:pPr>
        <w:pStyle w:val="Heading3"/>
        <w:rPr>
          <w:color w:val="000000"/>
          <w:sz w:val="24"/>
          <w:szCs w:val="24"/>
        </w:rPr>
      </w:pPr>
      <w:bookmarkStart w:id="9" w:name="_Toc13733"/>
      <w:bookmarkStart w:id="10" w:name="_Toc19872375"/>
      <w:bookmarkStart w:id="11" w:name="_Toc299461803"/>
      <w:r>
        <w:rPr>
          <w:color w:val="000000"/>
          <w:sz w:val="24"/>
          <w:szCs w:val="24"/>
        </w:rPr>
        <w:t>1.1.</w:t>
      </w:r>
      <w:r>
        <w:rPr>
          <w:rFonts w:hint="eastAsia"/>
          <w:color w:val="000000"/>
          <w:sz w:val="24"/>
          <w:szCs w:val="24"/>
        </w:rPr>
        <w:t>7</w:t>
      </w:r>
      <w:r>
        <w:rPr>
          <w:color w:val="000000"/>
          <w:sz w:val="24"/>
          <w:szCs w:val="24"/>
        </w:rPr>
        <w:t>项目建设规模</w:t>
      </w:r>
      <w:bookmarkEnd w:id="9"/>
      <w:bookmarkEnd w:id="10"/>
      <w:bookmarkEnd w:id="11"/>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本项目主要产品</w:t>
      </w:r>
      <w:r>
        <w:rPr>
          <w:rFonts w:hint="eastAsia"/>
          <w:color w:val="000000"/>
          <w:kern w:val="0"/>
          <w:sz w:val="26"/>
          <w:szCs w:val="28"/>
          <w:lang w:eastAsia="zh-CN"/>
        </w:rPr>
        <w:t>：标准化香菇示范基地</w:t>
      </w:r>
      <w:r>
        <w:rPr>
          <w:rFonts w:hint="eastAsia"/>
          <w:color w:val="000000"/>
          <w:kern w:val="0"/>
          <w:sz w:val="26"/>
          <w:szCs w:val="28"/>
        </w:rPr>
        <w:t>。</w:t>
      </w:r>
    </w:p>
    <w:p>
      <w:pPr>
        <w:tabs>
          <w:tab w:val="right" w:pos="8312"/>
        </w:tabs>
        <w:spacing w:after="156" w:afterLines="50" w:line="520" w:lineRule="exact"/>
        <w:ind w:firstLine="520" w:firstLineChars="200"/>
        <w:rPr>
          <w:rFonts w:hint="eastAsia"/>
          <w:color w:val="000000"/>
          <w:sz w:val="26"/>
          <w:szCs w:val="26"/>
        </w:rPr>
      </w:pPr>
      <w:r>
        <w:rPr>
          <w:rFonts w:hint="eastAsia"/>
          <w:color w:val="000000"/>
          <w:sz w:val="26"/>
          <w:szCs w:val="26"/>
        </w:rPr>
        <w:t>本次建设项目占地面积100亩，总建筑面积46095.00平方米；主要建设内容及规模如下：</w:t>
      </w:r>
    </w:p>
    <w:p>
      <w:pPr>
        <w:spacing w:after="156" w:afterLines="50" w:line="520" w:lineRule="exact"/>
        <w:jc w:val="center"/>
        <w:rPr>
          <w:rFonts w:hint="eastAsia"/>
          <w:b/>
          <w:color w:val="000000"/>
          <w:kern w:val="0"/>
          <w:sz w:val="26"/>
          <w:szCs w:val="28"/>
        </w:rPr>
      </w:pPr>
      <w:r>
        <w:rPr>
          <w:rFonts w:hint="eastAsia"/>
          <w:b/>
          <w:color w:val="000000"/>
          <w:kern w:val="0"/>
          <w:sz w:val="26"/>
          <w:szCs w:val="28"/>
        </w:rPr>
        <w:t>主要建筑物、构筑物一览表</w:t>
      </w:r>
    </w:p>
    <w:tbl>
      <w:tblPr>
        <w:tblStyle w:val="TableNormal"/>
        <w:tblW w:w="8522"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0" w:type="dxa"/>
          <w:left w:w="108" w:type="dxa"/>
          <w:bottom w:w="0" w:type="dxa"/>
          <w:right w:w="108" w:type="dxa"/>
        </w:tblCellMar>
        <w:tblLook w:val="0000"/>
      </w:tblPr>
      <w:tblGrid>
        <w:gridCol w:w="2020"/>
        <w:gridCol w:w="2661"/>
        <w:gridCol w:w="1346"/>
        <w:gridCol w:w="1346"/>
        <w:gridCol w:w="1149"/>
      </w:tblGrid>
      <w:tr>
        <w:tblPrEx>
          <w:tblW w:w="8522"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0" w:type="dxa"/>
            <w:left w:w="108" w:type="dxa"/>
            <w:bottom w:w="0" w:type="dxa"/>
            <w:right w:w="108" w:type="dxa"/>
          </w:tblCellMar>
          <w:tblLook w:val="0000"/>
        </w:tblPrEx>
        <w:trPr>
          <w:trHeight w:val="510"/>
          <w:jc w:val="center"/>
        </w:trPr>
        <w:tc>
          <w:tcPr>
            <w:tcW w:w="2020" w:type="dxa"/>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工程类别</w:t>
            </w:r>
          </w:p>
        </w:tc>
        <w:tc>
          <w:tcPr>
            <w:tcW w:w="2661" w:type="dxa"/>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工段名称</w:t>
            </w:r>
          </w:p>
        </w:tc>
        <w:tc>
          <w:tcPr>
            <w:tcW w:w="1346" w:type="dxa"/>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层数</w:t>
            </w:r>
          </w:p>
        </w:tc>
        <w:tc>
          <w:tcPr>
            <w:tcW w:w="1346" w:type="dxa"/>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占地面积（</w:t>
            </w:r>
            <w:r>
              <w:rPr>
                <w:b/>
                <w:bCs/>
                <w:color w:val="000000"/>
                <w:kern w:val="0"/>
                <w:sz w:val="20"/>
                <w:szCs w:val="20"/>
              </w:rPr>
              <w:t>m</w:t>
            </w:r>
            <w:r>
              <w:rPr>
                <w:b/>
                <w:bCs/>
                <w:color w:val="000000"/>
                <w:kern w:val="0"/>
                <w:sz w:val="20"/>
                <w:szCs w:val="20"/>
                <w:vertAlign w:val="superscript"/>
              </w:rPr>
              <w:t>2</w:t>
            </w:r>
            <w:r>
              <w:rPr>
                <w:rFonts w:ascii="宋体" w:hAnsi="宋体" w:cs="宋体" w:hint="eastAsia"/>
                <w:b/>
                <w:bCs/>
                <w:color w:val="000000"/>
                <w:kern w:val="0"/>
                <w:sz w:val="20"/>
                <w:szCs w:val="20"/>
              </w:rPr>
              <w:t>）</w:t>
            </w:r>
          </w:p>
        </w:tc>
        <w:tc>
          <w:tcPr>
            <w:tcW w:w="1149" w:type="dxa"/>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建筑面积（</w:t>
            </w:r>
            <w:r>
              <w:rPr>
                <w:b/>
                <w:bCs/>
                <w:color w:val="000000"/>
                <w:kern w:val="0"/>
                <w:sz w:val="20"/>
                <w:szCs w:val="20"/>
              </w:rPr>
              <w:t>m</w:t>
            </w:r>
            <w:r>
              <w:rPr>
                <w:b/>
                <w:bCs/>
                <w:color w:val="000000"/>
                <w:kern w:val="0"/>
                <w:sz w:val="20"/>
                <w:szCs w:val="20"/>
                <w:vertAlign w:val="superscript"/>
              </w:rPr>
              <w:t>2</w:t>
            </w:r>
            <w:r>
              <w:rPr>
                <w:rFonts w:ascii="宋体" w:hAnsi="宋体" w:cs="宋体" w:hint="eastAsia"/>
                <w:b/>
                <w:bCs/>
                <w:color w:val="000000"/>
                <w:kern w:val="0"/>
                <w:sz w:val="20"/>
                <w:szCs w:val="20"/>
              </w:rPr>
              <w:t>）</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2020" w:type="dxa"/>
            <w:vMerge w:val="restart"/>
            <w:vAlign w:val="center"/>
          </w:tcPr>
          <w:p>
            <w:pPr>
              <w:widowControl/>
              <w:jc w:val="center"/>
              <w:rPr>
                <w:color w:val="000000"/>
                <w:kern w:val="0"/>
                <w:sz w:val="20"/>
                <w:szCs w:val="20"/>
              </w:rPr>
            </w:pPr>
            <w:r>
              <w:rPr>
                <w:color w:val="000000"/>
                <w:kern w:val="0"/>
                <w:sz w:val="20"/>
                <w:szCs w:val="20"/>
              </w:rPr>
              <w:t>1</w:t>
            </w:r>
            <w:r>
              <w:rPr>
                <w:rFonts w:ascii="宋体" w:hAnsi="宋体" w:hint="eastAsia"/>
                <w:color w:val="000000"/>
                <w:kern w:val="0"/>
                <w:sz w:val="20"/>
                <w:szCs w:val="20"/>
              </w:rPr>
              <w:t>、主要建筑工程</w:t>
            </w:r>
          </w:p>
        </w:tc>
        <w:tc>
          <w:tcPr>
            <w:tcW w:w="2661"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生产车间</w:t>
            </w:r>
          </w:p>
        </w:tc>
        <w:tc>
          <w:tcPr>
            <w:tcW w:w="1346" w:type="dxa"/>
            <w:vAlign w:val="center"/>
          </w:tcPr>
          <w:p>
            <w:pPr>
              <w:widowControl/>
              <w:jc w:val="center"/>
              <w:rPr>
                <w:color w:val="000000"/>
                <w:kern w:val="0"/>
                <w:sz w:val="20"/>
                <w:szCs w:val="20"/>
              </w:rPr>
            </w:pPr>
            <w:r>
              <w:rPr>
                <w:color w:val="000000"/>
                <w:kern w:val="0"/>
                <w:sz w:val="20"/>
                <w:szCs w:val="20"/>
              </w:rPr>
              <w:t>1</w:t>
            </w:r>
          </w:p>
        </w:tc>
        <w:tc>
          <w:tcPr>
            <w:tcW w:w="1346" w:type="dxa"/>
            <w:vAlign w:val="center"/>
          </w:tcPr>
          <w:p>
            <w:pPr>
              <w:widowControl/>
              <w:jc w:val="center"/>
              <w:rPr>
                <w:color w:val="000000"/>
                <w:kern w:val="0"/>
                <w:sz w:val="20"/>
                <w:szCs w:val="20"/>
              </w:rPr>
            </w:pPr>
            <w:r>
              <w:rPr>
                <w:color w:val="000000"/>
                <w:kern w:val="0"/>
                <w:sz w:val="20"/>
                <w:szCs w:val="20"/>
              </w:rPr>
              <w:t>22000.00</w:t>
            </w:r>
          </w:p>
        </w:tc>
        <w:tc>
          <w:tcPr>
            <w:tcW w:w="1149" w:type="dxa"/>
            <w:vAlign w:val="center"/>
          </w:tcPr>
          <w:p>
            <w:pPr>
              <w:widowControl/>
              <w:jc w:val="center"/>
              <w:rPr>
                <w:color w:val="000000"/>
                <w:kern w:val="0"/>
                <w:sz w:val="20"/>
                <w:szCs w:val="20"/>
              </w:rPr>
            </w:pPr>
            <w:r>
              <w:rPr>
                <w:color w:val="000000"/>
                <w:kern w:val="0"/>
                <w:sz w:val="20"/>
                <w:szCs w:val="20"/>
              </w:rPr>
              <w:t>22000.00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2020" w:type="dxa"/>
            <w:vMerge/>
            <w:vAlign w:val="center"/>
          </w:tcPr>
          <w:p>
            <w:pPr>
              <w:widowControl/>
              <w:jc w:val="center"/>
              <w:rPr>
                <w:color w:val="000000"/>
                <w:kern w:val="0"/>
                <w:sz w:val="20"/>
                <w:szCs w:val="20"/>
              </w:rPr>
            </w:pPr>
          </w:p>
        </w:tc>
        <w:tc>
          <w:tcPr>
            <w:tcW w:w="2661"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仓储库房</w:t>
            </w:r>
          </w:p>
        </w:tc>
        <w:tc>
          <w:tcPr>
            <w:tcW w:w="1346" w:type="dxa"/>
            <w:vAlign w:val="center"/>
          </w:tcPr>
          <w:p>
            <w:pPr>
              <w:widowControl/>
              <w:jc w:val="center"/>
              <w:rPr>
                <w:color w:val="000000"/>
                <w:kern w:val="0"/>
                <w:sz w:val="20"/>
                <w:szCs w:val="20"/>
              </w:rPr>
            </w:pPr>
            <w:r>
              <w:rPr>
                <w:color w:val="000000"/>
                <w:kern w:val="0"/>
                <w:sz w:val="20"/>
                <w:szCs w:val="20"/>
              </w:rPr>
              <w:t>1</w:t>
            </w:r>
          </w:p>
        </w:tc>
        <w:tc>
          <w:tcPr>
            <w:tcW w:w="1346" w:type="dxa"/>
            <w:vAlign w:val="center"/>
          </w:tcPr>
          <w:p>
            <w:pPr>
              <w:widowControl/>
              <w:jc w:val="center"/>
              <w:rPr>
                <w:color w:val="000000"/>
                <w:kern w:val="0"/>
                <w:sz w:val="20"/>
                <w:szCs w:val="20"/>
              </w:rPr>
            </w:pPr>
            <w:r>
              <w:rPr>
                <w:color w:val="000000"/>
                <w:kern w:val="0"/>
                <w:sz w:val="20"/>
                <w:szCs w:val="20"/>
              </w:rPr>
              <w:t>12000.00</w:t>
            </w:r>
          </w:p>
        </w:tc>
        <w:tc>
          <w:tcPr>
            <w:tcW w:w="1149" w:type="dxa"/>
            <w:vAlign w:val="center"/>
          </w:tcPr>
          <w:p>
            <w:pPr>
              <w:widowControl/>
              <w:jc w:val="center"/>
              <w:rPr>
                <w:color w:val="000000"/>
                <w:kern w:val="0"/>
                <w:sz w:val="20"/>
                <w:szCs w:val="20"/>
              </w:rPr>
            </w:pPr>
            <w:r>
              <w:rPr>
                <w:color w:val="000000"/>
                <w:kern w:val="0"/>
                <w:sz w:val="20"/>
                <w:szCs w:val="20"/>
              </w:rPr>
              <w:t>12000.00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2020" w:type="dxa"/>
            <w:vMerge/>
            <w:vAlign w:val="center"/>
          </w:tcPr>
          <w:p>
            <w:pPr>
              <w:widowControl/>
              <w:jc w:val="center"/>
              <w:rPr>
                <w:color w:val="000000"/>
                <w:kern w:val="0"/>
                <w:sz w:val="20"/>
                <w:szCs w:val="20"/>
              </w:rPr>
            </w:pPr>
          </w:p>
        </w:tc>
        <w:tc>
          <w:tcPr>
            <w:tcW w:w="2661"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研发办公楼</w:t>
            </w:r>
          </w:p>
        </w:tc>
        <w:tc>
          <w:tcPr>
            <w:tcW w:w="1346" w:type="dxa"/>
            <w:vAlign w:val="center"/>
          </w:tcPr>
          <w:p>
            <w:pPr>
              <w:widowControl/>
              <w:jc w:val="center"/>
              <w:rPr>
                <w:color w:val="000000"/>
                <w:kern w:val="0"/>
                <w:sz w:val="20"/>
                <w:szCs w:val="20"/>
              </w:rPr>
            </w:pPr>
            <w:r>
              <w:rPr>
                <w:color w:val="000000"/>
                <w:kern w:val="0"/>
                <w:sz w:val="20"/>
                <w:szCs w:val="20"/>
              </w:rPr>
              <w:t>4</w:t>
            </w:r>
          </w:p>
        </w:tc>
        <w:tc>
          <w:tcPr>
            <w:tcW w:w="1346" w:type="dxa"/>
            <w:vAlign w:val="center"/>
          </w:tcPr>
          <w:p>
            <w:pPr>
              <w:widowControl/>
              <w:jc w:val="center"/>
              <w:rPr>
                <w:color w:val="000000"/>
                <w:kern w:val="0"/>
                <w:sz w:val="20"/>
                <w:szCs w:val="20"/>
              </w:rPr>
            </w:pPr>
            <w:r>
              <w:rPr>
                <w:color w:val="000000"/>
                <w:kern w:val="0"/>
                <w:sz w:val="20"/>
                <w:szCs w:val="20"/>
              </w:rPr>
              <w:t>1200.00</w:t>
            </w:r>
          </w:p>
        </w:tc>
        <w:tc>
          <w:tcPr>
            <w:tcW w:w="1149" w:type="dxa"/>
            <w:vAlign w:val="center"/>
          </w:tcPr>
          <w:p>
            <w:pPr>
              <w:widowControl/>
              <w:jc w:val="center"/>
              <w:rPr>
                <w:color w:val="000000"/>
                <w:kern w:val="0"/>
                <w:sz w:val="20"/>
                <w:szCs w:val="20"/>
              </w:rPr>
            </w:pPr>
            <w:r>
              <w:rPr>
                <w:color w:val="000000"/>
                <w:kern w:val="0"/>
                <w:sz w:val="20"/>
                <w:szCs w:val="20"/>
              </w:rPr>
              <w:t>4800.00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2020" w:type="dxa"/>
            <w:vMerge/>
            <w:vAlign w:val="center"/>
          </w:tcPr>
          <w:p>
            <w:pPr>
              <w:widowControl/>
              <w:jc w:val="center"/>
              <w:rPr>
                <w:color w:val="000000"/>
                <w:kern w:val="0"/>
                <w:sz w:val="20"/>
                <w:szCs w:val="20"/>
              </w:rPr>
            </w:pPr>
          </w:p>
        </w:tc>
        <w:tc>
          <w:tcPr>
            <w:tcW w:w="2661"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职工宿舍</w:t>
            </w:r>
          </w:p>
        </w:tc>
        <w:tc>
          <w:tcPr>
            <w:tcW w:w="1346" w:type="dxa"/>
            <w:vAlign w:val="center"/>
          </w:tcPr>
          <w:p>
            <w:pPr>
              <w:widowControl/>
              <w:jc w:val="center"/>
              <w:rPr>
                <w:color w:val="000000"/>
                <w:kern w:val="0"/>
                <w:sz w:val="20"/>
                <w:szCs w:val="20"/>
              </w:rPr>
            </w:pPr>
            <w:r>
              <w:rPr>
                <w:color w:val="000000"/>
                <w:kern w:val="0"/>
                <w:sz w:val="20"/>
                <w:szCs w:val="20"/>
              </w:rPr>
              <w:t>4</w:t>
            </w:r>
          </w:p>
        </w:tc>
        <w:tc>
          <w:tcPr>
            <w:tcW w:w="1346" w:type="dxa"/>
            <w:vAlign w:val="center"/>
          </w:tcPr>
          <w:p>
            <w:pPr>
              <w:widowControl/>
              <w:jc w:val="center"/>
              <w:rPr>
                <w:color w:val="000000"/>
                <w:kern w:val="0"/>
                <w:sz w:val="20"/>
                <w:szCs w:val="20"/>
              </w:rPr>
            </w:pPr>
            <w:r>
              <w:rPr>
                <w:color w:val="000000"/>
                <w:kern w:val="0"/>
                <w:sz w:val="20"/>
                <w:szCs w:val="20"/>
              </w:rPr>
              <w:t>1200.00</w:t>
            </w:r>
          </w:p>
        </w:tc>
        <w:tc>
          <w:tcPr>
            <w:tcW w:w="1149" w:type="dxa"/>
            <w:vAlign w:val="center"/>
          </w:tcPr>
          <w:p>
            <w:pPr>
              <w:widowControl/>
              <w:jc w:val="center"/>
              <w:rPr>
                <w:color w:val="000000"/>
                <w:kern w:val="0"/>
                <w:sz w:val="20"/>
                <w:szCs w:val="20"/>
              </w:rPr>
            </w:pPr>
            <w:r>
              <w:rPr>
                <w:color w:val="000000"/>
                <w:kern w:val="0"/>
                <w:sz w:val="20"/>
                <w:szCs w:val="20"/>
              </w:rPr>
              <w:t>4800.00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2020" w:type="dxa"/>
            <w:vMerge/>
            <w:vAlign w:val="center"/>
          </w:tcPr>
          <w:p>
            <w:pPr>
              <w:widowControl/>
              <w:jc w:val="center"/>
              <w:rPr>
                <w:color w:val="000000"/>
                <w:kern w:val="0"/>
                <w:sz w:val="20"/>
                <w:szCs w:val="20"/>
              </w:rPr>
            </w:pPr>
          </w:p>
        </w:tc>
        <w:tc>
          <w:tcPr>
            <w:tcW w:w="2661"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职工食堂</w:t>
            </w:r>
          </w:p>
        </w:tc>
        <w:tc>
          <w:tcPr>
            <w:tcW w:w="1346" w:type="dxa"/>
            <w:vAlign w:val="center"/>
          </w:tcPr>
          <w:p>
            <w:pPr>
              <w:widowControl/>
              <w:jc w:val="center"/>
              <w:rPr>
                <w:color w:val="000000"/>
                <w:kern w:val="0"/>
                <w:sz w:val="20"/>
                <w:szCs w:val="20"/>
              </w:rPr>
            </w:pPr>
            <w:r>
              <w:rPr>
                <w:color w:val="000000"/>
                <w:kern w:val="0"/>
                <w:sz w:val="20"/>
                <w:szCs w:val="20"/>
              </w:rPr>
              <w:t>3</w:t>
            </w:r>
          </w:p>
        </w:tc>
        <w:tc>
          <w:tcPr>
            <w:tcW w:w="1346" w:type="dxa"/>
            <w:vAlign w:val="center"/>
          </w:tcPr>
          <w:p>
            <w:pPr>
              <w:widowControl/>
              <w:jc w:val="center"/>
              <w:rPr>
                <w:color w:val="000000"/>
                <w:kern w:val="0"/>
                <w:sz w:val="20"/>
                <w:szCs w:val="20"/>
              </w:rPr>
            </w:pPr>
            <w:r>
              <w:rPr>
                <w:color w:val="000000"/>
                <w:kern w:val="0"/>
                <w:sz w:val="20"/>
                <w:szCs w:val="20"/>
              </w:rPr>
              <w:t>500.00</w:t>
            </w:r>
          </w:p>
        </w:tc>
        <w:tc>
          <w:tcPr>
            <w:tcW w:w="1149" w:type="dxa"/>
            <w:vAlign w:val="center"/>
          </w:tcPr>
          <w:p>
            <w:pPr>
              <w:widowControl/>
              <w:jc w:val="center"/>
              <w:rPr>
                <w:color w:val="000000"/>
                <w:kern w:val="0"/>
                <w:sz w:val="20"/>
                <w:szCs w:val="20"/>
              </w:rPr>
            </w:pPr>
            <w:r>
              <w:rPr>
                <w:color w:val="000000"/>
                <w:kern w:val="0"/>
                <w:sz w:val="20"/>
                <w:szCs w:val="20"/>
              </w:rPr>
              <w:t>1500.00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2020" w:type="dxa"/>
            <w:vMerge/>
            <w:vAlign w:val="center"/>
          </w:tcPr>
          <w:p>
            <w:pPr>
              <w:widowControl/>
              <w:jc w:val="center"/>
              <w:rPr>
                <w:color w:val="000000"/>
                <w:kern w:val="0"/>
                <w:sz w:val="20"/>
                <w:szCs w:val="20"/>
              </w:rPr>
            </w:pPr>
          </w:p>
        </w:tc>
        <w:tc>
          <w:tcPr>
            <w:tcW w:w="2661"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配电房</w:t>
            </w:r>
          </w:p>
        </w:tc>
        <w:tc>
          <w:tcPr>
            <w:tcW w:w="1346" w:type="dxa"/>
            <w:vAlign w:val="center"/>
          </w:tcPr>
          <w:p>
            <w:pPr>
              <w:widowControl/>
              <w:jc w:val="center"/>
              <w:rPr>
                <w:color w:val="000000"/>
                <w:kern w:val="0"/>
                <w:sz w:val="20"/>
                <w:szCs w:val="20"/>
              </w:rPr>
            </w:pPr>
            <w:r>
              <w:rPr>
                <w:color w:val="000000"/>
                <w:kern w:val="0"/>
                <w:sz w:val="20"/>
                <w:szCs w:val="20"/>
              </w:rPr>
              <w:t>1</w:t>
            </w:r>
          </w:p>
        </w:tc>
        <w:tc>
          <w:tcPr>
            <w:tcW w:w="1346" w:type="dxa"/>
            <w:vAlign w:val="center"/>
          </w:tcPr>
          <w:p>
            <w:pPr>
              <w:widowControl/>
              <w:jc w:val="center"/>
              <w:rPr>
                <w:color w:val="000000"/>
                <w:kern w:val="0"/>
                <w:sz w:val="20"/>
                <w:szCs w:val="20"/>
              </w:rPr>
            </w:pPr>
            <w:r>
              <w:rPr>
                <w:color w:val="000000"/>
                <w:kern w:val="0"/>
                <w:sz w:val="20"/>
                <w:szCs w:val="20"/>
              </w:rPr>
              <w:t>280.00</w:t>
            </w:r>
          </w:p>
        </w:tc>
        <w:tc>
          <w:tcPr>
            <w:tcW w:w="1149" w:type="dxa"/>
            <w:vAlign w:val="center"/>
          </w:tcPr>
          <w:p>
            <w:pPr>
              <w:widowControl/>
              <w:jc w:val="center"/>
              <w:rPr>
                <w:color w:val="000000"/>
                <w:kern w:val="0"/>
                <w:sz w:val="20"/>
                <w:szCs w:val="20"/>
              </w:rPr>
            </w:pPr>
            <w:r>
              <w:rPr>
                <w:color w:val="000000"/>
                <w:kern w:val="0"/>
                <w:sz w:val="20"/>
                <w:szCs w:val="20"/>
              </w:rPr>
              <w:t>280.00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2020" w:type="dxa"/>
            <w:vMerge/>
            <w:vAlign w:val="center"/>
          </w:tcPr>
          <w:p>
            <w:pPr>
              <w:widowControl/>
              <w:jc w:val="center"/>
              <w:rPr>
                <w:color w:val="000000"/>
                <w:kern w:val="0"/>
                <w:sz w:val="20"/>
                <w:szCs w:val="20"/>
              </w:rPr>
            </w:pPr>
          </w:p>
        </w:tc>
        <w:tc>
          <w:tcPr>
            <w:tcW w:w="2661"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门卫室</w:t>
            </w:r>
          </w:p>
        </w:tc>
        <w:tc>
          <w:tcPr>
            <w:tcW w:w="1346" w:type="dxa"/>
            <w:vAlign w:val="center"/>
          </w:tcPr>
          <w:p>
            <w:pPr>
              <w:widowControl/>
              <w:jc w:val="center"/>
              <w:rPr>
                <w:color w:val="000000"/>
                <w:kern w:val="0"/>
                <w:sz w:val="20"/>
                <w:szCs w:val="20"/>
              </w:rPr>
            </w:pPr>
            <w:r>
              <w:rPr>
                <w:color w:val="000000"/>
                <w:kern w:val="0"/>
                <w:sz w:val="20"/>
                <w:szCs w:val="20"/>
              </w:rPr>
              <w:t>1</w:t>
            </w:r>
          </w:p>
        </w:tc>
        <w:tc>
          <w:tcPr>
            <w:tcW w:w="1346" w:type="dxa"/>
            <w:vAlign w:val="center"/>
          </w:tcPr>
          <w:p>
            <w:pPr>
              <w:widowControl/>
              <w:jc w:val="center"/>
              <w:rPr>
                <w:color w:val="000000"/>
                <w:kern w:val="0"/>
                <w:sz w:val="20"/>
                <w:szCs w:val="20"/>
              </w:rPr>
            </w:pPr>
            <w:r>
              <w:rPr>
                <w:color w:val="000000"/>
                <w:kern w:val="0"/>
                <w:sz w:val="20"/>
                <w:szCs w:val="20"/>
              </w:rPr>
              <w:t>65.00</w:t>
            </w:r>
          </w:p>
        </w:tc>
        <w:tc>
          <w:tcPr>
            <w:tcW w:w="1149" w:type="dxa"/>
            <w:vAlign w:val="center"/>
          </w:tcPr>
          <w:p>
            <w:pPr>
              <w:widowControl/>
              <w:jc w:val="center"/>
              <w:rPr>
                <w:color w:val="000000"/>
                <w:kern w:val="0"/>
                <w:sz w:val="20"/>
                <w:szCs w:val="20"/>
              </w:rPr>
            </w:pPr>
            <w:r>
              <w:rPr>
                <w:color w:val="000000"/>
                <w:kern w:val="0"/>
                <w:sz w:val="20"/>
                <w:szCs w:val="20"/>
              </w:rPr>
              <w:t>65.00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2020" w:type="dxa"/>
            <w:vMerge/>
            <w:vAlign w:val="center"/>
          </w:tcPr>
          <w:p>
            <w:pPr>
              <w:widowControl/>
              <w:jc w:val="center"/>
              <w:rPr>
                <w:color w:val="000000"/>
                <w:kern w:val="0"/>
                <w:sz w:val="20"/>
                <w:szCs w:val="20"/>
              </w:rPr>
            </w:pPr>
          </w:p>
        </w:tc>
        <w:tc>
          <w:tcPr>
            <w:tcW w:w="2661"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其他辅助设施</w:t>
            </w:r>
          </w:p>
        </w:tc>
        <w:tc>
          <w:tcPr>
            <w:tcW w:w="1346" w:type="dxa"/>
            <w:vAlign w:val="center"/>
          </w:tcPr>
          <w:p>
            <w:pPr>
              <w:widowControl/>
              <w:jc w:val="center"/>
              <w:rPr>
                <w:color w:val="000000"/>
                <w:kern w:val="0"/>
                <w:sz w:val="20"/>
                <w:szCs w:val="20"/>
              </w:rPr>
            </w:pPr>
            <w:r>
              <w:rPr>
                <w:color w:val="000000"/>
                <w:kern w:val="0"/>
                <w:sz w:val="20"/>
                <w:szCs w:val="20"/>
              </w:rPr>
              <w:t>1</w:t>
            </w:r>
          </w:p>
        </w:tc>
        <w:tc>
          <w:tcPr>
            <w:tcW w:w="1346" w:type="dxa"/>
            <w:vAlign w:val="center"/>
          </w:tcPr>
          <w:p>
            <w:pPr>
              <w:widowControl/>
              <w:jc w:val="center"/>
              <w:rPr>
                <w:color w:val="000000"/>
                <w:kern w:val="0"/>
                <w:sz w:val="20"/>
                <w:szCs w:val="20"/>
              </w:rPr>
            </w:pPr>
            <w:r>
              <w:rPr>
                <w:color w:val="000000"/>
                <w:kern w:val="0"/>
                <w:sz w:val="20"/>
                <w:szCs w:val="20"/>
              </w:rPr>
              <w:t>650.00</w:t>
            </w:r>
          </w:p>
        </w:tc>
        <w:tc>
          <w:tcPr>
            <w:tcW w:w="1149" w:type="dxa"/>
            <w:vAlign w:val="center"/>
          </w:tcPr>
          <w:p>
            <w:pPr>
              <w:widowControl/>
              <w:jc w:val="center"/>
              <w:rPr>
                <w:color w:val="000000"/>
                <w:kern w:val="0"/>
                <w:sz w:val="20"/>
                <w:szCs w:val="20"/>
              </w:rPr>
            </w:pPr>
            <w:r>
              <w:rPr>
                <w:color w:val="000000"/>
                <w:kern w:val="0"/>
                <w:sz w:val="20"/>
                <w:szCs w:val="20"/>
              </w:rPr>
              <w:t>650.00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4681" w:type="dxa"/>
            <w:gridSpan w:val="2"/>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合计</w:t>
            </w:r>
          </w:p>
        </w:tc>
        <w:tc>
          <w:tcPr>
            <w:tcW w:w="1346" w:type="dxa"/>
            <w:noWrap/>
            <w:vAlign w:val="center"/>
          </w:tcPr>
          <w:p>
            <w:pPr>
              <w:widowControl/>
              <w:jc w:val="center"/>
              <w:rPr>
                <w:rFonts w:ascii="宋体" w:hAnsi="宋体" w:cs="宋体"/>
                <w:b/>
                <w:bCs/>
                <w:color w:val="000000"/>
                <w:kern w:val="0"/>
                <w:sz w:val="24"/>
              </w:rPr>
            </w:pPr>
          </w:p>
        </w:tc>
        <w:tc>
          <w:tcPr>
            <w:tcW w:w="1346" w:type="dxa"/>
            <w:vAlign w:val="center"/>
          </w:tcPr>
          <w:p>
            <w:pPr>
              <w:widowControl/>
              <w:jc w:val="center"/>
              <w:rPr>
                <w:b/>
                <w:bCs/>
                <w:color w:val="000000"/>
                <w:kern w:val="0"/>
                <w:sz w:val="20"/>
                <w:szCs w:val="20"/>
              </w:rPr>
            </w:pPr>
            <w:r>
              <w:rPr>
                <w:b/>
                <w:bCs/>
                <w:color w:val="000000"/>
                <w:kern w:val="0"/>
                <w:sz w:val="20"/>
                <w:szCs w:val="20"/>
              </w:rPr>
              <w:t>37895.00</w:t>
            </w:r>
          </w:p>
        </w:tc>
        <w:tc>
          <w:tcPr>
            <w:tcW w:w="1149" w:type="dxa"/>
            <w:vAlign w:val="center"/>
          </w:tcPr>
          <w:p>
            <w:pPr>
              <w:widowControl/>
              <w:jc w:val="center"/>
              <w:rPr>
                <w:b/>
                <w:bCs/>
                <w:color w:val="000000"/>
                <w:kern w:val="0"/>
                <w:sz w:val="20"/>
                <w:szCs w:val="20"/>
              </w:rPr>
            </w:pPr>
            <w:r>
              <w:rPr>
                <w:b/>
                <w:bCs/>
                <w:color w:val="000000"/>
                <w:kern w:val="0"/>
                <w:sz w:val="20"/>
                <w:szCs w:val="20"/>
              </w:rPr>
              <w:t>46095.00</w:t>
            </w:r>
          </w:p>
        </w:tc>
      </w:tr>
      <w:tr>
        <w:tblPrEx>
          <w:tblW w:w="8522" w:type="dxa"/>
          <w:jc w:val="center"/>
          <w:tblLayout w:type="fixed"/>
          <w:tblCellMar>
            <w:top w:w="0" w:type="dxa"/>
            <w:left w:w="108" w:type="dxa"/>
            <w:bottom w:w="0" w:type="dxa"/>
            <w:right w:w="108" w:type="dxa"/>
          </w:tblCellMar>
          <w:tblLook w:val="0000"/>
        </w:tblPrEx>
        <w:trPr>
          <w:trHeight w:val="300"/>
          <w:jc w:val="center"/>
        </w:trPr>
        <w:tc>
          <w:tcPr>
            <w:tcW w:w="2020" w:type="dxa"/>
            <w:vMerge w:val="restart"/>
            <w:vAlign w:val="center"/>
          </w:tcPr>
          <w:p>
            <w:pPr>
              <w:widowControl/>
              <w:jc w:val="center"/>
              <w:rPr>
                <w:color w:val="000000"/>
                <w:kern w:val="0"/>
                <w:sz w:val="20"/>
                <w:szCs w:val="20"/>
              </w:rPr>
            </w:pPr>
            <w:r>
              <w:rPr>
                <w:color w:val="000000"/>
                <w:kern w:val="0"/>
                <w:sz w:val="20"/>
                <w:szCs w:val="20"/>
              </w:rPr>
              <w:t>2</w:t>
            </w:r>
            <w:r>
              <w:rPr>
                <w:rFonts w:ascii="宋体" w:hAnsi="宋体" w:hint="eastAsia"/>
                <w:color w:val="000000"/>
                <w:kern w:val="0"/>
                <w:sz w:val="20"/>
                <w:szCs w:val="20"/>
              </w:rPr>
              <w:t>、公共设施</w:t>
            </w:r>
          </w:p>
        </w:tc>
        <w:tc>
          <w:tcPr>
            <w:tcW w:w="2661"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道路硬化及停车场工程</w:t>
            </w:r>
          </w:p>
        </w:tc>
        <w:tc>
          <w:tcPr>
            <w:tcW w:w="1346" w:type="dxa"/>
            <w:vAlign w:val="center"/>
          </w:tcPr>
          <w:p>
            <w:pPr>
              <w:widowControl/>
              <w:jc w:val="center"/>
              <w:rPr>
                <w:color w:val="000000"/>
                <w:kern w:val="0"/>
                <w:sz w:val="20"/>
                <w:szCs w:val="20"/>
              </w:rPr>
            </w:pPr>
            <w:r>
              <w:rPr>
                <w:color w:val="000000"/>
                <w:kern w:val="0"/>
                <w:sz w:val="20"/>
                <w:szCs w:val="20"/>
              </w:rPr>
              <w:t>1</w:t>
            </w:r>
          </w:p>
        </w:tc>
        <w:tc>
          <w:tcPr>
            <w:tcW w:w="1346" w:type="dxa"/>
            <w:vAlign w:val="center"/>
          </w:tcPr>
          <w:p>
            <w:pPr>
              <w:widowControl/>
              <w:jc w:val="center"/>
              <w:rPr>
                <w:color w:val="000000"/>
                <w:kern w:val="0"/>
                <w:sz w:val="20"/>
                <w:szCs w:val="20"/>
              </w:rPr>
            </w:pPr>
            <w:r>
              <w:rPr>
                <w:color w:val="000000"/>
                <w:kern w:val="0"/>
                <w:sz w:val="20"/>
                <w:szCs w:val="20"/>
              </w:rPr>
              <w:t>17000.00</w:t>
            </w:r>
          </w:p>
        </w:tc>
        <w:tc>
          <w:tcPr>
            <w:tcW w:w="1149" w:type="dxa"/>
            <w:vAlign w:val="center"/>
          </w:tcPr>
          <w:p>
            <w:pPr>
              <w:widowControl/>
              <w:jc w:val="center"/>
              <w:rPr>
                <w:color w:val="000000"/>
                <w:kern w:val="0"/>
                <w:sz w:val="20"/>
                <w:szCs w:val="20"/>
              </w:rPr>
            </w:pPr>
            <w:r>
              <w:rPr>
                <w:color w:val="000000"/>
                <w:kern w:val="0"/>
                <w:sz w:val="20"/>
                <w:szCs w:val="20"/>
              </w:rPr>
              <w:t>17000.00</w:t>
            </w:r>
          </w:p>
        </w:tc>
      </w:tr>
      <w:tr>
        <w:tblPrEx>
          <w:tblW w:w="8522" w:type="dxa"/>
          <w:jc w:val="center"/>
          <w:tblLayout w:type="fixed"/>
          <w:tblCellMar>
            <w:top w:w="0" w:type="dxa"/>
            <w:left w:w="108" w:type="dxa"/>
            <w:bottom w:w="0" w:type="dxa"/>
            <w:right w:w="108" w:type="dxa"/>
          </w:tblCellMar>
          <w:tblLook w:val="0000"/>
        </w:tblPrEx>
        <w:trPr>
          <w:trHeight w:val="300"/>
          <w:jc w:val="center"/>
        </w:trPr>
        <w:tc>
          <w:tcPr>
            <w:tcW w:w="2020" w:type="dxa"/>
            <w:vMerge/>
            <w:vAlign w:val="center"/>
          </w:tcPr>
          <w:p>
            <w:pPr>
              <w:widowControl/>
              <w:jc w:val="center"/>
              <w:rPr>
                <w:color w:val="000000"/>
                <w:kern w:val="0"/>
                <w:sz w:val="20"/>
                <w:szCs w:val="20"/>
              </w:rPr>
            </w:pPr>
          </w:p>
        </w:tc>
        <w:tc>
          <w:tcPr>
            <w:tcW w:w="2661"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绿化景观工程</w:t>
            </w:r>
          </w:p>
        </w:tc>
        <w:tc>
          <w:tcPr>
            <w:tcW w:w="1346" w:type="dxa"/>
            <w:vAlign w:val="center"/>
          </w:tcPr>
          <w:p>
            <w:pPr>
              <w:widowControl/>
              <w:jc w:val="center"/>
              <w:rPr>
                <w:color w:val="000000"/>
                <w:kern w:val="0"/>
                <w:sz w:val="20"/>
                <w:szCs w:val="20"/>
              </w:rPr>
            </w:pPr>
            <w:r>
              <w:rPr>
                <w:color w:val="000000"/>
                <w:kern w:val="0"/>
                <w:sz w:val="20"/>
                <w:szCs w:val="20"/>
              </w:rPr>
              <w:t>1</w:t>
            </w:r>
          </w:p>
        </w:tc>
        <w:tc>
          <w:tcPr>
            <w:tcW w:w="1346" w:type="dxa"/>
            <w:vAlign w:val="center"/>
          </w:tcPr>
          <w:p>
            <w:pPr>
              <w:widowControl/>
              <w:jc w:val="center"/>
              <w:rPr>
                <w:color w:val="000000"/>
                <w:kern w:val="0"/>
                <w:sz w:val="20"/>
                <w:szCs w:val="20"/>
              </w:rPr>
            </w:pPr>
            <w:r>
              <w:rPr>
                <w:color w:val="000000"/>
                <w:kern w:val="0"/>
                <w:sz w:val="20"/>
                <w:szCs w:val="20"/>
              </w:rPr>
              <w:t>7500.00</w:t>
            </w:r>
          </w:p>
        </w:tc>
        <w:tc>
          <w:tcPr>
            <w:tcW w:w="1149" w:type="dxa"/>
            <w:vAlign w:val="center"/>
          </w:tcPr>
          <w:p>
            <w:pPr>
              <w:widowControl/>
              <w:jc w:val="center"/>
              <w:rPr>
                <w:color w:val="000000"/>
                <w:kern w:val="0"/>
                <w:sz w:val="20"/>
                <w:szCs w:val="20"/>
              </w:rPr>
            </w:pPr>
            <w:r>
              <w:rPr>
                <w:color w:val="000000"/>
                <w:kern w:val="0"/>
                <w:sz w:val="20"/>
                <w:szCs w:val="20"/>
              </w:rPr>
              <w:t>7500.00</w:t>
            </w:r>
          </w:p>
        </w:tc>
      </w:tr>
    </w:tbl>
    <w:p>
      <w:pPr>
        <w:pStyle w:val="Heading3"/>
        <w:rPr>
          <w:rFonts w:hint="eastAsia"/>
          <w:color w:val="000000"/>
          <w:sz w:val="24"/>
          <w:szCs w:val="24"/>
        </w:rPr>
      </w:pPr>
      <w:bookmarkStart w:id="12" w:name="_Toc26614"/>
      <w:bookmarkStart w:id="13" w:name="_Toc19872376"/>
      <w:r>
        <w:rPr>
          <w:rFonts w:hint="eastAsia"/>
          <w:color w:val="000000"/>
          <w:sz w:val="24"/>
          <w:szCs w:val="24"/>
        </w:rPr>
        <w:t>1</w:t>
      </w:r>
      <w:r>
        <w:rPr>
          <w:color w:val="000000"/>
          <w:sz w:val="24"/>
          <w:szCs w:val="24"/>
        </w:rPr>
        <w:t>.</w:t>
      </w:r>
      <w:r>
        <w:rPr>
          <w:rFonts w:hint="eastAsia"/>
          <w:color w:val="000000"/>
          <w:sz w:val="24"/>
          <w:szCs w:val="24"/>
        </w:rPr>
        <w:t>1</w:t>
      </w:r>
      <w:r>
        <w:rPr>
          <w:color w:val="000000"/>
          <w:sz w:val="24"/>
          <w:szCs w:val="24"/>
        </w:rPr>
        <w:t>.</w:t>
      </w:r>
      <w:r>
        <w:rPr>
          <w:rFonts w:hint="eastAsia"/>
          <w:color w:val="000000"/>
          <w:sz w:val="24"/>
          <w:szCs w:val="24"/>
        </w:rPr>
        <w:t>8项目资金来源</w:t>
      </w:r>
      <w:bookmarkEnd w:id="12"/>
      <w:bookmarkEnd w:id="13"/>
    </w:p>
    <w:p>
      <w:pPr>
        <w:spacing w:after="156" w:afterLines="50" w:line="520" w:lineRule="exact"/>
        <w:ind w:firstLine="520" w:firstLineChars="200"/>
        <w:rPr>
          <w:rFonts w:hint="eastAsia"/>
          <w:color w:val="000000"/>
          <w:sz w:val="26"/>
          <w:szCs w:val="26"/>
        </w:rPr>
      </w:pPr>
      <w:r>
        <w:rPr>
          <w:color w:val="000000"/>
          <w:sz w:val="26"/>
          <w:szCs w:val="26"/>
        </w:rPr>
        <w:t>本项目总投资资金18000.00万元</w:t>
      </w:r>
      <w:r>
        <w:rPr>
          <w:rFonts w:hint="eastAsia"/>
          <w:color w:val="000000"/>
          <w:sz w:val="26"/>
          <w:szCs w:val="26"/>
        </w:rPr>
        <w:t>人民币</w:t>
      </w:r>
      <w:r>
        <w:rPr>
          <w:color w:val="000000"/>
          <w:sz w:val="26"/>
          <w:szCs w:val="26"/>
        </w:rPr>
        <w:t>，</w:t>
      </w:r>
      <w:r>
        <w:rPr>
          <w:rFonts w:hint="eastAsia"/>
          <w:color w:val="000000"/>
          <w:sz w:val="26"/>
          <w:szCs w:val="26"/>
        </w:rPr>
        <w:t>资金来源为项目</w:t>
      </w:r>
      <w:r>
        <w:rPr>
          <w:color w:val="000000"/>
          <w:sz w:val="26"/>
          <w:szCs w:val="26"/>
        </w:rPr>
        <w:t>企业自筹。</w:t>
      </w:r>
      <w:r>
        <w:rPr>
          <w:rFonts w:hint="eastAsia"/>
          <w:color w:val="000000"/>
          <w:sz w:val="26"/>
          <w:szCs w:val="26"/>
        </w:rPr>
        <w:t xml:space="preserve"> </w:t>
      </w:r>
    </w:p>
    <w:p>
      <w:pPr>
        <w:pStyle w:val="Heading3"/>
        <w:rPr>
          <w:rFonts w:hint="eastAsia"/>
          <w:color w:val="000000"/>
          <w:sz w:val="24"/>
          <w:szCs w:val="24"/>
        </w:rPr>
      </w:pPr>
      <w:bookmarkStart w:id="14" w:name="_Toc13544"/>
      <w:bookmarkStart w:id="15" w:name="_Toc19872377"/>
      <w:r>
        <w:rPr>
          <w:rFonts w:hint="eastAsia"/>
          <w:color w:val="000000"/>
          <w:sz w:val="24"/>
          <w:szCs w:val="24"/>
        </w:rPr>
        <w:t>1</w:t>
      </w:r>
      <w:r>
        <w:rPr>
          <w:color w:val="000000"/>
          <w:sz w:val="24"/>
          <w:szCs w:val="24"/>
        </w:rPr>
        <w:t>.</w:t>
      </w:r>
      <w:r>
        <w:rPr>
          <w:rFonts w:hint="eastAsia"/>
          <w:color w:val="000000"/>
          <w:sz w:val="24"/>
          <w:szCs w:val="24"/>
        </w:rPr>
        <w:t>1</w:t>
      </w:r>
      <w:r>
        <w:rPr>
          <w:color w:val="000000"/>
          <w:sz w:val="24"/>
          <w:szCs w:val="24"/>
        </w:rPr>
        <w:t>.</w:t>
      </w:r>
      <w:r>
        <w:rPr>
          <w:rFonts w:hint="eastAsia"/>
          <w:color w:val="000000"/>
          <w:sz w:val="24"/>
          <w:szCs w:val="24"/>
        </w:rPr>
        <w:t>9项目建设期限</w:t>
      </w:r>
      <w:bookmarkEnd w:id="14"/>
      <w:bookmarkEnd w:id="15"/>
    </w:p>
    <w:p>
      <w:pPr>
        <w:spacing w:after="156" w:afterLines="50" w:line="520" w:lineRule="exact"/>
        <w:ind w:firstLine="520" w:firstLineChars="200"/>
        <w:rPr>
          <w:color w:val="000000"/>
          <w:sz w:val="26"/>
          <w:szCs w:val="26"/>
        </w:rPr>
        <w:sectPr>
          <w:headerReference w:type="default" r:id="rId32"/>
          <w:footerReference w:type="default" r:id="rId33"/>
          <w:headerReference w:type="first" r:id="rId34"/>
          <w:footerReference w:type="first" r:id="rId35"/>
          <w:type w:val="nextPage"/>
          <w:pgSz w:w="11906" w:h="16838"/>
          <w:pgMar w:top="1440" w:right="1800" w:bottom="1440" w:left="1800" w:header="851" w:footer="992" w:gutter="0"/>
          <w:pgNumType w:fmt="decimal" w:start="2"/>
          <w:cols w:space="708"/>
          <w:titlePg w:val="0"/>
          <w:docGrid w:type="lines" w:linePitch="312" w:charSpace="0"/>
        </w:sectPr>
      </w:pPr>
      <w:r>
        <w:rPr>
          <w:color w:val="000000"/>
          <w:sz w:val="26"/>
          <w:szCs w:val="26"/>
        </w:rPr>
        <w:t>本项目建设工期共计</w:t>
      </w:r>
      <w:r>
        <w:rPr>
          <w:rFonts w:hint="eastAsia"/>
          <w:color w:val="000000"/>
          <w:sz w:val="26"/>
          <w:szCs w:val="26"/>
        </w:rPr>
        <w:t>15个月</w:t>
      </w:r>
      <w:r>
        <w:rPr>
          <w:color w:val="000000"/>
          <w:sz w:val="26"/>
          <w:szCs w:val="26"/>
        </w:rPr>
        <w:t>。</w:t>
      </w:r>
    </w:p>
    <w:p>
      <w:pPr>
        <w:pStyle w:val="Heading2"/>
        <w:spacing w:before="156" w:beforeLines="50" w:after="156" w:afterLines="50" w:line="360" w:lineRule="auto"/>
        <w:rPr>
          <w:rFonts w:ascii="Times New Roman" w:eastAsia="宋体" w:hAnsi="Times New Roman" w:hint="eastAsia"/>
          <w:color w:val="000000"/>
          <w:sz w:val="26"/>
          <w:szCs w:val="28"/>
        </w:rPr>
      </w:pPr>
      <w:bookmarkStart w:id="16" w:name="_Toc10956"/>
      <w:r>
        <w:rPr>
          <w:rFonts w:ascii="Times New Roman" w:eastAsia="宋体" w:hAnsi="Times New Roman"/>
          <w:color w:val="000000"/>
          <w:sz w:val="26"/>
          <w:szCs w:val="28"/>
        </w:rPr>
        <w:t>1.</w:t>
      </w:r>
      <w:r>
        <w:rPr>
          <w:rFonts w:ascii="Times New Roman" w:eastAsia="宋体" w:hAnsi="Times New Roman" w:hint="eastAsia"/>
          <w:color w:val="000000"/>
          <w:sz w:val="26"/>
          <w:szCs w:val="28"/>
        </w:rPr>
        <w:t>2项目建设单位介绍</w:t>
      </w:r>
      <w:bookmarkEnd w:id="16"/>
    </w:p>
    <w:p>
      <w:pPr>
        <w:pStyle w:val="NormalWeb"/>
        <w:keepNext w:val="0"/>
        <w:keepLines w:val="0"/>
        <w:widowControl/>
        <w:suppressLineNumbers w:val="0"/>
        <w:ind w:left="0" w:firstLine="780" w:firstLineChars="300"/>
        <w:rPr>
          <w:rFonts w:ascii="Calibri" w:eastAsia="宋体" w:hAnsi="Calibri" w:cs="Times New Roman" w:hint="eastAsia"/>
          <w:sz w:val="26"/>
          <w:szCs w:val="28"/>
          <w:lang w:val="en-US" w:eastAsia="zh-CN" w:bidi="ar-SA"/>
        </w:rPr>
      </w:pPr>
      <w:r>
        <w:rPr>
          <w:rFonts w:ascii="Calibri" w:eastAsia="宋体" w:hAnsi="Calibri" w:cs="Times New Roman" w:hint="default"/>
          <w:kern w:val="0"/>
          <w:sz w:val="26"/>
          <w:szCs w:val="28"/>
          <w:lang w:val="en-US" w:eastAsia="zh-CN" w:bidi="ar-SA"/>
        </w:rPr>
        <w:t>连云港</w:t>
      </w:r>
      <w:r>
        <w:rPr>
          <w:rFonts w:cs="Times New Roman" w:hint="eastAsia"/>
          <w:kern w:val="0"/>
          <w:sz w:val="26"/>
          <w:szCs w:val="28"/>
          <w:lang w:val="en-US" w:eastAsia="zh-CN" w:bidi="ar-SA"/>
        </w:rPr>
        <w:t>****</w:t>
      </w:r>
      <w:r>
        <w:rPr>
          <w:rFonts w:ascii="Calibri" w:eastAsia="宋体" w:hAnsi="Calibri" w:cs="Times New Roman" w:hint="default"/>
          <w:kern w:val="0"/>
          <w:sz w:val="26"/>
          <w:szCs w:val="28"/>
          <w:lang w:val="en-US" w:eastAsia="zh-CN" w:bidi="ar-SA"/>
        </w:rPr>
        <w:t>有限公司位于江苏省连云港市</w:t>
      </w:r>
      <w:r>
        <w:rPr>
          <w:rFonts w:cs="Times New Roman" w:hint="eastAsia"/>
          <w:kern w:val="0"/>
          <w:sz w:val="26"/>
          <w:szCs w:val="28"/>
          <w:lang w:val="en-US" w:eastAsia="zh-CN" w:bidi="ar-SA"/>
        </w:rPr>
        <w:t>***</w:t>
      </w:r>
      <w:r>
        <w:rPr>
          <w:rFonts w:ascii="Calibri" w:eastAsia="宋体" w:hAnsi="Calibri" w:cs="Times New Roman" w:hint="default"/>
          <w:kern w:val="0"/>
          <w:sz w:val="26"/>
          <w:szCs w:val="28"/>
          <w:lang w:val="en-US" w:eastAsia="zh-CN" w:bidi="ar-SA"/>
        </w:rPr>
        <w:t>县半岛临港产业区内，北枕新沂河，南傍灌河，东濒黄海，紧邻沿海高速，宁连高速，204国道，226省道，交通便捷，地理位置得天独厚。</w:t>
      </w:r>
    </w:p>
    <w:p>
      <w:pPr>
        <w:pStyle w:val="NormalWeb"/>
        <w:keepNext w:val="0"/>
        <w:keepLines w:val="0"/>
        <w:widowControl/>
        <w:suppressLineNumbers w:val="0"/>
        <w:ind w:left="0" w:firstLine="0"/>
        <w:rPr>
          <w:rFonts w:ascii="Calibri" w:eastAsia="宋体" w:hAnsi="Calibri" w:cs="Times New Roman" w:hint="eastAsia"/>
          <w:sz w:val="26"/>
          <w:szCs w:val="28"/>
          <w:lang w:val="en-US" w:eastAsia="zh-CN" w:bidi="ar-SA"/>
        </w:rPr>
      </w:pPr>
      <w:r>
        <w:rPr>
          <w:rFonts w:ascii="Calibri" w:eastAsia="宋体" w:hAnsi="Calibri" w:cs="Times New Roman" w:hint="default"/>
          <w:kern w:val="0"/>
          <w:sz w:val="26"/>
          <w:szCs w:val="28"/>
          <w:lang w:val="en-US" w:eastAsia="zh-CN" w:bidi="ar-SA"/>
        </w:rPr>
        <w:t>公司自创立以来，潜心经营，大力发展，拥有总资产60多亿元，铁、钢、材一条龙生产线，吞吐量近千万吨的现代化料场，烧结、炼铁、炼钢、轧钢四大主体车间主要工艺装备均达国内先进水平，产品畅销苏、浙、沪等国内多个省市地区。</w:t>
      </w:r>
    </w:p>
    <w:p>
      <w:pPr>
        <w:pStyle w:val="NormalWeb"/>
        <w:keepNext w:val="0"/>
        <w:keepLines w:val="0"/>
        <w:widowControl/>
        <w:suppressLineNumbers w:val="0"/>
        <w:ind w:left="0" w:firstLine="0"/>
        <w:rPr>
          <w:rFonts w:ascii="Calibri" w:eastAsia="宋体" w:hAnsi="Calibri" w:cs="Times New Roman" w:hint="eastAsia"/>
          <w:sz w:val="26"/>
          <w:szCs w:val="28"/>
          <w:lang w:val="en-US" w:eastAsia="zh-CN" w:bidi="ar-SA"/>
        </w:rPr>
      </w:pPr>
      <w:r>
        <w:rPr>
          <w:rFonts w:ascii="Calibri" w:eastAsia="宋体" w:hAnsi="Calibri" w:cs="Times New Roman" w:hint="default"/>
          <w:kern w:val="0"/>
          <w:sz w:val="26"/>
          <w:szCs w:val="28"/>
          <w:lang w:val="en-US" w:eastAsia="zh-CN" w:bidi="ar-SA"/>
        </w:rPr>
        <w:t>公司主体工序配备节能减排设备，其中高炉有配套煤粉喷吹和余压发电装置，高炉、转炉有配套煤气回收装置，烧结机有配套烟气余热回收及脱硫装置。在</w:t>
      </w:r>
      <w:r>
        <w:rPr>
          <w:rFonts w:ascii="Calibri" w:eastAsia="宋体" w:hAnsi="Calibri" w:cs="Times New Roman" w:hint="default"/>
          <w:kern w:val="0"/>
          <w:sz w:val="26"/>
          <w:szCs w:val="28"/>
          <w:lang w:val="en-US" w:eastAsia="zh-CN" w:bidi="ar-SA"/>
        </w:rPr>
        <w:t>“</w:t>
      </w:r>
      <w:r>
        <w:rPr>
          <w:rFonts w:ascii="Calibri" w:eastAsia="宋体" w:hAnsi="Calibri" w:cs="Times New Roman" w:hint="default"/>
          <w:kern w:val="0"/>
          <w:sz w:val="26"/>
          <w:szCs w:val="28"/>
          <w:lang w:val="en-US" w:eastAsia="zh-CN" w:bidi="ar-SA"/>
        </w:rPr>
        <w:t>十三五</w:t>
      </w:r>
      <w:r>
        <w:rPr>
          <w:rFonts w:ascii="Calibri" w:eastAsia="宋体" w:hAnsi="Calibri" w:cs="Times New Roman" w:hint="default"/>
          <w:kern w:val="0"/>
          <w:sz w:val="26"/>
          <w:szCs w:val="28"/>
          <w:lang w:val="en-US" w:eastAsia="zh-CN" w:bidi="ar-SA"/>
        </w:rPr>
        <w:t>”</w:t>
      </w:r>
      <w:r>
        <w:rPr>
          <w:rFonts w:ascii="Calibri" w:eastAsia="宋体" w:hAnsi="Calibri" w:cs="Times New Roman" w:hint="default"/>
          <w:kern w:val="0"/>
          <w:sz w:val="26"/>
          <w:szCs w:val="28"/>
          <w:lang w:val="en-US" w:eastAsia="zh-CN" w:bidi="ar-SA"/>
        </w:rPr>
        <w:t>期间，公司按照国家</w:t>
      </w:r>
      <w:r>
        <w:rPr>
          <w:rFonts w:ascii="Calibri" w:eastAsia="宋体" w:hAnsi="Calibri" w:cs="Times New Roman" w:hint="default"/>
          <w:kern w:val="0"/>
          <w:sz w:val="26"/>
          <w:szCs w:val="28"/>
          <w:lang w:val="en-US" w:eastAsia="zh-CN" w:bidi="ar-SA"/>
        </w:rPr>
        <w:t>“</w:t>
      </w:r>
      <w:r>
        <w:rPr>
          <w:rFonts w:ascii="Calibri" w:eastAsia="宋体" w:hAnsi="Calibri" w:cs="Times New Roman" w:hint="default"/>
          <w:kern w:val="0"/>
          <w:sz w:val="26"/>
          <w:szCs w:val="28"/>
          <w:lang w:val="en-US" w:eastAsia="zh-CN" w:bidi="ar-SA"/>
        </w:rPr>
        <w:t>十三五</w:t>
      </w:r>
      <w:r>
        <w:rPr>
          <w:rFonts w:ascii="Calibri" w:eastAsia="宋体" w:hAnsi="Calibri" w:cs="Times New Roman" w:hint="default"/>
          <w:kern w:val="0"/>
          <w:sz w:val="26"/>
          <w:szCs w:val="28"/>
          <w:lang w:val="en-US" w:eastAsia="zh-CN" w:bidi="ar-SA"/>
        </w:rPr>
        <w:t>”</w:t>
      </w:r>
      <w:r>
        <w:rPr>
          <w:rFonts w:ascii="Calibri" w:eastAsia="宋体" w:hAnsi="Calibri" w:cs="Times New Roman" w:hint="default"/>
          <w:kern w:val="0"/>
          <w:sz w:val="26"/>
          <w:szCs w:val="28"/>
          <w:lang w:val="en-US" w:eastAsia="zh-CN" w:bidi="ar-SA"/>
        </w:rPr>
        <w:t>规划建议的要求，在低碳条件下通过转变发展方式，追加资金投建项目，对现有设备提标升级，发展现代</w:t>
      </w:r>
      <w:r>
        <w:rPr>
          <w:rFonts w:cs="Times New Roman" w:hint="eastAsia"/>
          <w:kern w:val="0"/>
          <w:sz w:val="26"/>
          <w:szCs w:val="28"/>
          <w:lang w:val="en-US" w:eastAsia="zh-CN" w:bidi="ar-SA"/>
        </w:rPr>
        <w:t>***</w:t>
      </w:r>
      <w:r>
        <w:rPr>
          <w:rFonts w:ascii="Calibri" w:eastAsia="宋体" w:hAnsi="Calibri" w:cs="Times New Roman" w:hint="default"/>
          <w:kern w:val="0"/>
          <w:sz w:val="26"/>
          <w:szCs w:val="28"/>
          <w:lang w:val="en-US" w:eastAsia="zh-CN" w:bidi="ar-SA"/>
        </w:rPr>
        <w:t>流程，绿色制造，不断技术创新，实现更大的跨越式发展。</w:t>
      </w:r>
    </w:p>
    <w:p>
      <w:pPr>
        <w:pStyle w:val="NormalWeb"/>
        <w:keepNext w:val="0"/>
        <w:keepLines w:val="0"/>
        <w:widowControl/>
        <w:suppressLineNumbers w:val="0"/>
        <w:ind w:left="0" w:firstLine="0"/>
        <w:rPr>
          <w:rFonts w:ascii="Calibri" w:eastAsia="宋体" w:hAnsi="Calibri" w:cs="Times New Roman" w:hint="eastAsia"/>
          <w:sz w:val="26"/>
          <w:szCs w:val="28"/>
          <w:lang w:val="en-US" w:eastAsia="zh-CN" w:bidi="ar-SA"/>
        </w:rPr>
        <w:sectPr>
          <w:headerReference w:type="default" r:id="rId36"/>
          <w:footerReference w:type="default" r:id="rId37"/>
          <w:headerReference w:type="first" r:id="rId38"/>
          <w:footerReference w:type="first" r:id="rId39"/>
          <w:type w:val="nextPage"/>
          <w:pgSz w:w="11906" w:h="16838"/>
          <w:pgMar w:top="1440" w:right="1800" w:bottom="1440" w:left="1800" w:header="851" w:footer="992" w:gutter="0"/>
          <w:pgNumType w:fmt="decimal" w:start="3"/>
          <w:cols w:space="708"/>
          <w:titlePg w:val="0"/>
          <w:docGrid w:type="lines" w:linePitch="312" w:charSpace="0"/>
        </w:sectPr>
      </w:pPr>
      <w:r>
        <w:rPr>
          <w:rFonts w:ascii="Calibri" w:eastAsia="宋体" w:hAnsi="Calibri" w:cs="Times New Roman" w:hint="default"/>
          <w:kern w:val="0"/>
          <w:sz w:val="26"/>
          <w:szCs w:val="28"/>
          <w:lang w:val="en-US" w:eastAsia="zh-CN" w:bidi="ar-SA"/>
        </w:rPr>
        <w:t>目前共建设一座吞吐量近1000万吨的现代化料场；3座180平方米烧结；3座1080立方米高炉；2座120吨转炉。公司现已具备年产300万吨钢的能力，形成了以螺纹钢为主的产品体系。产品畅销苏、浙、沪等国内多个省市地区，解决了3200余人的就业问题，顺利进入了全国民营企业500强行列。年生产铁300万吨，生产粗钢产量305.38万吨，生产材238.72万吨，总年度企业产值62.01亿万，年度销售收入61亿元。</w:t>
      </w:r>
    </w:p>
    <w:p>
      <w:pPr>
        <w:pStyle w:val="NormalWeb"/>
        <w:keepNext w:val="0"/>
        <w:keepLines w:val="0"/>
        <w:widowControl/>
        <w:suppressLineNumbers w:val="0"/>
        <w:ind w:left="0" w:firstLine="0"/>
        <w:rPr>
          <w:rFonts w:ascii="Calibri" w:eastAsia="宋体" w:hAnsi="Calibri" w:cs="Times New Roman" w:hint="eastAsia"/>
          <w:sz w:val="26"/>
          <w:szCs w:val="28"/>
          <w:lang w:val="en-US" w:eastAsia="zh-CN" w:bidi="ar-SA"/>
        </w:rPr>
      </w:pPr>
      <w:r>
        <w:rPr>
          <w:rFonts w:ascii="Calibri" w:eastAsia="宋体" w:hAnsi="Calibri" w:cs="Times New Roman" w:hint="default"/>
          <w:kern w:val="0"/>
          <w:sz w:val="26"/>
          <w:szCs w:val="28"/>
          <w:lang w:val="en-US" w:eastAsia="zh-CN" w:bidi="ar-SA"/>
        </w:rPr>
        <w:t>连云港</w:t>
      </w:r>
      <w:r>
        <w:rPr>
          <w:rFonts w:cs="Times New Roman" w:hint="eastAsia"/>
          <w:kern w:val="0"/>
          <w:sz w:val="26"/>
          <w:szCs w:val="28"/>
          <w:lang w:val="en-US" w:eastAsia="zh-CN" w:bidi="ar-SA"/>
        </w:rPr>
        <w:t>******</w:t>
      </w:r>
      <w:r>
        <w:rPr>
          <w:rFonts w:ascii="Calibri" w:eastAsia="宋体" w:hAnsi="Calibri" w:cs="Times New Roman" w:hint="default"/>
          <w:kern w:val="0"/>
          <w:sz w:val="26"/>
          <w:szCs w:val="28"/>
          <w:lang w:val="en-US" w:eastAsia="zh-CN" w:bidi="ar-SA"/>
        </w:rPr>
        <w:t>有限公司在生产经营始终保持了良好发展态势的同时，将继续坚持科学发展观和可持续发展战略，走新型工业化道路，大力推进产品结构、技术结构和装备结构的调整升级，大力开展节能减排，发展循环经济，加速利用连云港便利发达的海河联运优势，推进资产重组，进一步提高产业集中度，建设具有强大核心竞争力和鲜明特色的精品钢材生产基地，成为资源高效利用、生产与环境、企业与社会和谐友好的绿色</w:t>
      </w:r>
      <w:r>
        <w:rPr>
          <w:rFonts w:cs="Times New Roman" w:hint="eastAsia"/>
          <w:kern w:val="0"/>
          <w:sz w:val="26"/>
          <w:szCs w:val="28"/>
          <w:lang w:val="en-US" w:eastAsia="zh-CN" w:bidi="ar-SA"/>
        </w:rPr>
        <w:t>***</w:t>
      </w:r>
      <w:r>
        <w:rPr>
          <w:rFonts w:ascii="Calibri" w:eastAsia="宋体" w:hAnsi="Calibri" w:cs="Times New Roman" w:hint="default"/>
          <w:kern w:val="0"/>
          <w:sz w:val="26"/>
          <w:szCs w:val="28"/>
          <w:lang w:val="en-US" w:eastAsia="zh-CN" w:bidi="ar-SA"/>
        </w:rPr>
        <w:t>基地。</w:t>
      </w:r>
    </w:p>
    <w:p>
      <w:pPr>
        <w:pStyle w:val="Heading2"/>
        <w:spacing w:before="156" w:beforeLines="50" w:after="156" w:afterLines="50" w:line="360" w:lineRule="auto"/>
        <w:rPr>
          <w:rFonts w:ascii="Times New Roman" w:eastAsia="宋体" w:hAnsi="Times New Roman" w:hint="eastAsia"/>
          <w:color w:val="000000"/>
          <w:sz w:val="26"/>
          <w:szCs w:val="28"/>
        </w:rPr>
      </w:pPr>
      <w:bookmarkStart w:id="17" w:name="_Toc22948"/>
      <w:r>
        <w:rPr>
          <w:rFonts w:ascii="Times New Roman" w:eastAsia="宋体" w:hAnsi="Times New Roman"/>
          <w:color w:val="000000"/>
          <w:sz w:val="26"/>
          <w:szCs w:val="28"/>
        </w:rPr>
        <w:t>1.</w:t>
      </w:r>
      <w:r>
        <w:rPr>
          <w:rFonts w:ascii="Times New Roman" w:eastAsia="宋体" w:hAnsi="Times New Roman" w:hint="eastAsia"/>
          <w:color w:val="000000"/>
          <w:sz w:val="26"/>
          <w:szCs w:val="28"/>
        </w:rPr>
        <w:t>3编制依据</w:t>
      </w:r>
      <w:bookmarkEnd w:id="17"/>
    </w:p>
    <w:p>
      <w:pPr>
        <w:numPr>
          <w:ilvl w:val="0"/>
          <w:numId w:val="4"/>
        </w:numPr>
        <w:tabs>
          <w:tab w:val="left" w:pos="940"/>
        </w:tabs>
        <w:spacing w:after="156" w:afterLines="50" w:line="520" w:lineRule="exact"/>
        <w:rPr>
          <w:rFonts w:hint="eastAsia"/>
          <w:color w:val="000000"/>
          <w:kern w:val="0"/>
          <w:sz w:val="26"/>
          <w:szCs w:val="28"/>
        </w:rPr>
      </w:pPr>
      <w:r>
        <w:rPr>
          <w:color w:val="000000"/>
          <w:kern w:val="0"/>
          <w:sz w:val="26"/>
          <w:szCs w:val="28"/>
        </w:rPr>
        <w:t>《中华人民共和国国民经济和社会发展</w:t>
      </w:r>
      <w:r>
        <w:rPr>
          <w:rFonts w:hint="eastAsia"/>
          <w:color w:val="000000"/>
          <w:kern w:val="0"/>
          <w:sz w:val="26"/>
          <w:szCs w:val="28"/>
        </w:rPr>
        <w:t>“</w:t>
      </w:r>
      <w:r>
        <w:rPr>
          <w:color w:val="000000"/>
          <w:kern w:val="0"/>
          <w:sz w:val="26"/>
          <w:szCs w:val="28"/>
        </w:rPr>
        <w:t>十</w:t>
      </w:r>
      <w:r>
        <w:rPr>
          <w:rFonts w:hint="eastAsia"/>
          <w:color w:val="000000"/>
          <w:kern w:val="0"/>
          <w:sz w:val="26"/>
          <w:szCs w:val="28"/>
        </w:rPr>
        <w:t>三</w:t>
      </w:r>
      <w:r>
        <w:rPr>
          <w:color w:val="000000"/>
          <w:kern w:val="0"/>
          <w:sz w:val="26"/>
          <w:szCs w:val="28"/>
        </w:rPr>
        <w:t>五</w:t>
      </w:r>
      <w:r>
        <w:rPr>
          <w:rFonts w:hint="eastAsia"/>
          <w:color w:val="000000"/>
          <w:kern w:val="0"/>
          <w:sz w:val="26"/>
          <w:szCs w:val="28"/>
        </w:rPr>
        <w:t>”</w:t>
      </w:r>
      <w:r>
        <w:rPr>
          <w:color w:val="000000"/>
          <w:kern w:val="0"/>
          <w:sz w:val="26"/>
          <w:szCs w:val="28"/>
        </w:rPr>
        <w:t>规划纲要》；</w:t>
      </w:r>
    </w:p>
    <w:p>
      <w:pPr>
        <w:numPr>
          <w:ilvl w:val="0"/>
          <w:numId w:val="4"/>
        </w:numPr>
        <w:tabs>
          <w:tab w:val="left" w:pos="940"/>
        </w:tabs>
        <w:spacing w:after="156" w:afterLines="50" w:line="520" w:lineRule="exact"/>
        <w:rPr>
          <w:rFonts w:hint="eastAsia"/>
          <w:color w:val="000000"/>
          <w:kern w:val="0"/>
          <w:sz w:val="26"/>
          <w:szCs w:val="28"/>
        </w:rPr>
      </w:pPr>
      <w:r>
        <w:rPr>
          <w:color w:val="000000"/>
          <w:kern w:val="0"/>
          <w:sz w:val="26"/>
          <w:szCs w:val="28"/>
        </w:rPr>
        <w:t>《</w:t>
      </w:r>
      <w:r>
        <w:rPr>
          <w:rFonts w:hint="eastAsia"/>
          <w:color w:val="000000"/>
          <w:kern w:val="0"/>
          <w:sz w:val="26"/>
          <w:szCs w:val="28"/>
          <w:lang w:val="en-US" w:eastAsia="zh-CN"/>
        </w:rPr>
        <w:t>武汉市</w:t>
      </w:r>
      <w:r>
        <w:rPr>
          <w:color w:val="000000"/>
          <w:kern w:val="0"/>
          <w:sz w:val="26"/>
          <w:szCs w:val="28"/>
        </w:rPr>
        <w:t>国民经济和社会发展第十</w:t>
      </w:r>
      <w:r>
        <w:rPr>
          <w:rFonts w:hint="eastAsia"/>
          <w:color w:val="000000"/>
          <w:kern w:val="0"/>
          <w:sz w:val="26"/>
          <w:szCs w:val="28"/>
        </w:rPr>
        <w:t>三</w:t>
      </w:r>
      <w:r>
        <w:rPr>
          <w:color w:val="000000"/>
          <w:kern w:val="0"/>
          <w:sz w:val="26"/>
          <w:szCs w:val="28"/>
        </w:rPr>
        <w:t>个五年规划纲要》；</w:t>
      </w:r>
    </w:p>
    <w:p>
      <w:pPr>
        <w:numPr>
          <w:ilvl w:val="0"/>
          <w:numId w:val="4"/>
        </w:numPr>
        <w:tabs>
          <w:tab w:val="left" w:pos="940"/>
        </w:tabs>
        <w:spacing w:after="156" w:afterLines="50" w:line="520" w:lineRule="exact"/>
        <w:rPr>
          <w:rFonts w:hint="eastAsia"/>
          <w:color w:val="000000"/>
          <w:kern w:val="0"/>
          <w:sz w:val="26"/>
          <w:szCs w:val="28"/>
        </w:rPr>
      </w:pPr>
      <w:r>
        <w:rPr>
          <w:rFonts w:hint="eastAsia"/>
          <w:color w:val="000000"/>
          <w:kern w:val="0"/>
          <w:sz w:val="26"/>
          <w:szCs w:val="28"/>
        </w:rPr>
        <w:t>《国家中长期科学和技术发展规划纲要（2006-2020年）》；</w:t>
      </w:r>
    </w:p>
    <w:p>
      <w:pPr>
        <w:numPr>
          <w:ilvl w:val="0"/>
          <w:numId w:val="4"/>
        </w:numPr>
        <w:tabs>
          <w:tab w:val="left" w:pos="940"/>
        </w:tabs>
        <w:spacing w:after="156" w:afterLines="50" w:line="520" w:lineRule="exact"/>
        <w:rPr>
          <w:rFonts w:hint="eastAsia"/>
          <w:color w:val="000000"/>
          <w:kern w:val="0"/>
          <w:sz w:val="26"/>
          <w:szCs w:val="28"/>
        </w:rPr>
      </w:pPr>
      <w:r>
        <w:rPr>
          <w:rFonts w:hint="eastAsia"/>
          <w:color w:val="000000"/>
          <w:kern w:val="0"/>
          <w:sz w:val="26"/>
          <w:szCs w:val="28"/>
        </w:rPr>
        <w:t>《</w:t>
      </w:r>
      <w:hyperlink r:id="rId40" w:history="1">
        <w:r>
          <w:rPr>
            <w:rFonts w:hint="eastAsia"/>
            <w:color w:val="000000"/>
            <w:kern w:val="0"/>
            <w:sz w:val="26"/>
            <w:szCs w:val="28"/>
            <w:lang w:eastAsia="zh-CN"/>
          </w:rPr>
          <w:t>标准化香菇示范基地</w:t>
        </w:r>
        <w:r>
          <w:rPr>
            <w:rFonts w:hint="eastAsia"/>
            <w:color w:val="000000"/>
            <w:kern w:val="0"/>
            <w:sz w:val="26"/>
            <w:szCs w:val="28"/>
          </w:rPr>
          <w:t>工业发展规划（</w:t>
        </w:r>
        <w:r>
          <w:rPr>
            <w:color w:val="000000"/>
            <w:kern w:val="0"/>
            <w:sz w:val="26"/>
            <w:szCs w:val="28"/>
          </w:rPr>
          <w:t>2016</w:t>
        </w:r>
        <w:r>
          <w:rPr>
            <w:rFonts w:hint="eastAsia"/>
            <w:color w:val="000000"/>
            <w:kern w:val="0"/>
            <w:sz w:val="26"/>
            <w:szCs w:val="28"/>
          </w:rPr>
          <w:t>-</w:t>
        </w:r>
        <w:r>
          <w:rPr>
            <w:color w:val="000000"/>
            <w:kern w:val="0"/>
            <w:sz w:val="26"/>
            <w:szCs w:val="28"/>
          </w:rPr>
          <w:t>2020</w:t>
        </w:r>
        <w:r>
          <w:rPr>
            <w:rFonts w:hint="eastAsia"/>
            <w:color w:val="000000"/>
            <w:kern w:val="0"/>
            <w:sz w:val="26"/>
            <w:szCs w:val="28"/>
          </w:rPr>
          <w:t>年）</w:t>
        </w:r>
      </w:hyperlink>
      <w:r>
        <w:rPr>
          <w:rFonts w:hint="eastAsia"/>
          <w:color w:val="000000"/>
          <w:kern w:val="0"/>
          <w:sz w:val="26"/>
          <w:szCs w:val="28"/>
        </w:rPr>
        <w:t>》；</w:t>
      </w:r>
    </w:p>
    <w:p>
      <w:pPr>
        <w:numPr>
          <w:ilvl w:val="0"/>
          <w:numId w:val="4"/>
        </w:numPr>
        <w:tabs>
          <w:tab w:val="left" w:pos="940"/>
        </w:tabs>
        <w:spacing w:after="156" w:afterLines="50" w:line="520" w:lineRule="exact"/>
        <w:rPr>
          <w:rFonts w:hint="eastAsia"/>
          <w:color w:val="000000"/>
          <w:kern w:val="0"/>
          <w:sz w:val="26"/>
          <w:szCs w:val="28"/>
        </w:rPr>
      </w:pPr>
      <w:r>
        <w:rPr>
          <w:color w:val="000000"/>
          <w:kern w:val="0"/>
          <w:sz w:val="26"/>
          <w:szCs w:val="28"/>
        </w:rPr>
        <w:t>《中国制造2025》</w:t>
      </w:r>
      <w:r>
        <w:rPr>
          <w:rFonts w:hint="eastAsia"/>
          <w:color w:val="000000"/>
          <w:kern w:val="0"/>
          <w:sz w:val="26"/>
          <w:szCs w:val="28"/>
        </w:rPr>
        <w:t>；</w:t>
      </w:r>
    </w:p>
    <w:p>
      <w:pPr>
        <w:numPr>
          <w:ilvl w:val="0"/>
          <w:numId w:val="4"/>
        </w:numPr>
        <w:tabs>
          <w:tab w:val="left" w:pos="940"/>
        </w:tabs>
        <w:spacing w:after="156" w:afterLines="50" w:line="520" w:lineRule="exact"/>
        <w:rPr>
          <w:color w:val="000000"/>
          <w:kern w:val="0"/>
          <w:sz w:val="26"/>
          <w:szCs w:val="28"/>
        </w:rPr>
      </w:pPr>
      <w:r>
        <w:rPr>
          <w:color w:val="000000"/>
          <w:kern w:val="0"/>
          <w:sz w:val="26"/>
          <w:szCs w:val="28"/>
        </w:rPr>
        <w:t>《建设项目经济评价方法与参数及使用手册》（第三版）；</w:t>
      </w:r>
    </w:p>
    <w:p>
      <w:pPr>
        <w:numPr>
          <w:ilvl w:val="0"/>
          <w:numId w:val="4"/>
        </w:numPr>
        <w:tabs>
          <w:tab w:val="left" w:pos="940"/>
        </w:tabs>
        <w:spacing w:after="156" w:afterLines="50" w:line="520" w:lineRule="exact"/>
        <w:rPr>
          <w:color w:val="000000"/>
          <w:kern w:val="0"/>
          <w:sz w:val="26"/>
          <w:szCs w:val="28"/>
        </w:rPr>
      </w:pPr>
      <w:r>
        <w:rPr>
          <w:rFonts w:hAnsi="宋体"/>
          <w:color w:val="000000"/>
          <w:kern w:val="0"/>
          <w:sz w:val="26"/>
          <w:szCs w:val="28"/>
        </w:rPr>
        <w:t>《工业可行性研究编制手册》</w:t>
      </w:r>
      <w:r>
        <w:rPr>
          <w:color w:val="000000"/>
          <w:kern w:val="0"/>
          <w:sz w:val="26"/>
          <w:szCs w:val="28"/>
        </w:rPr>
        <w:t>；</w:t>
      </w:r>
    </w:p>
    <w:p>
      <w:pPr>
        <w:numPr>
          <w:ilvl w:val="0"/>
          <w:numId w:val="4"/>
        </w:numPr>
        <w:tabs>
          <w:tab w:val="left" w:pos="940"/>
        </w:tabs>
        <w:spacing w:after="156" w:afterLines="50" w:line="520" w:lineRule="exact"/>
        <w:rPr>
          <w:color w:val="000000"/>
          <w:kern w:val="0"/>
          <w:sz w:val="26"/>
          <w:szCs w:val="28"/>
        </w:rPr>
      </w:pPr>
      <w:r>
        <w:rPr>
          <w:rFonts w:hAnsi="宋体"/>
          <w:color w:val="000000"/>
          <w:kern w:val="0"/>
          <w:sz w:val="26"/>
          <w:szCs w:val="28"/>
        </w:rPr>
        <w:t>《现代财务会计》；</w:t>
      </w:r>
    </w:p>
    <w:p>
      <w:pPr>
        <w:numPr>
          <w:ilvl w:val="0"/>
          <w:numId w:val="4"/>
        </w:numPr>
        <w:tabs>
          <w:tab w:val="left" w:pos="940"/>
        </w:tabs>
        <w:spacing w:after="156" w:afterLines="50" w:line="520" w:lineRule="exact"/>
        <w:rPr>
          <w:color w:val="000000"/>
          <w:kern w:val="0"/>
          <w:sz w:val="26"/>
          <w:szCs w:val="28"/>
        </w:rPr>
      </w:pPr>
      <w:r>
        <w:rPr>
          <w:rFonts w:hAnsi="宋体"/>
          <w:color w:val="000000"/>
          <w:kern w:val="0"/>
          <w:sz w:val="26"/>
          <w:szCs w:val="28"/>
        </w:rPr>
        <w:t>《工业投资项目评价与决策》；</w:t>
      </w:r>
    </w:p>
    <w:p>
      <w:pPr>
        <w:numPr>
          <w:ilvl w:val="0"/>
          <w:numId w:val="4"/>
        </w:numPr>
        <w:tabs>
          <w:tab w:val="left" w:pos="940"/>
        </w:tabs>
        <w:spacing w:after="156" w:afterLines="50" w:line="520" w:lineRule="exact"/>
        <w:rPr>
          <w:color w:val="000000"/>
          <w:kern w:val="0"/>
          <w:sz w:val="26"/>
          <w:szCs w:val="28"/>
        </w:rPr>
      </w:pPr>
      <w:r>
        <w:rPr>
          <w:color w:val="000000"/>
          <w:kern w:val="0"/>
          <w:sz w:val="26"/>
          <w:szCs w:val="28"/>
        </w:rPr>
        <w:t>项目公司提供的发展规划、有关资料及相关数据；</w:t>
      </w:r>
    </w:p>
    <w:p>
      <w:pPr>
        <w:numPr>
          <w:ilvl w:val="0"/>
          <w:numId w:val="4"/>
        </w:numPr>
        <w:tabs>
          <w:tab w:val="left" w:pos="940"/>
        </w:tabs>
        <w:spacing w:after="156" w:afterLines="50" w:line="520" w:lineRule="exact"/>
        <w:rPr>
          <w:color w:val="000000"/>
          <w:kern w:val="0"/>
          <w:sz w:val="26"/>
          <w:szCs w:val="28"/>
        </w:rPr>
      </w:pPr>
      <w:r>
        <w:rPr>
          <w:color w:val="000000"/>
          <w:kern w:val="0"/>
          <w:sz w:val="26"/>
          <w:szCs w:val="28"/>
        </w:rPr>
        <w:t>国家公布的相关设备及施工标准。</w:t>
      </w:r>
    </w:p>
    <w:p>
      <w:pPr>
        <w:pStyle w:val="Heading2"/>
        <w:spacing w:before="156" w:beforeLines="50" w:after="156" w:afterLines="50" w:line="360" w:lineRule="auto"/>
        <w:rPr>
          <w:rFonts w:ascii="Times New Roman" w:eastAsia="宋体" w:hAnsi="Times New Roman" w:hint="eastAsia"/>
          <w:color w:val="000000"/>
          <w:sz w:val="26"/>
          <w:szCs w:val="28"/>
        </w:rPr>
      </w:pPr>
      <w:bookmarkStart w:id="18" w:name="_Toc26501"/>
      <w:r>
        <w:rPr>
          <w:rFonts w:ascii="Times New Roman" w:eastAsia="宋体" w:hAnsi="Times New Roman"/>
          <w:color w:val="000000"/>
          <w:sz w:val="26"/>
          <w:szCs w:val="28"/>
        </w:rPr>
        <w:t>1.</w:t>
      </w:r>
      <w:r>
        <w:rPr>
          <w:rFonts w:ascii="Times New Roman" w:eastAsia="宋体" w:hAnsi="Times New Roman" w:hint="eastAsia"/>
          <w:color w:val="000000"/>
          <w:sz w:val="26"/>
          <w:szCs w:val="28"/>
        </w:rPr>
        <w:t>4 编制原则</w:t>
      </w:r>
      <w:bookmarkEnd w:id="18"/>
      <w:r>
        <w:rPr>
          <w:rFonts w:ascii="Times New Roman" w:eastAsia="宋体" w:hAnsi="Times New Roman" w:hint="eastAsia"/>
          <w:color w:val="000000"/>
          <w:sz w:val="26"/>
          <w:szCs w:val="28"/>
        </w:rPr>
        <w:t xml:space="preserve"> </w:t>
      </w:r>
    </w:p>
    <w:p>
      <w:pPr>
        <w:spacing w:after="156" w:afterLines="50" w:line="520" w:lineRule="exact"/>
        <w:ind w:firstLine="520" w:firstLineChars="200"/>
        <w:rPr>
          <w:color w:val="000000"/>
          <w:kern w:val="0"/>
          <w:sz w:val="26"/>
          <w:szCs w:val="28"/>
        </w:rPr>
        <w:sectPr>
          <w:headerReference w:type="default" r:id="rId41"/>
          <w:footerReference w:type="default" r:id="rId42"/>
          <w:headerReference w:type="first" r:id="rId43"/>
          <w:footerReference w:type="first" r:id="rId44"/>
          <w:type w:val="nextPage"/>
          <w:pgSz w:w="11906" w:h="16838"/>
          <w:pgMar w:top="1440" w:right="1800" w:bottom="1440" w:left="1800" w:header="851" w:footer="992" w:gutter="0"/>
          <w:pgNumType w:fmt="decimal" w:start="4"/>
          <w:cols w:space="708"/>
          <w:titlePg w:val="0"/>
          <w:docGrid w:type="lines" w:linePitch="312" w:charSpace="0"/>
        </w:sectPr>
      </w:pPr>
    </w:p>
    <w:p>
      <w:pPr>
        <w:spacing w:after="156" w:afterLines="50" w:line="520" w:lineRule="exact"/>
        <w:ind w:firstLine="520" w:firstLineChars="200"/>
        <w:rPr>
          <w:color w:val="000000"/>
          <w:kern w:val="0"/>
          <w:sz w:val="26"/>
          <w:szCs w:val="28"/>
        </w:rPr>
      </w:pPr>
      <w:r>
        <w:rPr>
          <w:color w:val="000000"/>
          <w:kern w:val="0"/>
          <w:sz w:val="26"/>
          <w:szCs w:val="28"/>
        </w:rPr>
        <w:t>（1）充分利用企业现有基础设施条件，将该企业现有条件（设备、场地等）均纳入到设计方案，合理调整，以减少重复投资。</w:t>
      </w:r>
    </w:p>
    <w:p>
      <w:pPr>
        <w:spacing w:after="156" w:afterLines="50" w:line="520" w:lineRule="exact"/>
        <w:ind w:firstLine="520" w:firstLineChars="200"/>
        <w:rPr>
          <w:rFonts w:hint="eastAsia"/>
          <w:color w:val="000000"/>
          <w:kern w:val="0"/>
          <w:sz w:val="26"/>
          <w:szCs w:val="28"/>
        </w:rPr>
      </w:pPr>
      <w:r>
        <w:rPr>
          <w:color w:val="000000"/>
          <w:kern w:val="0"/>
          <w:sz w:val="26"/>
          <w:szCs w:val="28"/>
        </w:rPr>
        <w:t>（</w:t>
      </w:r>
      <w:r>
        <w:rPr>
          <w:rFonts w:hint="eastAsia"/>
          <w:color w:val="000000"/>
          <w:kern w:val="0"/>
          <w:sz w:val="26"/>
          <w:szCs w:val="28"/>
        </w:rPr>
        <w:t>2</w:t>
      </w:r>
      <w:r>
        <w:rPr>
          <w:color w:val="000000"/>
          <w:kern w:val="0"/>
          <w:sz w:val="26"/>
          <w:szCs w:val="28"/>
        </w:rPr>
        <w:t>）坚持技术、设备的先进性、适用性、合理性、经济性的原则，确保</w:t>
      </w:r>
      <w:r>
        <w:rPr>
          <w:rFonts w:hint="eastAsia"/>
          <w:color w:val="000000"/>
          <w:kern w:val="0"/>
          <w:sz w:val="26"/>
          <w:szCs w:val="28"/>
        </w:rPr>
        <w:t>工程</w:t>
      </w:r>
      <w:r>
        <w:rPr>
          <w:color w:val="000000"/>
          <w:kern w:val="0"/>
          <w:sz w:val="26"/>
          <w:szCs w:val="28"/>
        </w:rPr>
        <w:t>质量，以达到企业的高效益。</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（3）认真贯彻执行国家基本建设的各项方针、政策和有关规定，执行国家及各部委颁发的现行标准和规范。</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（4）设计中尽一切努力节能降耗，节约用水，提高能源的重复利用率。</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（5）注重环境保护，设计中注重建设垃圾处理方案，在建设过程中采用行之有效的环境综合治理措施。</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（6）注重劳动安全和卫生，设计文件应符合国家有关劳动安全、劳动卫生及消防等标准和规范要求。</w:t>
      </w:r>
    </w:p>
    <w:p>
      <w:pPr>
        <w:pStyle w:val="Heading2"/>
        <w:spacing w:before="156" w:beforeLines="50" w:after="156" w:afterLines="50" w:line="360" w:lineRule="auto"/>
        <w:rPr>
          <w:rFonts w:ascii="Times New Roman" w:eastAsia="宋体" w:hAnsi="Times New Roman" w:hint="eastAsia"/>
          <w:color w:val="000000"/>
          <w:sz w:val="26"/>
          <w:szCs w:val="28"/>
        </w:rPr>
      </w:pPr>
      <w:bookmarkStart w:id="19" w:name="_Toc19158"/>
      <w:r>
        <w:rPr>
          <w:rFonts w:ascii="Times New Roman" w:eastAsia="宋体" w:hAnsi="Times New Roman" w:hint="eastAsia"/>
          <w:color w:val="000000"/>
          <w:sz w:val="26"/>
          <w:szCs w:val="28"/>
        </w:rPr>
        <w:t>1.5研究范围</w:t>
      </w:r>
      <w:bookmarkEnd w:id="19"/>
    </w:p>
    <w:p>
      <w:pPr>
        <w:spacing w:after="156" w:afterLines="50" w:line="520" w:lineRule="exact"/>
        <w:ind w:firstLine="520" w:firstLineChars="200"/>
        <w:rPr>
          <w:rFonts w:hint="eastAsia"/>
          <w:color w:val="000000"/>
          <w:kern w:val="0"/>
          <w:sz w:val="26"/>
          <w:szCs w:val="28"/>
        </w:rPr>
      </w:pPr>
      <w:r>
        <w:rPr>
          <w:color w:val="000000"/>
          <w:kern w:val="0"/>
          <w:sz w:val="26"/>
          <w:szCs w:val="28"/>
        </w:rPr>
        <w:t>本研究报告对企业现状和项目建设的</w:t>
      </w:r>
      <w:r>
        <w:rPr>
          <w:rFonts w:hint="eastAsia"/>
          <w:color w:val="000000"/>
          <w:kern w:val="0"/>
          <w:sz w:val="26"/>
          <w:szCs w:val="28"/>
        </w:rPr>
        <w:t>可行性、</w:t>
      </w:r>
      <w:r>
        <w:rPr>
          <w:color w:val="000000"/>
          <w:kern w:val="0"/>
          <w:sz w:val="26"/>
          <w:szCs w:val="28"/>
        </w:rPr>
        <w:t>必要性及承办条件进行了调查、分析和论证</w:t>
      </w:r>
      <w:r>
        <w:rPr>
          <w:rFonts w:hint="eastAsia"/>
          <w:color w:val="000000"/>
          <w:kern w:val="0"/>
          <w:sz w:val="26"/>
          <w:szCs w:val="28"/>
        </w:rPr>
        <w:t>；</w:t>
      </w:r>
      <w:r>
        <w:rPr>
          <w:color w:val="000000"/>
          <w:kern w:val="0"/>
          <w:sz w:val="26"/>
          <w:szCs w:val="28"/>
        </w:rPr>
        <w:t>对产品的</w:t>
      </w:r>
      <w:r>
        <w:rPr>
          <w:rFonts w:hint="eastAsia"/>
          <w:color w:val="000000"/>
          <w:kern w:val="0"/>
          <w:sz w:val="26"/>
          <w:szCs w:val="28"/>
        </w:rPr>
        <w:t>行业</w:t>
      </w:r>
      <w:r>
        <w:rPr>
          <w:color w:val="000000"/>
          <w:kern w:val="0"/>
          <w:sz w:val="26"/>
          <w:szCs w:val="28"/>
        </w:rPr>
        <w:t>市场需求情况进行了重点分析和预测，确定了本项目的</w:t>
      </w:r>
      <w:r>
        <w:rPr>
          <w:rFonts w:hint="eastAsia"/>
          <w:color w:val="000000"/>
          <w:kern w:val="0"/>
          <w:sz w:val="26"/>
          <w:szCs w:val="28"/>
        </w:rPr>
        <w:t>经营</w:t>
      </w:r>
      <w:r>
        <w:rPr>
          <w:color w:val="000000"/>
          <w:kern w:val="0"/>
          <w:sz w:val="26"/>
          <w:szCs w:val="28"/>
        </w:rPr>
        <w:t>纲领</w:t>
      </w:r>
      <w:r>
        <w:rPr>
          <w:rFonts w:hint="eastAsia"/>
          <w:color w:val="000000"/>
          <w:kern w:val="0"/>
          <w:sz w:val="26"/>
          <w:szCs w:val="28"/>
        </w:rPr>
        <w:t>；</w:t>
      </w:r>
      <w:r>
        <w:rPr>
          <w:color w:val="000000"/>
          <w:kern w:val="0"/>
          <w:sz w:val="26"/>
          <w:szCs w:val="28"/>
        </w:rPr>
        <w:t>对加强环境保护、节约能源等方面提出了</w:t>
      </w:r>
      <w:r>
        <w:rPr>
          <w:rFonts w:hint="eastAsia"/>
          <w:color w:val="000000"/>
          <w:kern w:val="0"/>
          <w:sz w:val="26"/>
          <w:szCs w:val="28"/>
        </w:rPr>
        <w:t>建设</w:t>
      </w:r>
      <w:r>
        <w:rPr>
          <w:color w:val="000000"/>
          <w:kern w:val="0"/>
          <w:sz w:val="26"/>
          <w:szCs w:val="28"/>
        </w:rPr>
        <w:t>措施、意见和建议</w:t>
      </w:r>
      <w:r>
        <w:rPr>
          <w:rFonts w:hint="eastAsia"/>
          <w:color w:val="000000"/>
          <w:kern w:val="0"/>
          <w:sz w:val="26"/>
          <w:szCs w:val="28"/>
        </w:rPr>
        <w:t>；</w:t>
      </w:r>
      <w:r>
        <w:rPr>
          <w:color w:val="000000"/>
          <w:kern w:val="0"/>
          <w:sz w:val="26"/>
          <w:szCs w:val="28"/>
        </w:rPr>
        <w:t>对工程投资，</w:t>
      </w:r>
      <w:r>
        <w:rPr>
          <w:rFonts w:hint="eastAsia"/>
          <w:color w:val="000000"/>
          <w:kern w:val="0"/>
          <w:sz w:val="26"/>
          <w:szCs w:val="28"/>
        </w:rPr>
        <w:t>经营</w:t>
      </w:r>
      <w:r>
        <w:rPr>
          <w:color w:val="000000"/>
          <w:kern w:val="0"/>
          <w:sz w:val="26"/>
          <w:szCs w:val="28"/>
        </w:rPr>
        <w:t>成本和经济效益等进行计算分析并作出总的评价</w:t>
      </w:r>
      <w:r>
        <w:rPr>
          <w:rFonts w:hint="eastAsia"/>
          <w:color w:val="000000"/>
          <w:kern w:val="0"/>
          <w:sz w:val="26"/>
          <w:szCs w:val="28"/>
        </w:rPr>
        <w:t>；对项目建设及运营中出现风险因素作出分析，重点阐述规避对策</w:t>
      </w:r>
      <w:r>
        <w:rPr>
          <w:color w:val="000000"/>
          <w:kern w:val="0"/>
          <w:sz w:val="26"/>
          <w:szCs w:val="28"/>
        </w:rPr>
        <w:t>。</w:t>
      </w:r>
    </w:p>
    <w:p>
      <w:pPr>
        <w:pStyle w:val="Heading2"/>
        <w:spacing w:before="156" w:beforeLines="50" w:after="156" w:afterLines="50" w:line="360" w:lineRule="auto"/>
        <w:rPr>
          <w:rFonts w:ascii="Times New Roman" w:eastAsia="宋体" w:hAnsi="Times New Roman" w:hint="eastAsia"/>
          <w:color w:val="000000"/>
          <w:sz w:val="26"/>
          <w:szCs w:val="28"/>
        </w:rPr>
      </w:pPr>
      <w:bookmarkStart w:id="20" w:name="_Toc9591"/>
      <w:bookmarkStart w:id="21" w:name="_Toc508375798"/>
      <w:bookmarkStart w:id="22" w:name="_Toc244509860"/>
      <w:bookmarkStart w:id="23" w:name="_Toc256591008"/>
      <w:bookmarkStart w:id="24" w:name="_Toc244509877"/>
      <w:bookmarkStart w:id="25" w:name="_Toc256591030"/>
      <w:bookmarkStart w:id="26" w:name="_Toc240341598"/>
      <w:r>
        <w:rPr>
          <w:rFonts w:ascii="Times New Roman" w:eastAsia="宋体" w:hAnsi="Times New Roman" w:hint="eastAsia"/>
          <w:color w:val="000000"/>
          <w:sz w:val="26"/>
          <w:szCs w:val="28"/>
        </w:rPr>
        <w:t>1.6主要经济技术指标</w:t>
      </w:r>
      <w:bookmarkEnd w:id="20"/>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本项目主要经济技术指标如下：</w:t>
      </w:r>
    </w:p>
    <w:p>
      <w:pPr>
        <w:spacing w:after="156" w:afterLines="50" w:line="520" w:lineRule="exact"/>
        <w:jc w:val="center"/>
        <w:rPr>
          <w:rFonts w:ascii="宋体" w:hAnsi="宋体" w:cs="宋体" w:hint="eastAsia"/>
          <w:b/>
          <w:bCs/>
          <w:color w:val="000000"/>
          <w:kern w:val="0"/>
          <w:sz w:val="22"/>
          <w:szCs w:val="22"/>
        </w:rPr>
      </w:pPr>
      <w:r>
        <w:rPr>
          <w:rFonts w:ascii="宋体" w:hAnsi="宋体" w:cs="宋体" w:hint="eastAsia"/>
          <w:b/>
          <w:bCs/>
          <w:color w:val="000000"/>
          <w:kern w:val="0"/>
          <w:sz w:val="22"/>
          <w:szCs w:val="22"/>
        </w:rPr>
        <w:t>主要经济技术指标汇总表</w:t>
      </w:r>
    </w:p>
    <w:tbl>
      <w:tblPr>
        <w:tblStyle w:val="TableNormal"/>
        <w:tblW w:w="8522"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0" w:type="dxa"/>
          <w:left w:w="108" w:type="dxa"/>
          <w:bottom w:w="0" w:type="dxa"/>
          <w:right w:w="108" w:type="dxa"/>
        </w:tblCellMar>
        <w:tblLook w:val="0000"/>
      </w:tblPr>
      <w:tblGrid>
        <w:gridCol w:w="746"/>
        <w:gridCol w:w="4326"/>
        <w:gridCol w:w="1619"/>
        <w:gridCol w:w="1831"/>
      </w:tblGrid>
      <w:tr>
        <w:tblPrEx>
          <w:tblW w:w="8522"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0" w:type="dxa"/>
            <w:left w:w="108" w:type="dxa"/>
            <w:bottom w:w="0" w:type="dxa"/>
            <w:right w:w="108" w:type="dxa"/>
          </w:tblCellMar>
          <w:tblLook w:val="0000"/>
        </w:tblPrEx>
        <w:trPr>
          <w:trHeight w:val="285"/>
          <w:jc w:val="center"/>
        </w:trPr>
        <w:tc>
          <w:tcPr>
            <w:tcW w:w="746" w:type="dxa"/>
            <w:noWrap/>
            <w:vAlign w:val="center"/>
          </w:tcPr>
          <w:p>
            <w:pPr>
              <w:widowControl/>
              <w:jc w:val="center"/>
              <w:rPr>
                <w:rFonts w:ascii="宋体" w:hAnsi="宋体" w:cs="宋体"/>
                <w:b/>
                <w:bCs/>
                <w:color w:val="000000"/>
                <w:kern w:val="0"/>
                <w:sz w:val="22"/>
                <w:szCs w:val="22"/>
              </w:rPr>
            </w:pPr>
            <w:r>
              <w:rPr>
                <w:rFonts w:ascii="宋体" w:hAnsi="宋体" w:cs="宋体" w:hint="eastAsia"/>
                <w:b/>
                <w:bCs/>
                <w:color w:val="000000"/>
                <w:kern w:val="0"/>
                <w:sz w:val="22"/>
                <w:szCs w:val="22"/>
              </w:rPr>
              <w:t>序号</w:t>
            </w:r>
          </w:p>
        </w:tc>
        <w:tc>
          <w:tcPr>
            <w:tcW w:w="4326" w:type="dxa"/>
            <w:noWrap/>
            <w:vAlign w:val="center"/>
          </w:tcPr>
          <w:p>
            <w:pPr>
              <w:widowControl/>
              <w:jc w:val="center"/>
              <w:rPr>
                <w:rFonts w:ascii="宋体" w:hAnsi="宋体" w:cs="宋体"/>
                <w:b/>
                <w:bCs/>
                <w:color w:val="000000"/>
                <w:kern w:val="0"/>
                <w:sz w:val="22"/>
                <w:szCs w:val="22"/>
              </w:rPr>
            </w:pPr>
            <w:r>
              <w:rPr>
                <w:rFonts w:ascii="宋体" w:hAnsi="宋体" w:cs="宋体" w:hint="eastAsia"/>
                <w:b/>
                <w:bCs/>
                <w:color w:val="000000"/>
                <w:kern w:val="0"/>
                <w:sz w:val="22"/>
                <w:szCs w:val="22"/>
              </w:rPr>
              <w:t>项目名称</w:t>
            </w:r>
          </w:p>
        </w:tc>
        <w:tc>
          <w:tcPr>
            <w:tcW w:w="1619" w:type="dxa"/>
            <w:noWrap/>
            <w:vAlign w:val="center"/>
          </w:tcPr>
          <w:p>
            <w:pPr>
              <w:widowControl/>
              <w:jc w:val="center"/>
              <w:rPr>
                <w:rFonts w:ascii="宋体" w:hAnsi="宋体" w:cs="宋体"/>
                <w:b/>
                <w:bCs/>
                <w:color w:val="000000"/>
                <w:kern w:val="0"/>
                <w:sz w:val="22"/>
                <w:szCs w:val="22"/>
              </w:rPr>
            </w:pPr>
            <w:r>
              <w:rPr>
                <w:rFonts w:ascii="宋体" w:hAnsi="宋体" w:cs="宋体" w:hint="eastAsia"/>
                <w:b/>
                <w:bCs/>
                <w:color w:val="000000"/>
                <w:kern w:val="0"/>
                <w:sz w:val="22"/>
                <w:szCs w:val="22"/>
              </w:rPr>
              <w:t>单位</w:t>
            </w:r>
          </w:p>
        </w:tc>
        <w:tc>
          <w:tcPr>
            <w:tcW w:w="1831" w:type="dxa"/>
            <w:noWrap/>
            <w:vAlign w:val="center"/>
          </w:tcPr>
          <w:p>
            <w:pPr>
              <w:widowControl/>
              <w:jc w:val="center"/>
              <w:rPr>
                <w:rFonts w:ascii="宋体" w:hAnsi="宋体" w:cs="宋体"/>
                <w:b/>
                <w:bCs/>
                <w:color w:val="000000"/>
                <w:kern w:val="0"/>
                <w:sz w:val="22"/>
                <w:szCs w:val="22"/>
              </w:rPr>
            </w:pPr>
            <w:r>
              <w:rPr>
                <w:rFonts w:ascii="宋体" w:hAnsi="宋体" w:cs="宋体" w:hint="eastAsia"/>
                <w:b/>
                <w:bCs/>
                <w:color w:val="000000"/>
                <w:kern w:val="0"/>
                <w:sz w:val="22"/>
                <w:szCs w:val="22"/>
              </w:rPr>
              <w:t>数据和指标</w:t>
            </w:r>
          </w:p>
        </w:tc>
      </w:tr>
      <w:tr>
        <w:tblPrEx>
          <w:tblW w:w="8522" w:type="dxa"/>
          <w:jc w:val="center"/>
          <w:tblLayout w:type="fixed"/>
          <w:tblCellMar>
            <w:top w:w="0" w:type="dxa"/>
            <w:left w:w="108" w:type="dxa"/>
            <w:bottom w:w="0" w:type="dxa"/>
            <w:right w:w="108" w:type="dxa"/>
          </w:tblCellMar>
          <w:tblLook w:val="0000"/>
        </w:tblPrEx>
        <w:trPr>
          <w:trHeight w:val="330"/>
          <w:jc w:val="center"/>
        </w:trPr>
        <w:tc>
          <w:tcPr>
            <w:tcW w:w="746" w:type="dxa"/>
            <w:noWrap/>
            <w:vAlign w:val="center"/>
          </w:tcPr>
          <w:p>
            <w:pPr>
              <w:widowControl/>
              <w:jc w:val="center"/>
              <w:rPr>
                <w:rFonts w:ascii="宋体" w:hAnsi="宋体" w:cs="宋体"/>
                <w:b/>
                <w:bCs/>
                <w:color w:val="000000"/>
                <w:kern w:val="0"/>
                <w:sz w:val="22"/>
                <w:szCs w:val="22"/>
              </w:rPr>
            </w:pPr>
            <w:r>
              <w:rPr>
                <w:rFonts w:ascii="宋体" w:hAnsi="宋体" w:cs="宋体" w:hint="eastAsia"/>
                <w:b/>
                <w:bCs/>
                <w:color w:val="000000"/>
                <w:kern w:val="0"/>
                <w:sz w:val="22"/>
                <w:szCs w:val="22"/>
              </w:rPr>
              <w:t>一</w:t>
            </w:r>
          </w:p>
        </w:tc>
        <w:tc>
          <w:tcPr>
            <w:tcW w:w="4326" w:type="dxa"/>
            <w:noWrap/>
            <w:vAlign w:val="center"/>
          </w:tcPr>
          <w:p>
            <w:pPr>
              <w:widowControl/>
              <w:rPr>
                <w:rFonts w:ascii="宋体" w:hAnsi="宋体" w:cs="宋体"/>
                <w:b/>
                <w:bCs/>
                <w:color w:val="000000"/>
                <w:kern w:val="0"/>
                <w:sz w:val="22"/>
                <w:szCs w:val="22"/>
              </w:rPr>
            </w:pPr>
            <w:r>
              <w:rPr>
                <w:rFonts w:ascii="宋体" w:hAnsi="宋体" w:cs="宋体" w:hint="eastAsia"/>
                <w:b/>
                <w:bCs/>
                <w:color w:val="000000"/>
                <w:kern w:val="0"/>
                <w:sz w:val="22"/>
                <w:szCs w:val="22"/>
              </w:rPr>
              <w:t>主要指标</w:t>
            </w:r>
          </w:p>
        </w:tc>
        <w:tc>
          <w:tcPr>
            <w:tcW w:w="1619" w:type="dxa"/>
            <w:noWrap/>
            <w:vAlign w:val="center"/>
          </w:tcPr>
          <w:p>
            <w:pPr>
              <w:widowControl/>
              <w:jc w:val="center"/>
              <w:rPr>
                <w:color w:val="000000"/>
                <w:kern w:val="0"/>
                <w:sz w:val="22"/>
                <w:szCs w:val="22"/>
              </w:rPr>
            </w:pPr>
          </w:p>
        </w:tc>
        <w:tc>
          <w:tcPr>
            <w:tcW w:w="1831" w:type="dxa"/>
            <w:noWrap/>
            <w:vAlign w:val="center"/>
          </w:tcPr>
          <w:p>
            <w:pPr>
              <w:widowControl/>
              <w:jc w:val="center"/>
              <w:rPr>
                <w:color w:val="000000"/>
                <w:kern w:val="0"/>
                <w:sz w:val="22"/>
                <w:szCs w:val="22"/>
              </w:rPr>
            </w:pPr>
          </w:p>
        </w:tc>
      </w:tr>
      <w:tr>
        <w:tblPrEx>
          <w:tblW w:w="8522" w:type="dxa"/>
          <w:jc w:val="center"/>
          <w:tblLayout w:type="fixed"/>
          <w:tblCellMar>
            <w:top w:w="0" w:type="dxa"/>
            <w:left w:w="108" w:type="dxa"/>
            <w:bottom w:w="0" w:type="dxa"/>
            <w:right w:w="108" w:type="dxa"/>
          </w:tblCellMar>
          <w:tblLook w:val="0000"/>
        </w:tblPrEx>
        <w:trPr>
          <w:trHeight w:val="330"/>
          <w:jc w:val="center"/>
        </w:trPr>
        <w:tc>
          <w:tcPr>
            <w:tcW w:w="746" w:type="dxa"/>
            <w:noWrap/>
            <w:vAlign w:val="center"/>
          </w:tcPr>
          <w:p>
            <w:pPr>
              <w:widowControl/>
              <w:jc w:val="center"/>
              <w:rPr>
                <w:color w:val="000000"/>
                <w:kern w:val="0"/>
                <w:sz w:val="22"/>
                <w:szCs w:val="22"/>
              </w:rPr>
            </w:pPr>
            <w:r>
              <w:rPr>
                <w:color w:val="000000"/>
                <w:kern w:val="0"/>
                <w:sz w:val="22"/>
                <w:szCs w:val="22"/>
              </w:rPr>
              <w:t>1</w:t>
            </w:r>
          </w:p>
        </w:tc>
        <w:tc>
          <w:tcPr>
            <w:tcW w:w="4326"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达产年设计</w:t>
            </w:r>
            <w:r>
              <w:rPr>
                <w:rFonts w:ascii="宋体" w:hAnsi="宋体" w:cs="宋体" w:hint="eastAsia"/>
                <w:color w:val="000000"/>
                <w:kern w:val="0"/>
                <w:sz w:val="22"/>
                <w:szCs w:val="22"/>
                <w:lang w:val="en-US" w:eastAsia="zh-CN"/>
              </w:rPr>
              <w:t>标准化香菇示范基地</w:t>
            </w:r>
            <w:r>
              <w:rPr>
                <w:rFonts w:ascii="宋体" w:hAnsi="宋体" w:cs="宋体" w:hint="eastAsia"/>
                <w:color w:val="000000"/>
                <w:kern w:val="0"/>
                <w:sz w:val="22"/>
                <w:szCs w:val="22"/>
              </w:rPr>
              <w:t>生产产能</w:t>
            </w:r>
          </w:p>
        </w:tc>
        <w:tc>
          <w:tcPr>
            <w:tcW w:w="1619"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lang w:val="en-US" w:eastAsia="zh-CN"/>
              </w:rPr>
              <w:t>x</w:t>
            </w:r>
            <w:r>
              <w:rPr>
                <w:rFonts w:ascii="宋体" w:hAnsi="宋体" w:cs="宋体" w:hint="eastAsia"/>
                <w:color w:val="000000"/>
                <w:kern w:val="0"/>
                <w:sz w:val="22"/>
                <w:szCs w:val="22"/>
              </w:rPr>
              <w:t>/年</w:t>
            </w:r>
          </w:p>
        </w:tc>
        <w:tc>
          <w:tcPr>
            <w:tcW w:w="1831" w:type="dxa"/>
            <w:noWrap/>
            <w:vAlign w:val="center"/>
          </w:tcPr>
          <w:p>
            <w:pPr>
              <w:widowControl/>
              <w:jc w:val="center"/>
              <w:rPr>
                <w:color w:val="000000"/>
                <w:kern w:val="0"/>
                <w:sz w:val="22"/>
                <w:szCs w:val="22"/>
              </w:rPr>
            </w:pPr>
            <w:r>
              <w:rPr>
                <w:rFonts w:hint="eastAsia"/>
                <w:color w:val="000000"/>
                <w:kern w:val="0"/>
                <w:sz w:val="22"/>
                <w:szCs w:val="22"/>
                <w:lang w:val="en-US" w:eastAsia="zh-CN"/>
              </w:rPr>
              <w:t>x</w:t>
            </w:r>
            <w:r>
              <w:rPr>
                <w:color w:val="000000"/>
                <w:kern w:val="0"/>
                <w:sz w:val="22"/>
                <w:szCs w:val="22"/>
              </w:rPr>
              <w:t>.00</w:t>
            </w:r>
          </w:p>
        </w:tc>
      </w:tr>
    </w:tbl>
    <w:p>
      <w:pPr>
        <w:sectPr>
          <w:headerReference w:type="default" r:id="rId45"/>
          <w:footerReference w:type="default" r:id="rId46"/>
          <w:headerReference w:type="first" r:id="rId47"/>
          <w:footerReference w:type="first" r:id="rId48"/>
          <w:type w:val="nextPage"/>
          <w:pgSz w:w="11906" w:h="16838"/>
          <w:pgMar w:top="1440" w:right="1800" w:bottom="1440" w:left="1800" w:header="851" w:footer="992" w:gutter="0"/>
          <w:pgNumType w:fmt="decimal" w:start="5"/>
          <w:cols w:space="708"/>
          <w:titlePg w:val="0"/>
          <w:docGrid w:type="lines" w:linePitch="312" w:charSpace="0"/>
        </w:sectPr>
      </w:pPr>
    </w:p>
    <w:tbl>
      <w:tblPr>
        <w:tblStyle w:val="TableNormal"/>
        <w:tblW w:w="8522"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0" w:type="dxa"/>
          <w:left w:w="108" w:type="dxa"/>
          <w:bottom w:w="0" w:type="dxa"/>
          <w:right w:w="108" w:type="dxa"/>
        </w:tblCellMar>
        <w:tblLook w:val="0000"/>
      </w:tblPr>
      <w:tblGrid>
        <w:gridCol w:w="746"/>
        <w:gridCol w:w="4326"/>
        <w:gridCol w:w="1619"/>
        <w:gridCol w:w="1831"/>
      </w:tblGrid>
      <w:tr>
        <w:tblPrEx>
          <w:tblW w:w="8522"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0" w:type="dxa"/>
            <w:left w:w="108" w:type="dxa"/>
            <w:bottom w:w="0" w:type="dxa"/>
            <w:right w:w="108" w:type="dxa"/>
          </w:tblCellMar>
          <w:tblLook w:val="0000"/>
        </w:tblPrEx>
        <w:trPr>
          <w:trHeight w:val="330"/>
          <w:jc w:val="center"/>
        </w:trPr>
        <w:tc>
          <w:tcPr>
            <w:tcW w:w="746" w:type="dxa"/>
            <w:noWrap/>
            <w:vAlign w:val="center"/>
          </w:tcPr>
          <w:p>
            <w:pPr>
              <w:widowControl/>
              <w:jc w:val="center"/>
              <w:rPr>
                <w:color w:val="000000"/>
                <w:kern w:val="0"/>
                <w:sz w:val="22"/>
                <w:szCs w:val="22"/>
              </w:rPr>
            </w:pPr>
            <w:r>
              <w:rPr>
                <w:color w:val="000000"/>
                <w:kern w:val="0"/>
                <w:sz w:val="22"/>
                <w:szCs w:val="22"/>
              </w:rPr>
              <w:t>2</w:t>
            </w:r>
          </w:p>
        </w:tc>
        <w:tc>
          <w:tcPr>
            <w:tcW w:w="4326"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总用地面积</w:t>
            </w:r>
          </w:p>
        </w:tc>
        <w:tc>
          <w:tcPr>
            <w:tcW w:w="1619"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亩</w:t>
            </w:r>
          </w:p>
        </w:tc>
        <w:tc>
          <w:tcPr>
            <w:tcW w:w="1831" w:type="dxa"/>
            <w:noWrap/>
            <w:vAlign w:val="center"/>
          </w:tcPr>
          <w:p>
            <w:pPr>
              <w:widowControl/>
              <w:jc w:val="center"/>
              <w:rPr>
                <w:color w:val="000000"/>
                <w:kern w:val="0"/>
                <w:sz w:val="22"/>
                <w:szCs w:val="22"/>
              </w:rPr>
            </w:pPr>
            <w:r>
              <w:rPr>
                <w:color w:val="000000"/>
                <w:kern w:val="0"/>
                <w:sz w:val="22"/>
                <w:szCs w:val="22"/>
              </w:rPr>
              <w:t>100.00</w:t>
            </w:r>
          </w:p>
        </w:tc>
      </w:tr>
      <w:tr>
        <w:tblPrEx>
          <w:tblW w:w="8522" w:type="dxa"/>
          <w:jc w:val="center"/>
          <w:tblLayout w:type="fixed"/>
          <w:tblCellMar>
            <w:top w:w="0" w:type="dxa"/>
            <w:left w:w="108" w:type="dxa"/>
            <w:bottom w:w="0" w:type="dxa"/>
            <w:right w:w="108" w:type="dxa"/>
          </w:tblCellMar>
          <w:tblLook w:val="0000"/>
        </w:tblPrEx>
        <w:trPr>
          <w:trHeight w:val="330"/>
          <w:jc w:val="center"/>
        </w:trPr>
        <w:tc>
          <w:tcPr>
            <w:tcW w:w="746" w:type="dxa"/>
            <w:noWrap/>
            <w:vAlign w:val="center"/>
          </w:tcPr>
          <w:p>
            <w:pPr>
              <w:widowControl/>
              <w:jc w:val="center"/>
              <w:rPr>
                <w:color w:val="000000"/>
                <w:kern w:val="0"/>
                <w:sz w:val="22"/>
                <w:szCs w:val="22"/>
              </w:rPr>
            </w:pPr>
            <w:r>
              <w:rPr>
                <w:color w:val="000000"/>
                <w:kern w:val="0"/>
                <w:sz w:val="22"/>
                <w:szCs w:val="22"/>
              </w:rPr>
              <w:t>3</w:t>
            </w:r>
          </w:p>
        </w:tc>
        <w:tc>
          <w:tcPr>
            <w:tcW w:w="4326"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总建筑面积</w:t>
            </w:r>
          </w:p>
        </w:tc>
        <w:tc>
          <w:tcPr>
            <w:tcW w:w="1619"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w:t>
            </w:r>
          </w:p>
        </w:tc>
        <w:tc>
          <w:tcPr>
            <w:tcW w:w="1831" w:type="dxa"/>
            <w:noWrap/>
            <w:vAlign w:val="center"/>
          </w:tcPr>
          <w:p>
            <w:pPr>
              <w:widowControl/>
              <w:jc w:val="center"/>
              <w:rPr>
                <w:color w:val="000000"/>
                <w:kern w:val="0"/>
                <w:sz w:val="22"/>
                <w:szCs w:val="22"/>
              </w:rPr>
            </w:pPr>
            <w:r>
              <w:rPr>
                <w:color w:val="000000"/>
                <w:kern w:val="0"/>
                <w:sz w:val="22"/>
                <w:szCs w:val="22"/>
              </w:rPr>
              <w:t>46095.00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746" w:type="dxa"/>
            <w:noWrap/>
            <w:vAlign w:val="center"/>
          </w:tcPr>
          <w:p>
            <w:pPr>
              <w:widowControl/>
              <w:jc w:val="center"/>
              <w:rPr>
                <w:rFonts w:hint="eastAsia"/>
                <w:color w:val="000000"/>
                <w:kern w:val="0"/>
                <w:sz w:val="22"/>
                <w:szCs w:val="22"/>
              </w:rPr>
            </w:pPr>
            <w:r>
              <w:rPr>
                <w:rFonts w:hint="eastAsia"/>
                <w:color w:val="000000"/>
                <w:kern w:val="0"/>
                <w:sz w:val="22"/>
                <w:szCs w:val="22"/>
              </w:rPr>
              <w:t>4</w:t>
            </w:r>
          </w:p>
        </w:tc>
        <w:tc>
          <w:tcPr>
            <w:tcW w:w="4326"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总投资资金，其中：</w:t>
            </w:r>
          </w:p>
        </w:tc>
        <w:tc>
          <w:tcPr>
            <w:tcW w:w="1619"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1" w:type="dxa"/>
            <w:noWrap/>
            <w:vAlign w:val="center"/>
          </w:tcPr>
          <w:p>
            <w:pPr>
              <w:widowControl/>
              <w:jc w:val="center"/>
              <w:rPr>
                <w:color w:val="000000"/>
                <w:kern w:val="0"/>
                <w:sz w:val="22"/>
                <w:szCs w:val="22"/>
              </w:rPr>
            </w:pPr>
            <w:r>
              <w:rPr>
                <w:color w:val="000000"/>
                <w:kern w:val="0"/>
                <w:sz w:val="22"/>
                <w:szCs w:val="22"/>
              </w:rPr>
              <w:t>18000.00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746" w:type="dxa"/>
            <w:noWrap/>
            <w:vAlign w:val="center"/>
          </w:tcPr>
          <w:p>
            <w:pPr>
              <w:widowControl/>
              <w:jc w:val="center"/>
              <w:rPr>
                <w:color w:val="000000"/>
                <w:kern w:val="0"/>
                <w:sz w:val="22"/>
                <w:szCs w:val="22"/>
              </w:rPr>
            </w:pPr>
            <w:r>
              <w:rPr>
                <w:rFonts w:hint="eastAsia"/>
                <w:color w:val="000000"/>
                <w:kern w:val="0"/>
                <w:sz w:val="22"/>
                <w:szCs w:val="22"/>
              </w:rPr>
              <w:t>4</w:t>
            </w:r>
            <w:r>
              <w:rPr>
                <w:color w:val="000000"/>
                <w:kern w:val="0"/>
                <w:sz w:val="22"/>
                <w:szCs w:val="22"/>
              </w:rPr>
              <w:t>.1</w:t>
            </w:r>
          </w:p>
        </w:tc>
        <w:tc>
          <w:tcPr>
            <w:tcW w:w="4326"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建筑工程</w:t>
            </w:r>
          </w:p>
        </w:tc>
        <w:tc>
          <w:tcPr>
            <w:tcW w:w="1619"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1" w:type="dxa"/>
            <w:noWrap/>
            <w:vAlign w:val="center"/>
          </w:tcPr>
          <w:p>
            <w:pPr>
              <w:widowControl/>
              <w:jc w:val="center"/>
              <w:rPr>
                <w:color w:val="000000"/>
                <w:kern w:val="0"/>
                <w:sz w:val="22"/>
                <w:szCs w:val="22"/>
              </w:rPr>
            </w:pPr>
            <w:r>
              <w:rPr>
                <w:color w:val="000000"/>
                <w:kern w:val="0"/>
                <w:sz w:val="22"/>
                <w:szCs w:val="22"/>
              </w:rPr>
              <w:t>6841.90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746" w:type="dxa"/>
            <w:noWrap/>
            <w:vAlign w:val="center"/>
          </w:tcPr>
          <w:p>
            <w:pPr>
              <w:widowControl/>
              <w:jc w:val="center"/>
              <w:rPr>
                <w:color w:val="000000"/>
                <w:kern w:val="0"/>
                <w:sz w:val="22"/>
                <w:szCs w:val="22"/>
              </w:rPr>
            </w:pPr>
            <w:r>
              <w:rPr>
                <w:rFonts w:hint="eastAsia"/>
                <w:color w:val="000000"/>
                <w:kern w:val="0"/>
                <w:sz w:val="22"/>
                <w:szCs w:val="22"/>
              </w:rPr>
              <w:t>4</w:t>
            </w:r>
            <w:r>
              <w:rPr>
                <w:color w:val="000000"/>
                <w:kern w:val="0"/>
                <w:sz w:val="22"/>
                <w:szCs w:val="22"/>
              </w:rPr>
              <w:t>.2</w:t>
            </w:r>
          </w:p>
        </w:tc>
        <w:tc>
          <w:tcPr>
            <w:tcW w:w="4326"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设备及安装费用</w:t>
            </w:r>
          </w:p>
        </w:tc>
        <w:tc>
          <w:tcPr>
            <w:tcW w:w="1619"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1" w:type="dxa"/>
            <w:noWrap/>
            <w:vAlign w:val="center"/>
          </w:tcPr>
          <w:p>
            <w:pPr>
              <w:widowControl/>
              <w:jc w:val="center"/>
              <w:rPr>
                <w:color w:val="000000"/>
                <w:kern w:val="0"/>
                <w:sz w:val="22"/>
                <w:szCs w:val="22"/>
              </w:rPr>
            </w:pPr>
            <w:r>
              <w:rPr>
                <w:color w:val="000000"/>
                <w:kern w:val="0"/>
                <w:sz w:val="22"/>
                <w:szCs w:val="22"/>
              </w:rPr>
              <w:t>6881.00</w:t>
            </w:r>
          </w:p>
        </w:tc>
      </w:tr>
      <w:tr>
        <w:tblPrEx>
          <w:tblW w:w="8522" w:type="dxa"/>
          <w:jc w:val="center"/>
          <w:tblLayout w:type="fixed"/>
          <w:tblCellMar>
            <w:top w:w="0" w:type="dxa"/>
            <w:left w:w="108" w:type="dxa"/>
            <w:bottom w:w="0" w:type="dxa"/>
            <w:right w:w="108" w:type="dxa"/>
          </w:tblCellMar>
          <w:tblLook w:val="0000"/>
        </w:tblPrEx>
        <w:trPr>
          <w:trHeight w:val="330"/>
          <w:jc w:val="center"/>
        </w:trPr>
        <w:tc>
          <w:tcPr>
            <w:tcW w:w="746" w:type="dxa"/>
            <w:noWrap/>
            <w:vAlign w:val="center"/>
          </w:tcPr>
          <w:p>
            <w:pPr>
              <w:widowControl/>
              <w:jc w:val="center"/>
              <w:rPr>
                <w:color w:val="000000"/>
                <w:kern w:val="0"/>
                <w:sz w:val="22"/>
                <w:szCs w:val="22"/>
              </w:rPr>
            </w:pPr>
            <w:r>
              <w:rPr>
                <w:rFonts w:hint="eastAsia"/>
                <w:color w:val="000000"/>
                <w:kern w:val="0"/>
                <w:sz w:val="22"/>
                <w:szCs w:val="22"/>
              </w:rPr>
              <w:t>4</w:t>
            </w:r>
            <w:r>
              <w:rPr>
                <w:color w:val="000000"/>
                <w:kern w:val="0"/>
                <w:sz w:val="22"/>
                <w:szCs w:val="22"/>
              </w:rPr>
              <w:t>.3</w:t>
            </w:r>
          </w:p>
        </w:tc>
        <w:tc>
          <w:tcPr>
            <w:tcW w:w="4326"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土地费用</w:t>
            </w:r>
          </w:p>
        </w:tc>
        <w:tc>
          <w:tcPr>
            <w:tcW w:w="1619"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1" w:type="dxa"/>
            <w:noWrap/>
            <w:vAlign w:val="center"/>
          </w:tcPr>
          <w:p>
            <w:pPr>
              <w:widowControl/>
              <w:jc w:val="center"/>
              <w:rPr>
                <w:color w:val="000000"/>
                <w:kern w:val="0"/>
                <w:sz w:val="22"/>
                <w:szCs w:val="22"/>
              </w:rPr>
            </w:pPr>
            <w:r>
              <w:rPr>
                <w:color w:val="000000"/>
                <w:kern w:val="0"/>
                <w:sz w:val="22"/>
                <w:szCs w:val="22"/>
              </w:rPr>
              <w:t>1500.00</w:t>
            </w:r>
          </w:p>
        </w:tc>
      </w:tr>
      <w:tr>
        <w:tblPrEx>
          <w:tblW w:w="8522" w:type="dxa"/>
          <w:jc w:val="center"/>
          <w:tblLayout w:type="fixed"/>
          <w:tblCellMar>
            <w:top w:w="0" w:type="dxa"/>
            <w:left w:w="108" w:type="dxa"/>
            <w:bottom w:w="0" w:type="dxa"/>
            <w:right w:w="108" w:type="dxa"/>
          </w:tblCellMar>
          <w:tblLook w:val="0000"/>
        </w:tblPrEx>
        <w:trPr>
          <w:trHeight w:val="330"/>
          <w:jc w:val="center"/>
        </w:trPr>
        <w:tc>
          <w:tcPr>
            <w:tcW w:w="746" w:type="dxa"/>
            <w:noWrap/>
            <w:vAlign w:val="center"/>
          </w:tcPr>
          <w:p>
            <w:pPr>
              <w:widowControl/>
              <w:jc w:val="center"/>
              <w:rPr>
                <w:color w:val="000000"/>
                <w:kern w:val="0"/>
                <w:sz w:val="22"/>
                <w:szCs w:val="22"/>
              </w:rPr>
            </w:pPr>
            <w:r>
              <w:rPr>
                <w:rFonts w:hint="eastAsia"/>
                <w:color w:val="000000"/>
                <w:kern w:val="0"/>
                <w:sz w:val="22"/>
                <w:szCs w:val="22"/>
              </w:rPr>
              <w:t>4</w:t>
            </w:r>
            <w:r>
              <w:rPr>
                <w:color w:val="000000"/>
                <w:kern w:val="0"/>
                <w:sz w:val="22"/>
                <w:szCs w:val="22"/>
              </w:rPr>
              <w:t>.4</w:t>
            </w:r>
          </w:p>
        </w:tc>
        <w:tc>
          <w:tcPr>
            <w:tcW w:w="4326"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其他费用</w:t>
            </w:r>
          </w:p>
        </w:tc>
        <w:tc>
          <w:tcPr>
            <w:tcW w:w="1619"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1" w:type="dxa"/>
            <w:noWrap/>
            <w:vAlign w:val="center"/>
          </w:tcPr>
          <w:p>
            <w:pPr>
              <w:widowControl/>
              <w:jc w:val="center"/>
              <w:rPr>
                <w:color w:val="000000"/>
                <w:kern w:val="0"/>
                <w:sz w:val="22"/>
                <w:szCs w:val="22"/>
              </w:rPr>
            </w:pPr>
            <w:r>
              <w:rPr>
                <w:color w:val="000000"/>
                <w:kern w:val="0"/>
                <w:sz w:val="22"/>
                <w:szCs w:val="22"/>
              </w:rPr>
              <w:t>463.10</w:t>
            </w:r>
          </w:p>
        </w:tc>
      </w:tr>
      <w:tr>
        <w:tblPrEx>
          <w:tblW w:w="8522" w:type="dxa"/>
          <w:jc w:val="center"/>
          <w:tblLayout w:type="fixed"/>
          <w:tblCellMar>
            <w:top w:w="0" w:type="dxa"/>
            <w:left w:w="108" w:type="dxa"/>
            <w:bottom w:w="0" w:type="dxa"/>
            <w:right w:w="108" w:type="dxa"/>
          </w:tblCellMar>
          <w:tblLook w:val="0000"/>
        </w:tblPrEx>
        <w:trPr>
          <w:trHeight w:val="330"/>
          <w:jc w:val="center"/>
        </w:trPr>
        <w:tc>
          <w:tcPr>
            <w:tcW w:w="746" w:type="dxa"/>
            <w:noWrap/>
            <w:vAlign w:val="center"/>
          </w:tcPr>
          <w:p>
            <w:pPr>
              <w:widowControl/>
              <w:jc w:val="center"/>
              <w:rPr>
                <w:color w:val="000000"/>
                <w:kern w:val="0"/>
                <w:sz w:val="22"/>
                <w:szCs w:val="22"/>
              </w:rPr>
            </w:pPr>
            <w:r>
              <w:rPr>
                <w:rFonts w:hint="eastAsia"/>
                <w:color w:val="000000"/>
                <w:kern w:val="0"/>
                <w:sz w:val="22"/>
                <w:szCs w:val="22"/>
              </w:rPr>
              <w:t>4</w:t>
            </w:r>
            <w:r>
              <w:rPr>
                <w:color w:val="000000"/>
                <w:kern w:val="0"/>
                <w:sz w:val="22"/>
                <w:szCs w:val="22"/>
              </w:rPr>
              <w:t>.5</w:t>
            </w:r>
          </w:p>
        </w:tc>
        <w:tc>
          <w:tcPr>
            <w:tcW w:w="4326"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预备费用</w:t>
            </w:r>
          </w:p>
        </w:tc>
        <w:tc>
          <w:tcPr>
            <w:tcW w:w="1619"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1" w:type="dxa"/>
            <w:noWrap/>
            <w:vAlign w:val="center"/>
          </w:tcPr>
          <w:p>
            <w:pPr>
              <w:widowControl/>
              <w:jc w:val="center"/>
              <w:rPr>
                <w:color w:val="000000"/>
                <w:kern w:val="0"/>
                <w:sz w:val="22"/>
                <w:szCs w:val="22"/>
              </w:rPr>
            </w:pPr>
            <w:r>
              <w:rPr>
                <w:color w:val="000000"/>
                <w:kern w:val="0"/>
                <w:sz w:val="22"/>
                <w:szCs w:val="22"/>
              </w:rPr>
              <w:t>314.00</w:t>
            </w:r>
          </w:p>
        </w:tc>
      </w:tr>
      <w:tr>
        <w:tblPrEx>
          <w:tblW w:w="8522" w:type="dxa"/>
          <w:jc w:val="center"/>
          <w:tblLayout w:type="fixed"/>
          <w:tblCellMar>
            <w:top w:w="0" w:type="dxa"/>
            <w:left w:w="108" w:type="dxa"/>
            <w:bottom w:w="0" w:type="dxa"/>
            <w:right w:w="108" w:type="dxa"/>
          </w:tblCellMar>
          <w:tblLook w:val="0000"/>
        </w:tblPrEx>
        <w:trPr>
          <w:trHeight w:val="330"/>
          <w:jc w:val="center"/>
        </w:trPr>
        <w:tc>
          <w:tcPr>
            <w:tcW w:w="746" w:type="dxa"/>
            <w:noWrap/>
            <w:vAlign w:val="center"/>
          </w:tcPr>
          <w:p>
            <w:pPr>
              <w:widowControl/>
              <w:jc w:val="center"/>
              <w:rPr>
                <w:color w:val="000000"/>
                <w:kern w:val="0"/>
                <w:sz w:val="22"/>
                <w:szCs w:val="22"/>
              </w:rPr>
            </w:pPr>
            <w:r>
              <w:rPr>
                <w:rFonts w:hint="eastAsia"/>
                <w:color w:val="000000"/>
                <w:kern w:val="0"/>
                <w:sz w:val="22"/>
                <w:szCs w:val="22"/>
              </w:rPr>
              <w:t>4</w:t>
            </w:r>
            <w:r>
              <w:rPr>
                <w:color w:val="000000"/>
                <w:kern w:val="0"/>
                <w:sz w:val="22"/>
                <w:szCs w:val="22"/>
              </w:rPr>
              <w:t>.6</w:t>
            </w:r>
          </w:p>
        </w:tc>
        <w:tc>
          <w:tcPr>
            <w:tcW w:w="4326"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铺底流动资金</w:t>
            </w:r>
          </w:p>
        </w:tc>
        <w:tc>
          <w:tcPr>
            <w:tcW w:w="1619"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1" w:type="dxa"/>
            <w:noWrap/>
            <w:vAlign w:val="center"/>
          </w:tcPr>
          <w:p>
            <w:pPr>
              <w:widowControl/>
              <w:jc w:val="center"/>
              <w:rPr>
                <w:color w:val="000000"/>
                <w:kern w:val="0"/>
                <w:sz w:val="22"/>
                <w:szCs w:val="22"/>
              </w:rPr>
            </w:pPr>
            <w:r>
              <w:rPr>
                <w:color w:val="000000"/>
                <w:kern w:val="0"/>
                <w:sz w:val="22"/>
                <w:szCs w:val="22"/>
              </w:rPr>
              <w:t>2000.00</w:t>
            </w:r>
          </w:p>
        </w:tc>
      </w:tr>
      <w:tr>
        <w:tblPrEx>
          <w:tblW w:w="8522" w:type="dxa"/>
          <w:jc w:val="center"/>
          <w:tblLayout w:type="fixed"/>
          <w:tblCellMar>
            <w:top w:w="0" w:type="dxa"/>
            <w:left w:w="108" w:type="dxa"/>
            <w:bottom w:w="0" w:type="dxa"/>
            <w:right w:w="108" w:type="dxa"/>
          </w:tblCellMar>
          <w:tblLook w:val="0000"/>
        </w:tblPrEx>
        <w:trPr>
          <w:trHeight w:val="300"/>
          <w:jc w:val="center"/>
        </w:trPr>
        <w:tc>
          <w:tcPr>
            <w:tcW w:w="746" w:type="dxa"/>
            <w:noWrap/>
            <w:vAlign w:val="center"/>
          </w:tcPr>
          <w:p>
            <w:pPr>
              <w:widowControl/>
              <w:jc w:val="center"/>
              <w:rPr>
                <w:rFonts w:ascii="宋体" w:hAnsi="宋体" w:cs="宋体"/>
                <w:b/>
                <w:bCs/>
                <w:color w:val="000000"/>
                <w:kern w:val="0"/>
                <w:sz w:val="22"/>
                <w:szCs w:val="22"/>
              </w:rPr>
            </w:pPr>
            <w:r>
              <w:rPr>
                <w:rFonts w:ascii="宋体" w:hAnsi="宋体" w:cs="宋体" w:hint="eastAsia"/>
                <w:b/>
                <w:bCs/>
                <w:color w:val="000000"/>
                <w:kern w:val="0"/>
                <w:sz w:val="22"/>
                <w:szCs w:val="22"/>
              </w:rPr>
              <w:t>二</w:t>
            </w:r>
          </w:p>
        </w:tc>
        <w:tc>
          <w:tcPr>
            <w:tcW w:w="4326" w:type="dxa"/>
            <w:noWrap/>
            <w:vAlign w:val="center"/>
          </w:tcPr>
          <w:p>
            <w:pPr>
              <w:widowControl/>
              <w:rPr>
                <w:rFonts w:ascii="宋体" w:hAnsi="宋体" w:cs="宋体"/>
                <w:b/>
                <w:bCs/>
                <w:color w:val="000000"/>
                <w:kern w:val="0"/>
                <w:sz w:val="22"/>
                <w:szCs w:val="22"/>
              </w:rPr>
            </w:pPr>
            <w:r>
              <w:rPr>
                <w:rFonts w:ascii="宋体" w:hAnsi="宋体" w:cs="宋体" w:hint="eastAsia"/>
                <w:b/>
                <w:bCs/>
                <w:color w:val="000000"/>
                <w:kern w:val="0"/>
                <w:sz w:val="22"/>
                <w:szCs w:val="22"/>
              </w:rPr>
              <w:t>主要数据</w:t>
            </w:r>
          </w:p>
        </w:tc>
        <w:tc>
          <w:tcPr>
            <w:tcW w:w="1619" w:type="dxa"/>
            <w:noWrap/>
            <w:vAlign w:val="center"/>
          </w:tcPr>
          <w:p>
            <w:pPr>
              <w:widowControl/>
              <w:jc w:val="center"/>
              <w:rPr>
                <w:rFonts w:ascii="宋体" w:hAnsi="宋体" w:cs="宋体"/>
                <w:color w:val="000000"/>
                <w:kern w:val="0"/>
                <w:sz w:val="22"/>
                <w:szCs w:val="22"/>
              </w:rPr>
            </w:pPr>
          </w:p>
        </w:tc>
        <w:tc>
          <w:tcPr>
            <w:tcW w:w="1831" w:type="dxa"/>
            <w:noWrap/>
            <w:vAlign w:val="center"/>
          </w:tcPr>
          <w:p>
            <w:pPr>
              <w:widowControl/>
              <w:jc w:val="center"/>
              <w:rPr>
                <w:rFonts w:ascii="宋体" w:hAnsi="宋体" w:cs="宋体"/>
                <w:color w:val="000000"/>
                <w:kern w:val="0"/>
                <w:sz w:val="22"/>
                <w:szCs w:val="22"/>
              </w:rPr>
            </w:pPr>
          </w:p>
        </w:tc>
      </w:tr>
      <w:tr>
        <w:tblPrEx>
          <w:tblW w:w="8522" w:type="dxa"/>
          <w:jc w:val="center"/>
          <w:tblLayout w:type="fixed"/>
          <w:tblCellMar>
            <w:top w:w="0" w:type="dxa"/>
            <w:left w:w="108" w:type="dxa"/>
            <w:bottom w:w="0" w:type="dxa"/>
            <w:right w:w="108" w:type="dxa"/>
          </w:tblCellMar>
          <w:tblLook w:val="0000"/>
        </w:tblPrEx>
        <w:trPr>
          <w:trHeight w:val="330"/>
          <w:jc w:val="center"/>
        </w:trPr>
        <w:tc>
          <w:tcPr>
            <w:tcW w:w="746" w:type="dxa"/>
            <w:noWrap/>
            <w:vAlign w:val="center"/>
          </w:tcPr>
          <w:p>
            <w:pPr>
              <w:widowControl/>
              <w:jc w:val="center"/>
              <w:rPr>
                <w:color w:val="000000"/>
                <w:kern w:val="0"/>
                <w:sz w:val="22"/>
                <w:szCs w:val="22"/>
              </w:rPr>
            </w:pPr>
            <w:r>
              <w:rPr>
                <w:color w:val="000000"/>
                <w:kern w:val="0"/>
                <w:sz w:val="22"/>
                <w:szCs w:val="22"/>
              </w:rPr>
              <w:t>1</w:t>
            </w:r>
          </w:p>
        </w:tc>
        <w:tc>
          <w:tcPr>
            <w:tcW w:w="4326" w:type="dxa"/>
            <w:noWrap/>
            <w:vAlign w:val="center"/>
          </w:tcPr>
          <w:p>
            <w:pPr>
              <w:widowControl/>
              <w:rPr>
                <w:color w:val="000000"/>
                <w:kern w:val="0"/>
                <w:sz w:val="22"/>
                <w:szCs w:val="22"/>
              </w:rPr>
            </w:pPr>
            <w:r>
              <w:rPr>
                <w:color w:val="000000"/>
                <w:kern w:val="0"/>
                <w:sz w:val="22"/>
                <w:szCs w:val="22"/>
              </w:rPr>
              <w:t>达产年年产值</w:t>
            </w:r>
          </w:p>
        </w:tc>
        <w:tc>
          <w:tcPr>
            <w:tcW w:w="1619" w:type="dxa"/>
            <w:noWrap/>
            <w:vAlign w:val="center"/>
          </w:tcPr>
          <w:p>
            <w:pPr>
              <w:widowControl/>
              <w:jc w:val="center"/>
              <w:rPr>
                <w:color w:val="000000"/>
                <w:kern w:val="0"/>
                <w:sz w:val="22"/>
                <w:szCs w:val="22"/>
              </w:rPr>
            </w:pPr>
            <w:r>
              <w:rPr>
                <w:color w:val="000000"/>
                <w:kern w:val="0"/>
                <w:sz w:val="22"/>
                <w:szCs w:val="22"/>
              </w:rPr>
              <w:t>万元</w:t>
            </w:r>
          </w:p>
        </w:tc>
        <w:tc>
          <w:tcPr>
            <w:tcW w:w="1831" w:type="dxa"/>
            <w:noWrap/>
            <w:vAlign w:val="center"/>
          </w:tcPr>
          <w:p>
            <w:pPr>
              <w:widowControl/>
              <w:jc w:val="center"/>
              <w:rPr>
                <w:color w:val="000000"/>
                <w:kern w:val="0"/>
                <w:sz w:val="22"/>
                <w:szCs w:val="22"/>
              </w:rPr>
            </w:pPr>
            <w:r>
              <w:rPr>
                <w:color w:val="000000"/>
                <w:kern w:val="0"/>
                <w:sz w:val="22"/>
                <w:szCs w:val="22"/>
              </w:rPr>
              <w:t>180000.00</w:t>
            </w:r>
          </w:p>
        </w:tc>
      </w:tr>
      <w:tr>
        <w:tblPrEx>
          <w:tblW w:w="8522" w:type="dxa"/>
          <w:jc w:val="center"/>
          <w:tblLayout w:type="fixed"/>
          <w:tblCellMar>
            <w:top w:w="0" w:type="dxa"/>
            <w:left w:w="108" w:type="dxa"/>
            <w:bottom w:w="0" w:type="dxa"/>
            <w:right w:w="108" w:type="dxa"/>
          </w:tblCellMar>
          <w:tblLook w:val="0000"/>
        </w:tblPrEx>
        <w:trPr>
          <w:trHeight w:val="330"/>
          <w:jc w:val="center"/>
        </w:trPr>
        <w:tc>
          <w:tcPr>
            <w:tcW w:w="746" w:type="dxa"/>
            <w:noWrap/>
            <w:vAlign w:val="center"/>
          </w:tcPr>
          <w:p>
            <w:pPr>
              <w:widowControl/>
              <w:jc w:val="center"/>
              <w:rPr>
                <w:color w:val="000000"/>
                <w:kern w:val="0"/>
                <w:sz w:val="22"/>
                <w:szCs w:val="22"/>
              </w:rPr>
            </w:pPr>
            <w:r>
              <w:rPr>
                <w:color w:val="000000"/>
                <w:kern w:val="0"/>
                <w:sz w:val="22"/>
                <w:szCs w:val="22"/>
              </w:rPr>
              <w:t>2</w:t>
            </w:r>
          </w:p>
        </w:tc>
        <w:tc>
          <w:tcPr>
            <w:tcW w:w="4326"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年均销售收入</w:t>
            </w:r>
          </w:p>
        </w:tc>
        <w:tc>
          <w:tcPr>
            <w:tcW w:w="1619"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1" w:type="dxa"/>
            <w:noWrap/>
            <w:vAlign w:val="center"/>
          </w:tcPr>
          <w:p>
            <w:pPr>
              <w:widowControl/>
              <w:jc w:val="center"/>
              <w:rPr>
                <w:color w:val="000000"/>
                <w:kern w:val="0"/>
                <w:sz w:val="22"/>
                <w:szCs w:val="22"/>
              </w:rPr>
            </w:pPr>
            <w:r>
              <w:rPr>
                <w:color w:val="000000"/>
                <w:kern w:val="0"/>
                <w:sz w:val="22"/>
                <w:szCs w:val="22"/>
              </w:rPr>
              <w:t>145600.00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746" w:type="dxa"/>
            <w:noWrap/>
            <w:vAlign w:val="center"/>
          </w:tcPr>
          <w:p>
            <w:pPr>
              <w:widowControl/>
              <w:jc w:val="center"/>
              <w:rPr>
                <w:color w:val="000000"/>
                <w:kern w:val="0"/>
                <w:sz w:val="22"/>
                <w:szCs w:val="22"/>
              </w:rPr>
            </w:pPr>
            <w:r>
              <w:rPr>
                <w:color w:val="000000"/>
                <w:kern w:val="0"/>
                <w:sz w:val="22"/>
                <w:szCs w:val="22"/>
              </w:rPr>
              <w:t>3</w:t>
            </w:r>
          </w:p>
        </w:tc>
        <w:tc>
          <w:tcPr>
            <w:tcW w:w="4326"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年平均利润总额</w:t>
            </w:r>
          </w:p>
        </w:tc>
        <w:tc>
          <w:tcPr>
            <w:tcW w:w="1619"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1" w:type="dxa"/>
            <w:noWrap/>
            <w:vAlign w:val="center"/>
          </w:tcPr>
          <w:p>
            <w:pPr>
              <w:widowControl/>
              <w:jc w:val="center"/>
              <w:rPr>
                <w:color w:val="000000"/>
                <w:kern w:val="0"/>
                <w:sz w:val="22"/>
                <w:szCs w:val="22"/>
              </w:rPr>
            </w:pPr>
            <w:r>
              <w:rPr>
                <w:color w:val="000000"/>
                <w:kern w:val="0"/>
                <w:sz w:val="22"/>
                <w:szCs w:val="22"/>
              </w:rPr>
              <w:t>5908.74</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746" w:type="dxa"/>
            <w:noWrap/>
            <w:vAlign w:val="center"/>
          </w:tcPr>
          <w:p>
            <w:pPr>
              <w:widowControl/>
              <w:jc w:val="center"/>
              <w:rPr>
                <w:color w:val="000000"/>
                <w:kern w:val="0"/>
                <w:sz w:val="22"/>
                <w:szCs w:val="22"/>
              </w:rPr>
            </w:pPr>
            <w:r>
              <w:rPr>
                <w:color w:val="000000"/>
                <w:kern w:val="0"/>
                <w:sz w:val="22"/>
                <w:szCs w:val="22"/>
              </w:rPr>
              <w:t>4</w:t>
            </w:r>
          </w:p>
        </w:tc>
        <w:tc>
          <w:tcPr>
            <w:tcW w:w="4326"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年均净利润</w:t>
            </w:r>
          </w:p>
        </w:tc>
        <w:tc>
          <w:tcPr>
            <w:tcW w:w="1619"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1" w:type="dxa"/>
            <w:noWrap/>
            <w:vAlign w:val="center"/>
          </w:tcPr>
          <w:p>
            <w:pPr>
              <w:widowControl/>
              <w:jc w:val="center"/>
              <w:rPr>
                <w:color w:val="000000"/>
                <w:kern w:val="0"/>
                <w:sz w:val="22"/>
                <w:szCs w:val="22"/>
              </w:rPr>
            </w:pPr>
            <w:r>
              <w:rPr>
                <w:color w:val="000000"/>
                <w:kern w:val="0"/>
                <w:sz w:val="22"/>
                <w:szCs w:val="22"/>
              </w:rPr>
              <w:t>4431.55</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746" w:type="dxa"/>
            <w:noWrap/>
            <w:vAlign w:val="center"/>
          </w:tcPr>
          <w:p>
            <w:pPr>
              <w:widowControl/>
              <w:jc w:val="center"/>
              <w:rPr>
                <w:color w:val="000000"/>
                <w:kern w:val="0"/>
                <w:sz w:val="22"/>
                <w:szCs w:val="22"/>
              </w:rPr>
            </w:pPr>
            <w:r>
              <w:rPr>
                <w:color w:val="000000"/>
                <w:kern w:val="0"/>
                <w:sz w:val="22"/>
                <w:szCs w:val="22"/>
              </w:rPr>
              <w:t>5</w:t>
            </w:r>
          </w:p>
        </w:tc>
        <w:tc>
          <w:tcPr>
            <w:tcW w:w="4326"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年销售税金及附加</w:t>
            </w:r>
          </w:p>
        </w:tc>
        <w:tc>
          <w:tcPr>
            <w:tcW w:w="1619"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1" w:type="dxa"/>
            <w:noWrap/>
            <w:vAlign w:val="center"/>
          </w:tcPr>
          <w:p>
            <w:pPr>
              <w:widowControl/>
              <w:jc w:val="center"/>
              <w:rPr>
                <w:color w:val="000000"/>
                <w:kern w:val="0"/>
                <w:sz w:val="22"/>
                <w:szCs w:val="22"/>
              </w:rPr>
            </w:pPr>
            <w:r>
              <w:rPr>
                <w:color w:val="000000"/>
                <w:kern w:val="0"/>
                <w:sz w:val="22"/>
                <w:szCs w:val="22"/>
              </w:rPr>
              <w:t>246.57</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746" w:type="dxa"/>
            <w:noWrap/>
            <w:vAlign w:val="center"/>
          </w:tcPr>
          <w:p>
            <w:pPr>
              <w:widowControl/>
              <w:jc w:val="center"/>
              <w:rPr>
                <w:color w:val="000000"/>
                <w:kern w:val="0"/>
                <w:sz w:val="22"/>
                <w:szCs w:val="22"/>
              </w:rPr>
            </w:pPr>
            <w:r>
              <w:rPr>
                <w:color w:val="000000"/>
                <w:kern w:val="0"/>
                <w:sz w:val="22"/>
                <w:szCs w:val="22"/>
              </w:rPr>
              <w:t>6</w:t>
            </w:r>
          </w:p>
        </w:tc>
        <w:tc>
          <w:tcPr>
            <w:tcW w:w="4326"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年均增值税</w:t>
            </w:r>
          </w:p>
        </w:tc>
        <w:tc>
          <w:tcPr>
            <w:tcW w:w="1619"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1" w:type="dxa"/>
            <w:noWrap/>
            <w:vAlign w:val="center"/>
          </w:tcPr>
          <w:p>
            <w:pPr>
              <w:widowControl/>
              <w:jc w:val="center"/>
              <w:rPr>
                <w:color w:val="000000"/>
                <w:kern w:val="0"/>
                <w:sz w:val="22"/>
                <w:szCs w:val="22"/>
              </w:rPr>
            </w:pPr>
            <w:r>
              <w:rPr>
                <w:color w:val="000000"/>
                <w:kern w:val="0"/>
                <w:sz w:val="22"/>
                <w:szCs w:val="22"/>
              </w:rPr>
              <w:t>2054.73</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746" w:type="dxa"/>
            <w:noWrap/>
            <w:vAlign w:val="center"/>
          </w:tcPr>
          <w:p>
            <w:pPr>
              <w:widowControl/>
              <w:jc w:val="center"/>
              <w:rPr>
                <w:color w:val="000000"/>
                <w:kern w:val="0"/>
                <w:sz w:val="22"/>
                <w:szCs w:val="22"/>
              </w:rPr>
            </w:pPr>
            <w:r>
              <w:rPr>
                <w:color w:val="000000"/>
                <w:kern w:val="0"/>
                <w:sz w:val="22"/>
                <w:szCs w:val="22"/>
              </w:rPr>
              <w:t>7</w:t>
            </w:r>
          </w:p>
        </w:tc>
        <w:tc>
          <w:tcPr>
            <w:tcW w:w="4326"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年均所得税</w:t>
            </w:r>
          </w:p>
        </w:tc>
        <w:tc>
          <w:tcPr>
            <w:tcW w:w="1619"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1" w:type="dxa"/>
            <w:noWrap/>
            <w:vAlign w:val="center"/>
          </w:tcPr>
          <w:p>
            <w:pPr>
              <w:widowControl/>
              <w:jc w:val="center"/>
              <w:rPr>
                <w:color w:val="000000"/>
                <w:kern w:val="0"/>
                <w:sz w:val="22"/>
                <w:szCs w:val="22"/>
              </w:rPr>
            </w:pPr>
            <w:r>
              <w:rPr>
                <w:color w:val="000000"/>
                <w:kern w:val="0"/>
                <w:sz w:val="22"/>
                <w:szCs w:val="22"/>
              </w:rPr>
              <w:t>1477.18</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746" w:type="dxa"/>
            <w:noWrap/>
            <w:vAlign w:val="center"/>
          </w:tcPr>
          <w:p>
            <w:pPr>
              <w:widowControl/>
              <w:jc w:val="center"/>
              <w:rPr>
                <w:color w:val="000000"/>
                <w:kern w:val="0"/>
                <w:sz w:val="22"/>
                <w:szCs w:val="22"/>
              </w:rPr>
            </w:pPr>
            <w:r>
              <w:rPr>
                <w:color w:val="000000"/>
                <w:kern w:val="0"/>
                <w:sz w:val="22"/>
                <w:szCs w:val="22"/>
              </w:rPr>
              <w:t>8</w:t>
            </w:r>
          </w:p>
        </w:tc>
        <w:tc>
          <w:tcPr>
            <w:tcW w:w="4326"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项目定员</w:t>
            </w:r>
          </w:p>
        </w:tc>
        <w:tc>
          <w:tcPr>
            <w:tcW w:w="1619"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人</w:t>
            </w:r>
          </w:p>
        </w:tc>
        <w:tc>
          <w:tcPr>
            <w:tcW w:w="1831" w:type="dxa"/>
            <w:noWrap/>
            <w:vAlign w:val="center"/>
          </w:tcPr>
          <w:p>
            <w:pPr>
              <w:widowControl/>
              <w:jc w:val="center"/>
              <w:rPr>
                <w:color w:val="000000"/>
                <w:kern w:val="0"/>
                <w:sz w:val="22"/>
                <w:szCs w:val="22"/>
              </w:rPr>
            </w:pPr>
            <w:r>
              <w:rPr>
                <w:color w:val="000000"/>
                <w:kern w:val="0"/>
                <w:sz w:val="22"/>
                <w:szCs w:val="22"/>
              </w:rPr>
              <w:t>320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746" w:type="dxa"/>
            <w:noWrap/>
            <w:vAlign w:val="center"/>
          </w:tcPr>
          <w:p>
            <w:pPr>
              <w:widowControl/>
              <w:jc w:val="center"/>
              <w:rPr>
                <w:color w:val="000000"/>
                <w:kern w:val="0"/>
                <w:sz w:val="22"/>
                <w:szCs w:val="22"/>
              </w:rPr>
            </w:pPr>
            <w:r>
              <w:rPr>
                <w:color w:val="000000"/>
                <w:kern w:val="0"/>
                <w:sz w:val="22"/>
                <w:szCs w:val="22"/>
              </w:rPr>
              <w:t>9</w:t>
            </w:r>
          </w:p>
        </w:tc>
        <w:tc>
          <w:tcPr>
            <w:tcW w:w="4326"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建设期</w:t>
            </w:r>
          </w:p>
        </w:tc>
        <w:tc>
          <w:tcPr>
            <w:tcW w:w="1619"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个月</w:t>
            </w:r>
          </w:p>
        </w:tc>
        <w:tc>
          <w:tcPr>
            <w:tcW w:w="1831" w:type="dxa"/>
            <w:noWrap/>
            <w:vAlign w:val="center"/>
          </w:tcPr>
          <w:p>
            <w:pPr>
              <w:widowControl/>
              <w:jc w:val="center"/>
              <w:rPr>
                <w:color w:val="000000"/>
                <w:kern w:val="0"/>
                <w:sz w:val="22"/>
                <w:szCs w:val="22"/>
              </w:rPr>
            </w:pPr>
            <w:r>
              <w:rPr>
                <w:color w:val="000000"/>
                <w:kern w:val="0"/>
                <w:sz w:val="22"/>
                <w:szCs w:val="22"/>
              </w:rPr>
              <w:t>15</w:t>
            </w:r>
          </w:p>
        </w:tc>
      </w:tr>
      <w:tr>
        <w:tblPrEx>
          <w:tblW w:w="8522" w:type="dxa"/>
          <w:jc w:val="center"/>
          <w:tblLayout w:type="fixed"/>
          <w:tblCellMar>
            <w:top w:w="0" w:type="dxa"/>
            <w:left w:w="108" w:type="dxa"/>
            <w:bottom w:w="0" w:type="dxa"/>
            <w:right w:w="108" w:type="dxa"/>
          </w:tblCellMar>
          <w:tblLook w:val="0000"/>
        </w:tblPrEx>
        <w:trPr>
          <w:trHeight w:val="285"/>
          <w:jc w:val="center"/>
        </w:trPr>
        <w:tc>
          <w:tcPr>
            <w:tcW w:w="746" w:type="dxa"/>
            <w:noWrap/>
            <w:vAlign w:val="center"/>
          </w:tcPr>
          <w:p>
            <w:pPr>
              <w:widowControl/>
              <w:jc w:val="center"/>
              <w:rPr>
                <w:rFonts w:ascii="宋体" w:hAnsi="宋体" w:cs="宋体"/>
                <w:b/>
                <w:bCs/>
                <w:color w:val="000000"/>
                <w:kern w:val="0"/>
                <w:sz w:val="22"/>
                <w:szCs w:val="22"/>
              </w:rPr>
            </w:pPr>
            <w:r>
              <w:rPr>
                <w:rFonts w:ascii="宋体" w:hAnsi="宋体" w:cs="宋体" w:hint="eastAsia"/>
                <w:b/>
                <w:bCs/>
                <w:color w:val="000000"/>
                <w:kern w:val="0"/>
                <w:sz w:val="22"/>
                <w:szCs w:val="22"/>
              </w:rPr>
              <w:t>三</w:t>
            </w:r>
          </w:p>
        </w:tc>
        <w:tc>
          <w:tcPr>
            <w:tcW w:w="4326" w:type="dxa"/>
            <w:noWrap/>
            <w:vAlign w:val="center"/>
          </w:tcPr>
          <w:p>
            <w:pPr>
              <w:widowControl/>
              <w:rPr>
                <w:rFonts w:ascii="宋体" w:hAnsi="宋体" w:cs="宋体"/>
                <w:b/>
                <w:bCs/>
                <w:color w:val="000000"/>
                <w:kern w:val="0"/>
                <w:sz w:val="22"/>
                <w:szCs w:val="22"/>
              </w:rPr>
            </w:pPr>
            <w:r>
              <w:rPr>
                <w:rFonts w:ascii="宋体" w:hAnsi="宋体" w:cs="宋体" w:hint="eastAsia"/>
                <w:b/>
                <w:bCs/>
                <w:color w:val="000000"/>
                <w:kern w:val="0"/>
                <w:sz w:val="22"/>
                <w:szCs w:val="22"/>
              </w:rPr>
              <w:t>主要评价指标</w:t>
            </w:r>
          </w:p>
        </w:tc>
        <w:tc>
          <w:tcPr>
            <w:tcW w:w="1619" w:type="dxa"/>
            <w:noWrap/>
            <w:vAlign w:val="center"/>
          </w:tcPr>
          <w:p>
            <w:pPr>
              <w:widowControl/>
              <w:jc w:val="center"/>
              <w:rPr>
                <w:rFonts w:ascii="宋体" w:hAnsi="宋体" w:cs="宋体"/>
                <w:b/>
                <w:bCs/>
                <w:color w:val="000000"/>
                <w:kern w:val="0"/>
                <w:sz w:val="22"/>
                <w:szCs w:val="22"/>
              </w:rPr>
            </w:pPr>
          </w:p>
        </w:tc>
        <w:tc>
          <w:tcPr>
            <w:tcW w:w="1831" w:type="dxa"/>
            <w:noWrap/>
            <w:vAlign w:val="center"/>
          </w:tcPr>
          <w:p>
            <w:pPr>
              <w:widowControl/>
              <w:jc w:val="center"/>
              <w:rPr>
                <w:rFonts w:ascii="宋体" w:hAnsi="宋体" w:cs="宋体"/>
                <w:b/>
                <w:bCs/>
                <w:color w:val="000000"/>
                <w:kern w:val="0"/>
                <w:sz w:val="22"/>
                <w:szCs w:val="22"/>
              </w:rPr>
            </w:pP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746" w:type="dxa"/>
            <w:noWrap/>
            <w:vAlign w:val="center"/>
          </w:tcPr>
          <w:p>
            <w:pPr>
              <w:widowControl/>
              <w:jc w:val="center"/>
              <w:rPr>
                <w:color w:val="000000"/>
                <w:kern w:val="0"/>
                <w:sz w:val="22"/>
                <w:szCs w:val="22"/>
              </w:rPr>
            </w:pPr>
            <w:r>
              <w:rPr>
                <w:color w:val="000000"/>
                <w:kern w:val="0"/>
                <w:sz w:val="22"/>
                <w:szCs w:val="22"/>
              </w:rPr>
              <w:t>1</w:t>
            </w:r>
          </w:p>
        </w:tc>
        <w:tc>
          <w:tcPr>
            <w:tcW w:w="4326"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项目投资利润率</w:t>
            </w:r>
          </w:p>
        </w:tc>
        <w:tc>
          <w:tcPr>
            <w:tcW w:w="1619" w:type="dxa"/>
            <w:noWrap/>
            <w:vAlign w:val="center"/>
          </w:tcPr>
          <w:p>
            <w:pPr>
              <w:widowControl/>
              <w:jc w:val="center"/>
              <w:rPr>
                <w:color w:val="000000"/>
                <w:kern w:val="0"/>
                <w:sz w:val="22"/>
                <w:szCs w:val="22"/>
              </w:rPr>
            </w:pPr>
            <w:r>
              <w:rPr>
                <w:color w:val="000000"/>
                <w:kern w:val="0"/>
                <w:sz w:val="22"/>
                <w:szCs w:val="22"/>
              </w:rPr>
              <w:t>%</w:t>
            </w:r>
          </w:p>
        </w:tc>
        <w:tc>
          <w:tcPr>
            <w:tcW w:w="1831" w:type="dxa"/>
            <w:noWrap/>
            <w:vAlign w:val="center"/>
          </w:tcPr>
          <w:p>
            <w:pPr>
              <w:widowControl/>
              <w:jc w:val="center"/>
              <w:rPr>
                <w:color w:val="000000"/>
                <w:kern w:val="0"/>
                <w:sz w:val="22"/>
                <w:szCs w:val="22"/>
              </w:rPr>
            </w:pPr>
            <w:r>
              <w:rPr>
                <w:color w:val="000000"/>
                <w:kern w:val="0"/>
                <w:sz w:val="22"/>
                <w:szCs w:val="22"/>
              </w:rPr>
              <w:t>32.83%</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746" w:type="dxa"/>
            <w:noWrap/>
            <w:vAlign w:val="center"/>
          </w:tcPr>
          <w:p>
            <w:pPr>
              <w:widowControl/>
              <w:jc w:val="center"/>
              <w:rPr>
                <w:color w:val="000000"/>
                <w:kern w:val="0"/>
                <w:sz w:val="22"/>
                <w:szCs w:val="22"/>
              </w:rPr>
            </w:pPr>
            <w:r>
              <w:rPr>
                <w:color w:val="000000"/>
                <w:kern w:val="0"/>
                <w:sz w:val="22"/>
                <w:szCs w:val="22"/>
              </w:rPr>
              <w:t>2</w:t>
            </w:r>
          </w:p>
        </w:tc>
        <w:tc>
          <w:tcPr>
            <w:tcW w:w="4326"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项目投资利税率</w:t>
            </w:r>
          </w:p>
        </w:tc>
        <w:tc>
          <w:tcPr>
            <w:tcW w:w="1619" w:type="dxa"/>
            <w:noWrap/>
            <w:vAlign w:val="center"/>
          </w:tcPr>
          <w:p>
            <w:pPr>
              <w:widowControl/>
              <w:jc w:val="center"/>
              <w:rPr>
                <w:color w:val="000000"/>
                <w:kern w:val="0"/>
                <w:sz w:val="22"/>
                <w:szCs w:val="22"/>
              </w:rPr>
            </w:pPr>
            <w:r>
              <w:rPr>
                <w:color w:val="000000"/>
                <w:kern w:val="0"/>
                <w:sz w:val="22"/>
                <w:szCs w:val="22"/>
              </w:rPr>
              <w:t>%</w:t>
            </w:r>
          </w:p>
        </w:tc>
        <w:tc>
          <w:tcPr>
            <w:tcW w:w="1831" w:type="dxa"/>
            <w:noWrap/>
            <w:vAlign w:val="center"/>
          </w:tcPr>
          <w:p>
            <w:pPr>
              <w:widowControl/>
              <w:jc w:val="center"/>
              <w:rPr>
                <w:color w:val="000000"/>
                <w:kern w:val="0"/>
                <w:sz w:val="22"/>
                <w:szCs w:val="22"/>
              </w:rPr>
            </w:pPr>
            <w:r>
              <w:rPr>
                <w:color w:val="000000"/>
                <w:kern w:val="0"/>
                <w:sz w:val="22"/>
                <w:szCs w:val="22"/>
              </w:rPr>
              <w:t>45.61%</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746" w:type="dxa"/>
            <w:noWrap/>
            <w:vAlign w:val="center"/>
          </w:tcPr>
          <w:p>
            <w:pPr>
              <w:widowControl/>
              <w:jc w:val="center"/>
              <w:rPr>
                <w:color w:val="000000"/>
                <w:kern w:val="0"/>
                <w:sz w:val="22"/>
                <w:szCs w:val="22"/>
              </w:rPr>
            </w:pPr>
            <w:r>
              <w:rPr>
                <w:color w:val="000000"/>
                <w:kern w:val="0"/>
                <w:sz w:val="22"/>
                <w:szCs w:val="22"/>
              </w:rPr>
              <w:t>3</w:t>
            </w:r>
          </w:p>
        </w:tc>
        <w:tc>
          <w:tcPr>
            <w:tcW w:w="4326"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税后财务内部收益率</w:t>
            </w:r>
          </w:p>
        </w:tc>
        <w:tc>
          <w:tcPr>
            <w:tcW w:w="1619" w:type="dxa"/>
            <w:noWrap/>
            <w:vAlign w:val="center"/>
          </w:tcPr>
          <w:p>
            <w:pPr>
              <w:widowControl/>
              <w:jc w:val="center"/>
              <w:rPr>
                <w:color w:val="000000"/>
                <w:kern w:val="0"/>
                <w:sz w:val="22"/>
                <w:szCs w:val="22"/>
              </w:rPr>
            </w:pPr>
            <w:r>
              <w:rPr>
                <w:color w:val="000000"/>
                <w:kern w:val="0"/>
                <w:sz w:val="22"/>
                <w:szCs w:val="22"/>
              </w:rPr>
              <w:t>%</w:t>
            </w:r>
          </w:p>
        </w:tc>
        <w:tc>
          <w:tcPr>
            <w:tcW w:w="1831" w:type="dxa"/>
            <w:noWrap/>
            <w:vAlign w:val="center"/>
          </w:tcPr>
          <w:p>
            <w:pPr>
              <w:widowControl/>
              <w:jc w:val="center"/>
              <w:rPr>
                <w:color w:val="000000"/>
                <w:kern w:val="0"/>
                <w:sz w:val="22"/>
                <w:szCs w:val="22"/>
              </w:rPr>
            </w:pPr>
            <w:r>
              <w:rPr>
                <w:color w:val="000000"/>
                <w:kern w:val="0"/>
                <w:sz w:val="22"/>
                <w:szCs w:val="22"/>
              </w:rPr>
              <w:t>25.19%</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746" w:type="dxa"/>
            <w:noWrap/>
            <w:vAlign w:val="center"/>
          </w:tcPr>
          <w:p>
            <w:pPr>
              <w:widowControl/>
              <w:jc w:val="center"/>
              <w:rPr>
                <w:color w:val="000000"/>
                <w:kern w:val="0"/>
                <w:sz w:val="22"/>
                <w:szCs w:val="22"/>
              </w:rPr>
            </w:pPr>
            <w:r>
              <w:rPr>
                <w:color w:val="000000"/>
                <w:kern w:val="0"/>
                <w:sz w:val="22"/>
                <w:szCs w:val="22"/>
              </w:rPr>
              <w:t>4</w:t>
            </w:r>
          </w:p>
        </w:tc>
        <w:tc>
          <w:tcPr>
            <w:tcW w:w="4326"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税前财务内部收益率</w:t>
            </w:r>
          </w:p>
        </w:tc>
        <w:tc>
          <w:tcPr>
            <w:tcW w:w="1619" w:type="dxa"/>
            <w:noWrap/>
            <w:vAlign w:val="center"/>
          </w:tcPr>
          <w:p>
            <w:pPr>
              <w:widowControl/>
              <w:jc w:val="center"/>
              <w:rPr>
                <w:color w:val="000000"/>
                <w:kern w:val="0"/>
                <w:sz w:val="22"/>
                <w:szCs w:val="22"/>
              </w:rPr>
            </w:pPr>
            <w:r>
              <w:rPr>
                <w:color w:val="000000"/>
                <w:kern w:val="0"/>
                <w:sz w:val="22"/>
                <w:szCs w:val="22"/>
              </w:rPr>
              <w:t>%</w:t>
            </w:r>
          </w:p>
        </w:tc>
        <w:tc>
          <w:tcPr>
            <w:tcW w:w="1831" w:type="dxa"/>
            <w:noWrap/>
            <w:vAlign w:val="center"/>
          </w:tcPr>
          <w:p>
            <w:pPr>
              <w:widowControl/>
              <w:jc w:val="center"/>
              <w:rPr>
                <w:color w:val="000000"/>
                <w:kern w:val="0"/>
                <w:sz w:val="22"/>
                <w:szCs w:val="22"/>
              </w:rPr>
            </w:pPr>
            <w:r>
              <w:rPr>
                <w:color w:val="000000"/>
                <w:kern w:val="0"/>
                <w:sz w:val="22"/>
                <w:szCs w:val="22"/>
              </w:rPr>
              <w:t>32.30%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746" w:type="dxa"/>
            <w:noWrap/>
            <w:vAlign w:val="center"/>
          </w:tcPr>
          <w:p>
            <w:pPr>
              <w:widowControl/>
              <w:jc w:val="center"/>
              <w:rPr>
                <w:color w:val="000000"/>
                <w:kern w:val="0"/>
                <w:sz w:val="22"/>
                <w:szCs w:val="22"/>
              </w:rPr>
            </w:pPr>
            <w:r>
              <w:rPr>
                <w:color w:val="000000"/>
                <w:kern w:val="0"/>
                <w:sz w:val="22"/>
                <w:szCs w:val="22"/>
              </w:rPr>
              <w:t>5</w:t>
            </w:r>
          </w:p>
        </w:tc>
        <w:tc>
          <w:tcPr>
            <w:tcW w:w="4326"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税后财务净现值(ic=8%)</w:t>
            </w:r>
          </w:p>
        </w:tc>
        <w:tc>
          <w:tcPr>
            <w:tcW w:w="1619"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1" w:type="dxa"/>
            <w:noWrap/>
            <w:vAlign w:val="center"/>
          </w:tcPr>
          <w:p>
            <w:pPr>
              <w:widowControl/>
              <w:jc w:val="center"/>
              <w:rPr>
                <w:color w:val="000000"/>
                <w:kern w:val="0"/>
                <w:sz w:val="22"/>
                <w:szCs w:val="22"/>
              </w:rPr>
            </w:pPr>
            <w:r>
              <w:rPr>
                <w:color w:val="000000"/>
                <w:kern w:val="0"/>
                <w:sz w:val="22"/>
                <w:szCs w:val="22"/>
              </w:rPr>
              <w:t>28,291.79</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746" w:type="dxa"/>
            <w:noWrap/>
            <w:vAlign w:val="center"/>
          </w:tcPr>
          <w:p>
            <w:pPr>
              <w:widowControl/>
              <w:jc w:val="center"/>
              <w:rPr>
                <w:color w:val="000000"/>
                <w:kern w:val="0"/>
                <w:sz w:val="22"/>
                <w:szCs w:val="22"/>
              </w:rPr>
            </w:pPr>
            <w:r>
              <w:rPr>
                <w:color w:val="000000"/>
                <w:kern w:val="0"/>
                <w:sz w:val="22"/>
                <w:szCs w:val="22"/>
              </w:rPr>
              <w:t>6</w:t>
            </w:r>
          </w:p>
        </w:tc>
        <w:tc>
          <w:tcPr>
            <w:tcW w:w="4326"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税前财务净现值(ic=8%)</w:t>
            </w:r>
          </w:p>
        </w:tc>
        <w:tc>
          <w:tcPr>
            <w:tcW w:w="1619"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1" w:type="dxa"/>
            <w:noWrap/>
            <w:vAlign w:val="center"/>
          </w:tcPr>
          <w:p>
            <w:pPr>
              <w:widowControl/>
              <w:jc w:val="center"/>
              <w:rPr>
                <w:color w:val="000000"/>
                <w:kern w:val="0"/>
                <w:sz w:val="22"/>
                <w:szCs w:val="22"/>
              </w:rPr>
            </w:pPr>
            <w:r>
              <w:rPr>
                <w:color w:val="000000"/>
                <w:kern w:val="0"/>
                <w:sz w:val="22"/>
                <w:szCs w:val="22"/>
              </w:rPr>
              <w:t>40,205.90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746" w:type="dxa"/>
            <w:noWrap/>
            <w:vAlign w:val="center"/>
          </w:tcPr>
          <w:p>
            <w:pPr>
              <w:widowControl/>
              <w:jc w:val="center"/>
              <w:rPr>
                <w:color w:val="000000"/>
                <w:kern w:val="0"/>
                <w:sz w:val="22"/>
                <w:szCs w:val="22"/>
              </w:rPr>
            </w:pPr>
            <w:r>
              <w:rPr>
                <w:color w:val="000000"/>
                <w:kern w:val="0"/>
                <w:sz w:val="22"/>
                <w:szCs w:val="22"/>
              </w:rPr>
              <w:t>7</w:t>
            </w:r>
          </w:p>
        </w:tc>
        <w:tc>
          <w:tcPr>
            <w:tcW w:w="4326"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投资回收期(税后)含建设期</w:t>
            </w:r>
          </w:p>
        </w:tc>
        <w:tc>
          <w:tcPr>
            <w:tcW w:w="1619"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年</w:t>
            </w:r>
          </w:p>
        </w:tc>
        <w:tc>
          <w:tcPr>
            <w:tcW w:w="1831" w:type="dxa"/>
            <w:noWrap/>
            <w:vAlign w:val="center"/>
          </w:tcPr>
          <w:p>
            <w:pPr>
              <w:widowControl/>
              <w:jc w:val="center"/>
              <w:rPr>
                <w:color w:val="000000"/>
                <w:kern w:val="0"/>
                <w:sz w:val="22"/>
                <w:szCs w:val="22"/>
              </w:rPr>
            </w:pPr>
            <w:r>
              <w:rPr>
                <w:color w:val="000000"/>
                <w:kern w:val="0"/>
                <w:sz w:val="22"/>
                <w:szCs w:val="22"/>
              </w:rPr>
              <w:t>5.04</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746" w:type="dxa"/>
            <w:noWrap/>
            <w:vAlign w:val="center"/>
          </w:tcPr>
          <w:p>
            <w:pPr>
              <w:widowControl/>
              <w:jc w:val="center"/>
              <w:rPr>
                <w:color w:val="000000"/>
                <w:kern w:val="0"/>
                <w:sz w:val="22"/>
                <w:szCs w:val="22"/>
              </w:rPr>
            </w:pPr>
            <w:r>
              <w:rPr>
                <w:color w:val="000000"/>
                <w:kern w:val="0"/>
                <w:sz w:val="22"/>
                <w:szCs w:val="22"/>
              </w:rPr>
              <w:t>8</w:t>
            </w:r>
          </w:p>
        </w:tc>
        <w:tc>
          <w:tcPr>
            <w:tcW w:w="4326"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投资回收期(税前)含建设期</w:t>
            </w:r>
          </w:p>
        </w:tc>
        <w:tc>
          <w:tcPr>
            <w:tcW w:w="1619"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年</w:t>
            </w:r>
          </w:p>
        </w:tc>
        <w:tc>
          <w:tcPr>
            <w:tcW w:w="1831" w:type="dxa"/>
            <w:noWrap/>
            <w:vAlign w:val="center"/>
          </w:tcPr>
          <w:p>
            <w:pPr>
              <w:widowControl/>
              <w:jc w:val="center"/>
              <w:rPr>
                <w:color w:val="000000"/>
                <w:kern w:val="0"/>
                <w:sz w:val="22"/>
                <w:szCs w:val="22"/>
              </w:rPr>
            </w:pPr>
            <w:r>
              <w:rPr>
                <w:color w:val="000000"/>
                <w:kern w:val="0"/>
                <w:sz w:val="22"/>
                <w:szCs w:val="22"/>
              </w:rPr>
              <w:t>4.34</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746" w:type="dxa"/>
            <w:noWrap/>
            <w:vAlign w:val="center"/>
          </w:tcPr>
          <w:p>
            <w:pPr>
              <w:widowControl/>
              <w:jc w:val="center"/>
              <w:rPr>
                <w:color w:val="000000"/>
                <w:kern w:val="0"/>
                <w:sz w:val="22"/>
                <w:szCs w:val="22"/>
              </w:rPr>
            </w:pPr>
            <w:r>
              <w:rPr>
                <w:color w:val="000000"/>
                <w:kern w:val="0"/>
                <w:sz w:val="22"/>
                <w:szCs w:val="22"/>
              </w:rPr>
              <w:t>9</w:t>
            </w:r>
          </w:p>
        </w:tc>
        <w:tc>
          <w:tcPr>
            <w:tcW w:w="4326"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盈亏平衡点</w:t>
            </w:r>
          </w:p>
        </w:tc>
        <w:tc>
          <w:tcPr>
            <w:tcW w:w="1619" w:type="dxa"/>
            <w:noWrap/>
            <w:vAlign w:val="center"/>
          </w:tcPr>
          <w:p>
            <w:pPr>
              <w:widowControl/>
              <w:jc w:val="center"/>
              <w:rPr>
                <w:color w:val="000000"/>
                <w:kern w:val="0"/>
                <w:sz w:val="22"/>
                <w:szCs w:val="22"/>
              </w:rPr>
            </w:pPr>
            <w:r>
              <w:rPr>
                <w:color w:val="000000"/>
                <w:kern w:val="0"/>
                <w:sz w:val="22"/>
                <w:szCs w:val="22"/>
              </w:rPr>
              <w:t>%</w:t>
            </w:r>
          </w:p>
        </w:tc>
        <w:tc>
          <w:tcPr>
            <w:tcW w:w="1831" w:type="dxa"/>
            <w:noWrap/>
            <w:vAlign w:val="center"/>
          </w:tcPr>
          <w:p>
            <w:pPr>
              <w:widowControl/>
              <w:jc w:val="center"/>
              <w:rPr>
                <w:color w:val="000000"/>
                <w:kern w:val="0"/>
                <w:sz w:val="22"/>
                <w:szCs w:val="22"/>
              </w:rPr>
            </w:pPr>
            <w:r>
              <w:rPr>
                <w:color w:val="000000"/>
                <w:kern w:val="0"/>
                <w:sz w:val="22"/>
                <w:szCs w:val="22"/>
              </w:rPr>
              <w:t>34.85%</w:t>
            </w:r>
          </w:p>
        </w:tc>
      </w:tr>
    </w:tbl>
    <w:p>
      <w:pPr>
        <w:pStyle w:val="Heading2"/>
        <w:spacing w:before="156" w:beforeLines="50" w:after="156" w:afterLines="50" w:line="360" w:lineRule="auto"/>
        <w:rPr>
          <w:rFonts w:ascii="Times New Roman" w:eastAsia="宋体" w:hAnsi="Times New Roman" w:hint="eastAsia"/>
          <w:color w:val="000000"/>
          <w:sz w:val="26"/>
          <w:szCs w:val="28"/>
        </w:rPr>
      </w:pPr>
      <w:bookmarkStart w:id="27" w:name="_Toc17801"/>
      <w:r>
        <w:rPr>
          <w:rFonts w:ascii="Times New Roman" w:eastAsia="宋体" w:hAnsi="Times New Roman"/>
          <w:color w:val="000000"/>
          <w:sz w:val="26"/>
          <w:szCs w:val="28"/>
        </w:rPr>
        <w:t>1.</w:t>
      </w:r>
      <w:r>
        <w:rPr>
          <w:rFonts w:ascii="Times New Roman" w:eastAsia="宋体" w:hAnsi="Times New Roman" w:hint="eastAsia"/>
          <w:color w:val="000000"/>
          <w:sz w:val="26"/>
          <w:szCs w:val="28"/>
        </w:rPr>
        <w:t>7综合评价</w:t>
      </w:r>
      <w:bookmarkEnd w:id="21"/>
      <w:bookmarkEnd w:id="27"/>
    </w:p>
    <w:p>
      <w:pPr>
        <w:spacing w:after="156" w:afterLines="50" w:line="520" w:lineRule="exact"/>
        <w:ind w:firstLine="520" w:firstLineChars="200"/>
        <w:rPr>
          <w:rFonts w:hint="eastAsia"/>
          <w:color w:val="000000"/>
          <w:kern w:val="0"/>
          <w:sz w:val="26"/>
          <w:szCs w:val="28"/>
        </w:rPr>
        <w:sectPr>
          <w:headerReference w:type="default" r:id="rId49"/>
          <w:footerReference w:type="default" r:id="rId50"/>
          <w:headerReference w:type="first" r:id="rId51"/>
          <w:footerReference w:type="first" r:id="rId52"/>
          <w:type w:val="nextPage"/>
          <w:pgSz w:w="11906" w:h="16838"/>
          <w:pgMar w:top="1440" w:right="1800" w:bottom="1440" w:left="1800" w:header="851" w:footer="992" w:gutter="0"/>
          <w:pgNumType w:fmt="decimal" w:start="6"/>
          <w:cols w:space="708"/>
          <w:titlePg w:val="0"/>
          <w:docGrid w:type="lines" w:linePitch="312" w:charSpace="0"/>
        </w:sectPr>
      </w:pPr>
      <w:r>
        <w:rPr>
          <w:color w:val="000000"/>
          <w:kern w:val="0"/>
          <w:sz w:val="26"/>
          <w:szCs w:val="28"/>
        </w:rPr>
        <w:t>本项目重点研究</w:t>
      </w:r>
      <w:r>
        <w:rPr>
          <w:rFonts w:hint="eastAsia"/>
          <w:color w:val="000000"/>
          <w:kern w:val="0"/>
          <w:sz w:val="26"/>
          <w:szCs w:val="28"/>
        </w:rPr>
        <w:t>“</w:t>
      </w:r>
      <w:r>
        <w:rPr>
          <w:rFonts w:hint="eastAsia"/>
          <w:color w:val="000000"/>
          <w:kern w:val="0"/>
          <w:sz w:val="26"/>
          <w:szCs w:val="28"/>
          <w:lang w:eastAsia="zh-CN"/>
        </w:rPr>
        <w:t>标准化香菇示范基地</w:t>
      </w:r>
      <w:r>
        <w:rPr>
          <w:rFonts w:hint="eastAsia"/>
          <w:color w:val="000000"/>
          <w:kern w:val="0"/>
          <w:sz w:val="26"/>
          <w:szCs w:val="28"/>
        </w:rPr>
        <w:t>项目</w:t>
      </w:r>
      <w:r>
        <w:rPr>
          <w:rFonts w:hint="eastAsia"/>
          <w:color w:val="000000"/>
          <w:kern w:val="0"/>
          <w:sz w:val="26"/>
          <w:szCs w:val="28"/>
        </w:rPr>
        <w:t>”</w:t>
      </w:r>
      <w:r>
        <w:rPr>
          <w:color w:val="000000"/>
          <w:kern w:val="0"/>
          <w:sz w:val="26"/>
          <w:szCs w:val="28"/>
        </w:rPr>
        <w:t>的设计与建设，</w:t>
      </w:r>
      <w:r>
        <w:rPr>
          <w:rFonts w:hint="eastAsia"/>
          <w:color w:val="000000"/>
          <w:kern w:val="0"/>
          <w:sz w:val="26"/>
          <w:szCs w:val="28"/>
        </w:rPr>
        <w:t>项目建成后，可满足当前</w:t>
      </w:r>
      <w:r>
        <w:rPr>
          <w:rFonts w:hint="eastAsia"/>
          <w:color w:val="000000"/>
          <w:kern w:val="0"/>
          <w:sz w:val="26"/>
          <w:szCs w:val="28"/>
          <w:lang w:eastAsia="zh-CN"/>
        </w:rPr>
        <w:t>标准化香菇示范基地</w:t>
      </w:r>
      <w:r>
        <w:rPr>
          <w:rFonts w:hint="eastAsia"/>
          <w:color w:val="000000"/>
          <w:kern w:val="0"/>
          <w:sz w:val="26"/>
          <w:szCs w:val="28"/>
        </w:rPr>
        <w:t>消费市场的极大需求，</w:t>
      </w:r>
      <w:r>
        <w:rPr>
          <w:color w:val="000000"/>
          <w:kern w:val="0"/>
          <w:sz w:val="26"/>
          <w:szCs w:val="28"/>
        </w:rPr>
        <w:t>推动我国</w:t>
      </w:r>
      <w:r>
        <w:rPr>
          <w:rFonts w:hint="eastAsia"/>
          <w:color w:val="000000"/>
          <w:kern w:val="0"/>
          <w:sz w:val="26"/>
          <w:szCs w:val="28"/>
          <w:lang w:eastAsia="zh-CN"/>
        </w:rPr>
        <w:t>相关</w:t>
      </w:r>
      <w:r>
        <w:rPr>
          <w:rFonts w:hint="eastAsia"/>
          <w:color w:val="000000"/>
          <w:kern w:val="0"/>
          <w:sz w:val="26"/>
          <w:szCs w:val="28"/>
        </w:rPr>
        <w:t>产业的快速发展，对地方经济建设有积极的积极促进作用</w:t>
      </w:r>
      <w:r>
        <w:rPr>
          <w:color w:val="000000"/>
          <w:kern w:val="0"/>
          <w:sz w:val="26"/>
          <w:szCs w:val="28"/>
        </w:rPr>
        <w:t>。</w:t>
      </w:r>
      <w:r>
        <w:rPr>
          <w:rFonts w:hint="eastAsia"/>
          <w:color w:val="000000"/>
          <w:kern w:val="0"/>
          <w:sz w:val="26"/>
          <w:szCs w:val="28"/>
        </w:rPr>
        <w:t>项目产品市场前景广阔。且该项目投产后，可以带动本地相关配套企业的发展，提供更多的就业机会。</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本项目建设符合国家产业政策，选址符合</w:t>
      </w:r>
      <w:r>
        <w:rPr>
          <w:rFonts w:hint="eastAsia"/>
          <w:color w:val="000000"/>
          <w:kern w:val="0"/>
          <w:sz w:val="26"/>
          <w:szCs w:val="28"/>
          <w:lang w:val="en-US" w:eastAsia="zh-CN"/>
        </w:rPr>
        <w:t>武汉市</w:t>
      </w:r>
      <w:r>
        <w:rPr>
          <w:rFonts w:hint="eastAsia"/>
          <w:color w:val="000000"/>
          <w:kern w:val="0"/>
          <w:sz w:val="26"/>
          <w:szCs w:val="28"/>
        </w:rPr>
        <w:t>规划的相关要求。该项目选用先进技术和设备，能达到清洁生产水平，项目营运过程中充分体现了循环经济的理念。污染治理措施能够满足环保管理的要求，废气、废水、噪声、固体废物均能实现达标排放和安全处置。</w:t>
      </w:r>
    </w:p>
    <w:p>
      <w:pPr>
        <w:spacing w:after="156" w:afterLines="50" w:line="520" w:lineRule="exact"/>
        <w:ind w:firstLine="520" w:firstLineChars="200"/>
        <w:rPr>
          <w:rFonts w:hint="eastAsia"/>
          <w:color w:val="000000"/>
          <w:kern w:val="0"/>
          <w:sz w:val="26"/>
          <w:szCs w:val="28"/>
        </w:rPr>
      </w:pPr>
      <w:r>
        <w:rPr>
          <w:color w:val="000000"/>
          <w:kern w:val="0"/>
          <w:sz w:val="26"/>
          <w:szCs w:val="28"/>
        </w:rPr>
        <w:t>项目的实施</w:t>
      </w:r>
      <w:r>
        <w:rPr>
          <w:rFonts w:hint="eastAsia"/>
          <w:color w:val="000000"/>
          <w:kern w:val="0"/>
          <w:sz w:val="26"/>
          <w:szCs w:val="28"/>
        </w:rPr>
        <w:t>符合我国产业发展政策，是推动我国</w:t>
      </w:r>
      <w:r>
        <w:rPr>
          <w:rFonts w:hint="eastAsia"/>
          <w:color w:val="000000"/>
          <w:kern w:val="0"/>
          <w:sz w:val="26"/>
          <w:szCs w:val="28"/>
          <w:lang w:val="en-US" w:eastAsia="zh-CN"/>
        </w:rPr>
        <w:t>标准化香菇示范基地</w:t>
      </w:r>
      <w:r>
        <w:rPr>
          <w:rFonts w:hint="eastAsia"/>
          <w:color w:val="000000"/>
          <w:kern w:val="0"/>
          <w:sz w:val="26"/>
          <w:szCs w:val="28"/>
        </w:rPr>
        <w:t>产业技术升级的重要举措，符合我国国民经济可持续发展的战略目标。项目将带动当地就业，增加当地利税，带动当地经济发展。项目建设还将形成产业集群，拉大产业链条，对项目建设地乃至我国的经济发展起到很大的促进作用。因此，本项目的建设不仅会给项目企业带来更好的经济效益，还具有很强的社会效益。</w:t>
      </w:r>
    </w:p>
    <w:p>
      <w:pPr>
        <w:spacing w:after="156" w:afterLines="50" w:line="520" w:lineRule="exact"/>
        <w:ind w:firstLine="520" w:firstLineChars="200"/>
        <w:rPr>
          <w:color w:val="000000"/>
          <w:kern w:val="0"/>
          <w:sz w:val="26"/>
          <w:szCs w:val="28"/>
        </w:rPr>
        <w:sectPr>
          <w:headerReference w:type="default" r:id="rId53"/>
          <w:footerReference w:type="default" r:id="rId54"/>
          <w:headerReference w:type="first" r:id="rId55"/>
          <w:footerReference w:type="first" r:id="rId56"/>
          <w:type w:val="nextPage"/>
          <w:pgSz w:w="11906" w:h="16838"/>
          <w:pgMar w:top="1440" w:right="1800" w:bottom="1440" w:left="1800" w:header="851" w:footer="992" w:gutter="0"/>
          <w:pgNumType w:fmt="decimal" w:start="7"/>
          <w:cols w:space="708"/>
          <w:titlePg w:val="0"/>
          <w:docGrid w:type="lines" w:linePitch="312" w:charSpace="0"/>
        </w:sectPr>
      </w:pPr>
      <w:r>
        <w:rPr>
          <w:rFonts w:hint="eastAsia"/>
          <w:color w:val="000000"/>
          <w:kern w:val="0"/>
          <w:sz w:val="26"/>
          <w:szCs w:val="28"/>
        </w:rPr>
        <w:t>综上所述，该项目市场前景看好，经济效益、社会效益显著，因此，项目可行且必要。</w:t>
      </w:r>
    </w:p>
    <w:p>
      <w:pPr>
        <w:pStyle w:val="Heading1"/>
        <w:spacing w:before="468" w:after="156" w:afterLines="50" w:line="520" w:lineRule="exact"/>
        <w:jc w:val="center"/>
        <w:textAlignment w:val="baseline"/>
        <w:rPr>
          <w:rFonts w:ascii="Times New Roman" w:hAnsi="宋体" w:hint="eastAsia"/>
          <w:color w:val="000000"/>
          <w:sz w:val="30"/>
        </w:rPr>
      </w:pPr>
      <w:bookmarkStart w:id="28" w:name="_Toc23653"/>
      <w:r>
        <w:rPr>
          <w:rFonts w:ascii="Times New Roman" w:hAnsi="宋体"/>
          <w:color w:val="000000"/>
          <w:sz w:val="30"/>
        </w:rPr>
        <w:t>第</w:t>
      </w:r>
      <w:r>
        <w:rPr>
          <w:rFonts w:ascii="Times New Roman" w:hAnsi="宋体" w:hint="eastAsia"/>
          <w:color w:val="000000"/>
          <w:sz w:val="30"/>
          <w:lang w:eastAsia="zh-CN"/>
        </w:rPr>
        <w:t>二</w:t>
      </w:r>
      <w:r>
        <w:rPr>
          <w:rFonts w:ascii="Times New Roman" w:hAnsi="宋体"/>
          <w:color w:val="000000"/>
          <w:sz w:val="30"/>
        </w:rPr>
        <w:t>章</w:t>
      </w:r>
      <w:r>
        <w:rPr>
          <w:rFonts w:ascii="Times New Roman" w:hAnsi="Times New Roman"/>
          <w:color w:val="000000"/>
          <w:sz w:val="30"/>
        </w:rPr>
        <w:t xml:space="preserve"> </w:t>
      </w:r>
      <w:r>
        <w:rPr>
          <w:rFonts w:ascii="Times New Roman" w:hAnsi="宋体" w:hint="eastAsia"/>
          <w:color w:val="000000"/>
          <w:sz w:val="30"/>
        </w:rPr>
        <w:t>项目市场分析</w:t>
      </w:r>
      <w:bookmarkEnd w:id="22"/>
      <w:bookmarkEnd w:id="23"/>
      <w:bookmarkEnd w:id="28"/>
    </w:p>
    <w:p>
      <w:pPr>
        <w:pStyle w:val="Heading2"/>
        <w:spacing w:before="100" w:beforeLines="0" w:beforeAutospacing="1" w:after="156" w:afterLines="50" w:line="360" w:lineRule="auto"/>
        <w:rPr>
          <w:rFonts w:ascii="Times New Roman" w:eastAsia="宋体" w:hAnsi="Times New Roman" w:hint="eastAsia"/>
          <w:color w:val="000000"/>
          <w:sz w:val="26"/>
          <w:lang w:eastAsia="zh-CN"/>
        </w:rPr>
      </w:pPr>
      <w:bookmarkStart w:id="29" w:name="_Toc24013"/>
      <w:bookmarkStart w:id="30" w:name="_Toc367091312"/>
      <w:r>
        <w:rPr>
          <w:rFonts w:ascii="Times New Roman" w:eastAsia="宋体" w:hAnsi="Times New Roman" w:hint="eastAsia"/>
          <w:color w:val="000000"/>
          <w:sz w:val="26"/>
          <w:lang w:val="en-US" w:eastAsia="zh-CN"/>
        </w:rPr>
        <w:t>2</w:t>
      </w:r>
      <w:r>
        <w:rPr>
          <w:rFonts w:ascii="Times New Roman" w:eastAsia="宋体" w:hAnsi="Times New Roman"/>
          <w:color w:val="000000"/>
          <w:sz w:val="26"/>
        </w:rPr>
        <w:t>.1</w:t>
      </w:r>
      <w:r>
        <w:rPr>
          <w:rFonts w:ascii="Times New Roman" w:eastAsia="宋体" w:hAnsi="Times New Roman" w:hint="eastAsia"/>
          <w:color w:val="000000"/>
          <w:sz w:val="26"/>
          <w:lang w:eastAsia="zh-CN"/>
        </w:rPr>
        <w:t>建设地经济发展概况</w:t>
      </w:r>
      <w:bookmarkEnd w:id="29"/>
    </w:p>
    <w:p>
      <w:pPr>
        <w:spacing w:after="156" w:afterLines="50" w:line="520" w:lineRule="exact"/>
        <w:ind w:firstLine="520" w:firstLineChars="200"/>
        <w:rPr>
          <w:rFonts w:hint="eastAsia"/>
          <w:color w:val="000000"/>
          <w:kern w:val="0"/>
          <w:sz w:val="26"/>
          <w:szCs w:val="28"/>
        </w:rPr>
      </w:pPr>
      <w:r>
        <w:rPr>
          <w:rFonts w:hint="default"/>
          <w:color w:val="000000"/>
          <w:kern w:val="0"/>
          <w:sz w:val="26"/>
          <w:szCs w:val="28"/>
          <w:lang w:val="en-US" w:eastAsia="zh-CN"/>
        </w:rPr>
        <w:t>2018年，武汉市实现地区生产总值14847.29亿元，同比增长8.0%，三次产业构成为2.4:43.0:54.6。按常住人口计算，全市人均地区生产总值135136元，同比增长6.4%。</w:t>
      </w:r>
    </w:p>
    <w:p>
      <w:pPr>
        <w:spacing w:after="156" w:afterLines="50" w:line="520" w:lineRule="exact"/>
        <w:ind w:firstLine="520" w:firstLineChars="200"/>
        <w:rPr>
          <w:rFonts w:hint="default"/>
          <w:color w:val="000000"/>
          <w:kern w:val="0"/>
          <w:sz w:val="26"/>
          <w:szCs w:val="28"/>
        </w:rPr>
      </w:pPr>
      <w:r>
        <w:rPr>
          <w:rFonts w:hint="default"/>
          <w:color w:val="000000"/>
          <w:kern w:val="0"/>
          <w:sz w:val="26"/>
          <w:szCs w:val="28"/>
          <w:lang w:val="en-US" w:eastAsia="zh-CN"/>
        </w:rPr>
        <w:t>2018年，武汉市一般公共预算总收入2900.24亿元，同比增长9.3%，其中地方一般公共预算收入1528.70亿元，增长11.0%。在地方一般公共预算收入中，税收收入1294.21亿元，增长9.8%。一般公共预算支出1929.54亿元，增长12.3%。全年固定资产投资（不含农户）同比增长10.6%。</w:t>
      </w:r>
    </w:p>
    <w:p>
      <w:pPr>
        <w:spacing w:after="156" w:afterLines="50" w:line="520" w:lineRule="exact"/>
        <w:ind w:firstLine="520" w:firstLineChars="200"/>
        <w:rPr>
          <w:rFonts w:hint="default"/>
          <w:color w:val="000000"/>
          <w:kern w:val="0"/>
          <w:sz w:val="26"/>
          <w:szCs w:val="28"/>
        </w:rPr>
      </w:pPr>
      <w:r>
        <w:rPr>
          <w:rFonts w:hint="default"/>
          <w:color w:val="000000"/>
          <w:kern w:val="0"/>
          <w:sz w:val="26"/>
          <w:szCs w:val="28"/>
          <w:lang w:val="en-US" w:eastAsia="zh-CN"/>
        </w:rPr>
        <w:t>2018年，武汉市居民人均可支配收入42133元，同比增长9.0%。按常住地分，城镇居民人均可支配收入47359元，同比增长9.1%。农村居民人均可支配收入22652元，同比增长8.5%。</w:t>
      </w:r>
    </w:p>
    <w:p>
      <w:pPr>
        <w:spacing w:after="156" w:afterLines="50" w:line="520" w:lineRule="exact"/>
        <w:ind w:firstLine="520" w:firstLineChars="200"/>
        <w:rPr>
          <w:rFonts w:hint="eastAsia"/>
          <w:color w:val="000000"/>
          <w:kern w:val="0"/>
          <w:sz w:val="26"/>
          <w:szCs w:val="28"/>
        </w:rPr>
      </w:pPr>
      <w:r>
        <w:rPr>
          <w:rFonts w:hint="default"/>
          <w:color w:val="000000"/>
          <w:kern w:val="0"/>
          <w:sz w:val="26"/>
          <w:szCs w:val="28"/>
          <w:lang w:val="en-US" w:eastAsia="zh-CN"/>
        </w:rPr>
        <w:t>武汉是中国重要的工业基地，拥有钢铁、汽车、光电子、化工、冶金、纺织、造船、制造、医药等完整的工业体系，着力打造光电子信息、汽车及零部件、</w:t>
      </w:r>
      <w:hyperlink r:id="rId57" w:tgtFrame="https://baike.baidu.com/item/%E6%AD%A6%E6%B1%89/_blank" w:history="1">
        <w:r>
          <w:rPr>
            <w:rFonts w:hint="default"/>
            <w:color w:val="000000"/>
            <w:kern w:val="0"/>
            <w:sz w:val="26"/>
            <w:szCs w:val="28"/>
          </w:rPr>
          <w:t>生物医药</w:t>
        </w:r>
      </w:hyperlink>
      <w:r>
        <w:rPr>
          <w:rFonts w:hint="default"/>
          <w:color w:val="000000"/>
          <w:kern w:val="0"/>
          <w:sz w:val="26"/>
          <w:szCs w:val="28"/>
          <w:lang w:val="en-US" w:eastAsia="zh-CN"/>
        </w:rPr>
        <w:t>和</w:t>
      </w:r>
      <w:hyperlink r:id="rId58" w:tgtFrame="https://baike.baidu.com/item/%E6%AD%A6%E6%B1%89/_blank" w:history="1">
        <w:r>
          <w:rPr>
            <w:rFonts w:hint="default"/>
            <w:color w:val="000000"/>
            <w:kern w:val="0"/>
            <w:sz w:val="26"/>
            <w:szCs w:val="28"/>
          </w:rPr>
          <w:t>医疗器械</w:t>
        </w:r>
      </w:hyperlink>
      <w:r>
        <w:rPr>
          <w:rFonts w:hint="default"/>
          <w:color w:val="000000"/>
          <w:kern w:val="0"/>
          <w:sz w:val="26"/>
          <w:szCs w:val="28"/>
          <w:lang w:val="en-US" w:eastAsia="zh-CN"/>
        </w:rPr>
        <w:t>、节能环保等四大世界级产业集群。</w:t>
      </w:r>
    </w:p>
    <w:p>
      <w:pPr>
        <w:spacing w:after="156" w:afterLines="50" w:line="520" w:lineRule="exact"/>
        <w:ind w:firstLine="520" w:firstLineChars="200"/>
        <w:rPr>
          <w:rFonts w:hint="default"/>
          <w:color w:val="000000"/>
          <w:kern w:val="0"/>
          <w:sz w:val="26"/>
          <w:szCs w:val="28"/>
        </w:rPr>
      </w:pPr>
      <w:r>
        <w:rPr>
          <w:rFonts w:hint="default"/>
          <w:color w:val="000000"/>
          <w:kern w:val="0"/>
          <w:sz w:val="26"/>
          <w:szCs w:val="28"/>
          <w:lang w:val="en-US" w:eastAsia="zh-CN"/>
        </w:rPr>
        <w:t>2016年2月至11月，</w:t>
      </w:r>
      <w:hyperlink r:id="rId59" w:tgtFrame="https://baike.baidu.com/item/%E6%AD%A6%E6%B1%89/_blank" w:history="1">
        <w:r>
          <w:rPr>
            <w:rFonts w:hint="default"/>
            <w:color w:val="000000"/>
            <w:kern w:val="0"/>
            <w:sz w:val="26"/>
            <w:szCs w:val="28"/>
          </w:rPr>
          <w:t>国家存储器基地</w:t>
        </w:r>
      </w:hyperlink>
      <w:r>
        <w:rPr>
          <w:rFonts w:hint="default"/>
          <w:color w:val="000000"/>
          <w:kern w:val="0"/>
          <w:sz w:val="26"/>
          <w:szCs w:val="28"/>
          <w:lang w:val="en-US" w:eastAsia="zh-CN"/>
        </w:rPr>
        <w:t>、国家航天产业基地、</w:t>
      </w:r>
      <w:hyperlink r:id="rId60" w:tgtFrame="https://baike.baidu.com/item/%E6%AD%A6%E6%B1%89/_blank" w:history="1">
        <w:r>
          <w:rPr>
            <w:rFonts w:hint="default"/>
            <w:color w:val="000000"/>
            <w:kern w:val="0"/>
            <w:sz w:val="26"/>
            <w:szCs w:val="28"/>
          </w:rPr>
          <w:t>国家网络安全人才与创新基地</w:t>
        </w:r>
      </w:hyperlink>
      <w:r>
        <w:rPr>
          <w:rFonts w:hint="default"/>
          <w:color w:val="000000"/>
          <w:kern w:val="0"/>
          <w:sz w:val="26"/>
          <w:szCs w:val="28"/>
          <w:lang w:val="en-US" w:eastAsia="zh-CN"/>
        </w:rPr>
        <w:t>、国家新能源和智能网联汽车基地相继获批，落子武汉。2018年11月，</w:t>
      </w:r>
      <w:hyperlink r:id="rId61" w:tgtFrame="https://baike.baidu.com/item/%E6%AD%A6%E6%B1%89/_blank" w:history="1">
        <w:r>
          <w:rPr>
            <w:rFonts w:hint="default"/>
            <w:color w:val="000000"/>
            <w:kern w:val="0"/>
            <w:sz w:val="26"/>
            <w:szCs w:val="28"/>
          </w:rPr>
          <w:t>工业互联网</w:t>
        </w:r>
      </w:hyperlink>
      <w:r>
        <w:rPr>
          <w:rFonts w:hint="default"/>
          <w:color w:val="000000"/>
          <w:kern w:val="0"/>
          <w:sz w:val="26"/>
          <w:szCs w:val="28"/>
          <w:lang w:val="en-US" w:eastAsia="zh-CN"/>
        </w:rPr>
        <w:t>标识解析国家顶级节点（武汉）正式上线。</w:t>
      </w:r>
      <w:r>
        <w:rPr>
          <w:rFonts w:hint="default"/>
          <w:color w:val="000000"/>
          <w:kern w:val="0"/>
          <w:sz w:val="26"/>
          <w:szCs w:val="28"/>
          <w:lang w:val="en-US" w:eastAsia="zh-CN"/>
        </w:rPr>
        <w:t> </w:t>
      </w:r>
      <w:r>
        <w:rPr>
          <w:rFonts w:hint="default"/>
          <w:color w:val="000000"/>
          <w:kern w:val="0"/>
          <w:sz w:val="26"/>
          <w:szCs w:val="28"/>
          <w:lang w:val="en-US" w:eastAsia="zh-CN"/>
        </w:rPr>
        <w:t>[48-49]</w:t>
      </w:r>
      <w:bookmarkStart w:id="31" w:name="ref_[48-49]_15365919"/>
      <w:r>
        <w:rPr>
          <w:rFonts w:hint="default"/>
          <w:color w:val="000000"/>
          <w:kern w:val="0"/>
          <w:sz w:val="26"/>
          <w:szCs w:val="28"/>
          <w:lang w:val="en-US" w:eastAsia="zh-CN"/>
        </w:rPr>
        <w:t> </w:t>
      </w:r>
      <w:bookmarkEnd w:id="31"/>
    </w:p>
    <w:p>
      <w:pPr>
        <w:spacing w:after="156" w:afterLines="50" w:line="520" w:lineRule="exact"/>
        <w:ind w:firstLine="520" w:firstLineChars="200"/>
        <w:rPr>
          <w:rFonts w:hint="default"/>
          <w:color w:val="000000"/>
          <w:kern w:val="0"/>
          <w:sz w:val="26"/>
          <w:szCs w:val="28"/>
        </w:rPr>
        <w:sectPr>
          <w:headerReference w:type="default" r:id="rId62"/>
          <w:footerReference w:type="default" r:id="rId63"/>
          <w:headerReference w:type="first" r:id="rId64"/>
          <w:footerReference w:type="first" r:id="rId65"/>
          <w:type w:val="nextPage"/>
          <w:pgSz w:w="11906" w:h="16838"/>
          <w:pgMar w:top="1440" w:right="1800" w:bottom="1440" w:left="1800" w:header="851" w:footer="992" w:gutter="0"/>
          <w:pgNumType w:fmt="decimal" w:start="8"/>
          <w:cols w:space="708"/>
          <w:titlePg w:val="0"/>
          <w:docGrid w:type="lines" w:linePitch="312" w:charSpace="0"/>
        </w:sectPr>
      </w:pPr>
    </w:p>
    <w:p>
      <w:pPr>
        <w:spacing w:after="156" w:afterLines="50" w:line="520" w:lineRule="exact"/>
        <w:ind w:firstLine="520" w:firstLineChars="200"/>
        <w:rPr>
          <w:rFonts w:hint="default"/>
          <w:color w:val="000000"/>
          <w:kern w:val="0"/>
          <w:sz w:val="26"/>
          <w:szCs w:val="28"/>
        </w:rPr>
      </w:pPr>
      <w:r>
        <w:rPr>
          <w:rFonts w:hint="default"/>
          <w:color w:val="000000"/>
          <w:kern w:val="0"/>
          <w:sz w:val="26"/>
          <w:szCs w:val="28"/>
          <w:lang w:val="en-US" w:eastAsia="zh-CN"/>
        </w:rPr>
        <w:t>2018年，武汉市第二产业增加值6377.75亿元，同比增长5.7%。全部工业增加值5076.21亿元，增长5.9%。规模以上工业增加值增长5.7%。规模以上工业企业主营业务收入13696.0亿元，同比增长2.5%。全市具有资质等级的总承包和专业承包建筑业企业1548户，实现建筑业总产值9194.29亿元，同比增长14.0%。</w:t>
      </w:r>
    </w:p>
    <w:p>
      <w:pPr>
        <w:spacing w:after="156" w:afterLines="50" w:line="520" w:lineRule="exact"/>
        <w:ind w:firstLine="520" w:firstLineChars="200"/>
        <w:rPr>
          <w:rFonts w:hint="default"/>
          <w:color w:val="000000"/>
          <w:kern w:val="0"/>
          <w:sz w:val="26"/>
          <w:szCs w:val="28"/>
        </w:rPr>
      </w:pPr>
      <w:r>
        <w:rPr>
          <w:rFonts w:hint="default"/>
          <w:color w:val="000000"/>
          <w:kern w:val="0"/>
          <w:sz w:val="26"/>
          <w:szCs w:val="28"/>
          <w:lang w:val="en-US" w:eastAsia="zh-CN"/>
        </w:rPr>
        <w:t>2018年，武汉市三大战略性新兴产业中，</w:t>
      </w:r>
      <w:hyperlink r:id="rId66" w:tgtFrame="https://baike.baidu.com/item/%E6%AD%A6%E6%B1%89/_blank" w:history="1">
        <w:r>
          <w:rPr>
            <w:rFonts w:hint="default"/>
            <w:color w:val="000000"/>
            <w:kern w:val="0"/>
            <w:sz w:val="26"/>
            <w:szCs w:val="28"/>
          </w:rPr>
          <w:t>智能制造</w:t>
        </w:r>
      </w:hyperlink>
      <w:r>
        <w:rPr>
          <w:rFonts w:hint="default"/>
          <w:color w:val="000000"/>
          <w:kern w:val="0"/>
          <w:sz w:val="26"/>
          <w:szCs w:val="28"/>
          <w:lang w:val="en-US" w:eastAsia="zh-CN"/>
        </w:rPr>
        <w:t>产业总产值同比增长18.8%，生命健康、</w:t>
      </w:r>
      <w:hyperlink r:id="rId67" w:tgtFrame="https://baike.baidu.com/item/%E6%AD%A6%E6%B1%89/_blank" w:history="1">
        <w:r>
          <w:rPr>
            <w:rFonts w:hint="default"/>
            <w:color w:val="000000"/>
            <w:kern w:val="0"/>
            <w:sz w:val="26"/>
            <w:szCs w:val="28"/>
          </w:rPr>
          <w:t>信息技术产业</w:t>
        </w:r>
      </w:hyperlink>
      <w:r>
        <w:rPr>
          <w:rFonts w:hint="default"/>
          <w:color w:val="000000"/>
          <w:kern w:val="0"/>
          <w:sz w:val="26"/>
          <w:szCs w:val="28"/>
          <w:lang w:val="en-US" w:eastAsia="zh-CN"/>
        </w:rPr>
        <w:t>营业收入分别增长19.2%和21.5%。</w:t>
      </w:r>
    </w:p>
    <w:p>
      <w:pPr>
        <w:pStyle w:val="Heading2"/>
        <w:spacing w:before="100" w:beforeLines="0" w:beforeAutospacing="1" w:after="156" w:afterLines="50" w:line="360" w:lineRule="auto"/>
        <w:rPr>
          <w:rFonts w:ascii="Times New Roman" w:eastAsia="宋体" w:hAnsi="Times New Roman" w:hint="eastAsia"/>
          <w:color w:val="000000"/>
          <w:sz w:val="26"/>
        </w:rPr>
      </w:pPr>
      <w:bookmarkStart w:id="32" w:name="_Toc17934"/>
      <w:r>
        <w:rPr>
          <w:rFonts w:ascii="Times New Roman" w:eastAsia="宋体" w:hAnsi="Times New Roman" w:hint="eastAsia"/>
          <w:color w:val="000000"/>
          <w:sz w:val="26"/>
          <w:lang w:val="en-US" w:eastAsia="zh-CN"/>
        </w:rPr>
        <w:t>2.2</w:t>
      </w:r>
      <w:r>
        <w:rPr>
          <w:rFonts w:ascii="Times New Roman" w:eastAsia="宋体" w:hAnsi="Times New Roman" w:hint="eastAsia"/>
          <w:color w:val="000000"/>
          <w:sz w:val="26"/>
        </w:rPr>
        <w:t>我国</w:t>
      </w:r>
      <w:r>
        <w:rPr>
          <w:rFonts w:ascii="Times New Roman" w:eastAsia="宋体" w:hAnsi="Times New Roman" w:hint="eastAsia"/>
          <w:color w:val="000000"/>
          <w:sz w:val="26"/>
          <w:lang w:eastAsia="zh-CN"/>
        </w:rPr>
        <w:t>标准化香菇示范基地</w:t>
      </w:r>
      <w:r>
        <w:rPr>
          <w:rFonts w:ascii="Times New Roman" w:eastAsia="宋体" w:hAnsi="Times New Roman" w:hint="eastAsia"/>
          <w:color w:val="000000"/>
          <w:sz w:val="26"/>
        </w:rPr>
        <w:t>行业发展状况分析</w:t>
      </w:r>
      <w:bookmarkEnd w:id="30"/>
      <w:bookmarkEnd w:id="32"/>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作为国民经济传统支柱产业、重要的民生产业和国际竞争优势明显产业的</w:t>
      </w:r>
      <w:r>
        <w:rPr>
          <w:rFonts w:hint="eastAsia"/>
          <w:color w:val="000000"/>
          <w:kern w:val="0"/>
          <w:sz w:val="26"/>
          <w:szCs w:val="28"/>
          <w:lang w:eastAsia="zh-CN"/>
        </w:rPr>
        <w:t>标准化香菇示范基地</w:t>
      </w:r>
      <w:r>
        <w:rPr>
          <w:rFonts w:hint="eastAsia"/>
          <w:color w:val="000000"/>
          <w:kern w:val="0"/>
          <w:sz w:val="26"/>
          <w:szCs w:val="28"/>
        </w:rPr>
        <w:t>工业，在繁荣市场、吸纳就业、增加农民收入、加快城镇化进程以及促进社会和谐发展等方面发挥了重要作用。</w:t>
      </w:r>
    </w:p>
    <w:p>
      <w:pPr>
        <w:spacing w:after="156" w:afterLines="50" w:line="520" w:lineRule="exact"/>
        <w:ind w:firstLine="520" w:firstLineChars="200"/>
        <w:rPr>
          <w:color w:val="000000"/>
          <w:kern w:val="0"/>
          <w:sz w:val="26"/>
          <w:szCs w:val="28"/>
        </w:rPr>
      </w:pPr>
      <w:r>
        <w:rPr>
          <w:rFonts w:hint="eastAsia"/>
          <w:color w:val="000000"/>
          <w:kern w:val="0"/>
          <w:sz w:val="26"/>
          <w:szCs w:val="28"/>
        </w:rPr>
        <w:t>尽管外部环境不断变化，中国</w:t>
      </w:r>
      <w:r>
        <w:rPr>
          <w:rFonts w:hint="eastAsia"/>
          <w:color w:val="000000"/>
          <w:kern w:val="0"/>
          <w:sz w:val="26"/>
          <w:szCs w:val="28"/>
          <w:lang w:eastAsia="zh-CN"/>
        </w:rPr>
        <w:t>标准化香菇示范基地</w:t>
      </w:r>
      <w:r>
        <w:rPr>
          <w:rFonts w:hint="eastAsia"/>
          <w:color w:val="000000"/>
          <w:kern w:val="0"/>
          <w:sz w:val="26"/>
          <w:szCs w:val="28"/>
        </w:rPr>
        <w:t>工业当前在国民经济中仍保持着稳定地位，并发挥着日渐重要的作用。但随着全球</w:t>
      </w:r>
      <w:r>
        <w:rPr>
          <w:rFonts w:hint="eastAsia"/>
          <w:color w:val="000000"/>
          <w:kern w:val="0"/>
          <w:sz w:val="26"/>
          <w:szCs w:val="28"/>
          <w:lang w:eastAsia="zh-CN"/>
        </w:rPr>
        <w:t>标准化香菇示范基地</w:t>
      </w:r>
      <w:r>
        <w:rPr>
          <w:rFonts w:hint="eastAsia"/>
          <w:color w:val="000000"/>
          <w:kern w:val="0"/>
          <w:sz w:val="26"/>
          <w:szCs w:val="28"/>
        </w:rPr>
        <w:t>产业格局的进一步调整，我国</w:t>
      </w:r>
      <w:r>
        <w:rPr>
          <w:rFonts w:hint="eastAsia"/>
          <w:color w:val="000000"/>
          <w:kern w:val="0"/>
          <w:sz w:val="26"/>
          <w:szCs w:val="28"/>
          <w:lang w:eastAsia="zh-CN"/>
        </w:rPr>
        <w:t>标准化香菇示范基地</w:t>
      </w:r>
      <w:r>
        <w:rPr>
          <w:rFonts w:hint="eastAsia"/>
          <w:color w:val="000000"/>
          <w:kern w:val="0"/>
          <w:sz w:val="26"/>
          <w:szCs w:val="28"/>
        </w:rPr>
        <w:t>工业发展正面临发达国家</w:t>
      </w:r>
      <w:r>
        <w:rPr>
          <w:rFonts w:hint="eastAsia"/>
          <w:color w:val="000000"/>
          <w:kern w:val="0"/>
          <w:sz w:val="26"/>
          <w:szCs w:val="28"/>
        </w:rPr>
        <w:t>“</w:t>
      </w:r>
      <w:r>
        <w:rPr>
          <w:rFonts w:hint="eastAsia"/>
          <w:color w:val="000000"/>
          <w:kern w:val="0"/>
          <w:sz w:val="26"/>
          <w:szCs w:val="28"/>
        </w:rPr>
        <w:t>再工业化</w:t>
      </w:r>
      <w:r>
        <w:rPr>
          <w:rFonts w:hint="eastAsia"/>
          <w:color w:val="000000"/>
          <w:kern w:val="0"/>
          <w:sz w:val="26"/>
          <w:szCs w:val="28"/>
        </w:rPr>
        <w:t>”</w:t>
      </w:r>
      <w:r>
        <w:rPr>
          <w:rFonts w:hint="eastAsia"/>
          <w:color w:val="000000"/>
          <w:kern w:val="0"/>
          <w:sz w:val="26"/>
          <w:szCs w:val="28"/>
        </w:rPr>
        <w:t>和发展中国家加快推进工业化进程的</w:t>
      </w:r>
      <w:r>
        <w:rPr>
          <w:rFonts w:hint="eastAsia"/>
          <w:color w:val="000000"/>
          <w:kern w:val="0"/>
          <w:sz w:val="26"/>
          <w:szCs w:val="28"/>
        </w:rPr>
        <w:t>“</w:t>
      </w:r>
      <w:r>
        <w:rPr>
          <w:rFonts w:hint="eastAsia"/>
          <w:color w:val="000000"/>
          <w:kern w:val="0"/>
          <w:sz w:val="26"/>
          <w:szCs w:val="28"/>
        </w:rPr>
        <w:t>双重挤压</w:t>
      </w:r>
      <w:r>
        <w:rPr>
          <w:rFonts w:hint="eastAsia"/>
          <w:color w:val="000000"/>
          <w:kern w:val="0"/>
          <w:sz w:val="26"/>
          <w:szCs w:val="28"/>
        </w:rPr>
        <w:t>”</w:t>
      </w:r>
      <w:r>
        <w:rPr>
          <w:rFonts w:hint="eastAsia"/>
          <w:color w:val="000000"/>
          <w:kern w:val="0"/>
          <w:sz w:val="26"/>
          <w:szCs w:val="28"/>
        </w:rPr>
        <w:t>。中国</w:t>
      </w:r>
      <w:r>
        <w:rPr>
          <w:rFonts w:hint="eastAsia"/>
          <w:color w:val="000000"/>
          <w:kern w:val="0"/>
          <w:sz w:val="26"/>
          <w:szCs w:val="28"/>
          <w:lang w:eastAsia="zh-CN"/>
        </w:rPr>
        <w:t>标准化香菇示范基地</w:t>
      </w:r>
      <w:r>
        <w:rPr>
          <w:rFonts w:hint="eastAsia"/>
          <w:color w:val="000000"/>
          <w:kern w:val="0"/>
          <w:sz w:val="26"/>
          <w:szCs w:val="28"/>
        </w:rPr>
        <w:t>工业正处于由大而强的关键转型期。</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当然随着</w:t>
      </w:r>
      <w:r>
        <w:rPr>
          <w:rFonts w:hint="eastAsia"/>
          <w:color w:val="000000"/>
          <w:kern w:val="0"/>
          <w:sz w:val="26"/>
          <w:szCs w:val="28"/>
        </w:rPr>
        <w:t>“</w:t>
      </w:r>
      <w:r>
        <w:rPr>
          <w:rFonts w:hint="eastAsia"/>
          <w:color w:val="000000"/>
          <w:kern w:val="0"/>
          <w:sz w:val="26"/>
          <w:szCs w:val="28"/>
        </w:rPr>
        <w:t>中国制造2025</w:t>
      </w:r>
      <w:r>
        <w:rPr>
          <w:rFonts w:hint="eastAsia"/>
          <w:color w:val="000000"/>
          <w:kern w:val="0"/>
          <w:sz w:val="26"/>
          <w:szCs w:val="28"/>
        </w:rPr>
        <w:t>”</w:t>
      </w:r>
      <w:r>
        <w:rPr>
          <w:rFonts w:hint="eastAsia"/>
          <w:color w:val="000000"/>
          <w:kern w:val="0"/>
          <w:sz w:val="26"/>
          <w:szCs w:val="28"/>
        </w:rPr>
        <w:t>的落地实施，作为中国传统支柱产业的中国</w:t>
      </w:r>
      <w:r>
        <w:rPr>
          <w:rFonts w:hint="eastAsia"/>
          <w:color w:val="000000"/>
          <w:kern w:val="0"/>
          <w:sz w:val="26"/>
          <w:szCs w:val="28"/>
          <w:lang w:eastAsia="zh-CN"/>
        </w:rPr>
        <w:t>标准化香菇示范基地</w:t>
      </w:r>
      <w:r>
        <w:rPr>
          <w:rFonts w:hint="eastAsia"/>
          <w:color w:val="000000"/>
          <w:kern w:val="0"/>
          <w:sz w:val="26"/>
          <w:szCs w:val="28"/>
        </w:rPr>
        <w:t>行业在传统</w:t>
      </w:r>
      <w:r>
        <w:rPr>
          <w:rFonts w:hint="eastAsia"/>
          <w:color w:val="000000"/>
          <w:kern w:val="0"/>
          <w:sz w:val="26"/>
          <w:szCs w:val="28"/>
          <w:lang w:eastAsia="zh-CN"/>
        </w:rPr>
        <w:t>标准化香菇示范基地</w:t>
      </w:r>
      <w:r>
        <w:rPr>
          <w:rFonts w:hint="eastAsia"/>
          <w:color w:val="000000"/>
          <w:kern w:val="0"/>
          <w:sz w:val="26"/>
          <w:szCs w:val="28"/>
        </w:rPr>
        <w:t>技术与新技术之间的差距不断拉大的情况下也在进行着一场变革。随着《</w:t>
      </w:r>
      <w:r>
        <w:rPr>
          <w:rFonts w:hint="eastAsia"/>
          <w:color w:val="000000"/>
          <w:kern w:val="0"/>
          <w:sz w:val="26"/>
          <w:szCs w:val="28"/>
          <w:lang w:eastAsia="zh-CN"/>
        </w:rPr>
        <w:t>标准化香菇示范基地</w:t>
      </w:r>
      <w:r>
        <w:rPr>
          <w:rFonts w:hint="eastAsia"/>
          <w:color w:val="000000"/>
          <w:kern w:val="0"/>
          <w:sz w:val="26"/>
          <w:szCs w:val="28"/>
        </w:rPr>
        <w:t>工业</w:t>
      </w:r>
      <w:r>
        <w:rPr>
          <w:rFonts w:hint="eastAsia"/>
          <w:color w:val="000000"/>
          <w:kern w:val="0"/>
          <w:sz w:val="26"/>
          <w:szCs w:val="28"/>
        </w:rPr>
        <w:t>“</w:t>
      </w:r>
      <w:r>
        <w:rPr>
          <w:rFonts w:hint="eastAsia"/>
          <w:color w:val="000000"/>
          <w:kern w:val="0"/>
          <w:sz w:val="26"/>
          <w:szCs w:val="28"/>
        </w:rPr>
        <w:t>十三五</w:t>
      </w:r>
      <w:r>
        <w:rPr>
          <w:rFonts w:hint="eastAsia"/>
          <w:color w:val="000000"/>
          <w:kern w:val="0"/>
          <w:sz w:val="26"/>
          <w:szCs w:val="28"/>
        </w:rPr>
        <w:t>”</w:t>
      </w:r>
      <w:r>
        <w:rPr>
          <w:rFonts w:hint="eastAsia"/>
          <w:color w:val="000000"/>
          <w:kern w:val="0"/>
          <w:sz w:val="26"/>
          <w:szCs w:val="28"/>
        </w:rPr>
        <w:t>发展规划》的发布，中国</w:t>
      </w:r>
      <w:r>
        <w:rPr>
          <w:rFonts w:hint="eastAsia"/>
          <w:color w:val="000000"/>
          <w:kern w:val="0"/>
          <w:sz w:val="26"/>
          <w:szCs w:val="28"/>
          <w:lang w:eastAsia="zh-CN"/>
        </w:rPr>
        <w:t>标准化香菇示范基地</w:t>
      </w:r>
      <w:r>
        <w:rPr>
          <w:rFonts w:hint="eastAsia"/>
          <w:color w:val="000000"/>
          <w:kern w:val="0"/>
          <w:sz w:val="26"/>
          <w:szCs w:val="28"/>
        </w:rPr>
        <w:t>行业正式迈进智能化、数字化的转型当中。</w:t>
      </w:r>
    </w:p>
    <w:p>
      <w:pPr>
        <w:spacing w:after="156" w:afterLines="50" w:line="520" w:lineRule="exact"/>
        <w:ind w:firstLine="520" w:firstLineChars="200"/>
        <w:rPr>
          <w:rFonts w:hint="eastAsia"/>
          <w:b/>
          <w:color w:val="000000"/>
          <w:kern w:val="0"/>
          <w:sz w:val="26"/>
          <w:szCs w:val="28"/>
        </w:rPr>
      </w:pPr>
      <w:r>
        <w:rPr>
          <w:rFonts w:hint="eastAsia"/>
          <w:b/>
          <w:color w:val="000000"/>
          <w:kern w:val="0"/>
          <w:sz w:val="26"/>
          <w:szCs w:val="28"/>
          <w:lang w:eastAsia="zh-CN"/>
        </w:rPr>
        <w:t>标准化香菇示范基地</w:t>
      </w:r>
      <w:r>
        <w:rPr>
          <w:rFonts w:hint="eastAsia"/>
          <w:b/>
          <w:color w:val="000000"/>
          <w:kern w:val="0"/>
          <w:sz w:val="26"/>
          <w:szCs w:val="28"/>
        </w:rPr>
        <w:t>行业发展空间</w:t>
      </w:r>
    </w:p>
    <w:p>
      <w:pPr>
        <w:spacing w:after="156" w:afterLines="50" w:line="520" w:lineRule="exact"/>
        <w:ind w:firstLine="520" w:firstLineChars="200"/>
        <w:rPr>
          <w:rFonts w:hint="eastAsia"/>
          <w:color w:val="000000"/>
          <w:kern w:val="0"/>
          <w:sz w:val="26"/>
          <w:szCs w:val="28"/>
        </w:rPr>
        <w:sectPr>
          <w:headerReference w:type="default" r:id="rId68"/>
          <w:footerReference w:type="default" r:id="rId69"/>
          <w:headerReference w:type="first" r:id="rId70"/>
          <w:footerReference w:type="first" r:id="rId71"/>
          <w:type w:val="nextPage"/>
          <w:pgSz w:w="11906" w:h="16838"/>
          <w:pgMar w:top="1440" w:right="1800" w:bottom="1440" w:left="1800" w:header="851" w:footer="992" w:gutter="0"/>
          <w:pgNumType w:fmt="decimal" w:start="9"/>
          <w:cols w:space="708"/>
          <w:titlePg w:val="0"/>
          <w:docGrid w:type="lines" w:linePitch="312" w:charSpace="0"/>
        </w:sectPr>
      </w:pPr>
      <w:r>
        <w:rPr>
          <w:rFonts w:hint="eastAsia"/>
          <w:color w:val="000000"/>
          <w:kern w:val="0"/>
          <w:sz w:val="26"/>
          <w:szCs w:val="28"/>
        </w:rPr>
        <w:t>从产业发展层面看，</w:t>
      </w:r>
      <w:r>
        <w:rPr>
          <w:rFonts w:hint="eastAsia"/>
          <w:color w:val="000000"/>
          <w:kern w:val="0"/>
          <w:sz w:val="26"/>
          <w:szCs w:val="28"/>
          <w:lang w:eastAsia="zh-CN"/>
        </w:rPr>
        <w:t>标准化香菇示范基地</w:t>
      </w:r>
      <w:r>
        <w:rPr>
          <w:rFonts w:hint="eastAsia"/>
          <w:color w:val="000000"/>
          <w:kern w:val="0"/>
          <w:sz w:val="26"/>
          <w:szCs w:val="28"/>
        </w:rPr>
        <w:t>工业与信息技术、互联网深度融合对传统生产经营方式提出挑战的同时，也为产业的创新发展提供了广阔空间。</w:t>
      </w:r>
      <w:r>
        <w:rPr>
          <w:rFonts w:hint="eastAsia"/>
          <w:color w:val="000000"/>
          <w:kern w:val="0"/>
          <w:sz w:val="26"/>
          <w:szCs w:val="28"/>
        </w:rPr>
        <w:t>“</w:t>
      </w:r>
      <w:r>
        <w:rPr>
          <w:rFonts w:hint="eastAsia"/>
          <w:color w:val="000000"/>
          <w:kern w:val="0"/>
          <w:sz w:val="26"/>
          <w:szCs w:val="28"/>
        </w:rPr>
        <w:t>中国制造2025</w:t>
      </w:r>
      <w:r>
        <w:rPr>
          <w:rFonts w:hint="eastAsia"/>
          <w:color w:val="000000"/>
          <w:kern w:val="0"/>
          <w:sz w:val="26"/>
          <w:szCs w:val="28"/>
        </w:rPr>
        <w:t>”“</w:t>
      </w:r>
      <w:r>
        <w:rPr>
          <w:rFonts w:hint="eastAsia"/>
          <w:color w:val="000000"/>
          <w:kern w:val="0"/>
          <w:sz w:val="26"/>
          <w:szCs w:val="28"/>
        </w:rPr>
        <w:t>互联网+</w:t>
      </w:r>
      <w:r>
        <w:rPr>
          <w:rFonts w:hint="eastAsia"/>
          <w:color w:val="000000"/>
          <w:kern w:val="0"/>
          <w:sz w:val="26"/>
          <w:szCs w:val="28"/>
        </w:rPr>
        <w:t>”</w:t>
      </w:r>
      <w:r>
        <w:rPr>
          <w:rFonts w:hint="eastAsia"/>
          <w:color w:val="000000"/>
          <w:kern w:val="0"/>
          <w:sz w:val="26"/>
          <w:szCs w:val="28"/>
        </w:rPr>
        <w:t>推动信息技术在</w:t>
      </w:r>
      <w:r>
        <w:rPr>
          <w:rFonts w:hint="eastAsia"/>
          <w:color w:val="000000"/>
          <w:kern w:val="0"/>
          <w:sz w:val="26"/>
          <w:szCs w:val="28"/>
          <w:lang w:eastAsia="zh-CN"/>
        </w:rPr>
        <w:t>标准化香菇示范基地</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行业设计、生产、营销、物流等环节的深入应用，将推动生产模式向柔性化、智能化、精细化转变，由传统生产制造向服务型制造转变。大数据、云平台、云制造、电子商务和跨境电商发展将催生新业态、新模式。</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随着社会的进步和发展，在大环境、消费者需求、成本等多重因素变化影响下，中国</w:t>
      </w:r>
      <w:r>
        <w:rPr>
          <w:rFonts w:hint="eastAsia"/>
          <w:color w:val="000000"/>
          <w:kern w:val="0"/>
          <w:sz w:val="26"/>
          <w:szCs w:val="28"/>
          <w:lang w:eastAsia="zh-CN"/>
        </w:rPr>
        <w:t>标准化香菇示范基地</w:t>
      </w:r>
      <w:r>
        <w:rPr>
          <w:rFonts w:hint="eastAsia"/>
          <w:color w:val="000000"/>
          <w:kern w:val="0"/>
          <w:sz w:val="26"/>
          <w:szCs w:val="28"/>
        </w:rPr>
        <w:t>行业也在逐渐发生新变化，主要分为</w:t>
      </w:r>
      <w:r>
        <w:rPr>
          <w:rFonts w:hint="eastAsia"/>
          <w:color w:val="000000"/>
          <w:kern w:val="0"/>
          <w:sz w:val="26"/>
          <w:szCs w:val="28"/>
        </w:rPr>
        <w:t>“</w:t>
      </w:r>
      <w:r>
        <w:rPr>
          <w:rFonts w:hint="eastAsia"/>
          <w:color w:val="000000"/>
          <w:kern w:val="0"/>
          <w:sz w:val="26"/>
          <w:szCs w:val="28"/>
        </w:rPr>
        <w:t>创新速度加快</w:t>
      </w:r>
      <w:r>
        <w:rPr>
          <w:rFonts w:hint="eastAsia"/>
          <w:color w:val="000000"/>
          <w:kern w:val="0"/>
          <w:sz w:val="26"/>
          <w:szCs w:val="28"/>
        </w:rPr>
        <w:t>”</w:t>
      </w:r>
      <w:r>
        <w:rPr>
          <w:rFonts w:hint="eastAsia"/>
          <w:color w:val="000000"/>
          <w:kern w:val="0"/>
          <w:sz w:val="26"/>
          <w:szCs w:val="28"/>
        </w:rPr>
        <w:t>、</w:t>
      </w:r>
      <w:r>
        <w:rPr>
          <w:rFonts w:hint="eastAsia"/>
          <w:color w:val="000000"/>
          <w:kern w:val="0"/>
          <w:sz w:val="26"/>
          <w:szCs w:val="28"/>
        </w:rPr>
        <w:t>“</w:t>
      </w:r>
      <w:r>
        <w:rPr>
          <w:rFonts w:hint="eastAsia"/>
          <w:color w:val="000000"/>
          <w:kern w:val="0"/>
          <w:sz w:val="26"/>
          <w:szCs w:val="28"/>
        </w:rPr>
        <w:t>消费需求多元</w:t>
      </w:r>
      <w:r>
        <w:rPr>
          <w:rFonts w:hint="eastAsia"/>
          <w:color w:val="000000"/>
          <w:kern w:val="0"/>
          <w:sz w:val="26"/>
          <w:szCs w:val="28"/>
        </w:rPr>
        <w:t>”</w:t>
      </w:r>
      <w:r>
        <w:rPr>
          <w:rFonts w:hint="eastAsia"/>
          <w:color w:val="000000"/>
          <w:kern w:val="0"/>
          <w:sz w:val="26"/>
          <w:szCs w:val="28"/>
        </w:rPr>
        <w:t>、</w:t>
      </w:r>
      <w:r>
        <w:rPr>
          <w:rFonts w:hint="eastAsia"/>
          <w:color w:val="000000"/>
          <w:kern w:val="0"/>
          <w:sz w:val="26"/>
          <w:szCs w:val="28"/>
        </w:rPr>
        <w:t>“</w:t>
      </w:r>
      <w:r>
        <w:rPr>
          <w:rFonts w:hint="eastAsia"/>
          <w:color w:val="000000"/>
          <w:kern w:val="0"/>
          <w:sz w:val="26"/>
          <w:szCs w:val="28"/>
        </w:rPr>
        <w:t>智能深度融入</w:t>
      </w:r>
      <w:r>
        <w:rPr>
          <w:rFonts w:hint="eastAsia"/>
          <w:color w:val="000000"/>
          <w:kern w:val="0"/>
          <w:sz w:val="26"/>
          <w:szCs w:val="28"/>
        </w:rPr>
        <w:t>”</w:t>
      </w:r>
      <w:r>
        <w:rPr>
          <w:rFonts w:hint="eastAsia"/>
          <w:color w:val="000000"/>
          <w:kern w:val="0"/>
          <w:sz w:val="26"/>
          <w:szCs w:val="28"/>
        </w:rPr>
        <w:t>三点：</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面对我国</w:t>
      </w:r>
      <w:r>
        <w:rPr>
          <w:rFonts w:hint="eastAsia"/>
          <w:color w:val="000000"/>
          <w:kern w:val="0"/>
          <w:sz w:val="26"/>
          <w:szCs w:val="28"/>
          <w:lang w:eastAsia="zh-CN"/>
        </w:rPr>
        <w:t>标准化香菇示范基地</w:t>
      </w:r>
      <w:r>
        <w:rPr>
          <w:rFonts w:hint="eastAsia"/>
          <w:color w:val="000000"/>
          <w:kern w:val="0"/>
          <w:sz w:val="26"/>
          <w:szCs w:val="28"/>
        </w:rPr>
        <w:t>工业发展环境和形势的深刻变化，相关企业须积极把握需求增长与消费升级的趋势，利用好新一轮科技和产业变革的战略机遇，推动我国</w:t>
      </w:r>
      <w:r>
        <w:rPr>
          <w:rFonts w:hint="eastAsia"/>
          <w:color w:val="000000"/>
          <w:kern w:val="0"/>
          <w:sz w:val="26"/>
          <w:szCs w:val="28"/>
          <w:lang w:eastAsia="zh-CN"/>
        </w:rPr>
        <w:t>标准化香菇示范基地</w:t>
      </w:r>
      <w:r>
        <w:rPr>
          <w:rFonts w:hint="eastAsia"/>
          <w:color w:val="000000"/>
          <w:kern w:val="0"/>
          <w:sz w:val="26"/>
          <w:szCs w:val="28"/>
        </w:rPr>
        <w:t>工业加快向中高端迈进。</w:t>
      </w:r>
    </w:p>
    <w:p>
      <w:pPr>
        <w:pStyle w:val="Heading2"/>
        <w:spacing w:before="100" w:beforeLines="0" w:beforeAutospacing="1" w:after="100" w:afterLines="0" w:afterAutospacing="1" w:line="360" w:lineRule="auto"/>
        <w:rPr>
          <w:rFonts w:ascii="Times New Roman" w:eastAsia="宋体" w:hAnsi="Times New Roman" w:hint="eastAsia"/>
          <w:color w:val="000000"/>
          <w:sz w:val="26"/>
        </w:rPr>
      </w:pPr>
      <w:bookmarkStart w:id="33" w:name="_Toc319069515"/>
      <w:bookmarkStart w:id="34" w:name="_Toc19598"/>
      <w:r>
        <w:rPr>
          <w:rFonts w:ascii="Times New Roman" w:eastAsia="宋体" w:hAnsi="Times New Roman" w:hint="eastAsia"/>
          <w:color w:val="000000"/>
          <w:sz w:val="26"/>
          <w:lang w:val="en-US" w:eastAsia="zh-CN"/>
        </w:rPr>
        <w:t>2</w:t>
      </w:r>
      <w:r>
        <w:rPr>
          <w:rFonts w:ascii="Times New Roman" w:eastAsia="宋体" w:hAnsi="Times New Roman"/>
          <w:color w:val="000000"/>
          <w:sz w:val="26"/>
        </w:rPr>
        <w:t>.</w:t>
      </w:r>
      <w:r>
        <w:rPr>
          <w:rFonts w:ascii="Times New Roman" w:eastAsia="宋体" w:hAnsi="Times New Roman" w:hint="eastAsia"/>
          <w:color w:val="000000"/>
          <w:sz w:val="26"/>
          <w:lang w:val="en-US" w:eastAsia="zh-CN"/>
        </w:rPr>
        <w:t>3</w:t>
      </w:r>
      <w:r>
        <w:rPr>
          <w:rFonts w:ascii="Times New Roman" w:eastAsia="宋体" w:hAnsi="Times New Roman" w:hint="eastAsia"/>
          <w:color w:val="000000"/>
          <w:sz w:val="26"/>
        </w:rPr>
        <w:t>我国</w:t>
      </w:r>
      <w:r>
        <w:rPr>
          <w:rFonts w:ascii="Times New Roman" w:eastAsia="宋体" w:hAnsi="Times New Roman" w:hint="eastAsia"/>
          <w:color w:val="000000"/>
          <w:sz w:val="26"/>
          <w:lang w:eastAsia="zh-CN"/>
        </w:rPr>
        <w:t>标准化香菇示范基地</w:t>
      </w:r>
      <w:r>
        <w:rPr>
          <w:rFonts w:ascii="Times New Roman" w:eastAsia="宋体" w:hAnsi="Times New Roman" w:hint="eastAsia"/>
          <w:color w:val="000000"/>
          <w:sz w:val="26"/>
        </w:rPr>
        <w:t>行业发展趋势分析</w:t>
      </w:r>
      <w:bookmarkEnd w:id="33"/>
      <w:bookmarkEnd w:id="34"/>
    </w:p>
    <w:p>
      <w:pPr>
        <w:spacing w:after="156" w:afterLines="50" w:line="520" w:lineRule="exact"/>
        <w:ind w:firstLine="520" w:firstLineChars="200"/>
        <w:rPr>
          <w:rFonts w:hint="eastAsia"/>
          <w:color w:val="000000"/>
          <w:kern w:val="0"/>
          <w:sz w:val="26"/>
          <w:szCs w:val="28"/>
        </w:rPr>
      </w:pPr>
      <w:bookmarkStart w:id="35" w:name="_Toc319069516"/>
      <w:r>
        <w:rPr>
          <w:rFonts w:hint="eastAsia"/>
          <w:color w:val="000000"/>
          <w:kern w:val="0"/>
          <w:sz w:val="26"/>
          <w:szCs w:val="28"/>
        </w:rPr>
        <w:t>技术进步和工艺创新成为促进产业升级和提升产品档次的主要动力。</w:t>
      </w:r>
      <w:r>
        <w:rPr>
          <w:rFonts w:hint="eastAsia"/>
          <w:color w:val="000000"/>
          <w:kern w:val="0"/>
          <w:sz w:val="26"/>
          <w:szCs w:val="28"/>
          <w:lang w:eastAsia="zh-CN"/>
        </w:rPr>
        <w:t>标准化香菇示范基地</w:t>
      </w:r>
      <w:r>
        <w:rPr>
          <w:rFonts w:hint="eastAsia"/>
          <w:color w:val="000000"/>
          <w:kern w:val="0"/>
          <w:sz w:val="26"/>
          <w:szCs w:val="28"/>
        </w:rPr>
        <w:t>行业将着力增强自主创新能力，转变经济增长方式，提高经济运行的质量和效益，加快</w:t>
      </w:r>
      <w:r>
        <w:rPr>
          <w:rFonts w:hint="eastAsia"/>
          <w:color w:val="000000"/>
          <w:kern w:val="0"/>
          <w:sz w:val="26"/>
          <w:szCs w:val="28"/>
          <w:lang w:eastAsia="zh-CN"/>
        </w:rPr>
        <w:t>标准化香菇示范基地</w:t>
      </w:r>
      <w:r>
        <w:rPr>
          <w:rFonts w:hint="eastAsia"/>
          <w:color w:val="000000"/>
          <w:kern w:val="0"/>
          <w:sz w:val="26"/>
          <w:szCs w:val="28"/>
        </w:rPr>
        <w:t>先进生产力建设。主要包括</w:t>
      </w:r>
      <w:r>
        <w:rPr>
          <w:rFonts w:hint="eastAsia"/>
          <w:color w:val="000000"/>
          <w:kern w:val="0"/>
          <w:sz w:val="26"/>
          <w:szCs w:val="28"/>
        </w:rPr>
        <w:t>“</w:t>
      </w:r>
      <w:r>
        <w:rPr>
          <w:rFonts w:hint="eastAsia"/>
          <w:color w:val="000000"/>
          <w:kern w:val="0"/>
          <w:sz w:val="26"/>
          <w:szCs w:val="28"/>
        </w:rPr>
        <w:t>三大创新</w:t>
      </w:r>
      <w:r>
        <w:rPr>
          <w:rFonts w:hint="eastAsia"/>
          <w:color w:val="000000"/>
          <w:kern w:val="0"/>
          <w:sz w:val="26"/>
          <w:szCs w:val="28"/>
        </w:rPr>
        <w:t>”</w:t>
      </w:r>
      <w:r>
        <w:rPr>
          <w:rFonts w:hint="eastAsia"/>
          <w:color w:val="000000"/>
          <w:kern w:val="0"/>
          <w:sz w:val="26"/>
          <w:szCs w:val="28"/>
        </w:rPr>
        <w:t>：科技创新、经营管理创新、产业链整合创新。以及新材料、新工艺的应用，将会有力地推进我国</w:t>
      </w:r>
      <w:r>
        <w:rPr>
          <w:rFonts w:hint="eastAsia"/>
          <w:color w:val="000000"/>
          <w:kern w:val="0"/>
          <w:sz w:val="26"/>
          <w:szCs w:val="28"/>
          <w:lang w:eastAsia="zh-CN"/>
        </w:rPr>
        <w:t>标准化香菇示范基地</w:t>
      </w:r>
      <w:r>
        <w:rPr>
          <w:rFonts w:hint="eastAsia"/>
          <w:color w:val="000000"/>
          <w:kern w:val="0"/>
          <w:sz w:val="26"/>
          <w:szCs w:val="28"/>
        </w:rPr>
        <w:t>行业的结构调整，大大提高我国</w:t>
      </w:r>
      <w:r>
        <w:rPr>
          <w:rFonts w:hint="eastAsia"/>
          <w:color w:val="000000"/>
          <w:kern w:val="0"/>
          <w:sz w:val="26"/>
          <w:szCs w:val="28"/>
          <w:lang w:eastAsia="zh-CN"/>
        </w:rPr>
        <w:t>标准化香菇示范基地</w:t>
      </w:r>
      <w:r>
        <w:rPr>
          <w:rFonts w:hint="eastAsia"/>
          <w:color w:val="000000"/>
          <w:kern w:val="0"/>
          <w:sz w:val="26"/>
          <w:szCs w:val="28"/>
        </w:rPr>
        <w:t>工艺技术水平，提高我国</w:t>
      </w:r>
      <w:r>
        <w:rPr>
          <w:rFonts w:hint="eastAsia"/>
          <w:color w:val="000000"/>
          <w:kern w:val="0"/>
          <w:sz w:val="26"/>
          <w:szCs w:val="28"/>
          <w:lang w:eastAsia="zh-CN"/>
        </w:rPr>
        <w:t>标准化香菇示范基地</w:t>
      </w:r>
      <w:r>
        <w:rPr>
          <w:rFonts w:hint="eastAsia"/>
          <w:color w:val="000000"/>
          <w:kern w:val="0"/>
          <w:sz w:val="26"/>
          <w:szCs w:val="28"/>
        </w:rPr>
        <w:t>的技术含量和产品档次。ERP企业资源计划、PDM 产品数据管理系统及信息网络技术的广泛应用，将加快</w:t>
      </w:r>
      <w:r>
        <w:rPr>
          <w:rFonts w:hint="eastAsia"/>
          <w:color w:val="000000"/>
          <w:kern w:val="0"/>
          <w:sz w:val="26"/>
          <w:szCs w:val="28"/>
          <w:lang w:eastAsia="zh-CN"/>
        </w:rPr>
        <w:t>标准化香菇示范基地</w:t>
      </w:r>
      <w:r>
        <w:rPr>
          <w:rFonts w:hint="eastAsia"/>
          <w:color w:val="000000"/>
          <w:kern w:val="0"/>
          <w:sz w:val="26"/>
          <w:szCs w:val="28"/>
        </w:rPr>
        <w:t>企业商品的购、销、存等流转过程，进一步规范企业运作流程，加速企业生产效率，大大提高企业的市场应变能力。</w:t>
      </w:r>
      <w:r>
        <w:rPr>
          <w:rFonts w:hint="eastAsia"/>
          <w:color w:val="000000"/>
          <w:kern w:val="0"/>
          <w:sz w:val="26"/>
          <w:szCs w:val="28"/>
          <w:lang w:eastAsia="zh-CN"/>
        </w:rPr>
        <w:t>标准化香菇示范基地</w:t>
      </w:r>
      <w:r>
        <w:rPr>
          <w:rFonts w:hint="eastAsia"/>
          <w:color w:val="000000"/>
          <w:kern w:val="0"/>
          <w:sz w:val="26"/>
          <w:szCs w:val="28"/>
        </w:rPr>
        <w:t>行业将逐步适应国际消费趋势的主流，由生产低档次产品向高品质、高档次及高附加值的产品转变，逐步完善上下游产业链，向价值链高端迈进。</w:t>
      </w:r>
    </w:p>
    <w:p>
      <w:pPr>
        <w:pStyle w:val="Heading2"/>
        <w:spacing w:before="100" w:beforeLines="0" w:beforeAutospacing="1" w:after="100" w:afterLines="0" w:afterAutospacing="1" w:line="360" w:lineRule="auto"/>
        <w:rPr>
          <w:rFonts w:ascii="Times New Roman" w:eastAsia="宋体" w:hAnsi="宋体" w:hint="eastAsia"/>
          <w:color w:val="000000"/>
          <w:sz w:val="26"/>
        </w:rPr>
      </w:pPr>
      <w:bookmarkStart w:id="36" w:name="_Toc11570"/>
      <w:bookmarkEnd w:id="35"/>
      <w:r>
        <w:rPr>
          <w:rFonts w:ascii="Times New Roman" w:eastAsia="宋体" w:hAnsi="Times New Roman" w:hint="eastAsia"/>
          <w:color w:val="000000"/>
          <w:sz w:val="26"/>
          <w:lang w:val="en-US" w:eastAsia="zh-CN"/>
        </w:rPr>
        <w:t>2</w:t>
      </w:r>
      <w:r>
        <w:rPr>
          <w:rFonts w:ascii="Times New Roman" w:eastAsia="宋体" w:hAnsi="Times New Roman"/>
          <w:color w:val="000000"/>
          <w:sz w:val="26"/>
        </w:rPr>
        <w:t>.</w:t>
      </w:r>
      <w:r>
        <w:rPr>
          <w:rFonts w:ascii="Times New Roman" w:eastAsia="宋体" w:hAnsi="Times New Roman" w:hint="eastAsia"/>
          <w:color w:val="000000"/>
          <w:sz w:val="26"/>
          <w:lang w:val="en-US" w:eastAsia="zh-CN"/>
        </w:rPr>
        <w:t>4</w:t>
      </w:r>
      <w:r>
        <w:rPr>
          <w:rFonts w:ascii="Times New Roman" w:eastAsia="宋体" w:hAnsi="宋体" w:hint="eastAsia"/>
          <w:color w:val="000000"/>
          <w:sz w:val="26"/>
        </w:rPr>
        <w:t>市场小结</w:t>
      </w:r>
      <w:bookmarkEnd w:id="36"/>
    </w:p>
    <w:p>
      <w:pPr>
        <w:spacing w:after="156" w:afterLines="50" w:line="520" w:lineRule="exact"/>
        <w:ind w:firstLine="520" w:firstLineChars="200"/>
        <w:rPr>
          <w:rFonts w:hint="eastAsia"/>
          <w:color w:val="000000"/>
          <w:kern w:val="0"/>
          <w:sz w:val="26"/>
          <w:szCs w:val="28"/>
        </w:rPr>
        <w:sectPr>
          <w:headerReference w:type="default" r:id="rId72"/>
          <w:footerReference w:type="default" r:id="rId73"/>
          <w:headerReference w:type="first" r:id="rId74"/>
          <w:footerReference w:type="first" r:id="rId75"/>
          <w:type w:val="nextPage"/>
          <w:pgSz w:w="11906" w:h="16838"/>
          <w:pgMar w:top="1440" w:right="1800" w:bottom="1440" w:left="1800" w:header="851" w:footer="992" w:gutter="0"/>
          <w:pgNumType w:fmt="decimal" w:start="10"/>
          <w:cols w:space="708"/>
          <w:titlePg w:val="0"/>
          <w:docGrid w:type="lines" w:linePitch="312" w:charSpace="0"/>
        </w:sectPr>
      </w:pPr>
      <w:r>
        <w:rPr>
          <w:rFonts w:hint="eastAsia"/>
          <w:color w:val="000000"/>
          <w:kern w:val="0"/>
          <w:sz w:val="26"/>
          <w:szCs w:val="28"/>
        </w:rPr>
        <w:t>综上可以看出，我国</w:t>
      </w:r>
      <w:r>
        <w:rPr>
          <w:rFonts w:hint="eastAsia"/>
          <w:color w:val="000000"/>
          <w:kern w:val="0"/>
          <w:sz w:val="26"/>
          <w:szCs w:val="28"/>
          <w:lang w:eastAsia="zh-CN"/>
        </w:rPr>
        <w:t>标准化香菇示范基地</w:t>
      </w:r>
      <w:r>
        <w:rPr>
          <w:rFonts w:hint="eastAsia"/>
          <w:color w:val="000000"/>
          <w:kern w:val="0"/>
          <w:sz w:val="26"/>
          <w:szCs w:val="28"/>
        </w:rPr>
        <w:t>业及</w:t>
      </w:r>
      <w:r>
        <w:rPr>
          <w:rFonts w:hint="eastAsia"/>
          <w:color w:val="000000"/>
          <w:kern w:val="0"/>
          <w:sz w:val="26"/>
          <w:szCs w:val="28"/>
          <w:lang w:eastAsia="zh-CN"/>
        </w:rPr>
        <w:t>标准化香菇示范基地</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产品发展前景十分可观。市场需求十分旺盛。随着国内外消费需求的进一步增加，必将带动</w:t>
      </w:r>
      <w:r>
        <w:rPr>
          <w:rFonts w:hint="eastAsia"/>
          <w:color w:val="000000"/>
          <w:kern w:val="0"/>
          <w:sz w:val="26"/>
          <w:szCs w:val="28"/>
          <w:lang w:eastAsia="zh-CN"/>
        </w:rPr>
        <w:t>标准化香菇示范基地</w:t>
      </w:r>
      <w:r>
        <w:rPr>
          <w:rFonts w:hint="eastAsia"/>
          <w:color w:val="000000"/>
          <w:kern w:val="0"/>
          <w:sz w:val="26"/>
          <w:szCs w:val="28"/>
        </w:rPr>
        <w:t>市场需求的进一步拉大。因此，项目正是适应市场需求而产生的，产品市场需求潜力较大，前景可观。</w:t>
      </w:r>
    </w:p>
    <w:p>
      <w:pPr>
        <w:spacing w:after="156" w:afterLines="50" w:line="520" w:lineRule="exact"/>
        <w:ind w:firstLine="520" w:firstLineChars="200"/>
        <w:rPr>
          <w:color w:val="000000"/>
          <w:kern w:val="0"/>
          <w:sz w:val="26"/>
          <w:szCs w:val="28"/>
        </w:rPr>
        <w:sectPr>
          <w:headerReference w:type="default" r:id="rId76"/>
          <w:footerReference w:type="default" r:id="rId77"/>
          <w:headerReference w:type="first" r:id="rId78"/>
          <w:footerReference w:type="first" r:id="rId79"/>
          <w:type w:val="nextPage"/>
          <w:pgSz w:w="11906" w:h="16838"/>
          <w:pgMar w:top="1440" w:right="1800" w:bottom="1440" w:left="1800" w:header="851" w:footer="992" w:gutter="0"/>
          <w:pgNumType w:fmt="decimal" w:start="11"/>
          <w:cols w:space="708"/>
          <w:titlePg w:val="0"/>
          <w:docGrid w:type="lines" w:linePitch="312" w:charSpace="0"/>
        </w:sectPr>
      </w:pPr>
      <w:bookmarkEnd w:id="24"/>
      <w:bookmarkEnd w:id="25"/>
    </w:p>
    <w:p>
      <w:pPr>
        <w:pStyle w:val="PlainText"/>
        <w:pageBreakBefore/>
        <w:numPr>
          <w:ilvl w:val="0"/>
          <w:numId w:val="0"/>
        </w:numPr>
        <w:spacing w:before="100" w:beforeAutospacing="1" w:after="100" w:afterAutospacing="1" w:line="360" w:lineRule="exact"/>
        <w:jc w:val="center"/>
        <w:outlineLvl w:val="0"/>
        <w:rPr>
          <w:rFonts w:hAnsi="宋体" w:hint="eastAsia"/>
          <w:b/>
          <w:bCs/>
          <w:color w:val="000000"/>
          <w:sz w:val="30"/>
          <w:szCs w:val="30"/>
        </w:rPr>
      </w:pPr>
      <w:bookmarkStart w:id="37" w:name="_Toc22792"/>
      <w:r>
        <w:rPr>
          <w:rFonts w:hAnsi="宋体" w:hint="eastAsia"/>
          <w:b/>
          <w:bCs/>
          <w:color w:val="000000"/>
          <w:sz w:val="30"/>
          <w:szCs w:val="30"/>
          <w:lang w:eastAsia="zh-CN"/>
        </w:rPr>
        <w:t>第三章</w:t>
      </w:r>
      <w:r>
        <w:rPr>
          <w:rFonts w:hAnsi="宋体" w:hint="eastAsia"/>
          <w:b/>
          <w:bCs/>
          <w:color w:val="000000"/>
          <w:sz w:val="30"/>
          <w:szCs w:val="30"/>
          <w:lang w:val="en-US" w:eastAsia="zh-CN"/>
        </w:rPr>
        <w:t xml:space="preserve"> </w:t>
      </w:r>
      <w:r>
        <w:rPr>
          <w:rFonts w:hAnsi="宋体" w:hint="eastAsia"/>
          <w:b/>
          <w:bCs/>
          <w:color w:val="000000"/>
          <w:sz w:val="30"/>
          <w:szCs w:val="30"/>
        </w:rPr>
        <w:t>项目建设的背景和必要性</w:t>
      </w:r>
      <w:bookmarkEnd w:id="26"/>
      <w:bookmarkEnd w:id="37"/>
    </w:p>
    <w:p>
      <w:pPr>
        <w:spacing w:after="156" w:afterLines="50" w:line="520" w:lineRule="exact"/>
        <w:ind w:firstLine="520" w:firstLineChars="200"/>
        <w:rPr>
          <w:rFonts w:hint="eastAsia"/>
          <w:color w:val="0000FF"/>
          <w:kern w:val="0"/>
          <w:sz w:val="26"/>
          <w:szCs w:val="28"/>
        </w:rPr>
      </w:pPr>
      <w:r>
        <w:rPr>
          <w:rFonts w:hint="eastAsia"/>
          <w:color w:val="0000FF"/>
          <w:kern w:val="0"/>
          <w:sz w:val="26"/>
          <w:szCs w:val="28"/>
        </w:rPr>
        <w:t>这一部分主要应说明项目的发起过程、提出的理由、前期工作的发展过程、投资者的意向、投资的必要性等可行性研究的工作基础。为此，需将项目的提出背景与发展概况作系统地叙述。说明项目提出的背景、投资理由、在可行性研究前已经进行的工作情况及其成果、重要问题的决策和决策过程等情况。在叙述项目发展概况的同时，应能清楚地提示出本项目可行性研究的重点和问题。</w:t>
      </w:r>
    </w:p>
    <w:p>
      <w:pPr>
        <w:pStyle w:val="Heading2"/>
        <w:spacing w:before="156" w:beforeLines="50" w:after="156" w:afterLines="50" w:line="360" w:lineRule="auto"/>
        <w:rPr>
          <w:rFonts w:ascii="Times New Roman" w:eastAsia="宋体" w:hAnsi="Times New Roman" w:hint="eastAsia"/>
          <w:color w:val="000000"/>
          <w:sz w:val="26"/>
          <w:szCs w:val="28"/>
        </w:rPr>
      </w:pPr>
    </w:p>
    <w:p>
      <w:pPr>
        <w:pStyle w:val="Heading2"/>
        <w:spacing w:before="156" w:beforeLines="50" w:after="156" w:afterLines="50" w:line="360" w:lineRule="auto"/>
        <w:rPr>
          <w:rFonts w:ascii="Times New Roman" w:eastAsia="宋体" w:hAnsi="Times New Roman" w:hint="eastAsia"/>
          <w:color w:val="000000"/>
          <w:sz w:val="26"/>
          <w:szCs w:val="28"/>
        </w:rPr>
      </w:pPr>
      <w:bookmarkStart w:id="38" w:name="_Toc11698"/>
      <w:r>
        <w:rPr>
          <w:rFonts w:ascii="Times New Roman" w:eastAsia="宋体" w:hAnsi="Times New Roman" w:hint="eastAsia"/>
          <w:color w:val="000000"/>
          <w:sz w:val="26"/>
          <w:szCs w:val="28"/>
          <w:lang w:val="en-US" w:eastAsia="zh-CN"/>
        </w:rPr>
        <w:t>3</w:t>
      </w:r>
      <w:r>
        <w:rPr>
          <w:rFonts w:ascii="Times New Roman" w:eastAsia="宋体" w:hAnsi="Times New Roman" w:hint="eastAsia"/>
          <w:color w:val="000000"/>
          <w:sz w:val="26"/>
          <w:szCs w:val="28"/>
        </w:rPr>
        <w:t>.1项目提出背景</w:t>
      </w:r>
      <w:bookmarkEnd w:id="38"/>
    </w:p>
    <w:p>
      <w:pPr>
        <w:pStyle w:val="NormalIndent"/>
        <w:ind w:firstLine="480"/>
        <w:rPr>
          <w:rFonts w:hint="eastAsia"/>
          <w:color w:val="0000FF"/>
          <w:sz w:val="24"/>
        </w:rPr>
      </w:pPr>
      <w:r>
        <w:rPr>
          <w:rFonts w:hint="eastAsia"/>
          <w:color w:val="0000FF"/>
          <w:kern w:val="0"/>
          <w:sz w:val="26"/>
          <w:szCs w:val="28"/>
        </w:rPr>
        <w:t xml:space="preserve"> </w:t>
      </w:r>
      <w:r>
        <w:rPr>
          <w:rFonts w:hint="eastAsia"/>
          <w:color w:val="0000FF"/>
          <w:sz w:val="24"/>
        </w:rPr>
        <w:t>说明国家有关的产业政策、技术政策、分析项目是否符合这些宏观经济要求。</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w:t>
      </w:r>
      <w:r>
        <w:rPr>
          <w:rFonts w:hint="eastAsia"/>
          <w:color w:val="000000"/>
          <w:kern w:val="0"/>
          <w:sz w:val="26"/>
          <w:szCs w:val="28"/>
        </w:rPr>
        <w:t>十</w:t>
      </w:r>
      <w:r>
        <w:rPr>
          <w:color w:val="000000"/>
          <w:kern w:val="0"/>
          <w:sz w:val="26"/>
          <w:szCs w:val="28"/>
        </w:rPr>
        <w:t>三五</w:t>
      </w:r>
      <w:r>
        <w:rPr>
          <w:rFonts w:hint="eastAsia"/>
          <w:color w:val="000000"/>
          <w:kern w:val="0"/>
          <w:sz w:val="26"/>
          <w:szCs w:val="28"/>
        </w:rPr>
        <w:t>”</w:t>
      </w:r>
      <w:r>
        <w:rPr>
          <w:rFonts w:hint="eastAsia"/>
          <w:color w:val="000000"/>
          <w:kern w:val="0"/>
          <w:sz w:val="26"/>
          <w:szCs w:val="28"/>
        </w:rPr>
        <w:t>期间</w:t>
      </w:r>
      <w:r>
        <w:rPr>
          <w:color w:val="000000"/>
          <w:kern w:val="0"/>
          <w:sz w:val="26"/>
          <w:szCs w:val="28"/>
        </w:rPr>
        <w:t>，面对复杂的内外部环境，</w:t>
      </w:r>
      <w:r>
        <w:rPr>
          <w:rFonts w:hint="eastAsia"/>
          <w:color w:val="000000"/>
          <w:kern w:val="0"/>
          <w:sz w:val="26"/>
          <w:szCs w:val="28"/>
          <w:lang w:eastAsia="zh-CN"/>
        </w:rPr>
        <w:t>标准化香菇示范基地</w:t>
      </w:r>
      <w:r>
        <w:rPr>
          <w:color w:val="000000"/>
          <w:kern w:val="0"/>
          <w:sz w:val="26"/>
          <w:szCs w:val="28"/>
        </w:rPr>
        <w:t>行业着力推进转型升级，依靠技术创新、管理提升和产品升级，全行业经济运行总体平稳，规模以上企业主要运行指标保持增长</w:t>
      </w:r>
      <w:r>
        <w:rPr>
          <w:rFonts w:hint="eastAsia"/>
          <w:color w:val="000000"/>
          <w:kern w:val="0"/>
          <w:sz w:val="26"/>
          <w:szCs w:val="28"/>
        </w:rPr>
        <w:t>。</w:t>
      </w:r>
      <w:r>
        <w:rPr>
          <w:color w:val="000000"/>
          <w:kern w:val="0"/>
          <w:sz w:val="26"/>
          <w:szCs w:val="28"/>
        </w:rPr>
        <w:t>为应对国内外</w:t>
      </w:r>
      <w:r>
        <w:rPr>
          <w:rFonts w:hint="eastAsia"/>
          <w:color w:val="000000"/>
          <w:kern w:val="0"/>
          <w:sz w:val="26"/>
          <w:szCs w:val="28"/>
          <w:lang w:eastAsia="zh-CN"/>
        </w:rPr>
        <w:t>标准化香菇示范基地</w:t>
      </w:r>
      <w:r>
        <w:rPr>
          <w:color w:val="000000"/>
          <w:kern w:val="0"/>
          <w:sz w:val="26"/>
          <w:szCs w:val="28"/>
        </w:rPr>
        <w:t>市场的变化，政府大力推动并加快</w:t>
      </w:r>
      <w:r>
        <w:rPr>
          <w:rFonts w:hint="eastAsia"/>
          <w:color w:val="000000"/>
          <w:kern w:val="0"/>
          <w:sz w:val="26"/>
          <w:szCs w:val="28"/>
          <w:lang w:eastAsia="zh-CN"/>
        </w:rPr>
        <w:t>标准化香菇示范基地</w:t>
      </w:r>
      <w:r>
        <w:rPr>
          <w:color w:val="000000"/>
          <w:kern w:val="0"/>
          <w:sz w:val="26"/>
          <w:szCs w:val="28"/>
        </w:rPr>
        <w:t>工业转型升级，</w:t>
      </w:r>
      <w:r>
        <w:rPr>
          <w:rFonts w:hint="eastAsia"/>
          <w:color w:val="000000"/>
          <w:kern w:val="0"/>
          <w:sz w:val="26"/>
          <w:szCs w:val="28"/>
          <w:lang w:eastAsia="zh-CN"/>
        </w:rPr>
        <w:t>标准化香菇示范基地</w:t>
      </w:r>
      <w:r>
        <w:rPr>
          <w:color w:val="000000"/>
          <w:kern w:val="0"/>
          <w:sz w:val="26"/>
          <w:szCs w:val="28"/>
        </w:rPr>
        <w:t>产业产品结构逐步由低端产品向中高端产品转移</w:t>
      </w:r>
      <w:r>
        <w:rPr>
          <w:rFonts w:hint="eastAsia"/>
          <w:color w:val="000000"/>
          <w:kern w:val="0"/>
          <w:sz w:val="26"/>
          <w:szCs w:val="28"/>
        </w:rPr>
        <w:t>，目前</w:t>
      </w:r>
      <w:r>
        <w:rPr>
          <w:color w:val="000000"/>
          <w:kern w:val="0"/>
          <w:sz w:val="26"/>
          <w:szCs w:val="28"/>
        </w:rPr>
        <w:t>高端市场需求激增，</w:t>
      </w:r>
      <w:r>
        <w:rPr>
          <w:rFonts w:hint="eastAsia"/>
          <w:color w:val="000000"/>
          <w:kern w:val="0"/>
          <w:sz w:val="26"/>
          <w:szCs w:val="28"/>
          <w:lang w:eastAsia="zh-CN"/>
        </w:rPr>
        <w:t>标准化香菇示范基地</w:t>
      </w:r>
      <w:r>
        <w:rPr>
          <w:rFonts w:hint="eastAsia"/>
          <w:color w:val="000000"/>
          <w:kern w:val="0"/>
          <w:sz w:val="26"/>
          <w:szCs w:val="28"/>
        </w:rPr>
        <w:t>市场需求上升</w:t>
      </w:r>
      <w:r>
        <w:rPr>
          <w:color w:val="000000"/>
          <w:kern w:val="0"/>
          <w:sz w:val="26"/>
          <w:szCs w:val="28"/>
        </w:rPr>
        <w:t>，供不应求</w:t>
      </w:r>
      <w:r>
        <w:rPr>
          <w:rFonts w:hint="eastAsia"/>
          <w:color w:val="000000"/>
          <w:kern w:val="0"/>
          <w:sz w:val="26"/>
          <w:szCs w:val="28"/>
        </w:rPr>
        <w:t>。</w:t>
      </w:r>
    </w:p>
    <w:p>
      <w:pPr>
        <w:spacing w:after="156" w:afterLines="50" w:line="520" w:lineRule="exact"/>
        <w:ind w:firstLine="520" w:firstLineChars="200"/>
        <w:rPr>
          <w:rFonts w:hint="eastAsia"/>
          <w:color w:val="000000"/>
          <w:kern w:val="0"/>
          <w:sz w:val="26"/>
          <w:szCs w:val="28"/>
        </w:rPr>
        <w:sectPr>
          <w:headerReference w:type="default" r:id="rId80"/>
          <w:footerReference w:type="default" r:id="rId81"/>
          <w:headerReference w:type="first" r:id="rId82"/>
          <w:footerReference w:type="first" r:id="rId83"/>
          <w:pgSz w:w="11906" w:h="16838"/>
          <w:pgMar w:top="1440" w:right="1800" w:bottom="1440" w:left="1800" w:header="851" w:footer="992" w:gutter="0"/>
          <w:pgNumType w:fmt="decimal" w:start="12"/>
          <w:cols w:space="708"/>
          <w:docGrid w:type="lines" w:linePitch="312"/>
        </w:sectPr>
      </w:pPr>
      <w:r>
        <w:rPr>
          <w:rFonts w:hint="eastAsia"/>
          <w:color w:val="000000"/>
          <w:kern w:val="0"/>
          <w:sz w:val="26"/>
          <w:szCs w:val="28"/>
        </w:rPr>
        <w:t>项目方结合我国</w:t>
      </w:r>
      <w:r>
        <w:rPr>
          <w:rFonts w:hint="eastAsia"/>
          <w:color w:val="000000"/>
          <w:kern w:val="0"/>
          <w:sz w:val="26"/>
          <w:szCs w:val="28"/>
          <w:lang w:eastAsia="zh-CN"/>
        </w:rPr>
        <w:t>标准化香菇示范基地</w:t>
      </w:r>
      <w:r>
        <w:rPr>
          <w:rFonts w:hint="eastAsia"/>
          <w:color w:val="000000"/>
          <w:kern w:val="0"/>
          <w:sz w:val="26"/>
          <w:szCs w:val="28"/>
        </w:rPr>
        <w:t>行业发展较好的行业背景、</w:t>
      </w:r>
      <w:r>
        <w:rPr>
          <w:rFonts w:hint="eastAsia"/>
          <w:color w:val="000000"/>
          <w:kern w:val="0"/>
          <w:sz w:val="26"/>
          <w:szCs w:val="28"/>
          <w:lang w:eastAsia="zh-CN"/>
        </w:rPr>
        <w:t>标准化香菇示范基地</w:t>
      </w:r>
      <w:r>
        <w:rPr>
          <w:rFonts w:hint="eastAsia"/>
          <w:color w:val="000000"/>
          <w:kern w:val="0"/>
          <w:sz w:val="26"/>
          <w:szCs w:val="28"/>
        </w:rPr>
        <w:t>等相关产品市场需求日益旺盛以及当前项目公司及项目实施地具备多方资源优势的情况下，提出的</w:t>
      </w:r>
      <w:r>
        <w:rPr>
          <w:rFonts w:hint="eastAsia"/>
          <w:color w:val="000000"/>
          <w:kern w:val="0"/>
          <w:sz w:val="26"/>
          <w:szCs w:val="28"/>
        </w:rPr>
        <w:t>“</w:t>
      </w:r>
      <w:r>
        <w:rPr>
          <w:rFonts w:hint="eastAsia"/>
          <w:color w:val="000000"/>
          <w:kern w:val="0"/>
          <w:sz w:val="26"/>
          <w:szCs w:val="28"/>
          <w:lang w:eastAsia="zh-CN"/>
        </w:rPr>
        <w:t>标准化香菇示范基地</w:t>
      </w:r>
      <w:r>
        <w:rPr>
          <w:rFonts w:hint="eastAsia"/>
          <w:color w:val="000000"/>
          <w:kern w:val="0"/>
          <w:sz w:val="26"/>
          <w:szCs w:val="28"/>
        </w:rPr>
        <w:t>项目</w:t>
      </w:r>
      <w:r>
        <w:rPr>
          <w:rFonts w:hint="eastAsia"/>
          <w:color w:val="000000"/>
          <w:kern w:val="0"/>
          <w:sz w:val="26"/>
          <w:szCs w:val="28"/>
        </w:rPr>
        <w:t>”</w:t>
      </w:r>
      <w:r>
        <w:rPr>
          <w:rFonts w:hint="eastAsia"/>
          <w:color w:val="000000"/>
          <w:kern w:val="0"/>
          <w:sz w:val="26"/>
          <w:szCs w:val="28"/>
        </w:rPr>
        <w:t>。项目企业将充分利用建设地资源、能源、人力成本优势以及产业基础优势，将该项目打造成当地颇具规模的</w:t>
      </w:r>
      <w:r>
        <w:rPr>
          <w:rFonts w:hint="eastAsia"/>
          <w:color w:val="000000"/>
          <w:kern w:val="0"/>
          <w:sz w:val="26"/>
          <w:szCs w:val="28"/>
          <w:lang w:eastAsia="zh-CN"/>
        </w:rPr>
        <w:t>标准化香菇示范基地</w:t>
      </w:r>
      <w:r>
        <w:rPr>
          <w:rFonts w:hint="eastAsia"/>
          <w:color w:val="000000"/>
          <w:kern w:val="0"/>
          <w:sz w:val="26"/>
          <w:szCs w:val="28"/>
        </w:rPr>
        <w:t>开发生产基地。本次项目的建设对于加快</w:t>
      </w:r>
      <w:r>
        <w:rPr>
          <w:rFonts w:hint="eastAsia"/>
          <w:color w:val="000000"/>
          <w:kern w:val="0"/>
          <w:sz w:val="26"/>
          <w:szCs w:val="28"/>
          <w:lang w:eastAsia="zh-CN"/>
        </w:rPr>
        <w:t>武汉市标准化香菇示范基地</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行业结构优化升级，大力推进新型工业化发展进程，带动当地国民经济可持续发展具有积极的意义。</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该项目建设具备良好的市场发展空间，项目产品具有广泛的应用价值，具有良好的应用前景，其推广应用将产生巨大的社会效益和经济效益。项目采用的技术成熟，环境零影响，运行费用少，抗风险能力强，符合国家的产业政策和环境保护政策，具有明显的投资优势和非常广阔的市场前景。因此，本次项目的提出恰合时宜且意义重大，项目建设具备一定的市场发展空间，项目实施将为项目方带来较为可观的经济效益与社会效益。</w:t>
      </w:r>
    </w:p>
    <w:p>
      <w:pPr>
        <w:pStyle w:val="Heading2"/>
        <w:spacing w:before="156" w:beforeLines="50" w:after="156" w:afterLines="50" w:line="360" w:lineRule="auto"/>
        <w:rPr>
          <w:rFonts w:ascii="Times New Roman" w:eastAsia="宋体" w:hAnsi="Times New Roman" w:hint="eastAsia"/>
          <w:color w:val="000000"/>
          <w:sz w:val="26"/>
          <w:szCs w:val="28"/>
        </w:rPr>
      </w:pPr>
      <w:bookmarkStart w:id="39" w:name="_Toc240339966"/>
      <w:bookmarkStart w:id="40" w:name="_Toc240341599"/>
      <w:bookmarkStart w:id="41" w:name="_Toc240339580"/>
      <w:bookmarkStart w:id="42" w:name="_Toc240339729"/>
      <w:bookmarkStart w:id="43" w:name="_Toc8931"/>
      <w:r>
        <w:rPr>
          <w:rFonts w:ascii="Times New Roman" w:eastAsia="宋体" w:hAnsi="Times New Roman" w:hint="eastAsia"/>
          <w:color w:val="000000"/>
          <w:sz w:val="26"/>
          <w:szCs w:val="28"/>
          <w:lang w:val="en-US" w:eastAsia="zh-CN"/>
        </w:rPr>
        <w:t>3</w:t>
      </w:r>
      <w:r>
        <w:rPr>
          <w:rFonts w:ascii="Times New Roman" w:eastAsia="宋体" w:hAnsi="Times New Roman" w:hint="eastAsia"/>
          <w:color w:val="000000"/>
          <w:sz w:val="26"/>
          <w:szCs w:val="28"/>
        </w:rPr>
        <w:t>.2项目</w:t>
      </w:r>
      <w:bookmarkEnd w:id="39"/>
      <w:bookmarkEnd w:id="40"/>
      <w:bookmarkEnd w:id="41"/>
      <w:bookmarkEnd w:id="42"/>
      <w:r>
        <w:rPr>
          <w:rFonts w:ascii="Times New Roman" w:eastAsia="宋体" w:hAnsi="Times New Roman" w:hint="eastAsia"/>
          <w:color w:val="000000"/>
          <w:sz w:val="26"/>
          <w:szCs w:val="28"/>
        </w:rPr>
        <w:t>建设必要性分析</w:t>
      </w:r>
      <w:bookmarkEnd w:id="43"/>
    </w:p>
    <w:p>
      <w:pPr>
        <w:spacing w:after="156" w:afterLines="50" w:line="520" w:lineRule="exact"/>
        <w:ind w:firstLine="520" w:firstLineChars="200"/>
        <w:rPr>
          <w:rFonts w:hint="eastAsia"/>
          <w:color w:val="0000FF"/>
          <w:kern w:val="0"/>
          <w:sz w:val="26"/>
          <w:szCs w:val="28"/>
        </w:rPr>
      </w:pPr>
      <w:r>
        <w:rPr>
          <w:rFonts w:hint="eastAsia"/>
          <w:color w:val="0000FF"/>
          <w:kern w:val="0"/>
          <w:sz w:val="26"/>
          <w:szCs w:val="28"/>
        </w:rPr>
        <w:t>一般从企业本身所获得的经济效益及项目对宏观经济、对社会发展所产生的影响两方面来说明投资的必要性。包括下面这些内容。</w:t>
      </w:r>
    </w:p>
    <w:p>
      <w:pPr>
        <w:spacing w:after="156" w:afterLines="50" w:line="520" w:lineRule="exact"/>
        <w:ind w:firstLine="520" w:firstLineChars="200"/>
        <w:rPr>
          <w:rFonts w:hint="eastAsia"/>
          <w:color w:val="0000FF"/>
          <w:kern w:val="0"/>
          <w:sz w:val="26"/>
          <w:szCs w:val="28"/>
        </w:rPr>
      </w:pPr>
      <w:r>
        <w:rPr>
          <w:rFonts w:hint="eastAsia"/>
          <w:color w:val="0000FF"/>
          <w:kern w:val="0"/>
          <w:sz w:val="26"/>
          <w:szCs w:val="28"/>
        </w:rPr>
        <w:t>企业获得的利润情况。</w:t>
      </w:r>
    </w:p>
    <w:p>
      <w:pPr>
        <w:spacing w:after="156" w:afterLines="50" w:line="520" w:lineRule="exact"/>
        <w:ind w:firstLine="520" w:firstLineChars="200"/>
        <w:rPr>
          <w:rFonts w:hint="eastAsia"/>
          <w:color w:val="0000FF"/>
          <w:kern w:val="0"/>
          <w:sz w:val="26"/>
          <w:szCs w:val="28"/>
        </w:rPr>
      </w:pPr>
      <w:r>
        <w:rPr>
          <w:rFonts w:hint="eastAsia"/>
          <w:color w:val="0000FF"/>
          <w:kern w:val="0"/>
          <w:sz w:val="26"/>
          <w:szCs w:val="28"/>
        </w:rPr>
        <w:t>企业可以提高产品质量，加强市场竞争力。</w:t>
      </w:r>
    </w:p>
    <w:p>
      <w:pPr>
        <w:spacing w:after="156" w:afterLines="50" w:line="520" w:lineRule="exact"/>
        <w:ind w:firstLine="520" w:firstLineChars="200"/>
        <w:rPr>
          <w:rFonts w:hint="eastAsia"/>
          <w:color w:val="0000FF"/>
          <w:kern w:val="0"/>
          <w:sz w:val="26"/>
          <w:szCs w:val="28"/>
        </w:rPr>
      </w:pPr>
      <w:r>
        <w:rPr>
          <w:rFonts w:hint="eastAsia"/>
          <w:color w:val="0000FF"/>
          <w:kern w:val="0"/>
          <w:sz w:val="26"/>
          <w:szCs w:val="28"/>
        </w:rPr>
        <w:t>扩大生产能力，改变产品结构。</w:t>
      </w:r>
    </w:p>
    <w:p>
      <w:pPr>
        <w:spacing w:after="156" w:afterLines="50" w:line="520" w:lineRule="exact"/>
        <w:ind w:firstLine="520" w:firstLineChars="200"/>
        <w:rPr>
          <w:rFonts w:hint="eastAsia"/>
          <w:color w:val="0000FF"/>
          <w:kern w:val="0"/>
          <w:sz w:val="26"/>
          <w:szCs w:val="28"/>
        </w:rPr>
      </w:pPr>
      <w:r>
        <w:rPr>
          <w:rFonts w:hint="eastAsia"/>
          <w:color w:val="0000FF"/>
          <w:kern w:val="0"/>
          <w:sz w:val="26"/>
          <w:szCs w:val="28"/>
        </w:rPr>
        <w:t>采用新工艺，节约能源，减少环境污染，提高劳动生产率。</w:t>
      </w:r>
    </w:p>
    <w:p>
      <w:pPr>
        <w:spacing w:after="156" w:afterLines="50" w:line="520" w:lineRule="exact"/>
        <w:ind w:firstLine="520" w:firstLineChars="200"/>
        <w:rPr>
          <w:rFonts w:hint="eastAsia"/>
          <w:color w:val="0000FF"/>
          <w:kern w:val="0"/>
          <w:sz w:val="26"/>
          <w:szCs w:val="28"/>
        </w:rPr>
      </w:pPr>
      <w:r>
        <w:rPr>
          <w:rFonts w:hint="eastAsia"/>
          <w:color w:val="0000FF"/>
          <w:kern w:val="0"/>
          <w:sz w:val="26"/>
          <w:szCs w:val="28"/>
        </w:rPr>
        <w:t>产品进入国际市场的优越条件和竞争力。</w:t>
      </w:r>
    </w:p>
    <w:p>
      <w:pPr>
        <w:spacing w:after="156" w:afterLines="50" w:line="520" w:lineRule="exact"/>
        <w:ind w:firstLine="520" w:firstLineChars="200"/>
        <w:rPr>
          <w:rFonts w:hint="eastAsia"/>
          <w:color w:val="0000FF"/>
          <w:kern w:val="0"/>
          <w:sz w:val="26"/>
          <w:szCs w:val="28"/>
        </w:rPr>
      </w:pPr>
      <w:r>
        <w:rPr>
          <w:rFonts w:hint="eastAsia"/>
          <w:color w:val="0000FF"/>
          <w:kern w:val="0"/>
          <w:sz w:val="26"/>
          <w:szCs w:val="28"/>
        </w:rPr>
        <w:t>对当地经济、社会发展的积极影响。包括增加税收、提高就业率、提高科技水平等。</w:t>
      </w:r>
    </w:p>
    <w:p>
      <w:pPr>
        <w:pStyle w:val="Heading3"/>
        <w:rPr>
          <w:rFonts w:hint="eastAsia"/>
          <w:color w:val="000000"/>
          <w:sz w:val="24"/>
          <w:szCs w:val="24"/>
        </w:rPr>
      </w:pPr>
    </w:p>
    <w:p>
      <w:pPr>
        <w:pStyle w:val="Heading3"/>
        <w:rPr>
          <w:rFonts w:hint="eastAsia"/>
          <w:color w:val="000000"/>
          <w:sz w:val="24"/>
          <w:szCs w:val="24"/>
        </w:rPr>
      </w:pPr>
      <w:bookmarkStart w:id="44" w:name="_Toc14003"/>
      <w:r>
        <w:rPr>
          <w:rFonts w:hint="eastAsia"/>
          <w:color w:val="000000"/>
          <w:sz w:val="24"/>
          <w:szCs w:val="24"/>
          <w:lang w:val="en-US" w:eastAsia="zh-CN"/>
        </w:rPr>
        <w:t>3</w:t>
      </w:r>
      <w:r>
        <w:rPr>
          <w:rFonts w:hint="eastAsia"/>
          <w:color w:val="000000"/>
          <w:sz w:val="24"/>
          <w:szCs w:val="24"/>
        </w:rPr>
        <w:t>.2.1有利于促进我国</w:t>
      </w:r>
      <w:r>
        <w:rPr>
          <w:rFonts w:hint="eastAsia"/>
          <w:color w:val="000000"/>
          <w:sz w:val="24"/>
          <w:szCs w:val="24"/>
          <w:lang w:eastAsia="zh-CN"/>
        </w:rPr>
        <w:t>标准化香菇示范基地</w:t>
      </w:r>
      <w:r>
        <w:rPr>
          <w:rFonts w:hint="eastAsia"/>
          <w:color w:val="000000"/>
          <w:sz w:val="24"/>
          <w:szCs w:val="24"/>
        </w:rPr>
        <w:t>工业快速发展</w:t>
      </w:r>
      <w:r>
        <w:rPr>
          <w:color w:val="000000"/>
          <w:sz w:val="24"/>
          <w:szCs w:val="24"/>
        </w:rPr>
        <w:t>的需要</w:t>
      </w:r>
      <w:bookmarkEnd w:id="44"/>
    </w:p>
    <w:p>
      <w:pPr>
        <w:spacing w:after="156" w:afterLines="50" w:line="520" w:lineRule="exact"/>
        <w:ind w:firstLine="520" w:firstLineChars="200"/>
        <w:rPr>
          <w:rFonts w:hint="eastAsia"/>
          <w:color w:val="000000"/>
          <w:kern w:val="0"/>
          <w:sz w:val="26"/>
          <w:szCs w:val="28"/>
        </w:rPr>
        <w:sectPr>
          <w:headerReference w:type="default" r:id="rId84"/>
          <w:footerReference w:type="default" r:id="rId85"/>
          <w:headerReference w:type="first" r:id="rId86"/>
          <w:footerReference w:type="first" r:id="rId87"/>
          <w:type w:val="nextPage"/>
          <w:pgSz w:w="11906" w:h="16838"/>
          <w:pgMar w:top="1440" w:right="1800" w:bottom="1440" w:left="1800" w:header="851" w:footer="992" w:gutter="0"/>
          <w:pgNumType w:fmt="decimal" w:start="13"/>
          <w:cols w:space="708"/>
          <w:titlePg w:val="0"/>
          <w:docGrid w:type="lines" w:linePitch="312"/>
        </w:sectPr>
      </w:pPr>
      <w:r>
        <w:rPr>
          <w:rFonts w:hint="eastAsia"/>
          <w:color w:val="000000"/>
          <w:kern w:val="0"/>
          <w:sz w:val="26"/>
          <w:szCs w:val="28"/>
          <w:lang w:eastAsia="zh-CN"/>
        </w:rPr>
        <w:t>标准化香菇示范基地</w:t>
      </w:r>
    </w:p>
    <w:p>
      <w:pPr>
        <w:spacing w:after="156" w:afterLines="50" w:line="520" w:lineRule="exact"/>
        <w:ind w:firstLine="520" w:firstLineChars="200"/>
        <w:rPr>
          <w:rFonts w:hint="eastAsia"/>
          <w:color w:val="000000"/>
          <w:kern w:val="0"/>
          <w:sz w:val="26"/>
          <w:szCs w:val="28"/>
        </w:rPr>
      </w:pPr>
      <w:r>
        <w:rPr>
          <w:color w:val="000000"/>
          <w:kern w:val="0"/>
          <w:sz w:val="26"/>
          <w:szCs w:val="28"/>
        </w:rPr>
        <w:t>工业是我国传统支柱产业、重要民生产业和创造国际化新优势的产业，是科技和时尚融合、生活消费与产业用并举的产业，在美化人民生活、增强文化自信、建设生态文明、带动相关产业发展、拉动内需增长、促进社会和谐等方面发挥着重要作用。从国内经济环境看，国内需求将成为行业增长的重要驱动力。随着国内经济的持续快速增长，居民收入的稳定提升，将拉动内需市场的进一步发展。</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随着现代</w:t>
      </w:r>
      <w:r>
        <w:rPr>
          <w:rFonts w:hint="eastAsia"/>
          <w:color w:val="000000"/>
          <w:kern w:val="0"/>
          <w:sz w:val="26"/>
          <w:szCs w:val="28"/>
          <w:lang w:eastAsia="zh-CN"/>
        </w:rPr>
        <w:t>标准化香菇示范基地</w:t>
      </w:r>
      <w:r>
        <w:rPr>
          <w:rFonts w:hint="eastAsia"/>
          <w:color w:val="000000"/>
          <w:kern w:val="0"/>
          <w:sz w:val="26"/>
          <w:szCs w:val="28"/>
        </w:rPr>
        <w:t>工业的快速发展，自动化、连续化和高效化已成为现代</w:t>
      </w:r>
      <w:r>
        <w:rPr>
          <w:rFonts w:hint="eastAsia"/>
          <w:color w:val="000000"/>
          <w:kern w:val="0"/>
          <w:sz w:val="26"/>
          <w:szCs w:val="28"/>
          <w:lang w:eastAsia="zh-CN"/>
        </w:rPr>
        <w:t>标准化香菇示范基地</w:t>
      </w:r>
      <w:r>
        <w:rPr>
          <w:rFonts w:hint="eastAsia"/>
          <w:color w:val="000000"/>
          <w:kern w:val="0"/>
          <w:sz w:val="26"/>
          <w:szCs w:val="28"/>
        </w:rPr>
        <w:t>业生产的主要方向，以减少中国</w:t>
      </w:r>
      <w:r>
        <w:rPr>
          <w:rFonts w:hint="eastAsia"/>
          <w:color w:val="000000"/>
          <w:kern w:val="0"/>
          <w:sz w:val="26"/>
          <w:szCs w:val="28"/>
          <w:lang w:eastAsia="zh-CN"/>
        </w:rPr>
        <w:t>标准化香菇示范基地</w:t>
      </w:r>
      <w:r>
        <w:rPr>
          <w:rFonts w:hint="eastAsia"/>
          <w:color w:val="000000"/>
          <w:kern w:val="0"/>
          <w:sz w:val="26"/>
          <w:szCs w:val="28"/>
        </w:rPr>
        <w:t>品生产设备和技术与国际先进水平的差距。从而加大力度引进先进的</w:t>
      </w:r>
      <w:r>
        <w:rPr>
          <w:rFonts w:hint="eastAsia"/>
          <w:color w:val="000000"/>
          <w:kern w:val="0"/>
          <w:sz w:val="26"/>
          <w:szCs w:val="28"/>
          <w:lang w:eastAsia="zh-CN"/>
        </w:rPr>
        <w:t>标准化香菇示范基地</w:t>
      </w:r>
      <w:r>
        <w:rPr>
          <w:rFonts w:hint="eastAsia"/>
          <w:color w:val="000000"/>
          <w:kern w:val="0"/>
          <w:sz w:val="26"/>
          <w:szCs w:val="28"/>
        </w:rPr>
        <w:t>设备和技术，注重消化与吸收，尤其要注重创新能力的提高，使</w:t>
      </w:r>
      <w:r>
        <w:rPr>
          <w:rFonts w:hint="eastAsia"/>
          <w:color w:val="000000"/>
          <w:kern w:val="0"/>
          <w:sz w:val="26"/>
          <w:szCs w:val="28"/>
          <w:lang w:eastAsia="zh-CN"/>
        </w:rPr>
        <w:t>标准化香菇示范基地</w:t>
      </w:r>
      <w:r>
        <w:rPr>
          <w:rFonts w:hint="eastAsia"/>
          <w:color w:val="000000"/>
          <w:kern w:val="0"/>
          <w:sz w:val="26"/>
          <w:szCs w:val="28"/>
        </w:rPr>
        <w:t>品生产向创新之路发展。本次项目建设将大力引进国内外最先进的生产设备，建设设施完善的现代化车间，通过先进的</w:t>
      </w:r>
      <w:r>
        <w:rPr>
          <w:rFonts w:hint="eastAsia"/>
          <w:color w:val="000000"/>
          <w:kern w:val="0"/>
          <w:sz w:val="26"/>
          <w:szCs w:val="28"/>
          <w:lang w:eastAsia="zh-CN"/>
        </w:rPr>
        <w:t>标准化香菇示范基地</w:t>
      </w:r>
      <w:r>
        <w:rPr>
          <w:color w:val="000000"/>
          <w:kern w:val="0"/>
          <w:sz w:val="26"/>
          <w:szCs w:val="28"/>
        </w:rPr>
        <w:t>加工技术和装备</w:t>
      </w:r>
      <w:r>
        <w:rPr>
          <w:rFonts w:hint="eastAsia"/>
          <w:color w:val="000000"/>
          <w:kern w:val="0"/>
          <w:sz w:val="26"/>
          <w:szCs w:val="28"/>
        </w:rPr>
        <w:t>，</w:t>
      </w:r>
      <w:r>
        <w:rPr>
          <w:color w:val="000000"/>
          <w:kern w:val="0"/>
          <w:sz w:val="26"/>
          <w:szCs w:val="28"/>
        </w:rPr>
        <w:t>促进我国</w:t>
      </w:r>
      <w:r>
        <w:rPr>
          <w:rFonts w:hint="eastAsia"/>
          <w:color w:val="000000"/>
          <w:kern w:val="0"/>
          <w:sz w:val="26"/>
          <w:szCs w:val="28"/>
          <w:lang w:eastAsia="zh-CN"/>
        </w:rPr>
        <w:t>标准化香菇示范基地</w:t>
      </w:r>
      <w:r>
        <w:rPr>
          <w:rFonts w:hint="eastAsia"/>
          <w:color w:val="000000"/>
          <w:kern w:val="0"/>
          <w:sz w:val="26"/>
          <w:szCs w:val="28"/>
        </w:rPr>
        <w:t>工</w:t>
      </w:r>
      <w:r>
        <w:rPr>
          <w:color w:val="000000"/>
          <w:kern w:val="0"/>
          <w:sz w:val="26"/>
          <w:szCs w:val="28"/>
        </w:rPr>
        <w:t>业在新时期继续快速健康发展</w:t>
      </w:r>
      <w:r>
        <w:rPr>
          <w:rFonts w:hint="eastAsia"/>
          <w:color w:val="000000"/>
          <w:kern w:val="0"/>
          <w:sz w:val="26"/>
          <w:szCs w:val="28"/>
        </w:rPr>
        <w:t>，有利于将资源优势转变为经济优势，是加快我国经济繁荣发展的重要途径，因此本次项目的提出适时且必要。</w:t>
      </w:r>
    </w:p>
    <w:p>
      <w:pPr>
        <w:pStyle w:val="Heading3"/>
        <w:rPr>
          <w:rFonts w:hint="eastAsia"/>
          <w:color w:val="000000"/>
          <w:sz w:val="24"/>
          <w:szCs w:val="24"/>
        </w:rPr>
      </w:pPr>
      <w:bookmarkStart w:id="45" w:name="_Toc319069505"/>
      <w:bookmarkStart w:id="46" w:name="_Toc31302"/>
      <w:r>
        <w:rPr>
          <w:rFonts w:hint="eastAsia"/>
          <w:color w:val="000000"/>
          <w:sz w:val="24"/>
          <w:szCs w:val="24"/>
          <w:lang w:val="en-US" w:eastAsia="zh-CN"/>
        </w:rPr>
        <w:t>3</w:t>
      </w:r>
      <w:r>
        <w:rPr>
          <w:rFonts w:hint="eastAsia"/>
          <w:color w:val="000000"/>
          <w:sz w:val="24"/>
          <w:szCs w:val="24"/>
        </w:rPr>
        <w:t>.2.</w:t>
      </w:r>
      <w:bookmarkEnd w:id="45"/>
      <w:r>
        <w:rPr>
          <w:rFonts w:hint="eastAsia"/>
          <w:color w:val="000000"/>
          <w:sz w:val="24"/>
          <w:szCs w:val="24"/>
        </w:rPr>
        <w:t>2提升技术进步，满足</w:t>
      </w:r>
      <w:r>
        <w:rPr>
          <w:rFonts w:hint="eastAsia"/>
          <w:color w:val="000000"/>
          <w:sz w:val="24"/>
          <w:szCs w:val="24"/>
          <w:lang w:eastAsia="zh-CN"/>
        </w:rPr>
        <w:t>标准化香菇示范基地</w:t>
      </w:r>
      <w:r>
        <w:rPr>
          <w:rFonts w:hint="eastAsia"/>
          <w:color w:val="000000"/>
          <w:sz w:val="24"/>
          <w:szCs w:val="24"/>
        </w:rPr>
        <w:t>行业生产高品质产品的需要</w:t>
      </w:r>
      <w:bookmarkEnd w:id="46"/>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搞好</w:t>
      </w:r>
      <w:r>
        <w:rPr>
          <w:rFonts w:hint="eastAsia"/>
          <w:color w:val="000000"/>
          <w:kern w:val="0"/>
          <w:sz w:val="26"/>
          <w:szCs w:val="28"/>
          <w:lang w:eastAsia="zh-CN"/>
        </w:rPr>
        <w:t>标准化香菇示范基地</w:t>
      </w:r>
      <w:r>
        <w:rPr>
          <w:rFonts w:hint="eastAsia"/>
          <w:color w:val="000000"/>
          <w:kern w:val="0"/>
          <w:sz w:val="26"/>
          <w:szCs w:val="28"/>
        </w:rPr>
        <w:t>技术进步与产业升级对于</w:t>
      </w:r>
      <w:r>
        <w:rPr>
          <w:rFonts w:hint="eastAsia"/>
          <w:color w:val="000000"/>
          <w:kern w:val="0"/>
          <w:sz w:val="26"/>
          <w:szCs w:val="28"/>
          <w:lang w:eastAsia="zh-CN"/>
        </w:rPr>
        <w:t>标准化香菇示范基地</w:t>
      </w:r>
      <w:r>
        <w:rPr>
          <w:rFonts w:hint="eastAsia"/>
          <w:color w:val="000000"/>
          <w:kern w:val="0"/>
          <w:sz w:val="26"/>
          <w:szCs w:val="28"/>
        </w:rPr>
        <w:t>全行业发展具有重要意义。全面提升行业核心竞争力，并发挥优势要素，做大做强。</w:t>
      </w:r>
      <w:r>
        <w:rPr>
          <w:rFonts w:hint="eastAsia"/>
          <w:color w:val="000000"/>
          <w:kern w:val="0"/>
          <w:sz w:val="26"/>
          <w:szCs w:val="28"/>
          <w:lang w:eastAsia="zh-CN"/>
        </w:rPr>
        <w:t>武汉市XX有限公司</w:t>
      </w:r>
      <w:r>
        <w:rPr>
          <w:rFonts w:hint="eastAsia"/>
          <w:color w:val="000000"/>
          <w:kern w:val="0"/>
          <w:sz w:val="26"/>
          <w:szCs w:val="28"/>
        </w:rPr>
        <w:t>自成立以来一直从事</w:t>
      </w:r>
      <w:r>
        <w:rPr>
          <w:rFonts w:hint="eastAsia"/>
          <w:color w:val="000000"/>
          <w:kern w:val="0"/>
          <w:sz w:val="26"/>
          <w:szCs w:val="28"/>
          <w:lang w:eastAsia="zh-CN"/>
        </w:rPr>
        <w:t>标准化香菇示范基地标准化香菇示范基地</w:t>
      </w:r>
      <w:r>
        <w:rPr>
          <w:rFonts w:hint="eastAsia"/>
          <w:color w:val="000000"/>
          <w:kern w:val="0"/>
          <w:sz w:val="26"/>
          <w:szCs w:val="28"/>
        </w:rPr>
        <w:t>的生产，技术已相当成熟，经过多年的发展与探索，已取得很大的成绩，项目的建设不仅可以弥补我国</w:t>
      </w:r>
      <w:r>
        <w:rPr>
          <w:rFonts w:hint="eastAsia"/>
          <w:color w:val="000000"/>
          <w:kern w:val="0"/>
          <w:sz w:val="26"/>
          <w:szCs w:val="28"/>
          <w:lang w:eastAsia="zh-CN"/>
        </w:rPr>
        <w:t>标准化香菇示范基地</w:t>
      </w:r>
      <w:r>
        <w:rPr>
          <w:rFonts w:hint="eastAsia"/>
          <w:color w:val="000000"/>
          <w:kern w:val="0"/>
          <w:sz w:val="26"/>
          <w:szCs w:val="28"/>
        </w:rPr>
        <w:t>尖端技术的空白，还可有效满足</w:t>
      </w:r>
      <w:r>
        <w:rPr>
          <w:rFonts w:hint="eastAsia"/>
          <w:color w:val="000000"/>
          <w:kern w:val="0"/>
          <w:sz w:val="26"/>
          <w:szCs w:val="28"/>
          <w:lang w:eastAsia="zh-CN"/>
        </w:rPr>
        <w:t>标准化香菇示范基地</w:t>
      </w:r>
      <w:r>
        <w:rPr>
          <w:rFonts w:hint="eastAsia"/>
          <w:color w:val="000000"/>
          <w:kern w:val="0"/>
          <w:sz w:val="26"/>
          <w:szCs w:val="28"/>
        </w:rPr>
        <w:t>行业生产高品质产品的需要。</w:t>
      </w:r>
    </w:p>
    <w:p>
      <w:pPr>
        <w:spacing w:after="156" w:afterLines="50" w:line="520" w:lineRule="exact"/>
        <w:ind w:firstLine="520" w:firstLineChars="200"/>
        <w:rPr>
          <w:rFonts w:hint="eastAsia"/>
          <w:color w:val="000000"/>
          <w:kern w:val="0"/>
          <w:sz w:val="26"/>
          <w:szCs w:val="28"/>
        </w:rPr>
        <w:sectPr>
          <w:headerReference w:type="default" r:id="rId88"/>
          <w:footerReference w:type="default" r:id="rId89"/>
          <w:headerReference w:type="first" r:id="rId90"/>
          <w:footerReference w:type="first" r:id="rId91"/>
          <w:type w:val="nextPage"/>
          <w:pgSz w:w="11906" w:h="16838"/>
          <w:pgMar w:top="1440" w:right="1800" w:bottom="1440" w:left="1800" w:header="851" w:footer="992" w:gutter="0"/>
          <w:pgNumType w:fmt="decimal" w:start="14"/>
          <w:cols w:space="708"/>
          <w:titlePg w:val="0"/>
          <w:docGrid w:type="lines" w:linePitch="312"/>
        </w:sectPr>
      </w:pPr>
      <w:r>
        <w:rPr>
          <w:color w:val="000000"/>
          <w:kern w:val="0"/>
          <w:sz w:val="26"/>
          <w:szCs w:val="28"/>
        </w:rPr>
        <w:t>从</w:t>
      </w:r>
      <w:r>
        <w:rPr>
          <w:rFonts w:hint="eastAsia"/>
          <w:color w:val="000000"/>
          <w:kern w:val="0"/>
          <w:sz w:val="26"/>
          <w:szCs w:val="28"/>
          <w:lang w:val="en-US" w:eastAsia="zh-CN"/>
        </w:rPr>
        <w:t>标准化香菇示范基地</w:t>
      </w:r>
      <w:r>
        <w:rPr>
          <w:color w:val="000000"/>
          <w:kern w:val="0"/>
          <w:sz w:val="26"/>
          <w:szCs w:val="28"/>
        </w:rPr>
        <w:t>企业来说，生产高端</w:t>
      </w:r>
      <w:r>
        <w:rPr>
          <w:rFonts w:hint="eastAsia"/>
          <w:color w:val="000000"/>
          <w:kern w:val="0"/>
          <w:sz w:val="26"/>
          <w:szCs w:val="28"/>
          <w:lang w:eastAsia="zh-CN"/>
        </w:rPr>
        <w:t>标准化香菇示范基地</w:t>
      </w:r>
      <w:r>
        <w:rPr>
          <w:color w:val="000000"/>
          <w:kern w:val="0"/>
          <w:sz w:val="26"/>
          <w:szCs w:val="28"/>
        </w:rPr>
        <w:t>既是企业实力的象征，更是企业可持续发展的利润增长点，同时也是</w:t>
      </w:r>
      <w:r>
        <w:rPr>
          <w:rFonts w:hint="eastAsia"/>
          <w:color w:val="000000"/>
          <w:kern w:val="0"/>
          <w:sz w:val="26"/>
          <w:szCs w:val="28"/>
          <w:lang w:val="en-US" w:eastAsia="zh-CN"/>
        </w:rPr>
        <w:t>标准化香菇示范基地</w:t>
      </w:r>
      <w:r>
        <w:rPr>
          <w:color w:val="000000"/>
          <w:kern w:val="0"/>
          <w:sz w:val="26"/>
          <w:szCs w:val="28"/>
        </w:rPr>
        <w:t>企业</w:t>
      </w:r>
      <w:r>
        <w:rPr>
          <w:rFonts w:hint="eastAsia"/>
          <w:color w:val="000000"/>
          <w:kern w:val="0"/>
          <w:sz w:val="26"/>
          <w:szCs w:val="28"/>
        </w:rPr>
        <w:t>“</w:t>
      </w:r>
      <w:r>
        <w:rPr>
          <w:color w:val="000000"/>
          <w:kern w:val="0"/>
          <w:sz w:val="26"/>
          <w:szCs w:val="28"/>
        </w:rPr>
        <w:t>做精</w:t>
      </w:r>
      <w:r>
        <w:rPr>
          <w:rFonts w:hint="eastAsia"/>
          <w:color w:val="000000"/>
          <w:kern w:val="0"/>
          <w:sz w:val="26"/>
          <w:szCs w:val="28"/>
        </w:rPr>
        <w:t>”</w:t>
      </w:r>
      <w:r>
        <w:rPr>
          <w:color w:val="000000"/>
          <w:kern w:val="0"/>
          <w:sz w:val="26"/>
          <w:szCs w:val="28"/>
        </w:rPr>
        <w:t>的战略选择。随着</w:t>
      </w:r>
      <w:r>
        <w:rPr>
          <w:rFonts w:hint="eastAsia"/>
          <w:color w:val="000000"/>
          <w:kern w:val="0"/>
          <w:sz w:val="26"/>
          <w:szCs w:val="28"/>
          <w:lang w:val="en-US" w:eastAsia="zh-CN"/>
        </w:rPr>
        <w:t>标准化香菇示范基地</w:t>
      </w:r>
      <w:r>
        <w:rPr>
          <w:color w:val="000000"/>
          <w:kern w:val="0"/>
          <w:sz w:val="26"/>
          <w:szCs w:val="28"/>
        </w:rPr>
        <w:t>行业产品的创新开发和培育新的增长点</w:t>
      </w:r>
      <w:r>
        <w:rPr>
          <w:rFonts w:hint="eastAsia"/>
          <w:color w:val="000000"/>
          <w:kern w:val="0"/>
          <w:sz w:val="26"/>
          <w:szCs w:val="28"/>
        </w:rPr>
        <w:t>，从而</w:t>
      </w:r>
    </w:p>
    <w:p>
      <w:pPr>
        <w:spacing w:after="156" w:afterLines="50" w:line="520" w:lineRule="exact"/>
        <w:ind w:firstLine="520" w:firstLineChars="200"/>
        <w:rPr>
          <w:rFonts w:hint="eastAsia"/>
          <w:color w:val="000000"/>
          <w:kern w:val="0"/>
          <w:sz w:val="26"/>
          <w:szCs w:val="28"/>
        </w:rPr>
      </w:pPr>
      <w:r>
        <w:rPr>
          <w:color w:val="000000"/>
          <w:kern w:val="0"/>
          <w:sz w:val="26"/>
          <w:szCs w:val="28"/>
        </w:rPr>
        <w:t>加快产品结构调整，重点开发高档次、高品位、高附加值产品，为行业创造新的经济增长点，提高产品质量和品质</w:t>
      </w:r>
      <w:r>
        <w:rPr>
          <w:rFonts w:hint="eastAsia"/>
          <w:color w:val="000000"/>
          <w:kern w:val="0"/>
          <w:sz w:val="26"/>
          <w:szCs w:val="28"/>
        </w:rPr>
        <w:t>，</w:t>
      </w:r>
      <w:r>
        <w:rPr>
          <w:color w:val="000000"/>
          <w:kern w:val="0"/>
          <w:sz w:val="26"/>
          <w:szCs w:val="28"/>
        </w:rPr>
        <w:t>注重从加工生产向前端设计研发、后端市场终端控制延伸，引导并创造市场需求</w:t>
      </w:r>
      <w:r>
        <w:rPr>
          <w:rFonts w:hint="eastAsia"/>
          <w:color w:val="000000"/>
          <w:kern w:val="0"/>
          <w:sz w:val="26"/>
          <w:szCs w:val="28"/>
        </w:rPr>
        <w:t>，</w:t>
      </w:r>
      <w:r>
        <w:rPr>
          <w:color w:val="000000"/>
          <w:kern w:val="0"/>
          <w:sz w:val="26"/>
          <w:szCs w:val="28"/>
        </w:rPr>
        <w:t>以市场为导向，加强高品质产品开发，更好地满足消费者多层次的需求</w:t>
      </w:r>
      <w:r>
        <w:rPr>
          <w:rFonts w:hint="eastAsia"/>
          <w:color w:val="000000"/>
          <w:kern w:val="0"/>
          <w:sz w:val="26"/>
          <w:szCs w:val="28"/>
        </w:rPr>
        <w:t>。面对一个变化迅速、日新月异、多元化、流行周期短的市场，项目企业将提高对市场的反应速度，在充分了解市场的情况下，采用新工艺、新技术和生产效率来生产产品，提高产品质量，快速生产出消费者所需要的</w:t>
      </w:r>
      <w:r>
        <w:rPr>
          <w:rFonts w:hint="eastAsia"/>
          <w:color w:val="000000"/>
          <w:kern w:val="0"/>
          <w:sz w:val="26"/>
          <w:szCs w:val="28"/>
          <w:lang w:eastAsia="zh-CN"/>
        </w:rPr>
        <w:t>产品</w:t>
      </w:r>
      <w:r>
        <w:rPr>
          <w:rFonts w:hint="eastAsia"/>
          <w:color w:val="000000"/>
          <w:kern w:val="0"/>
          <w:sz w:val="26"/>
          <w:szCs w:val="28"/>
        </w:rPr>
        <w:t>，在新一轮的竞争中取得先机，从而满足当前市场对</w:t>
      </w:r>
      <w:r>
        <w:rPr>
          <w:rFonts w:hint="eastAsia"/>
          <w:color w:val="000000"/>
          <w:kern w:val="0"/>
          <w:sz w:val="26"/>
          <w:szCs w:val="28"/>
          <w:lang w:val="en-US" w:eastAsia="zh-CN"/>
        </w:rPr>
        <w:t>标准化香菇示范基地</w:t>
      </w:r>
      <w:r>
        <w:rPr>
          <w:rFonts w:hint="eastAsia"/>
          <w:color w:val="000000"/>
          <w:kern w:val="0"/>
          <w:sz w:val="26"/>
          <w:szCs w:val="28"/>
        </w:rPr>
        <w:t>的市场需求。</w:t>
      </w:r>
    </w:p>
    <w:p>
      <w:pPr>
        <w:pStyle w:val="Heading3"/>
        <w:spacing w:line="240" w:lineRule="auto"/>
        <w:rPr>
          <w:rFonts w:hint="eastAsia"/>
          <w:color w:val="000000"/>
          <w:sz w:val="24"/>
          <w:szCs w:val="24"/>
        </w:rPr>
      </w:pPr>
      <w:bookmarkStart w:id="47" w:name="_Toc443477886"/>
      <w:bookmarkStart w:id="48" w:name="_Toc517734634"/>
      <w:bookmarkStart w:id="49" w:name="_Toc26358"/>
      <w:r>
        <w:rPr>
          <w:rFonts w:hint="eastAsia"/>
          <w:color w:val="000000"/>
          <w:sz w:val="24"/>
          <w:szCs w:val="24"/>
          <w:lang w:val="en-US" w:eastAsia="zh-CN"/>
        </w:rPr>
        <w:t>3</w:t>
      </w:r>
      <w:r>
        <w:rPr>
          <w:color w:val="000000"/>
          <w:sz w:val="24"/>
          <w:szCs w:val="24"/>
        </w:rPr>
        <w:t>.</w:t>
      </w:r>
      <w:r>
        <w:rPr>
          <w:rFonts w:hint="eastAsia"/>
          <w:color w:val="000000"/>
          <w:sz w:val="24"/>
          <w:szCs w:val="24"/>
        </w:rPr>
        <w:t>2</w:t>
      </w:r>
      <w:r>
        <w:rPr>
          <w:color w:val="000000"/>
          <w:sz w:val="24"/>
          <w:szCs w:val="24"/>
        </w:rPr>
        <w:t>.</w:t>
      </w:r>
      <w:bookmarkEnd w:id="47"/>
      <w:bookmarkEnd w:id="48"/>
      <w:r>
        <w:rPr>
          <w:rFonts w:hint="eastAsia"/>
          <w:color w:val="000000"/>
          <w:sz w:val="24"/>
          <w:szCs w:val="24"/>
          <w:lang w:val="en-US" w:eastAsia="zh-CN"/>
        </w:rPr>
        <w:t>3</w:t>
      </w:r>
      <w:r>
        <w:rPr>
          <w:rFonts w:hint="eastAsia"/>
          <w:color w:val="000000"/>
          <w:sz w:val="24"/>
          <w:szCs w:val="24"/>
        </w:rPr>
        <w:t>符合现行产业政策及清洁生产要求</w:t>
      </w:r>
      <w:bookmarkEnd w:id="49"/>
    </w:p>
    <w:p>
      <w:pPr>
        <w:spacing w:after="156" w:afterLines="50" w:line="520" w:lineRule="exact"/>
        <w:ind w:firstLine="520" w:firstLineChars="200"/>
        <w:rPr>
          <w:color w:val="000000"/>
          <w:kern w:val="0"/>
          <w:sz w:val="26"/>
          <w:szCs w:val="28"/>
        </w:rPr>
      </w:pPr>
      <w:r>
        <w:rPr>
          <w:rFonts w:hint="eastAsia"/>
          <w:color w:val="000000"/>
          <w:kern w:val="0"/>
          <w:sz w:val="26"/>
          <w:szCs w:val="28"/>
        </w:rPr>
        <w:t>本项目符合现行产业政策和地方发展规划，项目建设采用了先进的工艺技术和设备，符合清洁生产要求，各项污染物能够达标排放，污染物排放总量控制方案符合当地环保要求，区域环境质量影响不大，环境风险可以接受。拟建项目将严格执行</w:t>
      </w:r>
      <w:r>
        <w:rPr>
          <w:rFonts w:hint="eastAsia"/>
          <w:color w:val="000000"/>
          <w:kern w:val="0"/>
          <w:sz w:val="26"/>
          <w:szCs w:val="28"/>
        </w:rPr>
        <w:t>“</w:t>
      </w:r>
      <w:r>
        <w:rPr>
          <w:rFonts w:hint="eastAsia"/>
          <w:color w:val="000000"/>
          <w:kern w:val="0"/>
          <w:sz w:val="26"/>
          <w:szCs w:val="28"/>
        </w:rPr>
        <w:t>三同时</w:t>
      </w:r>
      <w:r>
        <w:rPr>
          <w:rFonts w:hint="eastAsia"/>
          <w:color w:val="000000"/>
          <w:kern w:val="0"/>
          <w:sz w:val="26"/>
          <w:szCs w:val="28"/>
        </w:rPr>
        <w:t>”</w:t>
      </w:r>
      <w:r>
        <w:rPr>
          <w:rFonts w:hint="eastAsia"/>
          <w:color w:val="000000"/>
          <w:kern w:val="0"/>
          <w:sz w:val="26"/>
          <w:szCs w:val="28"/>
        </w:rPr>
        <w:t>制度、严格落实本报告书提出的各项环保措施。</w:t>
      </w:r>
      <w:r>
        <w:rPr>
          <w:rFonts w:hAnsi="宋体"/>
          <w:color w:val="000000"/>
          <w:kern w:val="0"/>
          <w:sz w:val="26"/>
          <w:szCs w:val="28"/>
        </w:rPr>
        <w:t>。</w:t>
      </w:r>
    </w:p>
    <w:p>
      <w:pPr>
        <w:pStyle w:val="Heading3"/>
        <w:spacing w:line="240" w:lineRule="auto"/>
        <w:rPr>
          <w:rFonts w:hint="eastAsia"/>
          <w:color w:val="000000"/>
          <w:sz w:val="24"/>
          <w:szCs w:val="24"/>
        </w:rPr>
      </w:pPr>
      <w:bookmarkStart w:id="50" w:name="_Toc7516"/>
      <w:bookmarkStart w:id="51" w:name="_Toc16177441"/>
      <w:r>
        <w:rPr>
          <w:rFonts w:hint="eastAsia"/>
          <w:color w:val="000000"/>
          <w:sz w:val="24"/>
          <w:szCs w:val="24"/>
          <w:lang w:val="en-US" w:eastAsia="zh-CN"/>
        </w:rPr>
        <w:t>3</w:t>
      </w:r>
      <w:r>
        <w:rPr>
          <w:color w:val="000000"/>
          <w:sz w:val="24"/>
          <w:szCs w:val="24"/>
        </w:rPr>
        <w:t>.</w:t>
      </w:r>
      <w:r>
        <w:rPr>
          <w:rFonts w:hint="eastAsia"/>
          <w:color w:val="000000"/>
          <w:sz w:val="24"/>
          <w:szCs w:val="24"/>
        </w:rPr>
        <w:t>2</w:t>
      </w:r>
      <w:r>
        <w:rPr>
          <w:color w:val="000000"/>
          <w:sz w:val="24"/>
          <w:szCs w:val="24"/>
        </w:rPr>
        <w:t>.</w:t>
      </w:r>
      <w:r>
        <w:rPr>
          <w:rFonts w:hint="eastAsia"/>
          <w:color w:val="000000"/>
          <w:sz w:val="24"/>
          <w:szCs w:val="24"/>
          <w:lang w:val="en-US" w:eastAsia="zh-CN"/>
        </w:rPr>
        <w:t>4</w:t>
      </w:r>
      <w:r>
        <w:rPr>
          <w:color w:val="000000"/>
          <w:sz w:val="24"/>
          <w:szCs w:val="24"/>
        </w:rPr>
        <w:t>提升我国</w:t>
      </w:r>
      <w:r>
        <w:rPr>
          <w:rFonts w:hint="eastAsia"/>
          <w:color w:val="000000"/>
          <w:sz w:val="24"/>
          <w:szCs w:val="24"/>
          <w:lang w:val="en-US" w:eastAsia="zh-CN"/>
        </w:rPr>
        <w:t>标准化香菇示范基地</w:t>
      </w:r>
      <w:r>
        <w:rPr>
          <w:color w:val="000000"/>
          <w:sz w:val="24"/>
          <w:szCs w:val="24"/>
        </w:rPr>
        <w:t>产品研发和技术创新</w:t>
      </w:r>
      <w:r>
        <w:rPr>
          <w:rFonts w:hint="eastAsia"/>
          <w:color w:val="000000"/>
          <w:sz w:val="24"/>
          <w:szCs w:val="24"/>
        </w:rPr>
        <w:t>水平的需要</w:t>
      </w:r>
      <w:bookmarkEnd w:id="50"/>
      <w:bookmarkEnd w:id="51"/>
    </w:p>
    <w:p>
      <w:pPr>
        <w:spacing w:after="156" w:afterLines="50" w:line="520" w:lineRule="exact"/>
        <w:ind w:firstLine="520" w:firstLineChars="200"/>
        <w:rPr>
          <w:rFonts w:ascii="宋体" w:hAnsi="宋体" w:hint="eastAsia"/>
          <w:color w:val="000000"/>
          <w:kern w:val="0"/>
          <w:sz w:val="26"/>
          <w:szCs w:val="28"/>
        </w:rPr>
        <w:sectPr>
          <w:headerReference w:type="default" r:id="rId92"/>
          <w:footerReference w:type="default" r:id="rId93"/>
          <w:headerReference w:type="first" r:id="rId94"/>
          <w:footerReference w:type="first" r:id="rId95"/>
          <w:type w:val="nextPage"/>
          <w:pgSz w:w="11906" w:h="16838"/>
          <w:pgMar w:top="1440" w:right="1800" w:bottom="1440" w:left="1800" w:header="851" w:footer="992" w:gutter="0"/>
          <w:pgNumType w:fmt="decimal" w:start="15"/>
          <w:cols w:space="708"/>
          <w:titlePg w:val="0"/>
          <w:docGrid w:type="lines" w:linePitch="312"/>
        </w:sectPr>
      </w:pPr>
      <w:r>
        <w:rPr>
          <w:rFonts w:ascii="宋体" w:hAnsi="宋体" w:hint="eastAsia"/>
          <w:color w:val="000000"/>
          <w:kern w:val="0"/>
          <w:sz w:val="26"/>
          <w:szCs w:val="28"/>
        </w:rPr>
        <w:t>本次项目以节能减排和提升品质为导向，</w:t>
      </w:r>
      <w:r>
        <w:rPr>
          <w:rFonts w:ascii="宋体" w:hAnsi="宋体"/>
          <w:color w:val="000000"/>
          <w:kern w:val="0"/>
          <w:sz w:val="26"/>
          <w:szCs w:val="28"/>
        </w:rPr>
        <w:t>实施多品种、系列化</w:t>
      </w:r>
      <w:r>
        <w:rPr>
          <w:rFonts w:ascii="宋体" w:hAnsi="宋体" w:hint="eastAsia"/>
          <w:color w:val="000000"/>
          <w:kern w:val="0"/>
          <w:sz w:val="26"/>
          <w:szCs w:val="28"/>
          <w:lang w:val="en-US" w:eastAsia="zh-CN"/>
        </w:rPr>
        <w:t>标准化香菇示范基地</w:t>
      </w:r>
      <w:r>
        <w:rPr>
          <w:rFonts w:ascii="宋体" w:hAnsi="宋体"/>
          <w:color w:val="000000"/>
          <w:kern w:val="0"/>
          <w:sz w:val="26"/>
          <w:szCs w:val="28"/>
        </w:rPr>
        <w:t>研发生产，是与国家产业政策密切相关的高端、高附加值、具有很好市场前景的产品研发制造，公司坚持以产品创新为动力，加快研发高端</w:t>
      </w:r>
      <w:r>
        <w:rPr>
          <w:rFonts w:ascii="宋体" w:hAnsi="宋体" w:hint="eastAsia"/>
          <w:color w:val="000000"/>
          <w:kern w:val="0"/>
          <w:sz w:val="26"/>
          <w:szCs w:val="28"/>
          <w:lang w:val="en-US" w:eastAsia="zh-CN"/>
        </w:rPr>
        <w:t>标准化香菇示范基地</w:t>
      </w:r>
      <w:r>
        <w:rPr>
          <w:rFonts w:ascii="宋体" w:hAnsi="宋体" w:hint="eastAsia"/>
          <w:color w:val="000000"/>
          <w:kern w:val="0"/>
          <w:sz w:val="26"/>
          <w:szCs w:val="28"/>
        </w:rPr>
        <w:t>，</w:t>
      </w:r>
      <w:r>
        <w:rPr>
          <w:rFonts w:ascii="宋体" w:hAnsi="宋体"/>
          <w:color w:val="000000"/>
          <w:kern w:val="0"/>
          <w:sz w:val="26"/>
          <w:szCs w:val="28"/>
        </w:rPr>
        <w:t>在产品定位上，</w:t>
      </w:r>
      <w:r>
        <w:rPr>
          <w:rFonts w:ascii="宋体" w:hAnsi="宋体" w:hint="eastAsia"/>
          <w:color w:val="000000"/>
          <w:kern w:val="0"/>
          <w:sz w:val="26"/>
          <w:szCs w:val="28"/>
        </w:rPr>
        <w:t>本</w:t>
      </w:r>
      <w:r>
        <w:rPr>
          <w:rFonts w:ascii="宋体" w:hAnsi="宋体"/>
          <w:color w:val="000000"/>
          <w:kern w:val="0"/>
          <w:sz w:val="26"/>
          <w:szCs w:val="28"/>
        </w:rPr>
        <w:t>项目将主要向低排放、低能耗、高智能化控制、多功能综合使用、先进制造工艺、人机工程化设计等方向发展，实现真正意义上的“零”排放。</w:t>
      </w:r>
      <w:r>
        <w:rPr>
          <w:rFonts w:ascii="宋体" w:hAnsi="宋体" w:hint="eastAsia"/>
          <w:color w:val="000000"/>
          <w:kern w:val="0"/>
          <w:sz w:val="26"/>
          <w:szCs w:val="28"/>
        </w:rPr>
        <w:t>对推进</w:t>
      </w:r>
      <w:r>
        <w:rPr>
          <w:rFonts w:ascii="宋体" w:hAnsi="宋体" w:hint="eastAsia"/>
          <w:color w:val="000000"/>
          <w:kern w:val="0"/>
          <w:sz w:val="26"/>
          <w:szCs w:val="28"/>
          <w:lang w:val="en-US" w:eastAsia="zh-CN"/>
        </w:rPr>
        <w:t>武汉市</w:t>
      </w:r>
      <w:r>
        <w:rPr>
          <w:rFonts w:ascii="宋体" w:hAnsi="宋体" w:hint="eastAsia"/>
          <w:color w:val="000000"/>
          <w:kern w:val="0"/>
          <w:sz w:val="26"/>
          <w:szCs w:val="28"/>
        </w:rPr>
        <w:t>产业结构调整和经济转型升级，夯实全省</w:t>
      </w:r>
      <w:r>
        <w:rPr>
          <w:rFonts w:ascii="宋体" w:hAnsi="宋体" w:hint="eastAsia"/>
          <w:color w:val="000000"/>
          <w:kern w:val="0"/>
          <w:sz w:val="26"/>
          <w:szCs w:val="28"/>
          <w:lang w:val="en-US" w:eastAsia="zh-CN"/>
        </w:rPr>
        <w:t>标准化香菇示范基地</w:t>
      </w:r>
      <w:r>
        <w:rPr>
          <w:rFonts w:ascii="宋体" w:hAnsi="宋体" w:hint="eastAsia"/>
          <w:color w:val="000000"/>
          <w:kern w:val="0"/>
          <w:sz w:val="26"/>
          <w:szCs w:val="28"/>
        </w:rPr>
        <w:t>产业、装备制造业等产业根基，带动全省经济发展具有重要意义。</w:t>
      </w:r>
    </w:p>
    <w:p>
      <w:pPr>
        <w:pStyle w:val="Heading3"/>
        <w:rPr>
          <w:rFonts w:hint="eastAsia"/>
          <w:color w:val="000000"/>
          <w:sz w:val="24"/>
          <w:szCs w:val="24"/>
        </w:rPr>
      </w:pPr>
      <w:bookmarkStart w:id="52" w:name="_Toc16177442"/>
      <w:bookmarkStart w:id="53" w:name="_Toc23738"/>
      <w:r>
        <w:rPr>
          <w:rFonts w:hint="eastAsia"/>
          <w:color w:val="000000"/>
          <w:sz w:val="24"/>
          <w:szCs w:val="24"/>
          <w:lang w:val="en-US" w:eastAsia="zh-CN"/>
        </w:rPr>
        <w:t>3</w:t>
      </w:r>
      <w:r>
        <w:rPr>
          <w:color w:val="000000"/>
          <w:sz w:val="24"/>
          <w:szCs w:val="24"/>
        </w:rPr>
        <w:t>.</w:t>
      </w:r>
      <w:r>
        <w:rPr>
          <w:rFonts w:hint="eastAsia"/>
          <w:color w:val="000000"/>
          <w:sz w:val="24"/>
          <w:szCs w:val="24"/>
        </w:rPr>
        <w:t>2</w:t>
      </w:r>
      <w:r>
        <w:rPr>
          <w:color w:val="000000"/>
          <w:sz w:val="24"/>
          <w:szCs w:val="24"/>
        </w:rPr>
        <w:t>.</w:t>
      </w:r>
      <w:r>
        <w:rPr>
          <w:rFonts w:hint="eastAsia"/>
          <w:color w:val="000000"/>
          <w:sz w:val="24"/>
          <w:szCs w:val="24"/>
          <w:lang w:val="en-US" w:eastAsia="zh-CN"/>
        </w:rPr>
        <w:t>5</w:t>
      </w:r>
      <w:r>
        <w:rPr>
          <w:rFonts w:hint="eastAsia"/>
          <w:color w:val="000000"/>
          <w:sz w:val="24"/>
          <w:szCs w:val="24"/>
        </w:rPr>
        <w:t>提升企业竞争力水平，有助于企业长远战略发展的需要</w:t>
      </w:r>
      <w:bookmarkEnd w:id="52"/>
      <w:bookmarkEnd w:id="53"/>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随着近年来国内</w:t>
      </w:r>
      <w:r>
        <w:rPr>
          <w:rFonts w:hint="eastAsia"/>
          <w:color w:val="000000"/>
          <w:kern w:val="0"/>
          <w:sz w:val="26"/>
          <w:szCs w:val="28"/>
          <w:lang w:val="en-US" w:eastAsia="zh-CN"/>
        </w:rPr>
        <w:t>标准化香菇示范基地</w:t>
      </w:r>
      <w:r>
        <w:rPr>
          <w:rFonts w:hint="eastAsia"/>
          <w:color w:val="000000"/>
          <w:kern w:val="0"/>
          <w:sz w:val="26"/>
          <w:szCs w:val="28"/>
        </w:rPr>
        <w:t>行业的蓬勃发展，项目企业依托当地得天独厚的条件开发优势资源，深挖潜力提升项目产品的生产技术水平，本次</w:t>
      </w:r>
      <w:r>
        <w:rPr>
          <w:rFonts w:hint="eastAsia"/>
          <w:color w:val="000000"/>
          <w:kern w:val="0"/>
          <w:sz w:val="26"/>
          <w:szCs w:val="28"/>
        </w:rPr>
        <w:t>“</w:t>
      </w:r>
      <w:r>
        <w:rPr>
          <w:rFonts w:hint="eastAsia"/>
          <w:color w:val="000000"/>
          <w:kern w:val="0"/>
          <w:sz w:val="26"/>
          <w:szCs w:val="28"/>
          <w:lang w:val="en-US" w:eastAsia="zh-CN"/>
        </w:rPr>
        <w:t>标准化香菇示范基地</w:t>
      </w:r>
      <w:r>
        <w:rPr>
          <w:rFonts w:hint="eastAsia"/>
          <w:color w:val="000000"/>
          <w:kern w:val="0"/>
          <w:sz w:val="26"/>
          <w:szCs w:val="28"/>
        </w:rPr>
        <w:t>项目</w:t>
      </w:r>
      <w:r>
        <w:rPr>
          <w:rFonts w:hint="eastAsia"/>
          <w:color w:val="000000"/>
          <w:kern w:val="0"/>
          <w:sz w:val="26"/>
          <w:szCs w:val="28"/>
        </w:rPr>
        <w:t>”</w:t>
      </w:r>
      <w:r>
        <w:rPr>
          <w:rFonts w:hint="eastAsia"/>
          <w:color w:val="000000"/>
          <w:kern w:val="0"/>
          <w:sz w:val="26"/>
          <w:szCs w:val="28"/>
        </w:rPr>
        <w:t>将充分发挥技术领先优势与人才优势，通过企业技术改造提升技术水平，购置先进的技术装备，采用规模化生产经营，提升企业市场竞争力，充分利用本地资源，全力对</w:t>
      </w:r>
      <w:r>
        <w:rPr>
          <w:rFonts w:hint="eastAsia"/>
          <w:color w:val="000000"/>
          <w:kern w:val="0"/>
          <w:sz w:val="26"/>
          <w:szCs w:val="28"/>
          <w:lang w:val="en-US" w:eastAsia="zh-CN"/>
        </w:rPr>
        <w:t>标准化香菇示范基地</w:t>
      </w:r>
      <w:r>
        <w:rPr>
          <w:rFonts w:hint="eastAsia"/>
          <w:color w:val="000000"/>
          <w:kern w:val="0"/>
          <w:sz w:val="26"/>
          <w:szCs w:val="28"/>
        </w:rPr>
        <w:t>进行研发及生产，以促进企业可持续性发展，有助于企业做大</w:t>
      </w:r>
      <w:r>
        <w:rPr>
          <w:rFonts w:hint="eastAsia"/>
          <w:color w:val="000000"/>
          <w:kern w:val="0"/>
          <w:sz w:val="26"/>
          <w:szCs w:val="28"/>
          <w:lang w:val="en-US" w:eastAsia="zh-CN"/>
        </w:rPr>
        <w:t>标准化香菇示范基地</w:t>
      </w:r>
      <w:r>
        <w:rPr>
          <w:rFonts w:hint="eastAsia"/>
          <w:color w:val="000000"/>
          <w:kern w:val="0"/>
          <w:sz w:val="26"/>
          <w:szCs w:val="28"/>
        </w:rPr>
        <w:t>的生产主业，延伸企业产业链条，促进产业集群发展方面实现突破。</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本次项目建设将大力引进国内外最先进的生产设备，建设设施完善的现代化车间，此举是项目公司长远战略规划中极为重要的一环，关系着企业未来的发展能量，因此本次项目的提出适时且必要。</w:t>
      </w:r>
    </w:p>
    <w:p>
      <w:pPr>
        <w:pStyle w:val="Heading3"/>
        <w:spacing w:before="312" w:beforeLines="100" w:after="156" w:afterLines="50" w:line="360" w:lineRule="auto"/>
        <w:rPr>
          <w:color w:val="000000"/>
          <w:sz w:val="24"/>
          <w:szCs w:val="24"/>
        </w:rPr>
      </w:pPr>
      <w:bookmarkStart w:id="54" w:name="_Toc12062"/>
      <w:bookmarkStart w:id="55" w:name="_Toc259432489"/>
      <w:bookmarkStart w:id="56" w:name="_Toc16177443"/>
      <w:r>
        <w:rPr>
          <w:rFonts w:hint="eastAsia"/>
          <w:color w:val="000000"/>
          <w:sz w:val="24"/>
          <w:szCs w:val="24"/>
          <w:lang w:val="en-US" w:eastAsia="zh-CN"/>
        </w:rPr>
        <w:t>3</w:t>
      </w:r>
      <w:r>
        <w:rPr>
          <w:rFonts w:hint="eastAsia"/>
          <w:color w:val="000000"/>
          <w:sz w:val="24"/>
          <w:szCs w:val="24"/>
        </w:rPr>
        <w:t>.2.</w:t>
      </w:r>
      <w:r>
        <w:rPr>
          <w:rFonts w:hint="eastAsia"/>
          <w:color w:val="000000"/>
          <w:sz w:val="24"/>
          <w:szCs w:val="24"/>
          <w:lang w:val="en-US" w:eastAsia="zh-CN"/>
        </w:rPr>
        <w:t>6</w:t>
      </w:r>
      <w:r>
        <w:rPr>
          <w:color w:val="000000"/>
          <w:sz w:val="24"/>
          <w:szCs w:val="24"/>
        </w:rPr>
        <w:t>增加</w:t>
      </w:r>
      <w:r>
        <w:rPr>
          <w:rFonts w:hint="eastAsia"/>
          <w:color w:val="000000"/>
          <w:sz w:val="24"/>
          <w:szCs w:val="24"/>
        </w:rPr>
        <w:t>当地就业</w:t>
      </w:r>
      <w:r>
        <w:rPr>
          <w:color w:val="000000"/>
          <w:sz w:val="24"/>
          <w:szCs w:val="24"/>
        </w:rPr>
        <w:t>带动产业链发展</w:t>
      </w:r>
      <w:r>
        <w:rPr>
          <w:rFonts w:hint="eastAsia"/>
          <w:color w:val="000000"/>
          <w:sz w:val="24"/>
          <w:szCs w:val="24"/>
        </w:rPr>
        <w:t>的需要</w:t>
      </w:r>
      <w:bookmarkEnd w:id="54"/>
      <w:bookmarkEnd w:id="55"/>
      <w:bookmarkEnd w:id="56"/>
    </w:p>
    <w:p>
      <w:pPr>
        <w:spacing w:after="156" w:afterLines="50" w:line="520" w:lineRule="exact"/>
        <w:ind w:firstLine="520" w:firstLineChars="200"/>
        <w:rPr>
          <w:color w:val="000000"/>
          <w:kern w:val="0"/>
          <w:sz w:val="26"/>
          <w:szCs w:val="28"/>
        </w:rPr>
      </w:pPr>
      <w:r>
        <w:rPr>
          <w:color w:val="000000"/>
          <w:kern w:val="0"/>
          <w:sz w:val="26"/>
          <w:szCs w:val="28"/>
        </w:rPr>
        <w:t>本项目除少数的管理人员和关键岗位技术人员由项目公司解决外，新增员工均由当地招工解决，项目建成后，将为当地提供大量就业机会，吸收下岗职工与闲置人口再就业，将有力促进当地经济的繁荣发展和社会稳定；此外，项目的实施可带动我国</w:t>
      </w:r>
      <w:r>
        <w:rPr>
          <w:rFonts w:hint="eastAsia"/>
          <w:color w:val="000000"/>
          <w:kern w:val="0"/>
          <w:sz w:val="26"/>
          <w:szCs w:val="28"/>
          <w:lang w:val="en-US" w:eastAsia="zh-CN"/>
        </w:rPr>
        <w:t>标准化香菇示范基地</w:t>
      </w:r>
      <w:r>
        <w:rPr>
          <w:color w:val="000000"/>
          <w:kern w:val="0"/>
          <w:sz w:val="26"/>
          <w:szCs w:val="28"/>
        </w:rPr>
        <w:t>及相关行业上下游产业的发展，为提高中国综合国力产生巨大而深远影响，对于搞活国民经济、增加国民收入、提高国民生活水平有着非常重要的意义。</w:t>
      </w:r>
    </w:p>
    <w:p>
      <w:pPr>
        <w:spacing w:after="156" w:afterLines="50" w:line="520" w:lineRule="exact"/>
        <w:ind w:firstLine="520" w:firstLineChars="200"/>
        <w:rPr>
          <w:rFonts w:hint="eastAsia"/>
          <w:color w:val="000000"/>
          <w:kern w:val="0"/>
          <w:sz w:val="26"/>
          <w:szCs w:val="28"/>
        </w:rPr>
      </w:pPr>
    </w:p>
    <w:p>
      <w:pPr>
        <w:pStyle w:val="Heading2"/>
        <w:spacing w:before="156" w:beforeLines="50" w:after="156" w:afterLines="50" w:line="360" w:lineRule="auto"/>
        <w:rPr>
          <w:rFonts w:ascii="Times New Roman" w:eastAsia="宋体" w:hAnsi="Times New Roman" w:hint="eastAsia"/>
          <w:color w:val="000000"/>
          <w:sz w:val="26"/>
          <w:szCs w:val="28"/>
        </w:rPr>
      </w:pPr>
      <w:bookmarkStart w:id="57" w:name="_Toc7654"/>
      <w:r>
        <w:rPr>
          <w:rFonts w:ascii="Times New Roman" w:eastAsia="宋体" w:hAnsi="Times New Roman" w:hint="eastAsia"/>
          <w:color w:val="000000"/>
          <w:sz w:val="26"/>
          <w:szCs w:val="28"/>
          <w:lang w:val="en-US" w:eastAsia="zh-CN"/>
        </w:rPr>
        <w:t>3</w:t>
      </w:r>
      <w:r>
        <w:rPr>
          <w:rFonts w:ascii="Times New Roman" w:eastAsia="宋体" w:hAnsi="Times New Roman"/>
          <w:color w:val="000000"/>
          <w:sz w:val="26"/>
          <w:szCs w:val="28"/>
        </w:rPr>
        <w:t>.</w:t>
      </w:r>
      <w:r>
        <w:rPr>
          <w:rFonts w:ascii="Times New Roman" w:eastAsia="宋体" w:hAnsi="Times New Roman" w:hint="eastAsia"/>
          <w:color w:val="000000"/>
          <w:sz w:val="26"/>
          <w:szCs w:val="28"/>
        </w:rPr>
        <w:t>3项目建设可行性分析</w:t>
      </w:r>
      <w:bookmarkEnd w:id="57"/>
      <w:r>
        <w:rPr>
          <w:rFonts w:ascii="Times New Roman" w:eastAsia="宋体" w:hAnsi="Times New Roman"/>
          <w:color w:val="000000"/>
          <w:sz w:val="26"/>
          <w:szCs w:val="28"/>
        </w:rPr>
        <w:t xml:space="preserve"> </w:t>
      </w:r>
    </w:p>
    <w:p>
      <w:pPr>
        <w:pStyle w:val="Heading3"/>
        <w:rPr>
          <w:rFonts w:hint="eastAsia"/>
          <w:color w:val="000000"/>
          <w:sz w:val="24"/>
          <w:szCs w:val="24"/>
        </w:rPr>
      </w:pPr>
      <w:bookmarkStart w:id="58" w:name="_Toc6503"/>
      <w:r>
        <w:rPr>
          <w:rFonts w:hint="eastAsia"/>
          <w:color w:val="000000"/>
          <w:sz w:val="24"/>
          <w:szCs w:val="24"/>
          <w:lang w:val="en-US" w:eastAsia="zh-CN"/>
        </w:rPr>
        <w:t>3</w:t>
      </w:r>
      <w:r>
        <w:rPr>
          <w:rFonts w:hint="eastAsia"/>
          <w:color w:val="000000"/>
          <w:sz w:val="24"/>
          <w:szCs w:val="24"/>
        </w:rPr>
        <w:t>.3.1政策可行性</w:t>
      </w:r>
      <w:bookmarkEnd w:id="58"/>
    </w:p>
    <w:p>
      <w:pPr>
        <w:spacing w:after="156" w:afterLines="50" w:line="520" w:lineRule="exact"/>
        <w:ind w:firstLine="520" w:firstLineChars="200"/>
        <w:rPr>
          <w:rFonts w:hint="eastAsia"/>
          <w:color w:val="000000"/>
          <w:kern w:val="0"/>
          <w:sz w:val="26"/>
          <w:szCs w:val="28"/>
        </w:rPr>
        <w:sectPr>
          <w:headerReference w:type="default" r:id="rId96"/>
          <w:footerReference w:type="default" r:id="rId97"/>
          <w:headerReference w:type="first" r:id="rId98"/>
          <w:footerReference w:type="first" r:id="rId99"/>
          <w:type w:val="nextPage"/>
          <w:pgSz w:w="11906" w:h="16838"/>
          <w:pgMar w:top="1440" w:right="1800" w:bottom="1440" w:left="1800" w:header="851" w:footer="992" w:gutter="0"/>
          <w:pgNumType w:fmt="decimal" w:start="16"/>
          <w:cols w:space="708"/>
          <w:titlePg w:val="0"/>
          <w:docGrid w:type="lines" w:linePitch="312"/>
        </w:sectPr>
      </w:pPr>
      <w:r>
        <w:rPr>
          <w:color w:val="000000"/>
          <w:kern w:val="0"/>
          <w:sz w:val="26"/>
          <w:szCs w:val="28"/>
        </w:rPr>
        <w:t>国务院印发《中国制造2025》</w:t>
      </w:r>
      <w:r>
        <w:rPr>
          <w:rFonts w:hint="eastAsia"/>
          <w:color w:val="000000"/>
          <w:kern w:val="0"/>
          <w:sz w:val="26"/>
          <w:szCs w:val="28"/>
        </w:rPr>
        <w:t>中提出：</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持续推进企业技术改造。明确支持战略性重大项目和高端装备实施技术改造的政策方向，稳定中央技术改造引导资金规模，通过贴息等方式，建立支持企业技术改造的长效机制。推动技术改造相关立法，强化激励约束机制，完善促进企业技术改造的政策体系。支持重点行业、高端产品、关键环节进行技术改造，引导企业采用先进适用技术，优化产品结构，全面提升设计、制造、工艺、管理水平，促进钢铁、石化、工程机械、轻工、</w:t>
      </w:r>
      <w:r>
        <w:rPr>
          <w:rFonts w:hint="eastAsia"/>
          <w:color w:val="000000"/>
          <w:kern w:val="0"/>
          <w:sz w:val="26"/>
          <w:szCs w:val="28"/>
          <w:lang w:eastAsia="zh-CN"/>
        </w:rPr>
        <w:t>标准化香菇示范基地</w:t>
      </w:r>
      <w:r>
        <w:rPr>
          <w:rFonts w:hint="eastAsia"/>
          <w:color w:val="000000"/>
          <w:kern w:val="0"/>
          <w:sz w:val="26"/>
          <w:szCs w:val="28"/>
        </w:rPr>
        <w:t>等产业向价值链高端发展。研究制定重点产业技术改造投资指南和重点项目导向计划，吸引社会资金参与，优化工业投资结构。围绕两化融合、节能降耗、质量提升、安全生产等传统领域改造，推广应用新技术、新工艺、新装备、新材料，提高企业生产技术水平和效益。</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w:t>
      </w:r>
      <w:hyperlink r:id="rId40" w:history="1">
        <w:r>
          <w:rPr>
            <w:rFonts w:hint="eastAsia"/>
            <w:color w:val="000000"/>
            <w:kern w:val="0"/>
            <w:sz w:val="26"/>
            <w:szCs w:val="28"/>
            <w:lang w:eastAsia="zh-CN"/>
          </w:rPr>
          <w:t>标准化香菇示范基地</w:t>
        </w:r>
        <w:r>
          <w:rPr>
            <w:rFonts w:hint="eastAsia"/>
            <w:color w:val="000000"/>
            <w:kern w:val="0"/>
            <w:sz w:val="26"/>
            <w:szCs w:val="28"/>
          </w:rPr>
          <w:t>工业发展规划（</w:t>
        </w:r>
        <w:r>
          <w:rPr>
            <w:color w:val="000000"/>
            <w:kern w:val="0"/>
            <w:sz w:val="26"/>
            <w:szCs w:val="28"/>
          </w:rPr>
          <w:t>2016</w:t>
        </w:r>
        <w:r>
          <w:rPr>
            <w:rFonts w:hint="eastAsia"/>
            <w:color w:val="000000"/>
            <w:kern w:val="0"/>
            <w:sz w:val="26"/>
            <w:szCs w:val="28"/>
          </w:rPr>
          <w:t>-</w:t>
        </w:r>
        <w:r>
          <w:rPr>
            <w:color w:val="000000"/>
            <w:kern w:val="0"/>
            <w:sz w:val="26"/>
            <w:szCs w:val="28"/>
          </w:rPr>
          <w:t>2020</w:t>
        </w:r>
        <w:r>
          <w:rPr>
            <w:rFonts w:hint="eastAsia"/>
            <w:color w:val="000000"/>
            <w:kern w:val="0"/>
            <w:sz w:val="26"/>
            <w:szCs w:val="28"/>
          </w:rPr>
          <w:t>年）</w:t>
        </w:r>
      </w:hyperlink>
      <w:r>
        <w:rPr>
          <w:rFonts w:hint="eastAsia"/>
          <w:color w:val="000000"/>
          <w:kern w:val="0"/>
          <w:sz w:val="26"/>
          <w:szCs w:val="28"/>
        </w:rPr>
        <w:t>》提出：</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全面贯彻党的十八大和十八届三中、四中、五中全会精神，牢固树立并贯彻创新、协调、绿色、开放、共享的发展理念，落实《中国制造2025》，以提高发展质量和效益为中心，以推进供给侧结构性改革为主线，以增品种、提品质、创品牌的</w:t>
      </w:r>
      <w:r>
        <w:rPr>
          <w:rFonts w:hint="eastAsia"/>
          <w:color w:val="000000"/>
          <w:kern w:val="0"/>
          <w:sz w:val="26"/>
          <w:szCs w:val="28"/>
        </w:rPr>
        <w:t>“</w:t>
      </w:r>
      <w:r>
        <w:rPr>
          <w:rFonts w:hint="eastAsia"/>
          <w:color w:val="000000"/>
          <w:kern w:val="0"/>
          <w:sz w:val="26"/>
          <w:szCs w:val="28"/>
        </w:rPr>
        <w:t>三品</w:t>
      </w:r>
      <w:r>
        <w:rPr>
          <w:rFonts w:hint="eastAsia"/>
          <w:color w:val="000000"/>
          <w:kern w:val="0"/>
          <w:sz w:val="26"/>
          <w:szCs w:val="28"/>
        </w:rPr>
        <w:t>”</w:t>
      </w:r>
      <w:r>
        <w:rPr>
          <w:rFonts w:hint="eastAsia"/>
          <w:color w:val="000000"/>
          <w:kern w:val="0"/>
          <w:sz w:val="26"/>
          <w:szCs w:val="28"/>
        </w:rPr>
        <w:t>战略为重点，增强产业创新能力，优化产业结构，推进智能制造和绿色制造，形成发展新动能，创造竞争新优势，促进产业迈向中高端，初步建成</w:t>
      </w:r>
      <w:r>
        <w:rPr>
          <w:rFonts w:hint="eastAsia"/>
          <w:color w:val="000000"/>
          <w:kern w:val="0"/>
          <w:sz w:val="26"/>
          <w:szCs w:val="28"/>
          <w:lang w:eastAsia="zh-CN"/>
        </w:rPr>
        <w:t>标准化香菇示范基地</w:t>
      </w:r>
      <w:r>
        <w:rPr>
          <w:rFonts w:hint="eastAsia"/>
          <w:color w:val="000000"/>
          <w:kern w:val="0"/>
          <w:sz w:val="26"/>
          <w:szCs w:val="28"/>
        </w:rPr>
        <w:t>强国。</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在国家及项目当地政策的倾斜和政府的大力扶持下，科技、资本、土地、人才等资源将得到进一步整合，科技创新中介平台、融资体系建设、创新机制、人才引进等方面将有新突破，从而为该项目创造了良好的政策环境。因此，本项目属于国家鼓励支持发展项目，符合国家大力发展产业链的战略部署，项目建设具备政策可行性。</w:t>
      </w:r>
    </w:p>
    <w:p>
      <w:pPr>
        <w:pStyle w:val="Heading3"/>
        <w:rPr>
          <w:rFonts w:hint="eastAsia"/>
          <w:color w:val="000000"/>
          <w:sz w:val="24"/>
          <w:szCs w:val="24"/>
        </w:rPr>
      </w:pPr>
      <w:bookmarkStart w:id="59" w:name="_Toc319069511"/>
      <w:bookmarkStart w:id="60" w:name="_Toc8780"/>
      <w:bookmarkStart w:id="61" w:name="_Toc196653792"/>
      <w:bookmarkStart w:id="62" w:name="_Toc215308197"/>
      <w:r>
        <w:rPr>
          <w:rFonts w:hint="eastAsia"/>
          <w:color w:val="000000"/>
          <w:sz w:val="24"/>
          <w:szCs w:val="24"/>
          <w:lang w:val="en-US" w:eastAsia="zh-CN"/>
        </w:rPr>
        <w:t>3</w:t>
      </w:r>
      <w:r>
        <w:rPr>
          <w:rFonts w:hint="eastAsia"/>
          <w:color w:val="000000"/>
          <w:sz w:val="24"/>
          <w:szCs w:val="24"/>
        </w:rPr>
        <w:t>.3.2技术可行性</w:t>
      </w:r>
      <w:bookmarkEnd w:id="59"/>
      <w:bookmarkEnd w:id="60"/>
      <w:bookmarkEnd w:id="61"/>
      <w:bookmarkEnd w:id="62"/>
    </w:p>
    <w:p>
      <w:pPr>
        <w:spacing w:after="156" w:afterLines="50" w:line="520" w:lineRule="exact"/>
        <w:ind w:firstLine="520" w:firstLineChars="200"/>
        <w:rPr>
          <w:rFonts w:hint="eastAsia"/>
          <w:color w:val="000000"/>
          <w:kern w:val="0"/>
          <w:sz w:val="26"/>
          <w:szCs w:val="28"/>
        </w:rPr>
        <w:sectPr>
          <w:headerReference w:type="default" r:id="rId100"/>
          <w:footerReference w:type="default" r:id="rId101"/>
          <w:headerReference w:type="first" r:id="rId102"/>
          <w:footerReference w:type="first" r:id="rId103"/>
          <w:type w:val="nextPage"/>
          <w:pgSz w:w="11906" w:h="16838"/>
          <w:pgMar w:top="1440" w:right="1800" w:bottom="1440" w:left="1800" w:header="851" w:footer="992" w:gutter="0"/>
          <w:pgNumType w:fmt="decimal" w:start="17"/>
          <w:cols w:space="708"/>
          <w:titlePg w:val="0"/>
          <w:docGrid w:type="lines" w:linePitch="312"/>
        </w:sectPr>
      </w:pPr>
      <w:bookmarkStart w:id="63" w:name="_Toc319069512"/>
      <w:bookmarkStart w:id="64" w:name="_Toc215308198"/>
      <w:bookmarkStart w:id="65" w:name="_Toc196653793"/>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本项目拥有专业研究机构和国际一流技术团队，从理论基础研究到应用研究形成多种技术路线研究应用体系。本项目产品生产技术已经达到了成熟应用阶段，该工艺适合我国的国情。本项目建设在技术上可行。项目公司已做了大量前期准备工作，同时拥有国内一流的技术队伍，资金实力及人才优势较强。项目建成后将紧跟国内国际先进技术发展步伐，不断缩短技术更新周期，对生产各环节进行全程质量控制，确保本项目技术水平的先进地位。</w:t>
      </w:r>
    </w:p>
    <w:p>
      <w:pPr>
        <w:pStyle w:val="Heading3"/>
        <w:rPr>
          <w:rFonts w:hint="eastAsia"/>
          <w:color w:val="000000"/>
          <w:sz w:val="24"/>
          <w:szCs w:val="24"/>
        </w:rPr>
      </w:pPr>
      <w:bookmarkStart w:id="66" w:name="_Toc23699"/>
      <w:r>
        <w:rPr>
          <w:rFonts w:hint="eastAsia"/>
          <w:color w:val="000000"/>
          <w:sz w:val="24"/>
          <w:szCs w:val="24"/>
          <w:lang w:val="en-US" w:eastAsia="zh-CN"/>
        </w:rPr>
        <w:t>3</w:t>
      </w:r>
      <w:r>
        <w:rPr>
          <w:rFonts w:hint="eastAsia"/>
          <w:color w:val="000000"/>
          <w:sz w:val="24"/>
          <w:szCs w:val="24"/>
        </w:rPr>
        <w:t>.3.3管理可行性</w:t>
      </w:r>
      <w:bookmarkEnd w:id="63"/>
      <w:bookmarkEnd w:id="64"/>
      <w:bookmarkEnd w:id="65"/>
      <w:bookmarkEnd w:id="66"/>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本项目将根据项目建设的实际需要，专门组建机构及经营队伍，负责项目规划、立项、设计、组织和实施。在经营管理方面将制定行之有效的各种企业管理制度和人才激励制度，确保本项目按照现代化方式运作。</w:t>
      </w:r>
    </w:p>
    <w:p>
      <w:pPr>
        <w:pStyle w:val="Heading2"/>
        <w:spacing w:before="156" w:beforeLines="50" w:after="156" w:afterLines="50" w:line="360" w:lineRule="auto"/>
        <w:rPr>
          <w:rFonts w:ascii="Times New Roman" w:eastAsia="宋体" w:hAnsi="Times New Roman" w:hint="eastAsia"/>
          <w:color w:val="000000"/>
          <w:sz w:val="26"/>
          <w:szCs w:val="28"/>
        </w:rPr>
      </w:pPr>
      <w:bookmarkStart w:id="67" w:name="_Toc319069513"/>
      <w:bookmarkStart w:id="68" w:name="_Toc6472"/>
      <w:r>
        <w:rPr>
          <w:rFonts w:ascii="Times New Roman" w:eastAsia="宋体" w:hAnsi="Times New Roman" w:hint="eastAsia"/>
          <w:color w:val="000000"/>
          <w:sz w:val="26"/>
          <w:szCs w:val="28"/>
          <w:lang w:val="en-US" w:eastAsia="zh-CN"/>
        </w:rPr>
        <w:t>3</w:t>
      </w:r>
      <w:r>
        <w:rPr>
          <w:rFonts w:ascii="Times New Roman" w:eastAsia="宋体" w:hAnsi="Times New Roman"/>
          <w:color w:val="000000"/>
          <w:sz w:val="26"/>
          <w:szCs w:val="28"/>
        </w:rPr>
        <w:t>.</w:t>
      </w:r>
      <w:r>
        <w:rPr>
          <w:rFonts w:ascii="Times New Roman" w:eastAsia="宋体" w:hAnsi="Times New Roman" w:hint="eastAsia"/>
          <w:color w:val="000000"/>
          <w:sz w:val="26"/>
          <w:szCs w:val="28"/>
        </w:rPr>
        <w:t>4分析结论</w:t>
      </w:r>
      <w:bookmarkEnd w:id="67"/>
      <w:bookmarkEnd w:id="68"/>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本项目的建设符合我国的相关产业政策，从项目实施的必要性和建设可行性分析，本项目属于国家鼓励类的建设项目，有当地政府、各相关部门的支持，按国家基本建设程序进行实施，项目符合当地产业规划的工业产业布局建设要求，项目设计可靠合理，是一项具有良好的社会效益和经济效益的项目，可见，本项目的社会及经济评价可行。</w:t>
      </w:r>
    </w:p>
    <w:p>
      <w:pPr>
        <w:spacing w:after="156" w:afterLines="50" w:line="520" w:lineRule="exact"/>
        <w:ind w:firstLine="520" w:firstLineChars="200"/>
        <w:rPr>
          <w:color w:val="000000"/>
          <w:kern w:val="0"/>
          <w:sz w:val="26"/>
          <w:szCs w:val="28"/>
        </w:rPr>
      </w:pPr>
      <w:r>
        <w:rPr>
          <w:rFonts w:hint="eastAsia"/>
          <w:color w:val="000000"/>
          <w:kern w:val="0"/>
          <w:sz w:val="26"/>
          <w:szCs w:val="28"/>
        </w:rPr>
        <w:t>综合以上因素，本项目建设可行，且十分必要。</w:t>
      </w:r>
    </w:p>
    <w:p>
      <w:pPr>
        <w:spacing w:after="156" w:afterLines="50" w:line="520" w:lineRule="exact"/>
        <w:ind w:firstLine="520" w:firstLineChars="200"/>
        <w:rPr>
          <w:color w:val="000000"/>
          <w:kern w:val="0"/>
          <w:sz w:val="26"/>
          <w:szCs w:val="28"/>
        </w:rPr>
        <w:sectPr>
          <w:headerReference w:type="default" r:id="rId104"/>
          <w:footerReference w:type="default" r:id="rId105"/>
          <w:headerReference w:type="first" r:id="rId106"/>
          <w:footerReference w:type="first" r:id="rId107"/>
          <w:type w:val="nextPage"/>
          <w:pgSz w:w="11906" w:h="16838"/>
          <w:pgMar w:top="1440" w:right="1800" w:bottom="1440" w:left="1800" w:header="851" w:footer="992" w:gutter="0"/>
          <w:pgNumType w:fmt="decimal" w:start="18"/>
          <w:cols w:space="708"/>
          <w:titlePg w:val="0"/>
          <w:docGrid w:type="lines" w:linePitch="312"/>
        </w:sectPr>
      </w:pPr>
    </w:p>
    <w:p>
      <w:pPr>
        <w:pStyle w:val="Heading1"/>
        <w:spacing w:before="100" w:beforeLines="0" w:beforeAutospacing="1" w:after="100" w:afterLines="0" w:afterAutospacing="1" w:line="360" w:lineRule="auto"/>
        <w:jc w:val="center"/>
        <w:rPr>
          <w:rFonts w:ascii="Times New Roman" w:hAnsi="宋体" w:hint="eastAsia"/>
          <w:color w:val="000000"/>
          <w:sz w:val="30"/>
        </w:rPr>
      </w:pPr>
      <w:bookmarkStart w:id="69" w:name="_Toc299461841"/>
      <w:bookmarkStart w:id="70" w:name="_Toc8512"/>
      <w:r>
        <w:rPr>
          <w:rFonts w:ascii="Times New Roman" w:hAnsi="宋体"/>
          <w:color w:val="000000"/>
          <w:sz w:val="30"/>
        </w:rPr>
        <w:t>第</w:t>
      </w:r>
      <w:r>
        <w:rPr>
          <w:rFonts w:ascii="Times New Roman" w:hAnsi="宋体" w:hint="eastAsia"/>
          <w:color w:val="000000"/>
          <w:sz w:val="30"/>
        </w:rPr>
        <w:t>四</w:t>
      </w:r>
      <w:r>
        <w:rPr>
          <w:rFonts w:ascii="Times New Roman" w:hAnsi="宋体"/>
          <w:color w:val="000000"/>
          <w:sz w:val="30"/>
        </w:rPr>
        <w:t xml:space="preserve">章 </w:t>
      </w:r>
      <w:r>
        <w:rPr>
          <w:rFonts w:ascii="Times New Roman" w:hAnsi="宋体" w:hint="eastAsia"/>
          <w:color w:val="000000"/>
          <w:sz w:val="30"/>
        </w:rPr>
        <w:t>项目建设条件</w:t>
      </w:r>
      <w:bookmarkEnd w:id="69"/>
      <w:bookmarkEnd w:id="70"/>
    </w:p>
    <w:p>
      <w:pPr>
        <w:pStyle w:val="Heading2"/>
        <w:spacing w:before="100" w:beforeLines="0" w:beforeAutospacing="1" w:after="156" w:afterLines="50" w:line="360" w:lineRule="auto"/>
        <w:rPr>
          <w:rFonts w:ascii="Times New Roman" w:eastAsia="宋体" w:hAnsi="Times New Roman"/>
          <w:color w:val="000000"/>
          <w:sz w:val="26"/>
        </w:rPr>
      </w:pPr>
      <w:bookmarkStart w:id="71" w:name="_Toc3330"/>
      <w:bookmarkStart w:id="72" w:name="_Toc516695505"/>
      <w:r>
        <w:rPr>
          <w:rFonts w:ascii="Times New Roman" w:eastAsia="宋体" w:hAnsi="Times New Roman" w:hint="eastAsia"/>
          <w:color w:val="000000"/>
          <w:sz w:val="26"/>
          <w:lang w:val="en-US" w:eastAsia="zh-CN"/>
        </w:rPr>
        <w:t>4</w:t>
      </w:r>
      <w:r>
        <w:rPr>
          <w:rFonts w:ascii="Times New Roman" w:eastAsia="宋体" w:hAnsi="Times New Roman"/>
          <w:color w:val="000000"/>
          <w:sz w:val="26"/>
        </w:rPr>
        <w:t>.1</w:t>
      </w:r>
      <w:r>
        <w:rPr>
          <w:rFonts w:ascii="Times New Roman" w:eastAsia="宋体" w:hAnsi="Times New Roman" w:hint="eastAsia"/>
          <w:color w:val="000000"/>
          <w:sz w:val="26"/>
        </w:rPr>
        <w:t>地理位置选择</w:t>
      </w:r>
      <w:bookmarkEnd w:id="71"/>
    </w:p>
    <w:p>
      <w:pPr>
        <w:spacing w:after="156" w:afterLines="50" w:line="520" w:lineRule="exact"/>
        <w:ind w:firstLine="520" w:firstLineChars="200"/>
        <w:rPr>
          <w:rFonts w:hint="eastAsia"/>
          <w:color w:val="000000"/>
          <w:sz w:val="26"/>
        </w:rPr>
      </w:pPr>
      <w:r>
        <w:rPr>
          <w:rFonts w:hint="eastAsia"/>
          <w:color w:val="000000"/>
          <w:sz w:val="26"/>
        </w:rPr>
        <w:t>本项目选址位于</w:t>
      </w:r>
      <w:r>
        <w:rPr>
          <w:color w:val="000000"/>
          <w:sz w:val="26"/>
        </w:rPr>
        <w:t>湖北省</w:t>
      </w:r>
      <w:r>
        <w:rPr>
          <w:rFonts w:hint="eastAsia"/>
          <w:color w:val="000000"/>
          <w:sz w:val="26"/>
        </w:rPr>
        <w:t>武汉经济技术开发区。</w:t>
      </w:r>
    </w:p>
    <w:p>
      <w:pPr>
        <w:widowControl/>
        <w:jc w:val="left"/>
        <w:rPr>
          <w:rFonts w:ascii="宋体" w:hAnsi="宋体" w:cs="宋体"/>
          <w:color w:val="000000"/>
          <w:kern w:val="0"/>
          <w:sz w:val="24"/>
        </w:rPr>
      </w:pPr>
      <w:r>
        <w:rPr>
          <w:rFonts w:ascii="宋体" w:hAnsi="宋体" w:cs="宋体"/>
          <w:color w:val="000000"/>
          <w:kern w:val="0"/>
          <w:sz w:val="24"/>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图片 16" o:spid="_x0000_i1025" type="#_x0000_t75" style="width:384.7pt;height:236.2pt;mso-position-horizontal-relative:page;mso-position-vertical-relative:page;mso-wrap-style:square" o:preferrelative="t" filled="f" stroked="f">
            <v:fill o:detectmouseclick="t"/>
            <v:stroke linestyle="single"/>
            <v:imagedata r:id="rId108" o:title=""/>
            <v:path o:extrusionok="f"/>
            <o:lock v:ext="edit" aspectratio="t"/>
          </v:shape>
        </w:pict>
      </w:r>
    </w:p>
    <w:p>
      <w:pPr>
        <w:spacing w:after="156" w:afterLines="50" w:line="520" w:lineRule="exact"/>
        <w:ind w:firstLine="520" w:firstLineChars="200"/>
        <w:jc w:val="center"/>
        <w:rPr>
          <w:rFonts w:ascii="黑体" w:eastAsia="黑体" w:hAnsi="黑体" w:hint="eastAsia"/>
          <w:color w:val="000000"/>
          <w:sz w:val="26"/>
        </w:rPr>
      </w:pPr>
      <w:r>
        <w:rPr>
          <w:rFonts w:ascii="黑体" w:eastAsia="黑体" w:hAnsi="黑体" w:hint="eastAsia"/>
          <w:color w:val="000000"/>
          <w:sz w:val="26"/>
        </w:rPr>
        <w:t>项目区域位置示意图</w:t>
      </w:r>
    </w:p>
    <w:p>
      <w:pPr>
        <w:pStyle w:val="Heading2"/>
        <w:spacing w:before="100" w:beforeLines="0" w:beforeAutospacing="1" w:after="100" w:afterLines="0" w:afterAutospacing="1" w:line="360" w:lineRule="auto"/>
        <w:rPr>
          <w:rFonts w:ascii="Times New Roman" w:eastAsia="宋体" w:hAnsi="Times New Roman" w:hint="eastAsia"/>
          <w:color w:val="000000"/>
          <w:sz w:val="26"/>
        </w:rPr>
      </w:pPr>
      <w:bookmarkStart w:id="73" w:name="_Toc427693682"/>
      <w:bookmarkStart w:id="74" w:name="_Toc261422190"/>
      <w:bookmarkStart w:id="75" w:name="_Toc517425027"/>
      <w:bookmarkStart w:id="76" w:name="_Toc17640"/>
      <w:r>
        <w:rPr>
          <w:rFonts w:ascii="Times New Roman" w:eastAsia="宋体" w:hAnsi="Times New Roman" w:hint="eastAsia"/>
          <w:color w:val="000000"/>
          <w:sz w:val="26"/>
          <w:lang w:val="en-US" w:eastAsia="zh-CN"/>
        </w:rPr>
        <w:t>4</w:t>
      </w:r>
      <w:r>
        <w:rPr>
          <w:rFonts w:ascii="Times New Roman" w:eastAsia="宋体" w:hAnsi="Times New Roman"/>
          <w:color w:val="000000"/>
          <w:sz w:val="26"/>
        </w:rPr>
        <w:t>.2</w:t>
      </w:r>
      <w:r>
        <w:rPr>
          <w:rFonts w:ascii="Times New Roman" w:eastAsia="宋体" w:hAnsi="Times New Roman" w:hint="eastAsia"/>
          <w:color w:val="000000"/>
          <w:sz w:val="26"/>
        </w:rPr>
        <w:t>区域</w:t>
      </w:r>
      <w:bookmarkEnd w:id="73"/>
      <w:bookmarkEnd w:id="74"/>
      <w:r>
        <w:rPr>
          <w:rFonts w:ascii="Times New Roman" w:eastAsia="宋体" w:hAnsi="Times New Roman" w:hint="eastAsia"/>
          <w:color w:val="000000"/>
          <w:sz w:val="26"/>
        </w:rPr>
        <w:t>建设条件</w:t>
      </w:r>
      <w:bookmarkEnd w:id="75"/>
      <w:bookmarkEnd w:id="76"/>
    </w:p>
    <w:p>
      <w:pPr>
        <w:pStyle w:val="Heading3"/>
        <w:spacing w:before="120" w:after="120" w:line="415" w:lineRule="auto"/>
        <w:rPr>
          <w:rFonts w:hint="eastAsia"/>
          <w:color w:val="000000"/>
          <w:sz w:val="24"/>
        </w:rPr>
      </w:pPr>
      <w:bookmarkStart w:id="77" w:name="_Toc22817"/>
      <w:bookmarkStart w:id="78" w:name="_Toc517425028"/>
      <w:r>
        <w:rPr>
          <w:rFonts w:hint="eastAsia"/>
          <w:color w:val="000000"/>
          <w:sz w:val="24"/>
          <w:lang w:val="en-US" w:eastAsia="zh-CN"/>
        </w:rPr>
        <w:t>4</w:t>
      </w:r>
      <w:r>
        <w:rPr>
          <w:color w:val="000000"/>
          <w:sz w:val="24"/>
        </w:rPr>
        <w:t>.2.1</w:t>
      </w:r>
      <w:r>
        <w:rPr>
          <w:rFonts w:hint="eastAsia"/>
          <w:color w:val="000000"/>
          <w:sz w:val="24"/>
        </w:rPr>
        <w:t>区域位置概况</w:t>
      </w:r>
      <w:bookmarkEnd w:id="77"/>
      <w:bookmarkEnd w:id="78"/>
    </w:p>
    <w:p>
      <w:pPr>
        <w:spacing w:after="156" w:afterLines="50" w:line="520" w:lineRule="exact"/>
        <w:ind w:firstLine="520" w:firstLineChars="200"/>
        <w:rPr>
          <w:rFonts w:hint="eastAsia"/>
          <w:color w:val="000000"/>
          <w:kern w:val="0"/>
          <w:sz w:val="26"/>
          <w:szCs w:val="28"/>
        </w:rPr>
      </w:pPr>
      <w:r>
        <w:rPr>
          <w:color w:val="000000"/>
          <w:kern w:val="0"/>
          <w:sz w:val="26"/>
          <w:szCs w:val="28"/>
        </w:rPr>
        <w:t>武汉，简称“汉”，别称“</w:t>
      </w:r>
      <w:hyperlink r:id="rId109" w:tgtFrame="_blank" w:history="1">
        <w:r>
          <w:rPr>
            <w:color w:val="000000"/>
            <w:kern w:val="0"/>
            <w:sz w:val="26"/>
            <w:szCs w:val="28"/>
          </w:rPr>
          <w:t>江城</w:t>
        </w:r>
      </w:hyperlink>
      <w:r>
        <w:rPr>
          <w:color w:val="000000"/>
          <w:kern w:val="0"/>
          <w:sz w:val="26"/>
          <w:szCs w:val="28"/>
        </w:rPr>
        <w:t>”，是</w:t>
      </w:r>
      <w:hyperlink r:id="rId110" w:tgtFrame="_blank" w:history="1">
        <w:r>
          <w:rPr>
            <w:color w:val="000000"/>
            <w:kern w:val="0"/>
            <w:sz w:val="26"/>
            <w:szCs w:val="28"/>
          </w:rPr>
          <w:t>湖北省</w:t>
        </w:r>
      </w:hyperlink>
      <w:r>
        <w:rPr>
          <w:color w:val="000000"/>
          <w:kern w:val="0"/>
          <w:sz w:val="26"/>
          <w:szCs w:val="28"/>
        </w:rPr>
        <w:t>省会、</w:t>
      </w:r>
      <w:hyperlink r:id="rId111" w:tgtFrame="_blank" w:history="1">
        <w:r>
          <w:rPr>
            <w:color w:val="000000"/>
            <w:kern w:val="0"/>
            <w:sz w:val="26"/>
            <w:szCs w:val="28"/>
          </w:rPr>
          <w:t>中部六省</w:t>
        </w:r>
      </w:hyperlink>
      <w:r>
        <w:rPr>
          <w:color w:val="000000"/>
          <w:kern w:val="0"/>
          <w:sz w:val="26"/>
          <w:szCs w:val="28"/>
        </w:rPr>
        <w:t>唯一的</w:t>
      </w:r>
      <w:hyperlink r:id="rId112" w:tgtFrame="_blank" w:history="1">
        <w:r>
          <w:rPr>
            <w:color w:val="000000"/>
            <w:kern w:val="0"/>
            <w:sz w:val="26"/>
            <w:szCs w:val="28"/>
          </w:rPr>
          <w:t>副省级市</w:t>
        </w:r>
      </w:hyperlink>
      <w:r>
        <w:rPr>
          <w:color w:val="000000"/>
          <w:kern w:val="0"/>
          <w:sz w:val="26"/>
          <w:szCs w:val="28"/>
        </w:rPr>
        <w:t>和</w:t>
      </w:r>
      <w:hyperlink r:id="rId113" w:tgtFrame="_blank" w:history="1">
        <w:r>
          <w:rPr>
            <w:color w:val="000000"/>
            <w:kern w:val="0"/>
            <w:sz w:val="26"/>
            <w:szCs w:val="28"/>
          </w:rPr>
          <w:t>特大城市</w:t>
        </w:r>
      </w:hyperlink>
      <w:r>
        <w:rPr>
          <w:color w:val="000000"/>
          <w:kern w:val="0"/>
          <w:sz w:val="26"/>
          <w:szCs w:val="28"/>
        </w:rPr>
        <w:t>，中国</w:t>
      </w:r>
      <w:hyperlink r:id="rId114" w:tgtFrame="_blank" w:history="1">
        <w:r>
          <w:rPr>
            <w:color w:val="000000"/>
            <w:kern w:val="0"/>
            <w:sz w:val="26"/>
            <w:szCs w:val="28"/>
          </w:rPr>
          <w:t>中部地区</w:t>
        </w:r>
      </w:hyperlink>
      <w:r>
        <w:rPr>
          <w:color w:val="000000"/>
          <w:kern w:val="0"/>
          <w:sz w:val="26"/>
          <w:szCs w:val="28"/>
        </w:rPr>
        <w:t>的</w:t>
      </w:r>
      <w:hyperlink r:id="rId115" w:tgtFrame="_blank" w:history="1">
        <w:r>
          <w:rPr>
            <w:color w:val="000000"/>
            <w:kern w:val="0"/>
            <w:sz w:val="26"/>
            <w:szCs w:val="28"/>
          </w:rPr>
          <w:t>中心城市</w:t>
        </w:r>
      </w:hyperlink>
      <w:r>
        <w:rPr>
          <w:color w:val="000000"/>
          <w:kern w:val="0"/>
          <w:sz w:val="26"/>
          <w:szCs w:val="28"/>
        </w:rPr>
        <w:t>，</w:t>
      </w:r>
      <w:hyperlink r:id="rId116" w:tgtFrame="_blank" w:history="1">
        <w:r>
          <w:rPr>
            <w:color w:val="000000"/>
            <w:kern w:val="0"/>
            <w:sz w:val="26"/>
            <w:szCs w:val="28"/>
          </w:rPr>
          <w:t>长江经济带</w:t>
        </w:r>
      </w:hyperlink>
      <w:r>
        <w:rPr>
          <w:color w:val="000000"/>
          <w:kern w:val="0"/>
          <w:sz w:val="26"/>
          <w:szCs w:val="28"/>
        </w:rPr>
        <w:t>核心城市，全国重要的工业基地、科教基地和</w:t>
      </w:r>
      <w:hyperlink r:id="rId117" w:tgtFrame="_blank" w:history="1">
        <w:r>
          <w:rPr>
            <w:color w:val="000000"/>
            <w:kern w:val="0"/>
            <w:sz w:val="26"/>
            <w:szCs w:val="28"/>
          </w:rPr>
          <w:t>综合交通枢纽</w:t>
        </w:r>
      </w:hyperlink>
      <w:r>
        <w:rPr>
          <w:color w:val="000000"/>
          <w:kern w:val="0"/>
          <w:sz w:val="26"/>
          <w:szCs w:val="28"/>
        </w:rPr>
        <w:t>，也是中央军委</w:t>
      </w:r>
      <w:hyperlink r:id="rId118" w:tgtFrame="_blank" w:history="1">
        <w:r>
          <w:rPr>
            <w:color w:val="000000"/>
            <w:kern w:val="0"/>
            <w:sz w:val="26"/>
            <w:szCs w:val="28"/>
          </w:rPr>
          <w:t>武汉联勤保障基地</w:t>
        </w:r>
      </w:hyperlink>
      <w:r>
        <w:rPr>
          <w:color w:val="000000"/>
          <w:kern w:val="0"/>
          <w:sz w:val="26"/>
          <w:szCs w:val="28"/>
        </w:rPr>
        <w:t>驻所。全市下辖13个市辖区，总面积8494.41平方公里，2017年常住人口1091.4万人。</w:t>
      </w:r>
    </w:p>
    <w:p>
      <w:pPr>
        <w:spacing w:after="156" w:afterLines="50" w:line="520" w:lineRule="exact"/>
        <w:ind w:firstLine="520" w:firstLineChars="200"/>
        <w:rPr>
          <w:color w:val="000000"/>
          <w:kern w:val="0"/>
          <w:sz w:val="26"/>
          <w:szCs w:val="28"/>
        </w:rPr>
        <w:sectPr>
          <w:headerReference w:type="default" r:id="rId119"/>
          <w:footerReference w:type="default" r:id="rId120"/>
          <w:headerReference w:type="first" r:id="rId121"/>
          <w:footerReference w:type="first" r:id="rId122"/>
          <w:pgSz w:w="11906" w:h="16838"/>
          <w:pgMar w:top="1440" w:right="1797" w:bottom="1440" w:left="1797" w:header="851" w:footer="992" w:gutter="0"/>
          <w:pgNumType w:fmt="decimal" w:start="19"/>
          <w:cols w:space="708"/>
          <w:docGrid w:type="linesAndChars" w:linePitch="312"/>
        </w:sectPr>
      </w:pPr>
      <w:r>
        <w:rPr>
          <w:color w:val="000000"/>
          <w:kern w:val="0"/>
          <w:sz w:val="26"/>
          <w:szCs w:val="28"/>
        </w:rPr>
        <w:t>武汉地处</w:t>
      </w:r>
      <w:hyperlink r:id="rId123" w:tgtFrame="_blank" w:history="1">
        <w:r>
          <w:rPr>
            <w:color w:val="000000"/>
            <w:kern w:val="0"/>
            <w:sz w:val="26"/>
            <w:szCs w:val="28"/>
          </w:rPr>
          <w:t>江汉平原</w:t>
        </w:r>
      </w:hyperlink>
      <w:r>
        <w:rPr>
          <w:color w:val="000000"/>
          <w:kern w:val="0"/>
          <w:sz w:val="26"/>
          <w:szCs w:val="28"/>
        </w:rPr>
        <w:t>东部、长江中游。世界第三大河</w:t>
      </w:r>
      <w:hyperlink r:id="rId124" w:tgtFrame="_blank" w:history="1">
        <w:r>
          <w:rPr>
            <w:color w:val="000000"/>
            <w:kern w:val="0"/>
            <w:sz w:val="26"/>
            <w:szCs w:val="28"/>
          </w:rPr>
          <w:t>长江</w:t>
        </w:r>
      </w:hyperlink>
      <w:r>
        <w:rPr>
          <w:color w:val="000000"/>
          <w:kern w:val="0"/>
          <w:sz w:val="26"/>
          <w:szCs w:val="28"/>
        </w:rPr>
        <w:t>及其最大支流</w:t>
      </w:r>
      <w:hyperlink r:id="rId125" w:tgtFrame="_blank" w:history="1">
        <w:r>
          <w:rPr>
            <w:color w:val="000000"/>
            <w:kern w:val="0"/>
            <w:sz w:val="26"/>
            <w:szCs w:val="28"/>
          </w:rPr>
          <w:t>汉江</w:t>
        </w:r>
      </w:hyperlink>
      <w:r>
        <w:rPr>
          <w:color w:val="000000"/>
          <w:kern w:val="0"/>
          <w:sz w:val="26"/>
          <w:szCs w:val="28"/>
        </w:rPr>
        <w:t>横贯市境中央，将武汉</w:t>
      </w:r>
      <w:hyperlink r:id="rId126" w:tgtFrame="_blank" w:history="1">
        <w:r>
          <w:rPr>
            <w:color w:val="000000"/>
            <w:kern w:val="0"/>
            <w:sz w:val="26"/>
            <w:szCs w:val="28"/>
          </w:rPr>
          <w:t>中心城区</w:t>
        </w:r>
      </w:hyperlink>
      <w:r>
        <w:rPr>
          <w:color w:val="000000"/>
          <w:kern w:val="0"/>
          <w:sz w:val="26"/>
          <w:szCs w:val="28"/>
        </w:rPr>
        <w:t>一分为三，形成</w:t>
      </w:r>
      <w:hyperlink r:id="rId127" w:tgtFrame="_blank" w:history="1">
        <w:r>
          <w:rPr>
            <w:color w:val="000000"/>
            <w:kern w:val="0"/>
            <w:sz w:val="26"/>
            <w:szCs w:val="28"/>
          </w:rPr>
          <w:t>武汉三镇</w:t>
        </w:r>
      </w:hyperlink>
      <w:r>
        <w:rPr>
          <w:color w:val="000000"/>
          <w:kern w:val="0"/>
          <w:sz w:val="26"/>
          <w:szCs w:val="28"/>
        </w:rPr>
        <w:t>（</w:t>
      </w:r>
      <w:hyperlink r:id="rId128" w:tgtFrame="_blank" w:history="1">
        <w:r>
          <w:rPr>
            <w:color w:val="000000"/>
            <w:kern w:val="0"/>
            <w:sz w:val="26"/>
            <w:szCs w:val="28"/>
          </w:rPr>
          <w:t>武昌</w:t>
        </w:r>
      </w:hyperlink>
      <w:r>
        <w:rPr>
          <w:color w:val="000000"/>
          <w:kern w:val="0"/>
          <w:sz w:val="26"/>
          <w:szCs w:val="28"/>
        </w:rPr>
        <w:t>、</w:t>
      </w:r>
      <w:r>
        <w:rPr>
          <w:color w:val="000000"/>
          <w:kern w:val="0"/>
          <w:sz w:val="26"/>
          <w:szCs w:val="28"/>
        </w:rPr>
        <w:fldChar w:fldCharType="begin"/>
      </w:r>
      <w:r>
        <w:rPr>
          <w:color w:val="000000"/>
          <w:kern w:val="0"/>
          <w:sz w:val="26"/>
          <w:szCs w:val="28"/>
        </w:rPr>
        <w:instrText xml:space="preserve"> HYPERLINK "https://baike.baidu.com/item/%E6%B1%89%E5%8F%A3/809141" \t "_blank" </w:instrText>
      </w:r>
      <w:r>
        <w:rPr>
          <w:color w:val="000000"/>
          <w:kern w:val="0"/>
          <w:sz w:val="26"/>
          <w:szCs w:val="28"/>
        </w:rPr>
        <w:fldChar w:fldCharType="separate"/>
      </w:r>
    </w:p>
    <w:p>
      <w:pPr>
        <w:spacing w:after="156" w:afterLines="50" w:line="520" w:lineRule="exact"/>
        <w:ind w:firstLine="520" w:firstLineChars="200"/>
        <w:rPr>
          <w:color w:val="000000"/>
          <w:kern w:val="0"/>
          <w:sz w:val="26"/>
          <w:szCs w:val="28"/>
        </w:rPr>
      </w:pPr>
      <w:r>
        <w:rPr>
          <w:color w:val="000000"/>
          <w:kern w:val="0"/>
          <w:sz w:val="26"/>
          <w:szCs w:val="28"/>
        </w:rPr>
        <w:t>汉口</w:t>
      </w:r>
      <w:r>
        <w:rPr>
          <w:color w:val="000000"/>
          <w:kern w:val="0"/>
          <w:sz w:val="26"/>
          <w:szCs w:val="28"/>
        </w:rPr>
        <w:fldChar w:fldCharType="end"/>
      </w:r>
      <w:r>
        <w:rPr>
          <w:color w:val="000000"/>
          <w:kern w:val="0"/>
          <w:sz w:val="26"/>
          <w:szCs w:val="28"/>
        </w:rPr>
        <w:t>、</w:t>
      </w:r>
      <w:hyperlink r:id="rId129" w:tgtFrame="_blank" w:history="1">
        <w:r>
          <w:rPr>
            <w:color w:val="000000"/>
            <w:kern w:val="0"/>
            <w:sz w:val="26"/>
            <w:szCs w:val="28"/>
          </w:rPr>
          <w:t>汉阳</w:t>
        </w:r>
      </w:hyperlink>
      <w:r>
        <w:rPr>
          <w:color w:val="000000"/>
          <w:kern w:val="0"/>
          <w:sz w:val="26"/>
          <w:szCs w:val="28"/>
        </w:rPr>
        <w:t>）隔江鼎立的格局，市内江河纵横、湖港交织，水域面积占全市总面积的四分之一，构成了武汉滨江滨湖的水域生态环境。武汉有“</w:t>
      </w:r>
      <w:hyperlink r:id="rId130" w:tgtFrame="_blank" w:history="1">
        <w:r>
          <w:rPr>
            <w:color w:val="000000"/>
            <w:kern w:val="0"/>
            <w:sz w:val="26"/>
            <w:szCs w:val="28"/>
          </w:rPr>
          <w:t>九省通衢</w:t>
        </w:r>
      </w:hyperlink>
      <w:r>
        <w:rPr>
          <w:color w:val="000000"/>
          <w:kern w:val="0"/>
          <w:sz w:val="26"/>
          <w:szCs w:val="28"/>
        </w:rPr>
        <w:t>”之称，是中国内陆最大的水陆空交通枢纽、长江中游航运中心，其高铁网辐射大半个中国，拥有55条国际和地区航线，是</w:t>
      </w:r>
      <w:hyperlink r:id="rId131" w:tgtFrame="_blank" w:history="1">
        <w:r>
          <w:rPr>
            <w:color w:val="000000"/>
            <w:kern w:val="0"/>
            <w:sz w:val="26"/>
            <w:szCs w:val="28"/>
          </w:rPr>
          <w:t>华中地区</w:t>
        </w:r>
      </w:hyperlink>
      <w:r>
        <w:rPr>
          <w:color w:val="000000"/>
          <w:kern w:val="0"/>
          <w:sz w:val="26"/>
          <w:szCs w:val="28"/>
        </w:rPr>
        <w:t>唯一可直航全球四大洲的城市。</w:t>
      </w:r>
    </w:p>
    <w:p>
      <w:pPr>
        <w:spacing w:after="156" w:afterLines="50" w:line="520" w:lineRule="exact"/>
        <w:ind w:firstLine="520" w:firstLineChars="200"/>
        <w:rPr>
          <w:color w:val="000000"/>
          <w:kern w:val="0"/>
          <w:sz w:val="26"/>
          <w:szCs w:val="28"/>
        </w:rPr>
      </w:pPr>
      <w:r>
        <w:rPr>
          <w:color w:val="000000"/>
          <w:kern w:val="0"/>
          <w:sz w:val="26"/>
          <w:szCs w:val="28"/>
        </w:rPr>
        <w:t>武汉是</w:t>
      </w:r>
      <w:hyperlink r:id="rId132" w:tgtFrame="_blank" w:history="1">
        <w:r>
          <w:rPr>
            <w:color w:val="000000"/>
            <w:kern w:val="0"/>
            <w:sz w:val="26"/>
            <w:szCs w:val="28"/>
          </w:rPr>
          <w:t>国家历史文化名城</w:t>
        </w:r>
      </w:hyperlink>
      <w:r>
        <w:rPr>
          <w:color w:val="000000"/>
          <w:kern w:val="0"/>
          <w:sz w:val="26"/>
          <w:szCs w:val="28"/>
        </w:rPr>
        <w:t>、</w:t>
      </w:r>
      <w:hyperlink r:id="rId133" w:tgtFrame="_blank" w:history="1">
        <w:r>
          <w:rPr>
            <w:color w:val="000000"/>
            <w:kern w:val="0"/>
            <w:sz w:val="26"/>
            <w:szCs w:val="28"/>
          </w:rPr>
          <w:t>楚文化</w:t>
        </w:r>
      </w:hyperlink>
      <w:r>
        <w:rPr>
          <w:color w:val="000000"/>
          <w:kern w:val="0"/>
          <w:sz w:val="26"/>
          <w:szCs w:val="28"/>
        </w:rPr>
        <w:t>的重要发祥地，境内</w:t>
      </w:r>
      <w:hyperlink r:id="rId134" w:tgtFrame="_blank" w:history="1">
        <w:r>
          <w:rPr>
            <w:color w:val="000000"/>
            <w:kern w:val="0"/>
            <w:sz w:val="26"/>
            <w:szCs w:val="28"/>
          </w:rPr>
          <w:t>盘龙城遗址</w:t>
        </w:r>
      </w:hyperlink>
      <w:r>
        <w:rPr>
          <w:color w:val="000000"/>
          <w:kern w:val="0"/>
          <w:sz w:val="26"/>
          <w:szCs w:val="28"/>
        </w:rPr>
        <w:t>有3500年历史。</w:t>
      </w:r>
      <w:hyperlink r:id="rId135" w:tgtFrame="_blank" w:history="1">
        <w:r>
          <w:rPr>
            <w:color w:val="000000"/>
            <w:kern w:val="0"/>
            <w:sz w:val="26"/>
            <w:szCs w:val="28"/>
          </w:rPr>
          <w:t>春秋战国</w:t>
        </w:r>
      </w:hyperlink>
      <w:r>
        <w:rPr>
          <w:color w:val="000000"/>
          <w:kern w:val="0"/>
          <w:sz w:val="26"/>
          <w:szCs w:val="28"/>
        </w:rPr>
        <w:t>以来，武汉地区一直是中国南方的军事和商业重镇。清末</w:t>
      </w:r>
      <w:hyperlink r:id="rId136" w:tgtFrame="_blank" w:history="1">
        <w:r>
          <w:rPr>
            <w:color w:val="000000"/>
            <w:kern w:val="0"/>
            <w:sz w:val="26"/>
            <w:szCs w:val="28"/>
          </w:rPr>
          <w:t>洋务运动</w:t>
        </w:r>
      </w:hyperlink>
      <w:r>
        <w:rPr>
          <w:color w:val="000000"/>
          <w:kern w:val="0"/>
          <w:sz w:val="26"/>
          <w:szCs w:val="28"/>
        </w:rPr>
        <w:t>促进了武汉工业兴起和经济发展，使其成为近代中国重要的经济中心。武汉是中国</w:t>
      </w:r>
      <w:hyperlink r:id="rId137" w:tgtFrame="_blank" w:history="1">
        <w:r>
          <w:rPr>
            <w:color w:val="000000"/>
            <w:kern w:val="0"/>
            <w:sz w:val="26"/>
            <w:szCs w:val="28"/>
          </w:rPr>
          <w:t>民主革命</w:t>
        </w:r>
      </w:hyperlink>
      <w:r>
        <w:rPr>
          <w:color w:val="000000"/>
          <w:kern w:val="0"/>
          <w:sz w:val="26"/>
          <w:szCs w:val="28"/>
        </w:rPr>
        <w:t>的发祥地，</w:t>
      </w:r>
      <w:hyperlink r:id="rId138" w:tgtFrame="_blank" w:history="1">
        <w:r>
          <w:rPr>
            <w:color w:val="000000"/>
            <w:kern w:val="0"/>
            <w:sz w:val="26"/>
            <w:szCs w:val="28"/>
          </w:rPr>
          <w:t>武昌起义</w:t>
        </w:r>
      </w:hyperlink>
      <w:r>
        <w:rPr>
          <w:color w:val="000000"/>
          <w:kern w:val="0"/>
          <w:sz w:val="26"/>
          <w:szCs w:val="28"/>
        </w:rPr>
        <w:t>作为</w:t>
      </w:r>
      <w:hyperlink r:id="rId139" w:tgtFrame="_blank" w:history="1">
        <w:r>
          <w:rPr>
            <w:color w:val="000000"/>
            <w:kern w:val="0"/>
            <w:sz w:val="26"/>
            <w:szCs w:val="28"/>
          </w:rPr>
          <w:t>辛亥革命</w:t>
        </w:r>
      </w:hyperlink>
      <w:r>
        <w:rPr>
          <w:color w:val="000000"/>
          <w:kern w:val="0"/>
          <w:sz w:val="26"/>
          <w:szCs w:val="28"/>
        </w:rPr>
        <w:t>的开端，具有重要历史意义。</w:t>
      </w:r>
    </w:p>
    <w:p>
      <w:pPr>
        <w:spacing w:after="156" w:afterLines="50" w:line="520" w:lineRule="exact"/>
        <w:ind w:firstLine="520" w:firstLineChars="200"/>
        <w:rPr>
          <w:color w:val="000000"/>
          <w:kern w:val="0"/>
          <w:sz w:val="26"/>
          <w:szCs w:val="28"/>
        </w:rPr>
      </w:pPr>
      <w:r>
        <w:rPr>
          <w:color w:val="000000"/>
          <w:kern w:val="0"/>
          <w:sz w:val="26"/>
          <w:szCs w:val="28"/>
        </w:rPr>
        <w:t>2016年10月，</w:t>
      </w:r>
      <w:hyperlink r:id="rId140" w:tgtFrame="_blank" w:history="1">
        <w:r>
          <w:rPr>
            <w:color w:val="000000"/>
            <w:kern w:val="0"/>
            <w:sz w:val="26"/>
            <w:szCs w:val="28"/>
          </w:rPr>
          <w:t>中共中央</w:t>
        </w:r>
      </w:hyperlink>
      <w:r>
        <w:rPr>
          <w:color w:val="000000"/>
          <w:kern w:val="0"/>
          <w:sz w:val="26"/>
          <w:szCs w:val="28"/>
        </w:rPr>
        <w:t>发布的《</w:t>
      </w:r>
      <w:hyperlink r:id="rId141" w:tgtFrame="_blank" w:history="1">
        <w:r>
          <w:rPr>
            <w:color w:val="000000"/>
            <w:kern w:val="0"/>
            <w:sz w:val="26"/>
            <w:szCs w:val="28"/>
          </w:rPr>
          <w:t>长江经济带发展规划纲要</w:t>
        </w:r>
      </w:hyperlink>
      <w:r>
        <w:rPr>
          <w:color w:val="000000"/>
          <w:kern w:val="0"/>
          <w:sz w:val="26"/>
          <w:szCs w:val="28"/>
        </w:rPr>
        <w:t>》将武汉列为</w:t>
      </w:r>
      <w:hyperlink r:id="rId142" w:tgtFrame="_blank" w:history="1">
        <w:r>
          <w:rPr>
            <w:color w:val="000000"/>
            <w:kern w:val="0"/>
            <w:sz w:val="26"/>
            <w:szCs w:val="28"/>
          </w:rPr>
          <w:t>超大城市</w:t>
        </w:r>
      </w:hyperlink>
      <w:r>
        <w:rPr>
          <w:color w:val="000000"/>
          <w:kern w:val="0"/>
          <w:sz w:val="26"/>
          <w:szCs w:val="28"/>
        </w:rPr>
        <w:t>；同年12月，</w:t>
      </w:r>
      <w:hyperlink r:id="rId143" w:tgtFrame="_blank" w:history="1">
        <w:r>
          <w:rPr>
            <w:color w:val="000000"/>
            <w:kern w:val="0"/>
            <w:sz w:val="26"/>
            <w:szCs w:val="28"/>
          </w:rPr>
          <w:t>国家发改委</w:t>
        </w:r>
      </w:hyperlink>
      <w:r>
        <w:rPr>
          <w:color w:val="000000"/>
          <w:kern w:val="0"/>
          <w:sz w:val="26"/>
          <w:szCs w:val="28"/>
        </w:rPr>
        <w:t>明确要求武汉加快建成以全国经济中心、高水平科技创新中心、商贸物流中心和国际交往中心四大功能为支撑的</w:t>
      </w:r>
      <w:hyperlink r:id="rId144" w:tgtFrame="_blank" w:history="1">
        <w:r>
          <w:rPr>
            <w:color w:val="000000"/>
            <w:kern w:val="0"/>
            <w:sz w:val="26"/>
            <w:szCs w:val="28"/>
          </w:rPr>
          <w:t>国家中心城市</w:t>
        </w:r>
      </w:hyperlink>
      <w:r>
        <w:rPr>
          <w:color w:val="000000"/>
          <w:kern w:val="0"/>
          <w:sz w:val="26"/>
          <w:szCs w:val="28"/>
        </w:rPr>
        <w:t>。</w:t>
      </w:r>
    </w:p>
    <w:p>
      <w:pPr>
        <w:spacing w:after="156" w:afterLines="50" w:line="520" w:lineRule="exact"/>
        <w:ind w:firstLine="520" w:firstLineChars="200"/>
        <w:rPr>
          <w:color w:val="000000"/>
          <w:kern w:val="0"/>
          <w:sz w:val="26"/>
          <w:szCs w:val="28"/>
        </w:rPr>
      </w:pPr>
      <w:r>
        <w:rPr>
          <w:color w:val="000000"/>
          <w:kern w:val="0"/>
          <w:sz w:val="26"/>
          <w:szCs w:val="28"/>
        </w:rPr>
        <w:t>2019年10月，</w:t>
      </w:r>
      <w:hyperlink r:id="rId145" w:tgtFrame="_blank" w:history="1">
        <w:r>
          <w:rPr>
            <w:color w:val="000000"/>
            <w:kern w:val="0"/>
            <w:sz w:val="26"/>
            <w:szCs w:val="28"/>
          </w:rPr>
          <w:t>第七届世界军人运动会</w:t>
        </w:r>
      </w:hyperlink>
      <w:r>
        <w:rPr>
          <w:color w:val="000000"/>
          <w:kern w:val="0"/>
          <w:sz w:val="26"/>
          <w:szCs w:val="28"/>
        </w:rPr>
        <w:t>将在武汉举行。</w:t>
      </w:r>
    </w:p>
    <w:p>
      <w:pPr>
        <w:pStyle w:val="Heading3"/>
        <w:spacing w:before="120" w:after="120" w:line="415" w:lineRule="auto"/>
        <w:rPr>
          <w:rFonts w:hint="eastAsia"/>
          <w:color w:val="000000"/>
          <w:sz w:val="24"/>
        </w:rPr>
      </w:pPr>
      <w:bookmarkStart w:id="79" w:name="_Toc8296"/>
      <w:bookmarkStart w:id="80" w:name="_Toc517425029"/>
      <w:r>
        <w:rPr>
          <w:rFonts w:hint="eastAsia"/>
          <w:color w:val="000000"/>
          <w:sz w:val="24"/>
          <w:lang w:val="en-US" w:eastAsia="zh-CN"/>
        </w:rPr>
        <w:t>4</w:t>
      </w:r>
      <w:r>
        <w:rPr>
          <w:color w:val="000000"/>
          <w:sz w:val="24"/>
        </w:rPr>
        <w:t>.2.</w:t>
      </w:r>
      <w:r>
        <w:rPr>
          <w:rFonts w:hint="eastAsia"/>
          <w:color w:val="000000"/>
          <w:sz w:val="24"/>
        </w:rPr>
        <w:t>2区域经济发展条件</w:t>
      </w:r>
      <w:bookmarkEnd w:id="80"/>
      <w:bookmarkEnd w:id="79"/>
    </w:p>
    <w:p>
      <w:pPr>
        <w:spacing w:after="156" w:afterLines="50" w:line="520" w:lineRule="exact"/>
        <w:ind w:firstLine="520" w:firstLineChars="200"/>
        <w:rPr>
          <w:color w:val="000000"/>
          <w:kern w:val="0"/>
          <w:sz w:val="26"/>
          <w:szCs w:val="28"/>
        </w:rPr>
      </w:pPr>
      <w:r>
        <w:rPr>
          <w:rFonts w:hint="eastAsia"/>
          <w:color w:val="000000"/>
          <w:kern w:val="0"/>
          <w:sz w:val="26"/>
          <w:szCs w:val="28"/>
        </w:rPr>
        <w:t>2017年，全市上下在市委市政府的坚强领导下，牢固树立和贯彻落实新时代新发展理念，聚力改革创新，奋力拼搏赶超，加快建设现代化、国际化、生态化大武汉，国民经济保持较快增长，人民生活水平稳步提高，各项社会事业全面推进，实现发展速度和质量效益同步提升。</w:t>
      </w:r>
    </w:p>
    <w:p>
      <w:pPr>
        <w:spacing w:after="156" w:afterLines="50" w:line="520" w:lineRule="exact"/>
        <w:ind w:firstLine="520" w:firstLineChars="200"/>
        <w:rPr>
          <w:rFonts w:hint="eastAsia"/>
          <w:color w:val="000000"/>
          <w:kern w:val="0"/>
          <w:sz w:val="26"/>
          <w:szCs w:val="28"/>
        </w:rPr>
        <w:sectPr>
          <w:headerReference w:type="default" r:id="rId146"/>
          <w:footerReference w:type="default" r:id="rId147"/>
          <w:headerReference w:type="first" r:id="rId148"/>
          <w:footerReference w:type="first" r:id="rId149"/>
          <w:type w:val="nextPage"/>
          <w:pgSz w:w="11906" w:h="16838"/>
          <w:pgMar w:top="1440" w:right="1797" w:bottom="1440" w:left="1797" w:header="851" w:footer="992" w:gutter="0"/>
          <w:pgNumType w:fmt="decimal" w:start="20"/>
          <w:cols w:space="708"/>
          <w:titlePg w:val="0"/>
          <w:docGrid w:type="linesAndChars" w:linePitch="312"/>
        </w:sectPr>
      </w:pPr>
      <w:r>
        <w:rPr>
          <w:color w:val="000000"/>
          <w:kern w:val="0"/>
          <w:sz w:val="26"/>
          <w:szCs w:val="28"/>
        </w:rPr>
        <w:t>2017年，武汉地区生产总值（GDP）13410.34亿元，比上年增长8.0%。其中，第一产业增加值408.20亿元，增长2.8%；第二产业增加值5861.35亿元，增长7.1%；第三产业增加值7140.79亿元，增长9.2%。三次产业构成由上年的3.3:43.9:52.8，调整为3.0:43.7:53.3。按常住人口计算，全市人均地区生产总值达到123831元，增长6.6%。</w:t>
      </w:r>
    </w:p>
    <w:p>
      <w:pPr>
        <w:pStyle w:val="Heading3"/>
        <w:spacing w:before="120" w:after="120" w:line="415" w:lineRule="auto"/>
        <w:rPr>
          <w:rFonts w:hint="eastAsia"/>
          <w:color w:val="000000"/>
          <w:sz w:val="24"/>
        </w:rPr>
      </w:pPr>
      <w:bookmarkStart w:id="81" w:name="_Toc22447"/>
      <w:bookmarkStart w:id="82" w:name="_Toc517425030"/>
      <w:r>
        <w:rPr>
          <w:rFonts w:hint="eastAsia"/>
          <w:color w:val="000000"/>
          <w:sz w:val="24"/>
          <w:lang w:val="en-US" w:eastAsia="zh-CN"/>
        </w:rPr>
        <w:t>4</w:t>
      </w:r>
      <w:r>
        <w:rPr>
          <w:color w:val="000000"/>
          <w:sz w:val="24"/>
        </w:rPr>
        <w:t>.2.</w:t>
      </w:r>
      <w:r>
        <w:rPr>
          <w:rFonts w:hint="eastAsia"/>
          <w:color w:val="000000"/>
          <w:sz w:val="24"/>
        </w:rPr>
        <w:t>3区域交通运输条件</w:t>
      </w:r>
      <w:bookmarkEnd w:id="82"/>
      <w:bookmarkEnd w:id="81"/>
    </w:p>
    <w:p>
      <w:pPr>
        <w:spacing w:after="156" w:afterLines="50" w:line="520" w:lineRule="exact"/>
        <w:ind w:firstLine="520" w:firstLineChars="200"/>
        <w:rPr>
          <w:color w:val="000000"/>
          <w:kern w:val="0"/>
          <w:sz w:val="26"/>
          <w:szCs w:val="28"/>
        </w:rPr>
      </w:pPr>
      <w:r>
        <w:rPr>
          <w:color w:val="000000"/>
          <w:kern w:val="0"/>
          <w:sz w:val="26"/>
          <w:szCs w:val="28"/>
        </w:rPr>
        <w:t>公路</w:t>
      </w:r>
    </w:p>
    <w:p>
      <w:pPr>
        <w:spacing w:after="156" w:afterLines="50" w:line="520" w:lineRule="exact"/>
        <w:ind w:firstLine="520" w:firstLineChars="200"/>
        <w:rPr>
          <w:color w:val="000000"/>
          <w:kern w:val="0"/>
          <w:sz w:val="26"/>
          <w:szCs w:val="28"/>
        </w:rPr>
      </w:pPr>
      <w:r>
        <w:rPr>
          <w:color w:val="000000"/>
          <w:kern w:val="0"/>
          <w:sz w:val="26"/>
          <w:szCs w:val="28"/>
        </w:rPr>
        <w:t>截至2014年末，武汉市公路通车里程14520.49公里。其中，等级公路14240.69公里，高速公路633.50公里；公路路网密度180.85公里/百平方公里。</w:t>
      </w:r>
    </w:p>
    <w:p>
      <w:pPr>
        <w:spacing w:after="156" w:afterLines="50" w:line="520" w:lineRule="exact"/>
        <w:ind w:firstLine="520" w:firstLineChars="200"/>
        <w:rPr>
          <w:color w:val="000000"/>
          <w:kern w:val="0"/>
          <w:sz w:val="26"/>
          <w:szCs w:val="28"/>
        </w:rPr>
      </w:pPr>
      <w:r>
        <w:rPr>
          <w:color w:val="000000"/>
          <w:kern w:val="0"/>
          <w:sz w:val="26"/>
          <w:szCs w:val="28"/>
        </w:rPr>
        <w:t>铁路</w:t>
      </w:r>
    </w:p>
    <w:p>
      <w:pPr>
        <w:spacing w:after="156" w:afterLines="50" w:line="520" w:lineRule="exact"/>
        <w:ind w:firstLine="520" w:firstLineChars="200"/>
        <w:rPr>
          <w:color w:val="000000"/>
          <w:kern w:val="0"/>
          <w:sz w:val="26"/>
          <w:szCs w:val="28"/>
        </w:rPr>
      </w:pPr>
      <w:r>
        <w:rPr>
          <w:color w:val="000000"/>
          <w:kern w:val="0"/>
          <w:sz w:val="26"/>
          <w:szCs w:val="28"/>
        </w:rPr>
        <w:t>武汉是中国高铁客运专线网的重要枢纽，是中国四大铁路枢纽、六大铁路客运中心、四大机车检修基地之一，是</w:t>
      </w:r>
      <w:hyperlink r:id="rId150" w:tgtFrame="_blank" w:history="1">
        <w:r>
          <w:rPr>
            <w:color w:val="000000"/>
            <w:kern w:val="0"/>
            <w:sz w:val="26"/>
            <w:szCs w:val="28"/>
          </w:rPr>
          <w:t>京广高铁</w:t>
        </w:r>
      </w:hyperlink>
      <w:r>
        <w:rPr>
          <w:color w:val="000000"/>
          <w:kern w:val="0"/>
          <w:sz w:val="26"/>
          <w:szCs w:val="28"/>
        </w:rPr>
        <w:t>、</w:t>
      </w:r>
      <w:hyperlink r:id="rId151" w:tgtFrame="_blank" w:history="1">
        <w:r>
          <w:rPr>
            <w:color w:val="000000"/>
            <w:kern w:val="0"/>
            <w:sz w:val="26"/>
            <w:szCs w:val="28"/>
          </w:rPr>
          <w:t>沪汉蓉铁路</w:t>
        </w:r>
      </w:hyperlink>
      <w:r>
        <w:rPr>
          <w:color w:val="000000"/>
          <w:kern w:val="0"/>
          <w:sz w:val="26"/>
          <w:szCs w:val="28"/>
        </w:rPr>
        <w:t>两条国家级高速铁路大动脉的交汇地。武汉的铁路客运量于2013年首次超越</w:t>
      </w:r>
      <w:hyperlink r:id="rId152" w:tgtFrame="_blank" w:history="1">
        <w:r>
          <w:rPr>
            <w:color w:val="000000"/>
            <w:kern w:val="0"/>
            <w:sz w:val="26"/>
            <w:szCs w:val="28"/>
          </w:rPr>
          <w:t>北京</w:t>
        </w:r>
      </w:hyperlink>
      <w:r>
        <w:rPr>
          <w:color w:val="000000"/>
          <w:kern w:val="0"/>
          <w:sz w:val="26"/>
          <w:szCs w:val="28"/>
        </w:rPr>
        <w:t>、</w:t>
      </w:r>
      <w:hyperlink r:id="rId153" w:tgtFrame="_blank" w:history="1">
        <w:r>
          <w:rPr>
            <w:color w:val="000000"/>
            <w:kern w:val="0"/>
            <w:sz w:val="26"/>
            <w:szCs w:val="28"/>
          </w:rPr>
          <w:t>广州</w:t>
        </w:r>
      </w:hyperlink>
      <w:r>
        <w:rPr>
          <w:color w:val="000000"/>
          <w:kern w:val="0"/>
          <w:sz w:val="26"/>
          <w:szCs w:val="28"/>
        </w:rPr>
        <w:t>，达到1.2亿人次，居</w:t>
      </w:r>
      <w:hyperlink r:id="rId154" w:tgtFrame="_blank" w:history="1">
        <w:r>
          <w:rPr>
            <w:color w:val="000000"/>
            <w:kern w:val="0"/>
            <w:sz w:val="26"/>
            <w:szCs w:val="28"/>
          </w:rPr>
          <w:t>大中华区</w:t>
        </w:r>
      </w:hyperlink>
      <w:r>
        <w:rPr>
          <w:color w:val="000000"/>
          <w:kern w:val="0"/>
          <w:sz w:val="26"/>
          <w:szCs w:val="28"/>
        </w:rPr>
        <w:t>第一，成为中国铁路运输的最大中转站。</w:t>
      </w:r>
    </w:p>
    <w:p>
      <w:pPr>
        <w:spacing w:after="156" w:afterLines="50" w:line="520" w:lineRule="exact"/>
        <w:ind w:firstLine="520" w:firstLineChars="200"/>
        <w:rPr>
          <w:color w:val="000000"/>
          <w:kern w:val="0"/>
          <w:sz w:val="26"/>
          <w:szCs w:val="28"/>
        </w:rPr>
      </w:pPr>
      <w:r>
        <w:rPr>
          <w:color w:val="000000"/>
          <w:kern w:val="0"/>
          <w:sz w:val="26"/>
          <w:szCs w:val="28"/>
        </w:rPr>
        <w:t>航空</w:t>
      </w:r>
    </w:p>
    <w:p>
      <w:pPr>
        <w:spacing w:after="156" w:afterLines="50" w:line="520" w:lineRule="exact"/>
        <w:ind w:firstLine="520" w:firstLineChars="200"/>
        <w:rPr>
          <w:color w:val="000000"/>
          <w:kern w:val="0"/>
          <w:sz w:val="26"/>
          <w:szCs w:val="28"/>
        </w:rPr>
      </w:pPr>
      <w:hyperlink r:id="rId155" w:tgtFrame="_blank" w:history="1">
        <w:r>
          <w:rPr>
            <w:color w:val="000000"/>
            <w:kern w:val="0"/>
            <w:sz w:val="26"/>
            <w:szCs w:val="28"/>
          </w:rPr>
          <w:t>武汉天河国际机场</w:t>
        </w:r>
      </w:hyperlink>
      <w:r>
        <w:rPr>
          <w:color w:val="000000"/>
          <w:kern w:val="0"/>
          <w:sz w:val="26"/>
          <w:szCs w:val="28"/>
        </w:rPr>
        <w:t>位于武汉市</w:t>
      </w:r>
      <w:hyperlink r:id="rId156" w:tgtFrame="_blank" w:history="1">
        <w:r>
          <w:rPr>
            <w:color w:val="000000"/>
            <w:kern w:val="0"/>
            <w:sz w:val="26"/>
            <w:szCs w:val="28"/>
          </w:rPr>
          <w:t>黄陂区</w:t>
        </w:r>
      </w:hyperlink>
      <w:r>
        <w:rPr>
          <w:color w:val="000000"/>
          <w:kern w:val="0"/>
          <w:sz w:val="26"/>
          <w:szCs w:val="28"/>
        </w:rPr>
        <w:t>，于1995年4月15日启用，是中国中部地区第一门户机场、首个</w:t>
      </w:r>
      <w:hyperlink r:id="rId157" w:tgtFrame="_blank" w:history="1">
        <w:r>
          <w:rPr>
            <w:color w:val="000000"/>
            <w:kern w:val="0"/>
            <w:sz w:val="26"/>
            <w:szCs w:val="28"/>
          </w:rPr>
          <w:t>4F级机场</w:t>
        </w:r>
      </w:hyperlink>
      <w:r>
        <w:rPr>
          <w:color w:val="000000"/>
          <w:kern w:val="0"/>
          <w:sz w:val="26"/>
          <w:szCs w:val="28"/>
        </w:rPr>
        <w:t>。截至2015年末，武汉拥有民用航线近300条。其中，国际航线38条；国内航线240余条。通达国内城市和地区92个，通航境外国家和地区22个。天河机场2015年旅客吞吐量1894.2万人；货邮吞吐量15.50万吨。 [25]</w:t>
      </w:r>
      <w:bookmarkStart w:id="83" w:name="ref_[25]_15365919"/>
      <w:r>
        <w:rPr>
          <w:color w:val="000000"/>
          <w:kern w:val="0"/>
          <w:sz w:val="26"/>
          <w:szCs w:val="28"/>
        </w:rPr>
        <w:t> </w:t>
      </w:r>
      <w:bookmarkEnd w:id="83"/>
      <w:r>
        <w:rPr>
          <w:color w:val="000000"/>
          <w:kern w:val="0"/>
          <w:sz w:val="26"/>
          <w:szCs w:val="28"/>
        </w:rPr>
        <w:t> 可直飞</w:t>
      </w:r>
      <w:hyperlink r:id="rId158" w:tgtFrame="_blank" w:history="1">
        <w:r>
          <w:rPr>
            <w:color w:val="000000"/>
            <w:kern w:val="0"/>
            <w:sz w:val="26"/>
            <w:szCs w:val="28"/>
          </w:rPr>
          <w:t>巴黎</w:t>
        </w:r>
      </w:hyperlink>
      <w:r>
        <w:rPr>
          <w:color w:val="000000"/>
          <w:kern w:val="0"/>
          <w:sz w:val="26"/>
          <w:szCs w:val="28"/>
        </w:rPr>
        <w:t>、</w:t>
      </w:r>
      <w:hyperlink r:id="rId159" w:tgtFrame="_blank" w:history="1">
        <w:r>
          <w:rPr>
            <w:color w:val="000000"/>
            <w:kern w:val="0"/>
            <w:sz w:val="26"/>
            <w:szCs w:val="28"/>
          </w:rPr>
          <w:t>旧金山</w:t>
        </w:r>
      </w:hyperlink>
      <w:r>
        <w:rPr>
          <w:color w:val="000000"/>
          <w:kern w:val="0"/>
          <w:sz w:val="26"/>
          <w:szCs w:val="28"/>
        </w:rPr>
        <w:t>、</w:t>
      </w:r>
      <w:hyperlink r:id="rId160" w:tgtFrame="_blank" w:history="1">
        <w:r>
          <w:rPr>
            <w:color w:val="000000"/>
            <w:kern w:val="0"/>
            <w:sz w:val="26"/>
            <w:szCs w:val="28"/>
          </w:rPr>
          <w:t>芝加哥</w:t>
        </w:r>
      </w:hyperlink>
      <w:r>
        <w:rPr>
          <w:color w:val="000000"/>
          <w:kern w:val="0"/>
          <w:sz w:val="26"/>
          <w:szCs w:val="28"/>
        </w:rPr>
        <w:t>、</w:t>
      </w:r>
      <w:hyperlink r:id="rId161" w:tgtFrame="_blank" w:history="1">
        <w:r>
          <w:rPr>
            <w:color w:val="000000"/>
            <w:kern w:val="0"/>
            <w:sz w:val="26"/>
            <w:szCs w:val="28"/>
          </w:rPr>
          <w:t>墨尔本</w:t>
        </w:r>
      </w:hyperlink>
      <w:r>
        <w:rPr>
          <w:color w:val="000000"/>
          <w:kern w:val="0"/>
          <w:sz w:val="26"/>
          <w:szCs w:val="28"/>
        </w:rPr>
        <w:t>、</w:t>
      </w:r>
      <w:hyperlink r:id="rId162" w:tgtFrame="_blank" w:history="1">
        <w:r>
          <w:rPr>
            <w:color w:val="000000"/>
            <w:kern w:val="0"/>
            <w:sz w:val="26"/>
            <w:szCs w:val="28"/>
          </w:rPr>
          <w:t>莫斯科</w:t>
        </w:r>
      </w:hyperlink>
      <w:r>
        <w:rPr>
          <w:color w:val="000000"/>
          <w:kern w:val="0"/>
          <w:sz w:val="26"/>
          <w:szCs w:val="28"/>
        </w:rPr>
        <w:t>、</w:t>
      </w:r>
      <w:hyperlink r:id="rId163" w:tgtFrame="_blank" w:history="1">
        <w:r>
          <w:rPr>
            <w:color w:val="000000"/>
            <w:kern w:val="0"/>
            <w:sz w:val="26"/>
            <w:szCs w:val="28"/>
          </w:rPr>
          <w:t>大阪</w:t>
        </w:r>
      </w:hyperlink>
      <w:r>
        <w:rPr>
          <w:color w:val="000000"/>
          <w:kern w:val="0"/>
          <w:sz w:val="26"/>
          <w:szCs w:val="28"/>
        </w:rPr>
        <w:t>、</w:t>
      </w:r>
      <w:hyperlink r:id="rId164" w:tgtFrame="_blank" w:history="1">
        <w:r>
          <w:rPr>
            <w:color w:val="000000"/>
            <w:kern w:val="0"/>
            <w:sz w:val="26"/>
            <w:szCs w:val="28"/>
          </w:rPr>
          <w:t>首尔</w:t>
        </w:r>
      </w:hyperlink>
      <w:r>
        <w:rPr>
          <w:color w:val="000000"/>
          <w:kern w:val="0"/>
          <w:sz w:val="26"/>
          <w:szCs w:val="28"/>
        </w:rPr>
        <w:t>、</w:t>
      </w:r>
      <w:hyperlink r:id="rId165" w:tgtFrame="_blank" w:history="1">
        <w:r>
          <w:rPr>
            <w:color w:val="000000"/>
            <w:kern w:val="0"/>
            <w:sz w:val="26"/>
            <w:szCs w:val="28"/>
          </w:rPr>
          <w:t>新加坡</w:t>
        </w:r>
      </w:hyperlink>
      <w:r>
        <w:rPr>
          <w:color w:val="000000"/>
          <w:kern w:val="0"/>
          <w:sz w:val="26"/>
          <w:szCs w:val="28"/>
        </w:rPr>
        <w:t>、</w:t>
      </w:r>
      <w:hyperlink r:id="rId166" w:tgtFrame="_blank" w:history="1">
        <w:r>
          <w:rPr>
            <w:color w:val="000000"/>
            <w:kern w:val="0"/>
            <w:sz w:val="26"/>
            <w:szCs w:val="28"/>
          </w:rPr>
          <w:t>曼谷</w:t>
        </w:r>
      </w:hyperlink>
      <w:r>
        <w:rPr>
          <w:color w:val="000000"/>
          <w:kern w:val="0"/>
          <w:sz w:val="26"/>
          <w:szCs w:val="28"/>
        </w:rPr>
        <w:t>、</w:t>
      </w:r>
      <w:hyperlink r:id="rId167" w:tgtFrame="_blank" w:history="1">
        <w:r>
          <w:rPr>
            <w:color w:val="000000"/>
            <w:kern w:val="0"/>
            <w:sz w:val="26"/>
            <w:szCs w:val="28"/>
          </w:rPr>
          <w:t>吉隆坡</w:t>
        </w:r>
      </w:hyperlink>
      <w:r>
        <w:rPr>
          <w:color w:val="000000"/>
          <w:kern w:val="0"/>
          <w:sz w:val="26"/>
          <w:szCs w:val="28"/>
        </w:rPr>
        <w:t>、</w:t>
      </w:r>
      <w:hyperlink r:id="rId168" w:tgtFrame="_blank" w:history="1">
        <w:r>
          <w:rPr>
            <w:color w:val="000000"/>
            <w:kern w:val="0"/>
            <w:sz w:val="26"/>
            <w:szCs w:val="28"/>
          </w:rPr>
          <w:t>胡志明市</w:t>
        </w:r>
      </w:hyperlink>
      <w:r>
        <w:rPr>
          <w:color w:val="000000"/>
          <w:kern w:val="0"/>
          <w:sz w:val="26"/>
          <w:szCs w:val="28"/>
        </w:rPr>
        <w:t>等38个国际城市；法航、胜安航空、亚洲航空、中华航空等32家航空公司经营武汉航线。武汉天河国际机场也是国家公共航空运输体系确定的中国八大区域性枢纽机场之一，距市中心（</w:t>
      </w:r>
      <w:hyperlink r:id="rId169" w:tgtFrame="_blank" w:history="1">
        <w:r>
          <w:rPr>
            <w:color w:val="000000"/>
            <w:kern w:val="0"/>
            <w:sz w:val="26"/>
            <w:szCs w:val="28"/>
          </w:rPr>
          <w:t>武汉长江大桥</w:t>
        </w:r>
      </w:hyperlink>
      <w:r>
        <w:rPr>
          <w:color w:val="000000"/>
          <w:kern w:val="0"/>
          <w:sz w:val="26"/>
          <w:szCs w:val="28"/>
        </w:rPr>
        <w:t>）26公里。</w:t>
      </w:r>
    </w:p>
    <w:p>
      <w:pPr>
        <w:spacing w:after="156" w:afterLines="50" w:line="520" w:lineRule="exact"/>
        <w:ind w:firstLine="520" w:firstLineChars="200"/>
        <w:rPr>
          <w:color w:val="000000"/>
          <w:kern w:val="0"/>
          <w:sz w:val="26"/>
          <w:szCs w:val="28"/>
        </w:rPr>
      </w:pPr>
      <w:r>
        <w:rPr>
          <w:color w:val="000000"/>
          <w:kern w:val="0"/>
          <w:sz w:val="26"/>
          <w:szCs w:val="28"/>
        </w:rPr>
        <w:t>航运</w:t>
      </w:r>
    </w:p>
    <w:p>
      <w:pPr>
        <w:spacing w:after="156" w:afterLines="50" w:line="520" w:lineRule="exact"/>
        <w:ind w:firstLine="520" w:firstLineChars="200"/>
        <w:rPr>
          <w:color w:val="000000"/>
          <w:kern w:val="0"/>
          <w:sz w:val="26"/>
          <w:szCs w:val="28"/>
        </w:rPr>
        <w:sectPr>
          <w:headerReference w:type="default" r:id="rId170"/>
          <w:footerReference w:type="default" r:id="rId171"/>
          <w:headerReference w:type="first" r:id="rId172"/>
          <w:footerReference w:type="first" r:id="rId173"/>
          <w:type w:val="nextPage"/>
          <w:pgSz w:w="11906" w:h="16838"/>
          <w:pgMar w:top="1440" w:right="1797" w:bottom="1440" w:left="1797" w:header="851" w:footer="992" w:gutter="0"/>
          <w:pgNumType w:fmt="decimal" w:start="21"/>
          <w:cols w:space="708"/>
          <w:titlePg w:val="0"/>
          <w:docGrid w:type="linesAndChars" w:linePitch="312"/>
        </w:sectPr>
      </w:pPr>
      <w:r>
        <w:rPr>
          <w:color w:val="000000"/>
          <w:kern w:val="0"/>
          <w:sz w:val="26"/>
          <w:szCs w:val="28"/>
        </w:rPr>
        <w:t>武汉是中国内河的重要港口，是</w:t>
      </w:r>
      <w:hyperlink r:id="rId174" w:tgtFrame="_blank" w:history="1">
        <w:r>
          <w:rPr>
            <w:color w:val="000000"/>
            <w:kern w:val="0"/>
            <w:sz w:val="26"/>
            <w:szCs w:val="28"/>
          </w:rPr>
          <w:t>长江</w:t>
        </w:r>
      </w:hyperlink>
      <w:r>
        <w:rPr>
          <w:color w:val="000000"/>
          <w:kern w:val="0"/>
          <w:sz w:val="26"/>
          <w:szCs w:val="28"/>
        </w:rPr>
        <w:t>中游航运中心，</w:t>
      </w:r>
      <w:hyperlink r:id="rId175" w:tgtFrame="_blank" w:history="1">
        <w:r>
          <w:rPr>
            <w:color w:val="000000"/>
            <w:kern w:val="0"/>
            <w:sz w:val="26"/>
            <w:szCs w:val="28"/>
          </w:rPr>
          <w:t>交通部</w:t>
        </w:r>
      </w:hyperlink>
    </w:p>
    <w:p>
      <w:pPr>
        <w:spacing w:after="156" w:afterLines="50" w:line="520" w:lineRule="exact"/>
        <w:ind w:firstLine="520" w:firstLineChars="200"/>
        <w:rPr>
          <w:color w:val="000000"/>
          <w:kern w:val="0"/>
          <w:sz w:val="26"/>
          <w:szCs w:val="28"/>
        </w:rPr>
      </w:pPr>
      <w:r>
        <w:rPr>
          <w:color w:val="000000"/>
          <w:kern w:val="0"/>
          <w:sz w:val="26"/>
          <w:szCs w:val="28"/>
        </w:rPr>
        <w:t>定点的水铁联运主枢纽港。武汉还是中国内河通往沿海、近洋最大的启运港和到达港，武汉至上海</w:t>
      </w:r>
      <w:hyperlink r:id="rId176" w:tgtFrame="_blank" w:history="1">
        <w:r>
          <w:rPr>
            <w:color w:val="000000"/>
            <w:kern w:val="0"/>
            <w:sz w:val="26"/>
            <w:szCs w:val="28"/>
          </w:rPr>
          <w:t>洋山港</w:t>
        </w:r>
      </w:hyperlink>
      <w:r>
        <w:rPr>
          <w:color w:val="000000"/>
          <w:kern w:val="0"/>
          <w:sz w:val="26"/>
          <w:szCs w:val="28"/>
        </w:rPr>
        <w:t>“江海直达”航线是长江中上游地区首条通江达海的优质航线，阳逻港是国内首个也是唯一一个试行启运港退税政策的长江沿线港口。2010年，</w:t>
      </w:r>
      <w:hyperlink r:id="rId177" w:tgtFrame="_blank" w:history="1">
        <w:r>
          <w:rPr>
            <w:color w:val="000000"/>
            <w:kern w:val="0"/>
            <w:sz w:val="26"/>
            <w:szCs w:val="28"/>
          </w:rPr>
          <w:t>武汉新港</w:t>
        </w:r>
      </w:hyperlink>
      <w:r>
        <w:rPr>
          <w:color w:val="000000"/>
          <w:kern w:val="0"/>
          <w:sz w:val="26"/>
          <w:szCs w:val="28"/>
        </w:rPr>
        <w:t>吞吐量突破1亿吨大关，成为长江中上游首个“亿吨大港”。此外，武汉还是在长江流域和</w:t>
      </w:r>
      <w:hyperlink r:id="rId178" w:tgtFrame="_blank" w:history="1">
        <w:r>
          <w:rPr>
            <w:color w:val="000000"/>
            <w:kern w:val="0"/>
            <w:sz w:val="26"/>
            <w:szCs w:val="28"/>
          </w:rPr>
          <w:t>澜沧江</w:t>
        </w:r>
      </w:hyperlink>
      <w:r>
        <w:rPr>
          <w:color w:val="000000"/>
          <w:kern w:val="0"/>
          <w:sz w:val="26"/>
          <w:szCs w:val="28"/>
        </w:rPr>
        <w:t>以西（含澜沧江）区域内行使水行政主管职能的派出机构</w:t>
      </w:r>
      <w:hyperlink r:id="rId179" w:tgtFrame="_blank" w:history="1">
        <w:r>
          <w:rPr>
            <w:color w:val="000000"/>
            <w:kern w:val="0"/>
            <w:sz w:val="26"/>
            <w:szCs w:val="28"/>
          </w:rPr>
          <w:t>长江水利委员会</w:t>
        </w:r>
      </w:hyperlink>
      <w:r>
        <w:rPr>
          <w:color w:val="000000"/>
          <w:kern w:val="0"/>
          <w:sz w:val="26"/>
          <w:szCs w:val="28"/>
        </w:rPr>
        <w:t>的总部所在地，是中国内陆最大的船舶生产基地。</w:t>
      </w:r>
      <w:hyperlink r:id="rId180" w:tgtFrame="_blank" w:history="1">
        <w:r>
          <w:rPr>
            <w:color w:val="000000"/>
            <w:kern w:val="0"/>
            <w:sz w:val="26"/>
            <w:szCs w:val="28"/>
          </w:rPr>
          <w:t>武汉航运交易所</w:t>
        </w:r>
      </w:hyperlink>
      <w:r>
        <w:rPr>
          <w:color w:val="000000"/>
          <w:kern w:val="0"/>
          <w:sz w:val="26"/>
          <w:szCs w:val="28"/>
        </w:rPr>
        <w:t>是继上海、重庆、广州后，成立的中国第四个</w:t>
      </w:r>
      <w:hyperlink r:id="rId181" w:tgtFrame="_blank" w:history="1">
        <w:r>
          <w:rPr>
            <w:color w:val="000000"/>
            <w:kern w:val="0"/>
            <w:sz w:val="26"/>
            <w:szCs w:val="28"/>
          </w:rPr>
          <w:t>航交所</w:t>
        </w:r>
      </w:hyperlink>
      <w:r>
        <w:rPr>
          <w:color w:val="000000"/>
          <w:kern w:val="0"/>
          <w:sz w:val="26"/>
          <w:szCs w:val="28"/>
        </w:rPr>
        <w:t>。</w:t>
      </w:r>
    </w:p>
    <w:p>
      <w:pPr>
        <w:spacing w:after="156" w:afterLines="50" w:line="520" w:lineRule="exact"/>
        <w:ind w:firstLine="520" w:firstLineChars="200"/>
        <w:rPr>
          <w:color w:val="000000"/>
          <w:kern w:val="0"/>
          <w:sz w:val="26"/>
          <w:szCs w:val="28"/>
        </w:rPr>
      </w:pPr>
      <w:r>
        <w:rPr>
          <w:color w:val="000000"/>
          <w:kern w:val="0"/>
          <w:sz w:val="26"/>
          <w:szCs w:val="28"/>
        </w:rPr>
        <w:t>地铁</w:t>
      </w:r>
    </w:p>
    <w:p>
      <w:pPr>
        <w:spacing w:after="156" w:afterLines="50" w:line="520" w:lineRule="exact"/>
        <w:ind w:firstLine="520" w:firstLineChars="200"/>
        <w:rPr>
          <w:color w:val="000000"/>
          <w:kern w:val="0"/>
          <w:sz w:val="26"/>
          <w:szCs w:val="28"/>
        </w:rPr>
      </w:pPr>
      <w:r>
        <w:rPr>
          <w:color w:val="000000"/>
          <w:kern w:val="0"/>
          <w:sz w:val="26"/>
          <w:szCs w:val="28"/>
        </w:rPr>
        <w:t>武汉轨道交通（Wuhan Metro）是服务于中国</w:t>
      </w:r>
      <w:hyperlink r:id="rId182" w:tgtFrame="_blank" w:history="1">
        <w:r>
          <w:rPr>
            <w:color w:val="000000"/>
            <w:kern w:val="0"/>
            <w:sz w:val="26"/>
            <w:szCs w:val="28"/>
          </w:rPr>
          <w:t>湖北省</w:t>
        </w:r>
      </w:hyperlink>
      <w:hyperlink r:id="rId183" w:tgtFrame="_blank" w:history="1">
        <w:r>
          <w:rPr>
            <w:color w:val="000000"/>
            <w:kern w:val="0"/>
            <w:sz w:val="26"/>
            <w:szCs w:val="28"/>
          </w:rPr>
          <w:t>武汉市</w:t>
        </w:r>
      </w:hyperlink>
      <w:r>
        <w:rPr>
          <w:color w:val="000000"/>
          <w:kern w:val="0"/>
          <w:sz w:val="26"/>
          <w:szCs w:val="28"/>
        </w:rPr>
        <w:t>的</w:t>
      </w:r>
      <w:hyperlink r:id="rId184" w:tgtFrame="_blank" w:history="1">
        <w:r>
          <w:rPr>
            <w:color w:val="000000"/>
            <w:kern w:val="0"/>
            <w:sz w:val="26"/>
            <w:szCs w:val="28"/>
          </w:rPr>
          <w:t>城市轨道交通</w:t>
        </w:r>
      </w:hyperlink>
      <w:r>
        <w:rPr>
          <w:color w:val="000000"/>
          <w:kern w:val="0"/>
          <w:sz w:val="26"/>
          <w:szCs w:val="28"/>
        </w:rPr>
        <w:t>，其首条线路——</w:t>
      </w:r>
      <w:hyperlink r:id="rId185" w:tgtFrame="_blank" w:history="1">
        <w:r>
          <w:rPr>
            <w:color w:val="000000"/>
            <w:kern w:val="0"/>
            <w:sz w:val="26"/>
            <w:szCs w:val="28"/>
          </w:rPr>
          <w:t>武汉轨道交通1号线</w:t>
        </w:r>
      </w:hyperlink>
      <w:r>
        <w:rPr>
          <w:color w:val="000000"/>
          <w:kern w:val="0"/>
          <w:sz w:val="26"/>
          <w:szCs w:val="28"/>
        </w:rPr>
        <w:t>于2004年7月28日开通运营，使武汉成为中国中部地区第一个开通轨道交通的城市。</w:t>
      </w:r>
    </w:p>
    <w:p>
      <w:pPr>
        <w:spacing w:after="156" w:afterLines="50" w:line="520" w:lineRule="exact"/>
        <w:ind w:firstLine="520" w:firstLineChars="200"/>
        <w:rPr>
          <w:color w:val="000000"/>
          <w:kern w:val="0"/>
          <w:sz w:val="26"/>
          <w:szCs w:val="28"/>
        </w:rPr>
      </w:pPr>
      <w:r>
        <w:rPr>
          <w:color w:val="000000"/>
          <w:kern w:val="0"/>
          <w:sz w:val="26"/>
          <w:szCs w:val="28"/>
        </w:rPr>
        <w:t>截至2017年12月，武汉轨道交通运营线路共有7条，包括1号线、2号线、3号线、4号线、6号线、8号线、阳逻线，共167座车站，线路总长237千米，线路长度居中国大陆第7位。 </w:t>
      </w:r>
      <w:bookmarkStart w:id="84" w:name="ref_[43]_15365919"/>
      <w:r>
        <w:rPr>
          <w:color w:val="000000"/>
          <w:kern w:val="0"/>
          <w:sz w:val="26"/>
          <w:szCs w:val="28"/>
        </w:rPr>
        <w:t> </w:t>
      </w:r>
      <w:bookmarkEnd w:id="84"/>
    </w:p>
    <w:p>
      <w:pPr>
        <w:spacing w:after="156" w:afterLines="50" w:line="520" w:lineRule="exact"/>
        <w:ind w:firstLine="520" w:firstLineChars="200"/>
        <w:rPr>
          <w:color w:val="000000"/>
          <w:kern w:val="0"/>
          <w:sz w:val="26"/>
          <w:szCs w:val="28"/>
        </w:rPr>
      </w:pPr>
      <w:r>
        <w:rPr>
          <w:color w:val="000000"/>
          <w:kern w:val="0"/>
          <w:sz w:val="26"/>
          <w:szCs w:val="28"/>
        </w:rPr>
        <w:t>截至2017年12月，武汉轨道交通在建线路共有16条（段），包括2号线南延线、蔡甸线、5号线、7号线一期、纸坊线、8号线二期、8号线三期、11号线东段一期、11号线东段二期、12号线、前川线等线路，在建里程360公里。到2020年，武汉轨道交通将形成11条线路，总长达401公里的轨道交通线网，基本形成“主城联网、新城通线”的轨道交通网络系统。</w:t>
      </w:r>
    </w:p>
    <w:p>
      <w:pPr>
        <w:spacing w:after="156" w:afterLines="50" w:line="520" w:lineRule="exact"/>
        <w:ind w:firstLine="520" w:firstLineChars="200"/>
        <w:rPr>
          <w:color w:val="000000"/>
          <w:kern w:val="0"/>
          <w:sz w:val="26"/>
          <w:szCs w:val="28"/>
        </w:rPr>
        <w:sectPr>
          <w:headerReference w:type="default" r:id="rId186"/>
          <w:footerReference w:type="default" r:id="rId187"/>
          <w:headerReference w:type="first" r:id="rId188"/>
          <w:footerReference w:type="first" r:id="rId189"/>
          <w:type w:val="nextPage"/>
          <w:pgSz w:w="11906" w:h="16838"/>
          <w:pgMar w:top="1440" w:right="1797" w:bottom="1440" w:left="1797" w:header="851" w:footer="992" w:gutter="0"/>
          <w:pgNumType w:fmt="decimal" w:start="22"/>
          <w:cols w:space="708"/>
          <w:titlePg w:val="0"/>
          <w:docGrid w:type="linesAndChars" w:linePitch="312"/>
        </w:sectPr>
      </w:pPr>
      <w:r>
        <w:rPr>
          <w:color w:val="000000"/>
          <w:kern w:val="0"/>
          <w:sz w:val="26"/>
          <w:szCs w:val="28"/>
        </w:rPr>
        <w:t>截至2018年4月，武汉轨道交通日均客运量270万乘次，最高日客运量达351.42万乘次，稳居全国第六，客流强度1.5-1.8万人次/公里，占全市公交客运量38%。2015年，武汉轨道交通共运送乘客5.7亿人次，日均客流155.6万人次，承载了全市23.5%的公共交通客运量。</w:t>
      </w:r>
    </w:p>
    <w:p>
      <w:pPr>
        <w:pStyle w:val="Heading3"/>
        <w:spacing w:before="120" w:after="120" w:line="415" w:lineRule="auto"/>
        <w:rPr>
          <w:rFonts w:hint="eastAsia"/>
          <w:color w:val="000000"/>
          <w:sz w:val="24"/>
        </w:rPr>
      </w:pPr>
      <w:bookmarkStart w:id="85" w:name="_Toc517425031"/>
      <w:bookmarkStart w:id="86" w:name="_Toc32694"/>
      <w:r>
        <w:rPr>
          <w:rFonts w:hint="eastAsia"/>
          <w:color w:val="000000"/>
          <w:sz w:val="24"/>
          <w:lang w:val="en-US" w:eastAsia="zh-CN"/>
        </w:rPr>
        <w:t>4</w:t>
      </w:r>
      <w:r>
        <w:rPr>
          <w:color w:val="000000"/>
          <w:sz w:val="24"/>
        </w:rPr>
        <w:t>.2.</w:t>
      </w:r>
      <w:r>
        <w:rPr>
          <w:rFonts w:hint="eastAsia"/>
          <w:color w:val="000000"/>
          <w:sz w:val="24"/>
        </w:rPr>
        <w:t>4区域自然资源条件</w:t>
      </w:r>
      <w:bookmarkEnd w:id="85"/>
      <w:bookmarkEnd w:id="86"/>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气候资源</w:t>
      </w:r>
    </w:p>
    <w:p>
      <w:pPr>
        <w:spacing w:after="156" w:afterLines="50" w:line="520" w:lineRule="exact"/>
        <w:ind w:firstLine="520" w:firstLineChars="200"/>
        <w:rPr>
          <w:color w:val="000000"/>
          <w:kern w:val="0"/>
          <w:sz w:val="26"/>
          <w:szCs w:val="28"/>
        </w:rPr>
      </w:pPr>
      <w:r>
        <w:rPr>
          <w:color w:val="000000"/>
          <w:kern w:val="0"/>
          <w:sz w:val="26"/>
          <w:szCs w:val="28"/>
        </w:rPr>
        <w:t>武汉属</w:t>
      </w:r>
      <w:hyperlink r:id="rId190" w:tgtFrame="_blank" w:history="1">
        <w:r>
          <w:rPr>
            <w:color w:val="000000"/>
            <w:kern w:val="0"/>
            <w:sz w:val="26"/>
            <w:szCs w:val="28"/>
          </w:rPr>
          <w:t>亚热带季风性湿润气候</w:t>
        </w:r>
      </w:hyperlink>
      <w:r>
        <w:rPr>
          <w:color w:val="000000"/>
          <w:kern w:val="0"/>
          <w:sz w:val="26"/>
          <w:szCs w:val="28"/>
        </w:rPr>
        <w:t>区，具有雨量充沛、日照充足、四季分明，夏高温、降水集中，冬季稍凉湿润等特点。</w:t>
      </w:r>
    </w:p>
    <w:p>
      <w:pPr>
        <w:spacing w:after="156" w:afterLines="50" w:line="520" w:lineRule="exact"/>
        <w:ind w:firstLine="520" w:firstLineChars="200"/>
        <w:rPr>
          <w:color w:val="000000"/>
          <w:kern w:val="0"/>
          <w:sz w:val="26"/>
          <w:szCs w:val="28"/>
        </w:rPr>
      </w:pPr>
      <w:r>
        <w:rPr>
          <w:color w:val="000000"/>
          <w:kern w:val="0"/>
          <w:sz w:val="26"/>
          <w:szCs w:val="28"/>
        </w:rPr>
        <w:t>一年中，1月平均气温最低，为3.0</w:t>
      </w:r>
      <w:r>
        <w:rPr>
          <w:rFonts w:hint="eastAsia"/>
          <w:color w:val="000000"/>
          <w:kern w:val="0"/>
          <w:sz w:val="26"/>
          <w:szCs w:val="28"/>
        </w:rPr>
        <w:t>℃</w:t>
      </w:r>
      <w:r>
        <w:rPr>
          <w:color w:val="000000"/>
          <w:kern w:val="0"/>
          <w:sz w:val="26"/>
          <w:szCs w:val="28"/>
        </w:rPr>
        <w:t>；7月平均气温最高，为29.3</w:t>
      </w:r>
      <w:r>
        <w:rPr>
          <w:rFonts w:hint="eastAsia"/>
          <w:color w:val="000000"/>
          <w:kern w:val="0"/>
          <w:sz w:val="26"/>
          <w:szCs w:val="28"/>
        </w:rPr>
        <w:t>℃</w:t>
      </w:r>
      <w:r>
        <w:rPr>
          <w:color w:val="000000"/>
          <w:kern w:val="0"/>
          <w:sz w:val="26"/>
          <w:szCs w:val="28"/>
        </w:rPr>
        <w:t>，夏季长达135天；春秋两季各约60天。初夏梅雨季节雨量较集中，年降水量为1205毫米。武汉活动积温在5000</w:t>
      </w:r>
      <w:r>
        <w:rPr>
          <w:rFonts w:hint="eastAsia"/>
          <w:color w:val="000000"/>
          <w:kern w:val="0"/>
          <w:sz w:val="26"/>
          <w:szCs w:val="28"/>
        </w:rPr>
        <w:t>℃</w:t>
      </w:r>
      <w:r>
        <w:rPr>
          <w:color w:val="000000"/>
          <w:kern w:val="0"/>
          <w:sz w:val="26"/>
          <w:szCs w:val="28"/>
        </w:rPr>
        <w:t>～5300</w:t>
      </w:r>
      <w:r>
        <w:rPr>
          <w:rFonts w:hint="eastAsia"/>
          <w:color w:val="000000"/>
          <w:kern w:val="0"/>
          <w:sz w:val="26"/>
          <w:szCs w:val="28"/>
        </w:rPr>
        <w:t>℃</w:t>
      </w:r>
      <w:r>
        <w:rPr>
          <w:color w:val="000000"/>
          <w:kern w:val="0"/>
          <w:sz w:val="26"/>
          <w:szCs w:val="28"/>
        </w:rPr>
        <w:t>之间，年无霜期达240天。</w:t>
      </w:r>
    </w:p>
    <w:p>
      <w:pPr>
        <w:spacing w:after="156" w:afterLines="50" w:line="520" w:lineRule="exact"/>
        <w:ind w:firstLine="520" w:firstLineChars="200"/>
        <w:rPr>
          <w:color w:val="000000"/>
          <w:kern w:val="0"/>
          <w:sz w:val="26"/>
          <w:szCs w:val="28"/>
        </w:rPr>
      </w:pPr>
      <w:r>
        <w:rPr>
          <w:color w:val="000000"/>
          <w:kern w:val="0"/>
          <w:sz w:val="26"/>
          <w:szCs w:val="28"/>
        </w:rPr>
        <w:t>水资源</w:t>
      </w:r>
    </w:p>
    <w:p>
      <w:pPr>
        <w:spacing w:after="156" w:afterLines="50" w:line="520" w:lineRule="exact"/>
        <w:ind w:firstLine="520" w:firstLineChars="200"/>
        <w:rPr>
          <w:color w:val="000000"/>
          <w:kern w:val="0"/>
          <w:sz w:val="26"/>
          <w:szCs w:val="28"/>
        </w:rPr>
      </w:pPr>
      <w:r>
        <w:rPr>
          <w:color w:val="000000"/>
          <w:kern w:val="0"/>
          <w:sz w:val="26"/>
          <w:szCs w:val="28"/>
        </w:rPr>
        <w:t>武汉水域面积占全市面积的近1/4，全境水域面积2217.6平方公里，覆盖率26.10%，人均占有地表水11.4万平方米，境内5公里以上河流165条，水面面积471.31平方公里。武汉市共有水域面积2205.06平方公里，占该市总面积的25.79%，水域面积占比居中国大城市之首。</w:t>
      </w:r>
    </w:p>
    <w:p>
      <w:pPr>
        <w:spacing w:after="156" w:afterLines="50" w:line="520" w:lineRule="exact"/>
        <w:ind w:firstLine="520" w:firstLineChars="200"/>
        <w:rPr>
          <w:color w:val="000000"/>
          <w:kern w:val="0"/>
          <w:sz w:val="26"/>
          <w:szCs w:val="28"/>
        </w:rPr>
      </w:pPr>
      <w:r>
        <w:rPr>
          <w:color w:val="000000"/>
          <w:kern w:val="0"/>
          <w:sz w:val="26"/>
          <w:szCs w:val="28"/>
        </w:rPr>
        <w:t>湿地资源</w:t>
      </w:r>
    </w:p>
    <w:p>
      <w:pPr>
        <w:spacing w:after="156" w:afterLines="50" w:line="520" w:lineRule="exact"/>
        <w:ind w:firstLine="520" w:firstLineChars="200"/>
        <w:rPr>
          <w:color w:val="000000"/>
          <w:kern w:val="0"/>
          <w:sz w:val="26"/>
          <w:szCs w:val="28"/>
        </w:rPr>
      </w:pPr>
      <w:r>
        <w:rPr>
          <w:color w:val="000000"/>
          <w:kern w:val="0"/>
          <w:sz w:val="26"/>
          <w:szCs w:val="28"/>
        </w:rPr>
        <w:t>武汉</w:t>
      </w:r>
      <w:hyperlink r:id="rId191" w:tgtFrame="_blank" w:history="1">
        <w:r>
          <w:rPr>
            <w:color w:val="000000"/>
            <w:kern w:val="0"/>
            <w:sz w:val="26"/>
            <w:szCs w:val="28"/>
          </w:rPr>
          <w:t>湿地</w:t>
        </w:r>
      </w:hyperlink>
      <w:r>
        <w:rPr>
          <w:color w:val="000000"/>
          <w:kern w:val="0"/>
          <w:sz w:val="26"/>
          <w:szCs w:val="28"/>
        </w:rPr>
        <w:t>资源居全球内陆城市前三位。截至2010年，武汉市湿地面积3358.35平方公里，占全市国土面积的39.54%，其中天然湿地面积1561.86平方公里，人工湿地面积1796.49平方公里。</w:t>
      </w:r>
    </w:p>
    <w:p>
      <w:pPr>
        <w:spacing w:after="156" w:afterLines="50" w:line="520" w:lineRule="exact"/>
        <w:ind w:firstLine="520" w:firstLineChars="200"/>
        <w:rPr>
          <w:color w:val="000000"/>
          <w:kern w:val="0"/>
          <w:sz w:val="26"/>
          <w:szCs w:val="28"/>
        </w:rPr>
      </w:pPr>
      <w:r>
        <w:rPr>
          <w:color w:val="000000"/>
          <w:kern w:val="0"/>
          <w:sz w:val="26"/>
          <w:szCs w:val="28"/>
        </w:rPr>
        <w:t>生物资源</w:t>
      </w:r>
    </w:p>
    <w:p>
      <w:pPr>
        <w:spacing w:after="156" w:afterLines="50" w:line="520" w:lineRule="exact"/>
        <w:ind w:firstLine="520" w:firstLineChars="200"/>
        <w:rPr>
          <w:color w:val="000000"/>
          <w:kern w:val="0"/>
          <w:sz w:val="26"/>
          <w:szCs w:val="28"/>
        </w:rPr>
        <w:sectPr>
          <w:headerReference w:type="default" r:id="rId192"/>
          <w:footerReference w:type="default" r:id="rId193"/>
          <w:headerReference w:type="first" r:id="rId194"/>
          <w:footerReference w:type="first" r:id="rId195"/>
          <w:type w:val="nextPage"/>
          <w:pgSz w:w="11906" w:h="16838"/>
          <w:pgMar w:top="1440" w:right="1797" w:bottom="1440" w:left="1797" w:header="851" w:footer="992" w:gutter="0"/>
          <w:pgNumType w:fmt="decimal" w:start="23"/>
          <w:cols w:space="708"/>
          <w:titlePg w:val="0"/>
          <w:docGrid w:type="linesAndChars" w:linePitch="312"/>
        </w:sectPr>
      </w:pPr>
      <w:r>
        <w:rPr>
          <w:color w:val="000000"/>
          <w:kern w:val="0"/>
          <w:sz w:val="26"/>
          <w:szCs w:val="28"/>
        </w:rPr>
        <w:t>截至2015年，武汉市有畜禽、水生、药用、毛皮羽用、害虫天敌、国家保护动物等动物资源。畜禽动物主要有猪、牛、鸡等10余种、70多个品种。鱼类资源有11目、22科、88种，主要经济鱼类有草、青、鲢等20余种。水禽有</w:t>
      </w:r>
      <w:hyperlink r:id="rId196" w:tgtFrame="_blank" w:history="1">
        <w:r>
          <w:rPr>
            <w:color w:val="000000"/>
            <w:kern w:val="0"/>
            <w:sz w:val="26"/>
            <w:szCs w:val="28"/>
          </w:rPr>
          <w:t>雁</w:t>
        </w:r>
      </w:hyperlink>
      <w:r>
        <w:rPr>
          <w:color w:val="000000"/>
          <w:kern w:val="0"/>
          <w:sz w:val="26"/>
          <w:szCs w:val="28"/>
        </w:rPr>
        <w:t>、</w:t>
      </w:r>
      <w:hyperlink r:id="rId197" w:tgtFrame="_blank" w:history="1">
        <w:r>
          <w:rPr>
            <w:color w:val="000000"/>
            <w:kern w:val="0"/>
            <w:sz w:val="26"/>
            <w:szCs w:val="28"/>
          </w:rPr>
          <w:t>鹳</w:t>
        </w:r>
      </w:hyperlink>
      <w:r>
        <w:rPr>
          <w:color w:val="000000"/>
          <w:kern w:val="0"/>
          <w:sz w:val="26"/>
          <w:szCs w:val="28"/>
        </w:rPr>
        <w:t>、</w:t>
      </w:r>
      <w:hyperlink r:id="rId198" w:tgtFrame="_blank" w:history="1">
        <w:r>
          <w:rPr>
            <w:color w:val="000000"/>
            <w:kern w:val="0"/>
            <w:sz w:val="26"/>
            <w:szCs w:val="28"/>
          </w:rPr>
          <w:t>鹈</w:t>
        </w:r>
      </w:hyperlink>
      <w:r>
        <w:rPr>
          <w:color w:val="000000"/>
          <w:kern w:val="0"/>
          <w:sz w:val="26"/>
          <w:szCs w:val="28"/>
        </w:rPr>
        <w:t>等8目、14科、54种。</w:t>
      </w:r>
      <w:hyperlink r:id="rId199" w:tgtFrame="_blank" w:history="1">
        <w:r>
          <w:rPr>
            <w:color w:val="000000"/>
            <w:kern w:val="0"/>
            <w:sz w:val="26"/>
            <w:szCs w:val="28"/>
          </w:rPr>
          <w:t>白鹳</w:t>
        </w:r>
      </w:hyperlink>
      <w:r>
        <w:rPr>
          <w:color w:val="000000"/>
          <w:kern w:val="0"/>
          <w:sz w:val="26"/>
          <w:szCs w:val="28"/>
        </w:rPr>
        <w:t>是国家一类保护的珍贵稀有水禽。特种经济水生物有白鳍豚、</w:t>
      </w:r>
      <w:hyperlink r:id="rId200" w:tgtFrame="_blank" w:history="1">
        <w:r>
          <w:rPr>
            <w:color w:val="000000"/>
            <w:kern w:val="0"/>
            <w:sz w:val="26"/>
            <w:szCs w:val="28"/>
          </w:rPr>
          <w:t>江豚</w:t>
        </w:r>
      </w:hyperlink>
      <w:r>
        <w:rPr>
          <w:color w:val="000000"/>
          <w:kern w:val="0"/>
          <w:sz w:val="26"/>
          <w:szCs w:val="28"/>
        </w:rPr>
        <w:t>、鳖等。</w:t>
      </w:r>
      <w:hyperlink r:id="rId201" w:tgtFrame="_blank" w:history="1">
        <w:r>
          <w:rPr>
            <w:color w:val="000000"/>
            <w:kern w:val="0"/>
            <w:sz w:val="26"/>
            <w:szCs w:val="28"/>
          </w:rPr>
          <w:t>白鳍豚</w:t>
        </w:r>
      </w:hyperlink>
    </w:p>
    <w:p>
      <w:pPr>
        <w:spacing w:after="156" w:afterLines="50" w:line="520" w:lineRule="exact"/>
        <w:ind w:firstLine="520" w:firstLineChars="200"/>
        <w:rPr>
          <w:color w:val="000000"/>
          <w:kern w:val="0"/>
          <w:sz w:val="26"/>
          <w:szCs w:val="28"/>
        </w:rPr>
      </w:pPr>
      <w:r>
        <w:rPr>
          <w:color w:val="000000"/>
          <w:kern w:val="0"/>
          <w:sz w:val="26"/>
          <w:szCs w:val="28"/>
        </w:rPr>
        <w:t>是国家一类保护动物，江豚属国家二类保护动物。在野生动物资源中，毛皮兽类很少，主要是药用动物、农林害虫等。武汉市粮食作物共240多个品种；经济作物，共50种；鱼类资源，共11目11科88种，水生动物，共有8目14科45种。</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矿产资源</w:t>
      </w:r>
    </w:p>
    <w:p>
      <w:pPr>
        <w:spacing w:after="156" w:afterLines="50" w:line="520" w:lineRule="exact"/>
        <w:ind w:firstLine="520" w:firstLineChars="200"/>
        <w:rPr>
          <w:color w:val="000000"/>
          <w:kern w:val="0"/>
          <w:sz w:val="26"/>
          <w:szCs w:val="28"/>
        </w:rPr>
      </w:pPr>
      <w:r>
        <w:rPr>
          <w:color w:val="000000"/>
          <w:kern w:val="0"/>
          <w:sz w:val="26"/>
          <w:szCs w:val="28"/>
        </w:rPr>
        <w:t>截至2015年底，武汉共发现38种矿藏，其中已探明储量的矿种有24种（不含地下水），占全省已探明储量矿种的30.38%。累计探明储量96125.65万吨，保有矿产储量79829.75万吨。非金属矿产资源中</w:t>
      </w:r>
      <w:hyperlink r:id="rId202" w:tgtFrame="_blank" w:history="1">
        <w:r>
          <w:rPr>
            <w:color w:val="000000"/>
            <w:kern w:val="0"/>
            <w:sz w:val="26"/>
            <w:szCs w:val="28"/>
          </w:rPr>
          <w:t>膨润土</w:t>
        </w:r>
      </w:hyperlink>
      <w:r>
        <w:rPr>
          <w:color w:val="000000"/>
          <w:kern w:val="0"/>
          <w:sz w:val="26"/>
          <w:szCs w:val="28"/>
        </w:rPr>
        <w:t>、冶金</w:t>
      </w:r>
      <w:hyperlink r:id="rId203" w:tgtFrame="_blank" w:history="1">
        <w:r>
          <w:rPr>
            <w:color w:val="000000"/>
            <w:kern w:val="0"/>
            <w:sz w:val="26"/>
            <w:szCs w:val="28"/>
          </w:rPr>
          <w:t>白云岩</w:t>
        </w:r>
      </w:hyperlink>
      <w:r>
        <w:rPr>
          <w:color w:val="000000"/>
          <w:kern w:val="0"/>
          <w:sz w:val="26"/>
          <w:szCs w:val="28"/>
        </w:rPr>
        <w:t>、玻璃</w:t>
      </w:r>
      <w:hyperlink r:id="rId204" w:tgtFrame="_blank" w:history="1">
        <w:r>
          <w:rPr>
            <w:color w:val="000000"/>
            <w:kern w:val="0"/>
            <w:sz w:val="26"/>
            <w:szCs w:val="28"/>
          </w:rPr>
          <w:t>石英砂</w:t>
        </w:r>
      </w:hyperlink>
      <w:r>
        <w:rPr>
          <w:color w:val="000000"/>
          <w:kern w:val="0"/>
          <w:sz w:val="26"/>
          <w:szCs w:val="28"/>
        </w:rPr>
        <w:t>岩的储量居全省首位，石膏的储量规模居全省的第三位。全市已探明储量的矿产地数384处，其中大型矿产地有4处、中型矿产地有10处、小型矿产地有43处、矿点327处。</w:t>
      </w:r>
    </w:p>
    <w:p>
      <w:pPr>
        <w:pStyle w:val="Heading3"/>
        <w:spacing w:before="120" w:after="120" w:line="415" w:lineRule="auto"/>
        <w:rPr>
          <w:rFonts w:hint="eastAsia"/>
          <w:color w:val="000000"/>
          <w:sz w:val="24"/>
        </w:rPr>
      </w:pPr>
      <w:bookmarkStart w:id="87" w:name="_Toc32379"/>
      <w:bookmarkStart w:id="88" w:name="_Toc517425032"/>
      <w:r>
        <w:rPr>
          <w:rFonts w:hint="eastAsia"/>
          <w:color w:val="000000"/>
          <w:sz w:val="24"/>
          <w:lang w:val="en-US" w:eastAsia="zh-CN"/>
        </w:rPr>
        <w:t>4</w:t>
      </w:r>
      <w:r>
        <w:rPr>
          <w:color w:val="000000"/>
          <w:sz w:val="24"/>
        </w:rPr>
        <w:t>.2.</w:t>
      </w:r>
      <w:r>
        <w:rPr>
          <w:rFonts w:hint="eastAsia"/>
          <w:color w:val="000000"/>
          <w:sz w:val="24"/>
        </w:rPr>
        <w:t>6城市发展目标</w:t>
      </w:r>
      <w:bookmarkEnd w:id="87"/>
      <w:bookmarkEnd w:id="88"/>
    </w:p>
    <w:p>
      <w:pPr>
        <w:spacing w:after="156" w:afterLines="50" w:line="520" w:lineRule="exact"/>
        <w:ind w:firstLine="520" w:firstLineChars="200"/>
        <w:rPr>
          <w:rFonts w:hint="eastAsia"/>
          <w:color w:val="000000"/>
          <w:kern w:val="0"/>
          <w:sz w:val="26"/>
          <w:szCs w:val="28"/>
        </w:rPr>
      </w:pPr>
      <w:r>
        <w:rPr>
          <w:color w:val="000000"/>
          <w:kern w:val="0"/>
          <w:sz w:val="26"/>
          <w:szCs w:val="28"/>
        </w:rPr>
        <w:t>总体发展目标：</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坚持可持续发展战略，完善城市功能，发挥中心城市作用，将武汉建设成为经济实力雄厚、科技教育发达、产业结构优化、服务体系先进、社会就业充分、空间布局合理、基础设施完善、生态环境良好的现代化城市，成为促进中部地区崛起的重要战略支点和龙头城市、全国</w:t>
      </w:r>
      <w:r>
        <w:rPr>
          <w:rFonts w:hint="eastAsia"/>
          <w:color w:val="000000"/>
          <w:kern w:val="0"/>
          <w:sz w:val="26"/>
          <w:szCs w:val="28"/>
        </w:rPr>
        <w:t>“</w:t>
      </w:r>
      <w:r>
        <w:rPr>
          <w:rFonts w:hint="eastAsia"/>
          <w:color w:val="000000"/>
          <w:kern w:val="0"/>
          <w:sz w:val="26"/>
          <w:szCs w:val="28"/>
        </w:rPr>
        <w:t>两型</w:t>
      </w:r>
      <w:r>
        <w:rPr>
          <w:rFonts w:hint="eastAsia"/>
          <w:color w:val="000000"/>
          <w:kern w:val="0"/>
          <w:sz w:val="26"/>
          <w:szCs w:val="28"/>
        </w:rPr>
        <w:t>”</w:t>
      </w:r>
      <w:r>
        <w:rPr>
          <w:rFonts w:hint="eastAsia"/>
          <w:color w:val="000000"/>
          <w:kern w:val="0"/>
          <w:sz w:val="26"/>
          <w:szCs w:val="28"/>
        </w:rPr>
        <w:t>社会建设典型示范区，为建设国际性城市奠定基础。</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经济发展目标：</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积极转变经济发展方式，开拓国际、国内市场，增强交通、流通优势，提高自主创新能力，调整优化产业结构，坚持走新型工业化和创新型发展道路，突出商贸城市、服务业城市的职能，形成以高新技术产业为先导、先进制造业和现代服务业为支撑的产业发展格局。</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社会发展目标：</w:t>
      </w:r>
    </w:p>
    <w:p>
      <w:pPr>
        <w:spacing w:after="156" w:afterLines="50" w:line="520" w:lineRule="exact"/>
        <w:ind w:firstLine="520" w:firstLineChars="200"/>
        <w:rPr>
          <w:rFonts w:hint="eastAsia"/>
          <w:color w:val="000000"/>
          <w:kern w:val="0"/>
          <w:sz w:val="26"/>
          <w:szCs w:val="28"/>
        </w:rPr>
        <w:sectPr>
          <w:headerReference w:type="default" r:id="rId205"/>
          <w:footerReference w:type="default" r:id="rId206"/>
          <w:headerReference w:type="first" r:id="rId207"/>
          <w:footerReference w:type="first" r:id="rId208"/>
          <w:type w:val="nextPage"/>
          <w:pgSz w:w="11906" w:h="16838"/>
          <w:pgMar w:top="1440" w:right="1797" w:bottom="1440" w:left="1797" w:header="851" w:footer="992" w:gutter="0"/>
          <w:pgNumType w:fmt="decimal" w:start="24"/>
          <w:cols w:space="708"/>
          <w:titlePg w:val="0"/>
          <w:docGrid w:type="linesAndChars" w:linePitch="312"/>
        </w:sectPr>
      </w:pP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坚持以人为本，促进以创业带动就业，积极扩大就业，健全城乡社会保障体系，解决关系群众切身利益问题；加快科技、教育、文化、卫生、体育等各项社会事业发展，提高人口素质和人民生活质量；推进</w:t>
      </w:r>
      <w:r>
        <w:rPr>
          <w:rFonts w:hint="eastAsia"/>
          <w:color w:val="000000"/>
          <w:kern w:val="0"/>
          <w:sz w:val="26"/>
          <w:szCs w:val="28"/>
        </w:rPr>
        <w:t>“</w:t>
      </w:r>
      <w:r>
        <w:rPr>
          <w:rFonts w:hint="eastAsia"/>
          <w:color w:val="000000"/>
          <w:kern w:val="0"/>
          <w:sz w:val="26"/>
          <w:szCs w:val="28"/>
        </w:rPr>
        <w:t>两型</w:t>
      </w:r>
      <w:r>
        <w:rPr>
          <w:rFonts w:hint="eastAsia"/>
          <w:color w:val="000000"/>
          <w:kern w:val="0"/>
          <w:sz w:val="26"/>
          <w:szCs w:val="28"/>
        </w:rPr>
        <w:t>”</w:t>
      </w:r>
      <w:r>
        <w:rPr>
          <w:rFonts w:hint="eastAsia"/>
          <w:color w:val="000000"/>
          <w:kern w:val="0"/>
          <w:sz w:val="26"/>
          <w:szCs w:val="28"/>
        </w:rPr>
        <w:t>社会建设，促进人与自然和谐相处；逐步推进城乡基本公共服务均等化，维护社会公平和社会稳定构建和谐武汉。</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城市建设目标：</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加快城市现代化进程，提供多元化、多层次的公共服务，建立现代化、高效率的交通与基础设施体系，提高人民居住水平，创造高质量的居住生活环境，建设宜居城市；调整优化城市产业布局，建设先进制造业基地，构筑</w:t>
      </w:r>
      <w:r>
        <w:rPr>
          <w:rFonts w:hint="eastAsia"/>
          <w:color w:val="000000"/>
          <w:kern w:val="0"/>
          <w:sz w:val="26"/>
          <w:szCs w:val="28"/>
        </w:rPr>
        <w:t>“</w:t>
      </w:r>
      <w:r>
        <w:rPr>
          <w:rFonts w:hint="eastAsia"/>
          <w:color w:val="000000"/>
          <w:kern w:val="0"/>
          <w:sz w:val="26"/>
          <w:szCs w:val="28"/>
        </w:rPr>
        <w:t>高增值、强辐射、广就业</w:t>
      </w:r>
      <w:r>
        <w:rPr>
          <w:rFonts w:hint="eastAsia"/>
          <w:color w:val="000000"/>
          <w:kern w:val="0"/>
          <w:sz w:val="26"/>
          <w:szCs w:val="28"/>
        </w:rPr>
        <w:t>”</w:t>
      </w:r>
      <w:r>
        <w:rPr>
          <w:rFonts w:hint="eastAsia"/>
          <w:color w:val="000000"/>
          <w:kern w:val="0"/>
          <w:sz w:val="26"/>
          <w:szCs w:val="28"/>
        </w:rPr>
        <w:t>的现代服务体系，成为对资本和人才最具吸引力的创业城市；保护</w:t>
      </w:r>
      <w:r>
        <w:rPr>
          <w:rFonts w:hint="eastAsia"/>
          <w:color w:val="000000"/>
          <w:kern w:val="0"/>
          <w:sz w:val="26"/>
          <w:szCs w:val="28"/>
        </w:rPr>
        <w:t>“</w:t>
      </w:r>
      <w:r>
        <w:rPr>
          <w:rFonts w:hint="eastAsia"/>
          <w:color w:val="000000"/>
          <w:kern w:val="0"/>
          <w:sz w:val="26"/>
          <w:szCs w:val="28"/>
        </w:rPr>
        <w:t>江、湖、山、城</w:t>
      </w:r>
      <w:r>
        <w:rPr>
          <w:rFonts w:hint="eastAsia"/>
          <w:color w:val="000000"/>
          <w:kern w:val="0"/>
          <w:sz w:val="26"/>
          <w:szCs w:val="28"/>
        </w:rPr>
        <w:t>”</w:t>
      </w:r>
      <w:r>
        <w:rPr>
          <w:rFonts w:hint="eastAsia"/>
          <w:color w:val="000000"/>
          <w:kern w:val="0"/>
          <w:sz w:val="26"/>
          <w:szCs w:val="28"/>
        </w:rPr>
        <w:t>的自然生态格局，构建合理的生态框架，建成山青水秀、人与自然和谐、具有滨江滨湖特色的生态城市；保护历史文化名城，彰显城市文化内涵，建设高品质的文化城市。</w:t>
      </w:r>
    </w:p>
    <w:p>
      <w:pPr>
        <w:pStyle w:val="Heading3"/>
        <w:spacing w:before="120" w:after="120" w:line="415" w:lineRule="auto"/>
        <w:rPr>
          <w:rFonts w:hint="eastAsia"/>
          <w:color w:val="000000"/>
          <w:sz w:val="24"/>
        </w:rPr>
      </w:pPr>
      <w:bookmarkStart w:id="89" w:name="_Toc15443"/>
      <w:bookmarkStart w:id="90" w:name="_Toc517425033"/>
      <w:r>
        <w:rPr>
          <w:rFonts w:hint="eastAsia"/>
          <w:color w:val="000000"/>
          <w:sz w:val="24"/>
          <w:lang w:val="en-US" w:eastAsia="zh-CN"/>
        </w:rPr>
        <w:t>4</w:t>
      </w:r>
      <w:r>
        <w:rPr>
          <w:color w:val="000000"/>
          <w:sz w:val="24"/>
        </w:rPr>
        <w:t>.2.</w:t>
      </w:r>
      <w:r>
        <w:rPr>
          <w:rFonts w:hint="eastAsia"/>
          <w:color w:val="000000"/>
          <w:sz w:val="24"/>
        </w:rPr>
        <w:t>7城市经济发展前瞻</w:t>
      </w:r>
      <w:bookmarkEnd w:id="90"/>
      <w:bookmarkEnd w:id="89"/>
    </w:p>
    <w:p>
      <w:pPr>
        <w:spacing w:after="156" w:afterLines="50" w:line="520" w:lineRule="exact"/>
        <w:ind w:firstLine="520" w:firstLineChars="200"/>
        <w:rPr>
          <w:color w:val="000000"/>
          <w:sz w:val="26"/>
        </w:rPr>
      </w:pPr>
      <w:r>
        <w:rPr>
          <w:rFonts w:hint="eastAsia"/>
          <w:b/>
          <w:bCs/>
          <w:color w:val="000000"/>
          <w:sz w:val="26"/>
        </w:rPr>
        <w:t>武汉力争建设国家中心城市</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2016年12月26日，经国务院批复同意，国家发改委正式印发《促进中部地区崛起</w:t>
      </w:r>
      <w:r>
        <w:rPr>
          <w:rFonts w:hint="eastAsia"/>
          <w:color w:val="000000"/>
          <w:kern w:val="0"/>
          <w:sz w:val="26"/>
          <w:szCs w:val="28"/>
        </w:rPr>
        <w:t>“</w:t>
      </w:r>
      <w:r>
        <w:rPr>
          <w:rFonts w:hint="eastAsia"/>
          <w:color w:val="000000"/>
          <w:kern w:val="0"/>
          <w:sz w:val="26"/>
          <w:szCs w:val="28"/>
        </w:rPr>
        <w:t>十三五</w:t>
      </w:r>
      <w:r>
        <w:rPr>
          <w:rFonts w:hint="eastAsia"/>
          <w:color w:val="000000"/>
          <w:kern w:val="0"/>
          <w:sz w:val="26"/>
          <w:szCs w:val="28"/>
        </w:rPr>
        <w:t>”</w:t>
      </w:r>
      <w:r>
        <w:rPr>
          <w:rFonts w:hint="eastAsia"/>
          <w:color w:val="000000"/>
          <w:kern w:val="0"/>
          <w:sz w:val="26"/>
          <w:szCs w:val="28"/>
        </w:rPr>
        <w:t>规划》，明确支持武汉建设国家中心城市。</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武汉列为湖北自贸试验区三大片区之一</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2017年4月1日，中国（湖北）自由贸易试验区挂牌成立。武汉是三大片区之一，重点发展信息技术、生命健康、智能制造等产业。</w:t>
      </w:r>
    </w:p>
    <w:p>
      <w:pPr>
        <w:spacing w:after="156" w:afterLines="50" w:line="520" w:lineRule="exact"/>
        <w:ind w:firstLine="520" w:firstLineChars="200"/>
        <w:rPr>
          <w:rFonts w:hint="eastAsia"/>
          <w:color w:val="000000"/>
          <w:kern w:val="0"/>
          <w:sz w:val="26"/>
          <w:szCs w:val="28"/>
        </w:rPr>
        <w:sectPr>
          <w:headerReference w:type="default" r:id="rId209"/>
          <w:footerReference w:type="default" r:id="rId210"/>
          <w:headerReference w:type="first" r:id="rId211"/>
          <w:footerReference w:type="first" r:id="rId212"/>
          <w:type w:val="nextPage"/>
          <w:pgSz w:w="11906" w:h="16838"/>
          <w:pgMar w:top="1440" w:right="1797" w:bottom="1440" w:left="1797" w:header="851" w:footer="992" w:gutter="0"/>
          <w:pgNumType w:fmt="decimal" w:start="25"/>
          <w:cols w:space="708"/>
          <w:titlePg w:val="0"/>
          <w:docGrid w:type="linesAndChars" w:linePitch="312"/>
        </w:sectPr>
      </w:pPr>
      <w:r>
        <w:rPr>
          <w:rFonts w:hint="eastAsia"/>
          <w:color w:val="000000"/>
          <w:kern w:val="0"/>
          <w:sz w:val="26"/>
          <w:szCs w:val="28"/>
        </w:rPr>
        <w:t>除此之外，武汉入选全国首批综合交通枢纽示范工程城市，武汉国家航天产业基地获国家批复，武汉是中部服务贸易创新发展试点唯一城市，武汉成为</w:t>
      </w:r>
      <w:r>
        <w:rPr>
          <w:rFonts w:hint="eastAsia"/>
          <w:color w:val="000000"/>
          <w:kern w:val="0"/>
          <w:sz w:val="26"/>
          <w:szCs w:val="28"/>
        </w:rPr>
        <w:t>“</w:t>
      </w:r>
      <w:r>
        <w:rPr>
          <w:rFonts w:hint="eastAsia"/>
          <w:color w:val="000000"/>
          <w:kern w:val="0"/>
          <w:sz w:val="26"/>
          <w:szCs w:val="28"/>
        </w:rPr>
        <w:t>中国制造2025</w:t>
      </w:r>
      <w:r>
        <w:rPr>
          <w:rFonts w:hint="eastAsia"/>
          <w:color w:val="000000"/>
          <w:kern w:val="0"/>
          <w:sz w:val="26"/>
          <w:szCs w:val="28"/>
        </w:rPr>
        <w:t>”</w:t>
      </w:r>
      <w:r>
        <w:rPr>
          <w:rFonts w:hint="eastAsia"/>
          <w:color w:val="000000"/>
          <w:kern w:val="0"/>
          <w:sz w:val="26"/>
          <w:szCs w:val="28"/>
        </w:rPr>
        <w:t>试点示范城市，武汉2030年城市总体规划获国务院批复，</w:t>
      </w:r>
      <w:r>
        <w:rPr>
          <w:rFonts w:hint="eastAsia"/>
          <w:color w:val="000000"/>
          <w:kern w:val="0"/>
          <w:sz w:val="26"/>
          <w:szCs w:val="28"/>
        </w:rPr>
        <w:t>“</w:t>
      </w:r>
      <w:r>
        <w:rPr>
          <w:rFonts w:hint="eastAsia"/>
          <w:color w:val="000000"/>
          <w:kern w:val="0"/>
          <w:sz w:val="26"/>
          <w:szCs w:val="28"/>
        </w:rPr>
        <w:t>武汉1+8城市圈</w:t>
      </w:r>
      <w:r>
        <w:rPr>
          <w:rFonts w:hint="eastAsia"/>
          <w:color w:val="000000"/>
          <w:kern w:val="0"/>
          <w:sz w:val="26"/>
          <w:szCs w:val="28"/>
        </w:rPr>
        <w:t>”</w:t>
      </w:r>
      <w:r>
        <w:rPr>
          <w:rFonts w:hint="eastAsia"/>
          <w:color w:val="000000"/>
          <w:kern w:val="0"/>
          <w:sz w:val="26"/>
          <w:szCs w:val="28"/>
        </w:rPr>
        <w:t>获中央重视，中央还明确武汉在长江经济带的引领作用</w:t>
      </w:r>
      <w:r>
        <w:rPr>
          <w:rFonts w:hint="eastAsia"/>
          <w:color w:val="000000"/>
          <w:kern w:val="0"/>
          <w:sz w:val="26"/>
          <w:szCs w:val="28"/>
        </w:rPr>
        <w:t>……</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诸多国字号战略加身，肯定了武汉的战略地位，武汉也依据《武汉2049远景发展战略规划》向世界级进发。</w:t>
      </w:r>
    </w:p>
    <w:p>
      <w:pPr>
        <w:spacing w:after="156" w:afterLines="50" w:line="520" w:lineRule="exact"/>
        <w:ind w:firstLine="520" w:firstLineChars="200"/>
        <w:rPr>
          <w:color w:val="000000"/>
          <w:sz w:val="26"/>
        </w:rPr>
      </w:pPr>
      <w:r>
        <w:rPr>
          <w:rFonts w:hint="eastAsia"/>
          <w:b/>
          <w:bCs/>
          <w:color w:val="000000"/>
          <w:sz w:val="26"/>
        </w:rPr>
        <w:t>武汉高远目光对标世界</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w:t>
      </w:r>
      <w:r>
        <w:rPr>
          <w:rFonts w:hint="eastAsia"/>
          <w:color w:val="000000"/>
          <w:kern w:val="0"/>
          <w:sz w:val="26"/>
          <w:szCs w:val="28"/>
        </w:rPr>
        <w:t>长江新城</w:t>
      </w:r>
      <w:r>
        <w:rPr>
          <w:rFonts w:hint="eastAsia"/>
          <w:color w:val="000000"/>
          <w:kern w:val="0"/>
          <w:sz w:val="26"/>
          <w:szCs w:val="28"/>
        </w:rPr>
        <w:t>”——</w:t>
      </w:r>
      <w:r>
        <w:rPr>
          <w:rFonts w:hint="eastAsia"/>
          <w:color w:val="000000"/>
          <w:kern w:val="0"/>
          <w:sz w:val="26"/>
          <w:szCs w:val="28"/>
        </w:rPr>
        <w:t>打造代表城市发展成就的展示区、全球未来城市的样板。规划中的长江新城，占地面积将在20平方公里以上，地处滨江宝地，在长江沿线打造第二个</w:t>
      </w:r>
      <w:r>
        <w:rPr>
          <w:rFonts w:hint="eastAsia"/>
          <w:color w:val="000000"/>
          <w:kern w:val="0"/>
          <w:sz w:val="26"/>
          <w:szCs w:val="28"/>
        </w:rPr>
        <w:t>“</w:t>
      </w:r>
      <w:r>
        <w:rPr>
          <w:rFonts w:hint="eastAsia"/>
          <w:color w:val="000000"/>
          <w:kern w:val="0"/>
          <w:sz w:val="26"/>
          <w:szCs w:val="28"/>
        </w:rPr>
        <w:t>浦东</w:t>
      </w:r>
      <w:r>
        <w:rPr>
          <w:rFonts w:hint="eastAsia"/>
          <w:color w:val="000000"/>
          <w:kern w:val="0"/>
          <w:sz w:val="26"/>
          <w:szCs w:val="28"/>
        </w:rPr>
        <w:t>”</w:t>
      </w:r>
      <w:r>
        <w:rPr>
          <w:rFonts w:hint="eastAsia"/>
          <w:color w:val="000000"/>
          <w:kern w:val="0"/>
          <w:sz w:val="26"/>
          <w:szCs w:val="28"/>
        </w:rPr>
        <w:t>。</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w:t>
      </w:r>
      <w:r>
        <w:rPr>
          <w:rFonts w:hint="eastAsia"/>
          <w:color w:val="000000"/>
          <w:kern w:val="0"/>
          <w:sz w:val="26"/>
          <w:szCs w:val="28"/>
        </w:rPr>
        <w:t>长江主轴</w:t>
      </w:r>
      <w:r>
        <w:rPr>
          <w:rFonts w:hint="eastAsia"/>
          <w:color w:val="000000"/>
          <w:kern w:val="0"/>
          <w:sz w:val="26"/>
          <w:szCs w:val="28"/>
        </w:rPr>
        <w:t>”——</w:t>
      </w:r>
      <w:r>
        <w:rPr>
          <w:rFonts w:hint="eastAsia"/>
          <w:color w:val="000000"/>
          <w:kern w:val="0"/>
          <w:sz w:val="26"/>
          <w:szCs w:val="28"/>
        </w:rPr>
        <w:t>重点围绕武汉主城区长江段，集中展现长江文化、生态特色、发展成就和城市文明，打造世界级城市中轴文明景观带。</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w:t>
      </w:r>
      <w:r>
        <w:rPr>
          <w:rFonts w:hint="eastAsia"/>
          <w:color w:val="000000"/>
          <w:kern w:val="0"/>
          <w:sz w:val="26"/>
          <w:szCs w:val="28"/>
        </w:rPr>
        <w:t>东湖绿心</w:t>
      </w:r>
      <w:r>
        <w:rPr>
          <w:rFonts w:hint="eastAsia"/>
          <w:color w:val="000000"/>
          <w:kern w:val="0"/>
          <w:sz w:val="26"/>
          <w:szCs w:val="28"/>
        </w:rPr>
        <w:t>”——</w:t>
      </w:r>
      <w:r>
        <w:rPr>
          <w:rFonts w:hint="eastAsia"/>
          <w:color w:val="000000"/>
          <w:kern w:val="0"/>
          <w:sz w:val="26"/>
          <w:szCs w:val="28"/>
        </w:rPr>
        <w:t>世界级唯美城市绿心。武汉市第十三次党代会明确提出启动规划建设</w:t>
      </w:r>
      <w:r>
        <w:rPr>
          <w:rFonts w:hint="eastAsia"/>
          <w:color w:val="000000"/>
          <w:kern w:val="0"/>
          <w:sz w:val="26"/>
          <w:szCs w:val="28"/>
        </w:rPr>
        <w:t>“</w:t>
      </w:r>
      <w:r>
        <w:rPr>
          <w:rFonts w:hint="eastAsia"/>
          <w:color w:val="000000"/>
          <w:kern w:val="0"/>
          <w:sz w:val="26"/>
          <w:szCs w:val="28"/>
        </w:rPr>
        <w:t>东湖绿心</w:t>
      </w:r>
      <w:r>
        <w:rPr>
          <w:rFonts w:hint="eastAsia"/>
          <w:color w:val="000000"/>
          <w:kern w:val="0"/>
          <w:sz w:val="26"/>
          <w:szCs w:val="28"/>
        </w:rPr>
        <w:t>”</w:t>
      </w:r>
      <w:r>
        <w:rPr>
          <w:rFonts w:hint="eastAsia"/>
          <w:color w:val="000000"/>
          <w:kern w:val="0"/>
          <w:sz w:val="26"/>
          <w:szCs w:val="28"/>
        </w:rPr>
        <w:t>，传承楚汉风韵，打造世界级城中湖典范。</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世界级地铁城市</w:t>
      </w:r>
      <w:r>
        <w:rPr>
          <w:rFonts w:hint="eastAsia"/>
          <w:color w:val="000000"/>
          <w:kern w:val="0"/>
          <w:sz w:val="26"/>
          <w:szCs w:val="28"/>
        </w:rPr>
        <w:t>——</w:t>
      </w:r>
      <w:r>
        <w:rPr>
          <w:rFonts w:hint="eastAsia"/>
          <w:color w:val="000000"/>
          <w:kern w:val="0"/>
          <w:sz w:val="26"/>
          <w:szCs w:val="28"/>
        </w:rPr>
        <w:t>未来将战略性提速轨道交通建设，加快推进11条在建线路，建成8号线一期、21号线，开工6号线二期、8号线三期、12号线，争取开工16号线、前川线。</w:t>
      </w:r>
    </w:p>
    <w:p>
      <w:pPr>
        <w:rPr>
          <w:color w:val="FF0000"/>
        </w:rPr>
        <w:sectPr>
          <w:headerReference w:type="default" r:id="rId213"/>
          <w:footerReference w:type="default" r:id="rId214"/>
          <w:headerReference w:type="first" r:id="rId215"/>
          <w:footerReference w:type="first" r:id="rId216"/>
          <w:type w:val="nextPage"/>
          <w:pgSz w:w="11906" w:h="16838"/>
          <w:pgMar w:top="1440" w:right="1797" w:bottom="1440" w:left="1797" w:header="851" w:footer="992" w:gutter="0"/>
          <w:pgNumType w:fmt="decimal" w:start="26"/>
          <w:cols w:space="708"/>
          <w:titlePg w:val="0"/>
          <w:docGrid w:type="linesAndChars" w:linePitch="312"/>
        </w:sectPr>
      </w:pPr>
      <w:r>
        <w:rPr>
          <w:rFonts w:hint="eastAsia"/>
          <w:color w:val="FF0000"/>
          <w:sz w:val="26"/>
        </w:rPr>
        <w:br/>
      </w:r>
    </w:p>
    <w:p>
      <w:pPr>
        <w:pStyle w:val="Heading1"/>
        <w:spacing w:before="0" w:beforeLines="0" w:after="156" w:afterLines="50" w:line="520" w:lineRule="exact"/>
        <w:jc w:val="center"/>
        <w:rPr>
          <w:rFonts w:ascii="Times New Roman" w:hAnsi="宋体"/>
          <w:color w:val="000000"/>
          <w:sz w:val="30"/>
        </w:rPr>
      </w:pPr>
      <w:bookmarkStart w:id="91" w:name="_Toc14403"/>
      <w:r>
        <w:rPr>
          <w:rFonts w:ascii="Times New Roman" w:hAnsi="宋体" w:hint="eastAsia"/>
          <w:color w:val="000000"/>
          <w:sz w:val="30"/>
        </w:rPr>
        <w:t>第五章</w:t>
      </w:r>
      <w:r>
        <w:rPr>
          <w:rFonts w:ascii="Times New Roman" w:hAnsi="宋体"/>
          <w:color w:val="000000"/>
          <w:sz w:val="30"/>
        </w:rPr>
        <w:t xml:space="preserve"> </w:t>
      </w:r>
      <w:r>
        <w:rPr>
          <w:rFonts w:ascii="Times New Roman" w:hAnsi="宋体" w:hint="eastAsia"/>
          <w:color w:val="000000"/>
          <w:sz w:val="30"/>
        </w:rPr>
        <w:t>总体建设方案</w:t>
      </w:r>
      <w:bookmarkEnd w:id="72"/>
      <w:bookmarkEnd w:id="91"/>
    </w:p>
    <w:p>
      <w:pPr>
        <w:pStyle w:val="Heading2"/>
        <w:spacing w:before="0" w:beforeLines="0" w:after="156" w:afterLines="50" w:line="520" w:lineRule="exact"/>
        <w:rPr>
          <w:rFonts w:ascii="Times New Roman" w:eastAsia="宋体" w:hAnsi="Times New Roman" w:hint="eastAsia"/>
          <w:color w:val="000000"/>
          <w:sz w:val="26"/>
        </w:rPr>
      </w:pPr>
      <w:bookmarkStart w:id="92" w:name="_Toc347493914"/>
      <w:bookmarkStart w:id="93" w:name="_Toc351632638"/>
      <w:bookmarkStart w:id="94" w:name="_Toc353198575"/>
      <w:bookmarkStart w:id="95" w:name="_Toc516695506"/>
      <w:bookmarkStart w:id="96" w:name="_Toc357629739"/>
      <w:bookmarkStart w:id="97" w:name="_Toc351902110"/>
      <w:bookmarkStart w:id="98" w:name="_Toc351826268"/>
      <w:bookmarkStart w:id="99" w:name="_Toc352184079"/>
      <w:bookmarkStart w:id="100" w:name="_Toc14395"/>
      <w:bookmarkStart w:id="101" w:name="_Toc347187889"/>
      <w:bookmarkStart w:id="102" w:name="_Toc348420128"/>
      <w:bookmarkStart w:id="103" w:name="_Toc359945673"/>
      <w:r>
        <w:rPr>
          <w:rFonts w:ascii="Times New Roman" w:eastAsia="宋体" w:hAnsi="Times New Roman"/>
          <w:color w:val="000000"/>
          <w:sz w:val="26"/>
        </w:rPr>
        <w:t>5.1</w:t>
      </w:r>
      <w:r>
        <w:rPr>
          <w:rFonts w:ascii="Times New Roman" w:eastAsia="宋体" w:hAnsi="Times New Roman" w:hint="eastAsia"/>
          <w:color w:val="000000"/>
          <w:sz w:val="26"/>
        </w:rPr>
        <w:t>总图布置原则</w:t>
      </w:r>
      <w:bookmarkEnd w:id="92"/>
      <w:bookmarkEnd w:id="93"/>
      <w:bookmarkEnd w:id="94"/>
      <w:bookmarkEnd w:id="95"/>
      <w:bookmarkEnd w:id="96"/>
      <w:bookmarkEnd w:id="103"/>
      <w:bookmarkEnd w:id="97"/>
      <w:bookmarkEnd w:id="102"/>
      <w:bookmarkEnd w:id="98"/>
      <w:bookmarkEnd w:id="99"/>
      <w:bookmarkEnd w:id="100"/>
      <w:bookmarkEnd w:id="101"/>
    </w:p>
    <w:p>
      <w:pPr>
        <w:spacing w:after="156" w:afterLines="50" w:line="520" w:lineRule="exact"/>
        <w:ind w:firstLine="520" w:firstLineChars="200"/>
        <w:rPr>
          <w:color w:val="000000"/>
          <w:sz w:val="26"/>
        </w:rPr>
      </w:pPr>
      <w:r>
        <w:rPr>
          <w:rFonts w:hint="eastAsia"/>
          <w:color w:val="000000"/>
          <w:sz w:val="26"/>
        </w:rPr>
        <w:t>1、</w:t>
      </w:r>
      <w:r>
        <w:rPr>
          <w:color w:val="000000"/>
          <w:sz w:val="26"/>
        </w:rPr>
        <w:t>强调</w:t>
      </w:r>
      <w:r>
        <w:rPr>
          <w:rFonts w:hint="eastAsia"/>
          <w:color w:val="000000"/>
          <w:sz w:val="26"/>
        </w:rPr>
        <w:t>“</w:t>
      </w:r>
      <w:r>
        <w:rPr>
          <w:color w:val="000000"/>
          <w:sz w:val="26"/>
        </w:rPr>
        <w:t>以人为本</w:t>
      </w:r>
      <w:r>
        <w:rPr>
          <w:rFonts w:hint="eastAsia"/>
          <w:color w:val="000000"/>
          <w:sz w:val="26"/>
        </w:rPr>
        <w:t>”</w:t>
      </w:r>
      <w:r>
        <w:rPr>
          <w:color w:val="000000"/>
          <w:sz w:val="26"/>
        </w:rPr>
        <w:t>的设计思想，处理好人与建筑、人与环境、人与交通、人与空间以及人与人之间的关系。从总体上统筹考虑建筑、道路、绿化空间之间的和谐，创造一个宜于生产的环境空间。</w:t>
      </w:r>
    </w:p>
    <w:p>
      <w:pPr>
        <w:spacing w:after="156" w:afterLines="50" w:line="520" w:lineRule="exact"/>
        <w:ind w:firstLine="520" w:firstLineChars="200"/>
        <w:rPr>
          <w:color w:val="000000"/>
          <w:sz w:val="26"/>
        </w:rPr>
      </w:pPr>
      <w:r>
        <w:rPr>
          <w:color w:val="000000"/>
          <w:sz w:val="26"/>
        </w:rPr>
        <w:t>2、合理配置自然资源，优化用地结构，配套建设各项目设施。</w:t>
      </w:r>
    </w:p>
    <w:p>
      <w:pPr>
        <w:spacing w:after="156" w:afterLines="50" w:line="520" w:lineRule="exact"/>
        <w:ind w:firstLine="520" w:firstLineChars="200"/>
        <w:rPr>
          <w:color w:val="000000"/>
          <w:sz w:val="26"/>
        </w:rPr>
      </w:pPr>
      <w:r>
        <w:rPr>
          <w:color w:val="000000"/>
          <w:sz w:val="26"/>
        </w:rPr>
        <w:t>3、工程内容、建筑面积和建筑结构应适应工艺布置要求，满足生产使用功能要求。</w:t>
      </w:r>
    </w:p>
    <w:p>
      <w:pPr>
        <w:spacing w:after="156" w:afterLines="50" w:line="520" w:lineRule="exact"/>
        <w:ind w:firstLine="520" w:firstLineChars="200"/>
        <w:rPr>
          <w:rFonts w:hint="eastAsia"/>
          <w:color w:val="000000"/>
          <w:sz w:val="26"/>
        </w:rPr>
      </w:pPr>
      <w:r>
        <w:rPr>
          <w:color w:val="000000"/>
          <w:sz w:val="26"/>
        </w:rPr>
        <w:t>4、因地制宜，充分利用地形地质条件，合理改造利用地形，减少土石方工程量，重视保护生态环境，增强景观效果。</w:t>
      </w:r>
    </w:p>
    <w:p>
      <w:pPr>
        <w:spacing w:after="156" w:afterLines="50" w:line="520" w:lineRule="exact"/>
        <w:ind w:firstLine="520" w:firstLineChars="200"/>
        <w:rPr>
          <w:rFonts w:hint="eastAsia"/>
          <w:color w:val="000000"/>
          <w:sz w:val="26"/>
        </w:rPr>
      </w:pPr>
      <w:r>
        <w:rPr>
          <w:rFonts w:hint="eastAsia"/>
          <w:color w:val="000000"/>
          <w:sz w:val="26"/>
        </w:rPr>
        <w:t>5、</w:t>
      </w:r>
      <w:r>
        <w:rPr>
          <w:color w:val="000000"/>
          <w:sz w:val="26"/>
        </w:rPr>
        <w:t>工程方案在满足使用功能、确保质量的前提下，力求降低造价，节约建设资金。</w:t>
      </w:r>
    </w:p>
    <w:p>
      <w:pPr>
        <w:spacing w:after="156" w:afterLines="50" w:line="520" w:lineRule="exact"/>
        <w:ind w:firstLine="520" w:firstLineChars="200"/>
        <w:rPr>
          <w:color w:val="000000"/>
          <w:sz w:val="26"/>
        </w:rPr>
      </w:pPr>
      <w:r>
        <w:rPr>
          <w:rFonts w:hint="eastAsia"/>
          <w:color w:val="000000"/>
          <w:sz w:val="26"/>
        </w:rPr>
        <w:t>6、</w:t>
      </w:r>
      <w:r>
        <w:rPr>
          <w:color w:val="000000"/>
          <w:sz w:val="26"/>
        </w:rPr>
        <w:t>建筑风格与区域建筑风格吻合</w:t>
      </w:r>
      <w:r>
        <w:rPr>
          <w:rFonts w:hint="eastAsia"/>
          <w:color w:val="000000"/>
          <w:sz w:val="26"/>
        </w:rPr>
        <w:t>，与周边</w:t>
      </w:r>
      <w:r>
        <w:rPr>
          <w:color w:val="000000"/>
          <w:sz w:val="26"/>
        </w:rPr>
        <w:t>各建筑色彩协调一致。</w:t>
      </w:r>
    </w:p>
    <w:p>
      <w:pPr>
        <w:spacing w:after="156" w:afterLines="50" w:line="520" w:lineRule="exact"/>
        <w:ind w:firstLine="520" w:firstLineChars="200"/>
        <w:rPr>
          <w:rFonts w:hint="eastAsia"/>
          <w:color w:val="000000"/>
          <w:sz w:val="26"/>
        </w:rPr>
      </w:pPr>
      <w:r>
        <w:rPr>
          <w:rFonts w:hint="eastAsia"/>
          <w:color w:val="000000"/>
          <w:sz w:val="26"/>
        </w:rPr>
        <w:t>7</w:t>
      </w:r>
      <w:r>
        <w:rPr>
          <w:color w:val="000000"/>
          <w:sz w:val="26"/>
        </w:rPr>
        <w:t>、贯彻环保、安全、卫生、绿化、消防、节能、节约用地的设计原则。</w:t>
      </w:r>
    </w:p>
    <w:p>
      <w:pPr>
        <w:pStyle w:val="Heading2"/>
        <w:spacing w:before="0" w:beforeLines="0" w:after="156" w:afterLines="50" w:line="520" w:lineRule="exact"/>
        <w:rPr>
          <w:rFonts w:ascii="Times New Roman" w:eastAsia="宋体" w:hAnsi="Times New Roman"/>
          <w:color w:val="000000"/>
          <w:sz w:val="26"/>
        </w:rPr>
      </w:pPr>
      <w:bookmarkStart w:id="104" w:name="_Toc516695507"/>
      <w:bookmarkStart w:id="105" w:name="_Toc24678"/>
      <w:bookmarkStart w:id="106" w:name="_Toc359945669"/>
      <w:bookmarkStart w:id="107" w:name="_Toc332545560"/>
      <w:bookmarkStart w:id="108" w:name="_Toc215308119"/>
      <w:bookmarkStart w:id="109" w:name="_Toc259540039"/>
      <w:bookmarkStart w:id="110" w:name="_Toc256591040"/>
      <w:bookmarkStart w:id="111" w:name="_Toc259539532"/>
      <w:bookmarkStart w:id="112" w:name="_Toc244509888"/>
      <w:r>
        <w:rPr>
          <w:rFonts w:ascii="Times New Roman" w:eastAsia="宋体" w:hAnsi="Times New Roman"/>
          <w:color w:val="000000"/>
          <w:sz w:val="26"/>
        </w:rPr>
        <w:t>5.</w:t>
      </w:r>
      <w:r>
        <w:rPr>
          <w:rFonts w:ascii="Times New Roman" w:eastAsia="宋体" w:hAnsi="Times New Roman" w:hint="eastAsia"/>
          <w:color w:val="000000"/>
          <w:sz w:val="26"/>
        </w:rPr>
        <w:t>2土建方案</w:t>
      </w:r>
      <w:bookmarkEnd w:id="104"/>
      <w:bookmarkEnd w:id="112"/>
      <w:bookmarkEnd w:id="105"/>
      <w:bookmarkEnd w:id="106"/>
      <w:bookmarkEnd w:id="107"/>
      <w:bookmarkEnd w:id="108"/>
      <w:bookmarkEnd w:id="109"/>
      <w:bookmarkEnd w:id="110"/>
      <w:bookmarkEnd w:id="111"/>
    </w:p>
    <w:p>
      <w:pPr>
        <w:pStyle w:val="Heading3"/>
        <w:spacing w:before="0" w:after="156" w:afterLines="50" w:line="520" w:lineRule="exact"/>
        <w:rPr>
          <w:color w:val="000000"/>
          <w:sz w:val="24"/>
        </w:rPr>
      </w:pPr>
      <w:bookmarkStart w:id="113" w:name="_Toc359945670"/>
      <w:bookmarkStart w:id="114" w:name="_Toc332545561"/>
      <w:bookmarkStart w:id="115" w:name="_Toc332304976"/>
      <w:bookmarkStart w:id="116" w:name="_Toc9568"/>
      <w:bookmarkStart w:id="117" w:name="_Toc516695508"/>
      <w:r>
        <w:rPr>
          <w:color w:val="000000"/>
          <w:sz w:val="24"/>
        </w:rPr>
        <w:t>5.</w:t>
      </w:r>
      <w:r>
        <w:rPr>
          <w:rFonts w:hint="eastAsia"/>
          <w:color w:val="000000"/>
          <w:sz w:val="24"/>
        </w:rPr>
        <w:t>2</w:t>
      </w:r>
      <w:r>
        <w:rPr>
          <w:color w:val="000000"/>
          <w:sz w:val="24"/>
        </w:rPr>
        <w:t>.1</w:t>
      </w:r>
      <w:r>
        <w:rPr>
          <w:rFonts w:hint="eastAsia"/>
          <w:color w:val="000000"/>
          <w:sz w:val="24"/>
        </w:rPr>
        <w:t>总体规划方案</w:t>
      </w:r>
      <w:bookmarkEnd w:id="113"/>
      <w:bookmarkEnd w:id="114"/>
      <w:bookmarkEnd w:id="115"/>
      <w:bookmarkEnd w:id="116"/>
      <w:bookmarkEnd w:id="117"/>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总平面布置的指导原则是合理布局，节约用地，适当预留发展余地。厂区布置工艺物料流向顺畅，道路、管网连接顺畅。建筑物布局按建筑设计防火规范进行，满足生产、交通、防火的各种要求。</w:t>
      </w:r>
    </w:p>
    <w:p>
      <w:pPr>
        <w:spacing w:after="156" w:afterLines="50" w:line="520" w:lineRule="exact"/>
        <w:ind w:firstLine="520" w:firstLineChars="200"/>
        <w:rPr>
          <w:rFonts w:ascii="宋体" w:hAnsi="宋体" w:hint="eastAsia"/>
          <w:color w:val="000000"/>
          <w:sz w:val="26"/>
        </w:rPr>
        <w:sectPr>
          <w:headerReference w:type="default" r:id="rId217"/>
          <w:footerReference w:type="default" r:id="rId218"/>
          <w:headerReference w:type="first" r:id="rId219"/>
          <w:footerReference w:type="first" r:id="rId220"/>
          <w:type w:val="nextPage"/>
          <w:pgSz w:w="11906" w:h="16838"/>
          <w:pgMar w:top="1440" w:right="1797" w:bottom="1440" w:left="1797" w:header="851" w:footer="992" w:gutter="0"/>
          <w:pgNumType w:fmt="decimal" w:start="27"/>
          <w:cols w:space="708"/>
          <w:titlePg w:val="0"/>
          <w:docGrid w:type="linesAndChars" w:linePitch="312"/>
        </w:sectPr>
      </w:pPr>
      <w:r>
        <w:rPr>
          <w:rFonts w:ascii="宋体" w:hAnsi="宋体" w:hint="eastAsia"/>
          <w:color w:val="000000"/>
          <w:sz w:val="26"/>
        </w:rPr>
        <w:t>本项目总图布置按功能分区，分为生产区、动力区和办公生活区。既满足生产工艺要求，又能美化环境。</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按照厂区整体规划，厂区围墙采用铁艺围墙。全厂设计两个出入口，厂区道路为环形，主干道宽度为9m，次干道宽度为6m，联系各出入口形成顺畅的运输和消防通道。</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本项目在厂区内道路两旁，建（构）筑物周围充分进行绿化，并在厂区空地及入口处重点绿化，种植适宜生长的树木和花卉，创造文明生产环境。</w:t>
      </w:r>
    </w:p>
    <w:p>
      <w:pPr>
        <w:pStyle w:val="Heading3"/>
        <w:spacing w:before="0" w:after="156" w:afterLines="50" w:line="520" w:lineRule="exact"/>
        <w:rPr>
          <w:rFonts w:hint="eastAsia"/>
          <w:color w:val="000000"/>
          <w:sz w:val="24"/>
        </w:rPr>
      </w:pPr>
      <w:bookmarkStart w:id="118" w:name="_Toc259539534"/>
      <w:bookmarkStart w:id="119" w:name="_Toc215308121"/>
      <w:bookmarkStart w:id="120" w:name="_Toc244509890"/>
      <w:bookmarkStart w:id="121" w:name="_Toc259540041"/>
      <w:bookmarkStart w:id="122" w:name="_Toc256591042"/>
      <w:bookmarkStart w:id="123" w:name="_Toc332304977"/>
      <w:bookmarkStart w:id="124" w:name="_Toc332545562"/>
      <w:bookmarkStart w:id="125" w:name="_Toc359945671"/>
      <w:bookmarkStart w:id="126" w:name="_Toc15600"/>
      <w:bookmarkStart w:id="127" w:name="_Toc516695509"/>
      <w:r>
        <w:rPr>
          <w:color w:val="000000"/>
          <w:sz w:val="24"/>
        </w:rPr>
        <w:t>5.</w:t>
      </w:r>
      <w:r>
        <w:rPr>
          <w:rFonts w:hint="eastAsia"/>
          <w:color w:val="000000"/>
          <w:sz w:val="24"/>
        </w:rPr>
        <w:t>2</w:t>
      </w:r>
      <w:r>
        <w:rPr>
          <w:color w:val="000000"/>
          <w:sz w:val="24"/>
        </w:rPr>
        <w:t>.2</w:t>
      </w:r>
      <w:bookmarkEnd w:id="118"/>
      <w:bookmarkEnd w:id="119"/>
      <w:bookmarkEnd w:id="120"/>
      <w:bookmarkEnd w:id="121"/>
      <w:bookmarkEnd w:id="122"/>
      <w:r>
        <w:rPr>
          <w:rFonts w:hint="eastAsia"/>
          <w:color w:val="000000"/>
          <w:sz w:val="24"/>
        </w:rPr>
        <w:t>土建工程</w:t>
      </w:r>
      <w:bookmarkEnd w:id="123"/>
      <w:bookmarkEnd w:id="124"/>
      <w:bookmarkEnd w:id="125"/>
      <w:r>
        <w:rPr>
          <w:rFonts w:hint="eastAsia"/>
          <w:color w:val="000000"/>
          <w:sz w:val="24"/>
        </w:rPr>
        <w:t>方案</w:t>
      </w:r>
      <w:bookmarkEnd w:id="126"/>
      <w:bookmarkEnd w:id="127"/>
    </w:p>
    <w:p>
      <w:pPr>
        <w:spacing w:after="156" w:afterLines="50" w:line="520" w:lineRule="exact"/>
        <w:ind w:firstLine="520" w:firstLineChars="200"/>
        <w:rPr>
          <w:rFonts w:hint="eastAsia"/>
          <w:color w:val="000000"/>
          <w:sz w:val="26"/>
        </w:rPr>
      </w:pPr>
      <w:r>
        <w:rPr>
          <w:rFonts w:hint="eastAsia"/>
          <w:color w:val="000000"/>
          <w:sz w:val="26"/>
        </w:rPr>
        <w:t>本项目建构筑物完全按照现代化企业建设要求进行设计，采用轻钢结构、框架结构建设，并按《建筑抗震设计规范》（GB50011</w:t>
      </w:r>
      <w:r>
        <w:rPr>
          <w:rFonts w:hint="eastAsia"/>
          <w:color w:val="000000"/>
          <w:sz w:val="26"/>
        </w:rPr>
        <w:t>—</w:t>
      </w:r>
      <w:r>
        <w:rPr>
          <w:rFonts w:hint="eastAsia"/>
          <w:color w:val="000000"/>
          <w:sz w:val="26"/>
        </w:rPr>
        <w:t>2010）的规定及当地有关文件采取必要的抗震措施。整个厂房设计充分利用自然环境，强调丰富的空间关系，力求设计新颖、优美舒适。</w:t>
      </w:r>
      <w:r>
        <w:rPr>
          <w:color w:val="000000"/>
          <w:sz w:val="26"/>
        </w:rPr>
        <w:t xml:space="preserve"> </w:t>
      </w:r>
      <w:r>
        <w:rPr>
          <w:rFonts w:hint="eastAsia"/>
          <w:color w:val="000000"/>
          <w:sz w:val="26"/>
        </w:rPr>
        <w:t>主要建筑物的围护结构及屋面，符合建筑节能和防渗漏的要求；车间厂房设有天窗进行采光和自然通风，应选用气密性和防水性良好的产品。</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生产车间的建筑采用</w:t>
      </w:r>
      <w:r>
        <w:rPr>
          <w:rFonts w:hint="eastAsia"/>
          <w:color w:val="000000"/>
          <w:sz w:val="26"/>
        </w:rPr>
        <w:t>轻钢</w:t>
      </w:r>
      <w:r>
        <w:rPr>
          <w:rFonts w:ascii="宋体" w:hAnsi="宋体" w:hint="eastAsia"/>
          <w:color w:val="000000"/>
          <w:sz w:val="26"/>
        </w:rPr>
        <w:t>框架结构。在符合国家现行有关规范的前提下，做到结构整体性能好，有利于抗震防腐，并节省投资，施工方便。在设计上充分考虑了通风设计，避免火灾、爆炸的危险性。</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《建筑内部装修设计防火规范》，耐火等级为二级；</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屋面防水等级为三级，按照《屋面工程技术规范》要求施工。</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结构设计方案</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①</w:t>
      </w:r>
      <w:r>
        <w:rPr>
          <w:rFonts w:ascii="宋体" w:hAnsi="宋体" w:hint="eastAsia"/>
          <w:color w:val="000000"/>
          <w:sz w:val="26"/>
        </w:rPr>
        <w:t>地基及基础</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根据地质条件及生产要求，对本装置土建结构设计初步定为：生产车间采用钢筋混凝土独立基础。</w:t>
      </w:r>
    </w:p>
    <w:p>
      <w:pPr>
        <w:spacing w:after="156" w:afterLines="50" w:line="520" w:lineRule="exact"/>
        <w:ind w:firstLine="520" w:firstLineChars="200"/>
        <w:rPr>
          <w:rFonts w:ascii="宋体" w:hAnsi="宋体" w:hint="eastAsia"/>
          <w:color w:val="000000"/>
          <w:sz w:val="26"/>
        </w:rPr>
        <w:sectPr>
          <w:headerReference w:type="default" r:id="rId221"/>
          <w:footerReference w:type="default" r:id="rId222"/>
          <w:headerReference w:type="first" r:id="rId223"/>
          <w:footerReference w:type="first" r:id="rId224"/>
          <w:type w:val="nextPage"/>
          <w:pgSz w:w="11906" w:h="16838"/>
          <w:pgMar w:top="1440" w:right="1797" w:bottom="1440" w:left="1797" w:header="851" w:footer="992" w:gutter="0"/>
          <w:pgNumType w:fmt="decimal" w:start="28"/>
          <w:cols w:space="708"/>
          <w:titlePg w:val="0"/>
          <w:docGrid w:type="linesAndChars" w:linePitch="312"/>
        </w:sectPr>
      </w:pPr>
      <w:r>
        <w:rPr>
          <w:rFonts w:ascii="宋体" w:hAnsi="宋体" w:hint="eastAsia"/>
          <w:color w:val="000000"/>
          <w:sz w:val="26"/>
        </w:rPr>
        <w:t>②</w:t>
      </w:r>
      <w:r>
        <w:rPr>
          <w:rFonts w:ascii="宋体" w:hAnsi="宋体" w:hint="eastAsia"/>
          <w:color w:val="000000"/>
          <w:sz w:val="26"/>
        </w:rPr>
        <w:t>结构选型</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根据项目的自身情况及当地规划建设管理部门对该区域建筑结构的要求，确定本项目生产生间拟采用全钢结构。</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③</w:t>
      </w:r>
      <w:r>
        <w:rPr>
          <w:rFonts w:ascii="宋体" w:hAnsi="宋体" w:hint="eastAsia"/>
          <w:color w:val="000000"/>
          <w:sz w:val="26"/>
        </w:rPr>
        <w:t>本项目的抗震设防烈度为6度，设计基本地震加速度值为 0.05g，建筑抗震设防类别为丙类，抗震等级为三级。</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④</w:t>
      </w:r>
      <w:r>
        <w:rPr>
          <w:rFonts w:ascii="宋体" w:hAnsi="宋体" w:hint="eastAsia"/>
          <w:color w:val="000000"/>
          <w:sz w:val="26"/>
        </w:rPr>
        <w:t>建筑结构的设计使用年限为50年，安全等级为二级。</w:t>
      </w:r>
    </w:p>
    <w:p>
      <w:pPr>
        <w:pStyle w:val="Heading2"/>
        <w:spacing w:before="0" w:beforeLines="0" w:after="156" w:afterLines="50" w:line="520" w:lineRule="exact"/>
        <w:rPr>
          <w:rFonts w:ascii="Times New Roman" w:eastAsia="宋体" w:hAnsi="Times New Roman" w:hint="eastAsia"/>
          <w:color w:val="000000"/>
          <w:sz w:val="26"/>
        </w:rPr>
      </w:pPr>
      <w:bookmarkStart w:id="128" w:name="_Toc9717"/>
      <w:bookmarkStart w:id="129" w:name="_Toc19872419"/>
      <w:bookmarkStart w:id="130" w:name="_Toc215308118"/>
      <w:bookmarkStart w:id="131" w:name="_Toc259540038"/>
      <w:bookmarkStart w:id="132" w:name="_Toc359945675"/>
      <w:bookmarkStart w:id="133" w:name="_Toc259539531"/>
      <w:bookmarkStart w:id="134" w:name="_Toc332545564"/>
      <w:bookmarkStart w:id="135" w:name="_Toc244509887"/>
      <w:bookmarkStart w:id="136" w:name="_Toc516695511"/>
      <w:bookmarkStart w:id="137" w:name="_Toc256591039"/>
      <w:r>
        <w:rPr>
          <w:rFonts w:ascii="Times New Roman" w:eastAsia="宋体" w:hAnsi="Times New Roman"/>
          <w:color w:val="000000"/>
          <w:sz w:val="26"/>
        </w:rPr>
        <w:t>5.</w:t>
      </w:r>
      <w:r>
        <w:rPr>
          <w:rFonts w:ascii="Times New Roman" w:eastAsia="宋体" w:hAnsi="Times New Roman" w:hint="eastAsia"/>
          <w:color w:val="000000"/>
          <w:sz w:val="26"/>
        </w:rPr>
        <w:t>3主要建设内容</w:t>
      </w:r>
      <w:bookmarkEnd w:id="128"/>
      <w:bookmarkEnd w:id="129"/>
    </w:p>
    <w:p>
      <w:pPr>
        <w:tabs>
          <w:tab w:val="right" w:pos="8312"/>
        </w:tabs>
        <w:spacing w:after="156" w:afterLines="50" w:line="520" w:lineRule="exact"/>
        <w:ind w:firstLine="520" w:firstLineChars="200"/>
        <w:rPr>
          <w:rFonts w:hint="eastAsia"/>
          <w:color w:val="000000"/>
          <w:sz w:val="26"/>
          <w:szCs w:val="26"/>
        </w:rPr>
      </w:pPr>
      <w:r>
        <w:rPr>
          <w:rFonts w:hint="eastAsia"/>
          <w:color w:val="000000"/>
          <w:sz w:val="26"/>
          <w:szCs w:val="26"/>
        </w:rPr>
        <w:t>本次建设项目占地面积100亩，总建筑面积46095.00平方米；主要建设内容及规模如下：</w:t>
      </w:r>
    </w:p>
    <w:p>
      <w:pPr>
        <w:spacing w:after="156" w:afterLines="50" w:line="520" w:lineRule="exact"/>
        <w:jc w:val="center"/>
        <w:rPr>
          <w:rFonts w:hint="eastAsia"/>
          <w:b/>
          <w:color w:val="000000"/>
          <w:kern w:val="0"/>
          <w:sz w:val="26"/>
          <w:szCs w:val="28"/>
        </w:rPr>
      </w:pPr>
      <w:r>
        <w:rPr>
          <w:rFonts w:hint="eastAsia"/>
          <w:b/>
          <w:color w:val="000000"/>
          <w:kern w:val="0"/>
          <w:sz w:val="26"/>
          <w:szCs w:val="28"/>
        </w:rPr>
        <w:t>主要建筑物、构筑物一览表</w:t>
      </w:r>
    </w:p>
    <w:tbl>
      <w:tblPr>
        <w:tblStyle w:val="TableNormal"/>
        <w:tblW w:w="8522"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0" w:type="dxa"/>
          <w:left w:w="108" w:type="dxa"/>
          <w:bottom w:w="0" w:type="dxa"/>
          <w:right w:w="108" w:type="dxa"/>
        </w:tblCellMar>
        <w:tblLook w:val="0000"/>
      </w:tblPr>
      <w:tblGrid>
        <w:gridCol w:w="2020"/>
        <w:gridCol w:w="2661"/>
        <w:gridCol w:w="1346"/>
        <w:gridCol w:w="1346"/>
        <w:gridCol w:w="1149"/>
      </w:tblGrid>
      <w:tr>
        <w:tblPrEx>
          <w:tblW w:w="8522"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0" w:type="dxa"/>
            <w:left w:w="108" w:type="dxa"/>
            <w:bottom w:w="0" w:type="dxa"/>
            <w:right w:w="108" w:type="dxa"/>
          </w:tblCellMar>
          <w:tblLook w:val="0000"/>
        </w:tblPrEx>
        <w:trPr>
          <w:trHeight w:val="510"/>
          <w:jc w:val="center"/>
        </w:trPr>
        <w:tc>
          <w:tcPr>
            <w:tcW w:w="2020" w:type="dxa"/>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工程类别</w:t>
            </w:r>
          </w:p>
        </w:tc>
        <w:tc>
          <w:tcPr>
            <w:tcW w:w="2661" w:type="dxa"/>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工段名称</w:t>
            </w:r>
          </w:p>
        </w:tc>
        <w:tc>
          <w:tcPr>
            <w:tcW w:w="1346" w:type="dxa"/>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层数</w:t>
            </w:r>
          </w:p>
        </w:tc>
        <w:tc>
          <w:tcPr>
            <w:tcW w:w="1346" w:type="dxa"/>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占地面积（</w:t>
            </w:r>
            <w:r>
              <w:rPr>
                <w:b/>
                <w:bCs/>
                <w:color w:val="000000"/>
                <w:kern w:val="0"/>
                <w:sz w:val="20"/>
                <w:szCs w:val="20"/>
              </w:rPr>
              <w:t>m</w:t>
            </w:r>
            <w:r>
              <w:rPr>
                <w:b/>
                <w:bCs/>
                <w:color w:val="000000"/>
                <w:kern w:val="0"/>
                <w:sz w:val="20"/>
                <w:szCs w:val="20"/>
                <w:vertAlign w:val="superscript"/>
              </w:rPr>
              <w:t>2</w:t>
            </w:r>
            <w:r>
              <w:rPr>
                <w:rFonts w:ascii="宋体" w:hAnsi="宋体" w:cs="宋体" w:hint="eastAsia"/>
                <w:b/>
                <w:bCs/>
                <w:color w:val="000000"/>
                <w:kern w:val="0"/>
                <w:sz w:val="20"/>
                <w:szCs w:val="20"/>
              </w:rPr>
              <w:t>）</w:t>
            </w:r>
          </w:p>
        </w:tc>
        <w:tc>
          <w:tcPr>
            <w:tcW w:w="1149" w:type="dxa"/>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建筑面积（</w:t>
            </w:r>
            <w:r>
              <w:rPr>
                <w:b/>
                <w:bCs/>
                <w:color w:val="000000"/>
                <w:kern w:val="0"/>
                <w:sz w:val="20"/>
                <w:szCs w:val="20"/>
              </w:rPr>
              <w:t>m</w:t>
            </w:r>
            <w:r>
              <w:rPr>
                <w:b/>
                <w:bCs/>
                <w:color w:val="000000"/>
                <w:kern w:val="0"/>
                <w:sz w:val="20"/>
                <w:szCs w:val="20"/>
                <w:vertAlign w:val="superscript"/>
              </w:rPr>
              <w:t>2</w:t>
            </w:r>
            <w:r>
              <w:rPr>
                <w:rFonts w:ascii="宋体" w:hAnsi="宋体" w:cs="宋体" w:hint="eastAsia"/>
                <w:b/>
                <w:bCs/>
                <w:color w:val="000000"/>
                <w:kern w:val="0"/>
                <w:sz w:val="20"/>
                <w:szCs w:val="20"/>
              </w:rPr>
              <w:t>）</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2020" w:type="dxa"/>
            <w:vMerge w:val="restart"/>
            <w:vAlign w:val="center"/>
          </w:tcPr>
          <w:p>
            <w:pPr>
              <w:widowControl/>
              <w:jc w:val="center"/>
              <w:rPr>
                <w:color w:val="000000"/>
                <w:kern w:val="0"/>
                <w:sz w:val="20"/>
                <w:szCs w:val="20"/>
              </w:rPr>
            </w:pPr>
            <w:r>
              <w:rPr>
                <w:color w:val="000000"/>
                <w:kern w:val="0"/>
                <w:sz w:val="20"/>
                <w:szCs w:val="20"/>
              </w:rPr>
              <w:t>1</w:t>
            </w:r>
            <w:r>
              <w:rPr>
                <w:rFonts w:ascii="宋体" w:hAnsi="宋体" w:hint="eastAsia"/>
                <w:color w:val="000000"/>
                <w:kern w:val="0"/>
                <w:sz w:val="20"/>
                <w:szCs w:val="20"/>
              </w:rPr>
              <w:t>、主要建筑工程</w:t>
            </w:r>
          </w:p>
        </w:tc>
        <w:tc>
          <w:tcPr>
            <w:tcW w:w="2661"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生产车间</w:t>
            </w:r>
          </w:p>
        </w:tc>
        <w:tc>
          <w:tcPr>
            <w:tcW w:w="1346" w:type="dxa"/>
            <w:vAlign w:val="center"/>
          </w:tcPr>
          <w:p>
            <w:pPr>
              <w:widowControl/>
              <w:jc w:val="center"/>
              <w:rPr>
                <w:color w:val="000000"/>
                <w:kern w:val="0"/>
                <w:sz w:val="20"/>
                <w:szCs w:val="20"/>
              </w:rPr>
            </w:pPr>
            <w:r>
              <w:rPr>
                <w:color w:val="000000"/>
                <w:kern w:val="0"/>
                <w:sz w:val="20"/>
                <w:szCs w:val="20"/>
              </w:rPr>
              <w:t>1</w:t>
            </w:r>
          </w:p>
        </w:tc>
        <w:tc>
          <w:tcPr>
            <w:tcW w:w="1346" w:type="dxa"/>
            <w:vAlign w:val="center"/>
          </w:tcPr>
          <w:p>
            <w:pPr>
              <w:widowControl/>
              <w:jc w:val="center"/>
              <w:rPr>
                <w:color w:val="000000"/>
                <w:kern w:val="0"/>
                <w:sz w:val="20"/>
                <w:szCs w:val="20"/>
              </w:rPr>
            </w:pPr>
            <w:r>
              <w:rPr>
                <w:color w:val="000000"/>
                <w:kern w:val="0"/>
                <w:sz w:val="20"/>
                <w:szCs w:val="20"/>
              </w:rPr>
              <w:t>22000.00</w:t>
            </w:r>
          </w:p>
        </w:tc>
        <w:tc>
          <w:tcPr>
            <w:tcW w:w="1149" w:type="dxa"/>
            <w:vAlign w:val="center"/>
          </w:tcPr>
          <w:p>
            <w:pPr>
              <w:widowControl/>
              <w:jc w:val="center"/>
              <w:rPr>
                <w:color w:val="000000"/>
                <w:kern w:val="0"/>
                <w:sz w:val="20"/>
                <w:szCs w:val="20"/>
              </w:rPr>
            </w:pPr>
            <w:r>
              <w:rPr>
                <w:color w:val="000000"/>
                <w:kern w:val="0"/>
                <w:sz w:val="20"/>
                <w:szCs w:val="20"/>
              </w:rPr>
              <w:t>22000.00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2020" w:type="dxa"/>
            <w:vMerge/>
            <w:vAlign w:val="center"/>
          </w:tcPr>
          <w:p>
            <w:pPr>
              <w:widowControl/>
              <w:jc w:val="center"/>
              <w:rPr>
                <w:color w:val="000000"/>
                <w:kern w:val="0"/>
                <w:sz w:val="20"/>
                <w:szCs w:val="20"/>
              </w:rPr>
            </w:pPr>
          </w:p>
        </w:tc>
        <w:tc>
          <w:tcPr>
            <w:tcW w:w="2661"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仓储库房</w:t>
            </w:r>
          </w:p>
        </w:tc>
        <w:tc>
          <w:tcPr>
            <w:tcW w:w="1346" w:type="dxa"/>
            <w:vAlign w:val="center"/>
          </w:tcPr>
          <w:p>
            <w:pPr>
              <w:widowControl/>
              <w:jc w:val="center"/>
              <w:rPr>
                <w:color w:val="000000"/>
                <w:kern w:val="0"/>
                <w:sz w:val="20"/>
                <w:szCs w:val="20"/>
              </w:rPr>
            </w:pPr>
            <w:r>
              <w:rPr>
                <w:color w:val="000000"/>
                <w:kern w:val="0"/>
                <w:sz w:val="20"/>
                <w:szCs w:val="20"/>
              </w:rPr>
              <w:t>1</w:t>
            </w:r>
          </w:p>
        </w:tc>
        <w:tc>
          <w:tcPr>
            <w:tcW w:w="1346" w:type="dxa"/>
            <w:vAlign w:val="center"/>
          </w:tcPr>
          <w:p>
            <w:pPr>
              <w:widowControl/>
              <w:jc w:val="center"/>
              <w:rPr>
                <w:color w:val="000000"/>
                <w:kern w:val="0"/>
                <w:sz w:val="20"/>
                <w:szCs w:val="20"/>
              </w:rPr>
            </w:pPr>
            <w:r>
              <w:rPr>
                <w:color w:val="000000"/>
                <w:kern w:val="0"/>
                <w:sz w:val="20"/>
                <w:szCs w:val="20"/>
              </w:rPr>
              <w:t>12000.00</w:t>
            </w:r>
          </w:p>
        </w:tc>
        <w:tc>
          <w:tcPr>
            <w:tcW w:w="1149" w:type="dxa"/>
            <w:vAlign w:val="center"/>
          </w:tcPr>
          <w:p>
            <w:pPr>
              <w:widowControl/>
              <w:jc w:val="center"/>
              <w:rPr>
                <w:color w:val="000000"/>
                <w:kern w:val="0"/>
                <w:sz w:val="20"/>
                <w:szCs w:val="20"/>
              </w:rPr>
            </w:pPr>
            <w:r>
              <w:rPr>
                <w:color w:val="000000"/>
                <w:kern w:val="0"/>
                <w:sz w:val="20"/>
                <w:szCs w:val="20"/>
              </w:rPr>
              <w:t>12000.00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2020" w:type="dxa"/>
            <w:vMerge/>
            <w:vAlign w:val="center"/>
          </w:tcPr>
          <w:p>
            <w:pPr>
              <w:widowControl/>
              <w:jc w:val="center"/>
              <w:rPr>
                <w:color w:val="000000"/>
                <w:kern w:val="0"/>
                <w:sz w:val="20"/>
                <w:szCs w:val="20"/>
              </w:rPr>
            </w:pPr>
          </w:p>
        </w:tc>
        <w:tc>
          <w:tcPr>
            <w:tcW w:w="2661"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研发办公楼</w:t>
            </w:r>
          </w:p>
        </w:tc>
        <w:tc>
          <w:tcPr>
            <w:tcW w:w="1346" w:type="dxa"/>
            <w:vAlign w:val="center"/>
          </w:tcPr>
          <w:p>
            <w:pPr>
              <w:widowControl/>
              <w:jc w:val="center"/>
              <w:rPr>
                <w:color w:val="000000"/>
                <w:kern w:val="0"/>
                <w:sz w:val="20"/>
                <w:szCs w:val="20"/>
              </w:rPr>
            </w:pPr>
            <w:r>
              <w:rPr>
                <w:color w:val="000000"/>
                <w:kern w:val="0"/>
                <w:sz w:val="20"/>
                <w:szCs w:val="20"/>
              </w:rPr>
              <w:t>4</w:t>
            </w:r>
          </w:p>
        </w:tc>
        <w:tc>
          <w:tcPr>
            <w:tcW w:w="1346" w:type="dxa"/>
            <w:vAlign w:val="center"/>
          </w:tcPr>
          <w:p>
            <w:pPr>
              <w:widowControl/>
              <w:jc w:val="center"/>
              <w:rPr>
                <w:color w:val="000000"/>
                <w:kern w:val="0"/>
                <w:sz w:val="20"/>
                <w:szCs w:val="20"/>
              </w:rPr>
            </w:pPr>
            <w:r>
              <w:rPr>
                <w:color w:val="000000"/>
                <w:kern w:val="0"/>
                <w:sz w:val="20"/>
                <w:szCs w:val="20"/>
              </w:rPr>
              <w:t>1200.00</w:t>
            </w:r>
          </w:p>
        </w:tc>
        <w:tc>
          <w:tcPr>
            <w:tcW w:w="1149" w:type="dxa"/>
            <w:vAlign w:val="center"/>
          </w:tcPr>
          <w:p>
            <w:pPr>
              <w:widowControl/>
              <w:jc w:val="center"/>
              <w:rPr>
                <w:color w:val="000000"/>
                <w:kern w:val="0"/>
                <w:sz w:val="20"/>
                <w:szCs w:val="20"/>
              </w:rPr>
            </w:pPr>
            <w:r>
              <w:rPr>
                <w:color w:val="000000"/>
                <w:kern w:val="0"/>
                <w:sz w:val="20"/>
                <w:szCs w:val="20"/>
              </w:rPr>
              <w:t>4800.00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2020" w:type="dxa"/>
            <w:vMerge/>
            <w:vAlign w:val="center"/>
          </w:tcPr>
          <w:p>
            <w:pPr>
              <w:widowControl/>
              <w:jc w:val="center"/>
              <w:rPr>
                <w:color w:val="000000"/>
                <w:kern w:val="0"/>
                <w:sz w:val="20"/>
                <w:szCs w:val="20"/>
              </w:rPr>
            </w:pPr>
          </w:p>
        </w:tc>
        <w:tc>
          <w:tcPr>
            <w:tcW w:w="2661"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职工宿舍</w:t>
            </w:r>
          </w:p>
        </w:tc>
        <w:tc>
          <w:tcPr>
            <w:tcW w:w="1346" w:type="dxa"/>
            <w:vAlign w:val="center"/>
          </w:tcPr>
          <w:p>
            <w:pPr>
              <w:widowControl/>
              <w:jc w:val="center"/>
              <w:rPr>
                <w:color w:val="000000"/>
                <w:kern w:val="0"/>
                <w:sz w:val="20"/>
                <w:szCs w:val="20"/>
              </w:rPr>
            </w:pPr>
            <w:r>
              <w:rPr>
                <w:color w:val="000000"/>
                <w:kern w:val="0"/>
                <w:sz w:val="20"/>
                <w:szCs w:val="20"/>
              </w:rPr>
              <w:t>4</w:t>
            </w:r>
          </w:p>
        </w:tc>
        <w:tc>
          <w:tcPr>
            <w:tcW w:w="1346" w:type="dxa"/>
            <w:vAlign w:val="center"/>
          </w:tcPr>
          <w:p>
            <w:pPr>
              <w:widowControl/>
              <w:jc w:val="center"/>
              <w:rPr>
                <w:color w:val="000000"/>
                <w:kern w:val="0"/>
                <w:sz w:val="20"/>
                <w:szCs w:val="20"/>
              </w:rPr>
            </w:pPr>
            <w:r>
              <w:rPr>
                <w:color w:val="000000"/>
                <w:kern w:val="0"/>
                <w:sz w:val="20"/>
                <w:szCs w:val="20"/>
              </w:rPr>
              <w:t>1200.00</w:t>
            </w:r>
          </w:p>
        </w:tc>
        <w:tc>
          <w:tcPr>
            <w:tcW w:w="1149" w:type="dxa"/>
            <w:vAlign w:val="center"/>
          </w:tcPr>
          <w:p>
            <w:pPr>
              <w:widowControl/>
              <w:jc w:val="center"/>
              <w:rPr>
                <w:color w:val="000000"/>
                <w:kern w:val="0"/>
                <w:sz w:val="20"/>
                <w:szCs w:val="20"/>
              </w:rPr>
            </w:pPr>
            <w:r>
              <w:rPr>
                <w:color w:val="000000"/>
                <w:kern w:val="0"/>
                <w:sz w:val="20"/>
                <w:szCs w:val="20"/>
              </w:rPr>
              <w:t>4800.00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2020" w:type="dxa"/>
            <w:vMerge/>
            <w:vAlign w:val="center"/>
          </w:tcPr>
          <w:p>
            <w:pPr>
              <w:widowControl/>
              <w:jc w:val="center"/>
              <w:rPr>
                <w:color w:val="000000"/>
                <w:kern w:val="0"/>
                <w:sz w:val="20"/>
                <w:szCs w:val="20"/>
              </w:rPr>
            </w:pPr>
          </w:p>
        </w:tc>
        <w:tc>
          <w:tcPr>
            <w:tcW w:w="2661"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职工食堂</w:t>
            </w:r>
          </w:p>
        </w:tc>
        <w:tc>
          <w:tcPr>
            <w:tcW w:w="1346" w:type="dxa"/>
            <w:vAlign w:val="center"/>
          </w:tcPr>
          <w:p>
            <w:pPr>
              <w:widowControl/>
              <w:jc w:val="center"/>
              <w:rPr>
                <w:color w:val="000000"/>
                <w:kern w:val="0"/>
                <w:sz w:val="20"/>
                <w:szCs w:val="20"/>
              </w:rPr>
            </w:pPr>
            <w:r>
              <w:rPr>
                <w:color w:val="000000"/>
                <w:kern w:val="0"/>
                <w:sz w:val="20"/>
                <w:szCs w:val="20"/>
              </w:rPr>
              <w:t>3</w:t>
            </w:r>
          </w:p>
        </w:tc>
        <w:tc>
          <w:tcPr>
            <w:tcW w:w="1346" w:type="dxa"/>
            <w:vAlign w:val="center"/>
          </w:tcPr>
          <w:p>
            <w:pPr>
              <w:widowControl/>
              <w:jc w:val="center"/>
              <w:rPr>
                <w:color w:val="000000"/>
                <w:kern w:val="0"/>
                <w:sz w:val="20"/>
                <w:szCs w:val="20"/>
              </w:rPr>
            </w:pPr>
            <w:r>
              <w:rPr>
                <w:color w:val="000000"/>
                <w:kern w:val="0"/>
                <w:sz w:val="20"/>
                <w:szCs w:val="20"/>
              </w:rPr>
              <w:t>500.00</w:t>
            </w:r>
          </w:p>
        </w:tc>
        <w:tc>
          <w:tcPr>
            <w:tcW w:w="1149" w:type="dxa"/>
            <w:vAlign w:val="center"/>
          </w:tcPr>
          <w:p>
            <w:pPr>
              <w:widowControl/>
              <w:jc w:val="center"/>
              <w:rPr>
                <w:color w:val="000000"/>
                <w:kern w:val="0"/>
                <w:sz w:val="20"/>
                <w:szCs w:val="20"/>
              </w:rPr>
            </w:pPr>
            <w:r>
              <w:rPr>
                <w:color w:val="000000"/>
                <w:kern w:val="0"/>
                <w:sz w:val="20"/>
                <w:szCs w:val="20"/>
              </w:rPr>
              <w:t>1500.00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2020" w:type="dxa"/>
            <w:vMerge/>
            <w:vAlign w:val="center"/>
          </w:tcPr>
          <w:p>
            <w:pPr>
              <w:widowControl/>
              <w:jc w:val="center"/>
              <w:rPr>
                <w:color w:val="000000"/>
                <w:kern w:val="0"/>
                <w:sz w:val="20"/>
                <w:szCs w:val="20"/>
              </w:rPr>
            </w:pPr>
          </w:p>
        </w:tc>
        <w:tc>
          <w:tcPr>
            <w:tcW w:w="2661"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配电房</w:t>
            </w:r>
          </w:p>
        </w:tc>
        <w:tc>
          <w:tcPr>
            <w:tcW w:w="1346" w:type="dxa"/>
            <w:vAlign w:val="center"/>
          </w:tcPr>
          <w:p>
            <w:pPr>
              <w:widowControl/>
              <w:jc w:val="center"/>
              <w:rPr>
                <w:color w:val="000000"/>
                <w:kern w:val="0"/>
                <w:sz w:val="20"/>
                <w:szCs w:val="20"/>
              </w:rPr>
            </w:pPr>
            <w:r>
              <w:rPr>
                <w:color w:val="000000"/>
                <w:kern w:val="0"/>
                <w:sz w:val="20"/>
                <w:szCs w:val="20"/>
              </w:rPr>
              <w:t>1</w:t>
            </w:r>
          </w:p>
        </w:tc>
        <w:tc>
          <w:tcPr>
            <w:tcW w:w="1346" w:type="dxa"/>
            <w:vAlign w:val="center"/>
          </w:tcPr>
          <w:p>
            <w:pPr>
              <w:widowControl/>
              <w:jc w:val="center"/>
              <w:rPr>
                <w:color w:val="000000"/>
                <w:kern w:val="0"/>
                <w:sz w:val="20"/>
                <w:szCs w:val="20"/>
              </w:rPr>
            </w:pPr>
            <w:r>
              <w:rPr>
                <w:color w:val="000000"/>
                <w:kern w:val="0"/>
                <w:sz w:val="20"/>
                <w:szCs w:val="20"/>
              </w:rPr>
              <w:t>280.00</w:t>
            </w:r>
          </w:p>
        </w:tc>
        <w:tc>
          <w:tcPr>
            <w:tcW w:w="1149" w:type="dxa"/>
            <w:vAlign w:val="center"/>
          </w:tcPr>
          <w:p>
            <w:pPr>
              <w:widowControl/>
              <w:jc w:val="center"/>
              <w:rPr>
                <w:color w:val="000000"/>
                <w:kern w:val="0"/>
                <w:sz w:val="20"/>
                <w:szCs w:val="20"/>
              </w:rPr>
            </w:pPr>
            <w:r>
              <w:rPr>
                <w:color w:val="000000"/>
                <w:kern w:val="0"/>
                <w:sz w:val="20"/>
                <w:szCs w:val="20"/>
              </w:rPr>
              <w:t>280.00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2020" w:type="dxa"/>
            <w:vMerge/>
            <w:vAlign w:val="center"/>
          </w:tcPr>
          <w:p>
            <w:pPr>
              <w:widowControl/>
              <w:jc w:val="center"/>
              <w:rPr>
                <w:color w:val="000000"/>
                <w:kern w:val="0"/>
                <w:sz w:val="20"/>
                <w:szCs w:val="20"/>
              </w:rPr>
            </w:pPr>
          </w:p>
        </w:tc>
        <w:tc>
          <w:tcPr>
            <w:tcW w:w="2661"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门卫室</w:t>
            </w:r>
          </w:p>
        </w:tc>
        <w:tc>
          <w:tcPr>
            <w:tcW w:w="1346" w:type="dxa"/>
            <w:vAlign w:val="center"/>
          </w:tcPr>
          <w:p>
            <w:pPr>
              <w:widowControl/>
              <w:jc w:val="center"/>
              <w:rPr>
                <w:color w:val="000000"/>
                <w:kern w:val="0"/>
                <w:sz w:val="20"/>
                <w:szCs w:val="20"/>
              </w:rPr>
            </w:pPr>
            <w:r>
              <w:rPr>
                <w:color w:val="000000"/>
                <w:kern w:val="0"/>
                <w:sz w:val="20"/>
                <w:szCs w:val="20"/>
              </w:rPr>
              <w:t>1</w:t>
            </w:r>
          </w:p>
        </w:tc>
        <w:tc>
          <w:tcPr>
            <w:tcW w:w="1346" w:type="dxa"/>
            <w:vAlign w:val="center"/>
          </w:tcPr>
          <w:p>
            <w:pPr>
              <w:widowControl/>
              <w:jc w:val="center"/>
              <w:rPr>
                <w:color w:val="000000"/>
                <w:kern w:val="0"/>
                <w:sz w:val="20"/>
                <w:szCs w:val="20"/>
              </w:rPr>
            </w:pPr>
            <w:r>
              <w:rPr>
                <w:color w:val="000000"/>
                <w:kern w:val="0"/>
                <w:sz w:val="20"/>
                <w:szCs w:val="20"/>
              </w:rPr>
              <w:t>65.00</w:t>
            </w:r>
          </w:p>
        </w:tc>
        <w:tc>
          <w:tcPr>
            <w:tcW w:w="1149" w:type="dxa"/>
            <w:vAlign w:val="center"/>
          </w:tcPr>
          <w:p>
            <w:pPr>
              <w:widowControl/>
              <w:jc w:val="center"/>
              <w:rPr>
                <w:color w:val="000000"/>
                <w:kern w:val="0"/>
                <w:sz w:val="20"/>
                <w:szCs w:val="20"/>
              </w:rPr>
            </w:pPr>
            <w:r>
              <w:rPr>
                <w:color w:val="000000"/>
                <w:kern w:val="0"/>
                <w:sz w:val="20"/>
                <w:szCs w:val="20"/>
              </w:rPr>
              <w:t>65.00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2020" w:type="dxa"/>
            <w:vMerge/>
            <w:vAlign w:val="center"/>
          </w:tcPr>
          <w:p>
            <w:pPr>
              <w:widowControl/>
              <w:jc w:val="center"/>
              <w:rPr>
                <w:color w:val="000000"/>
                <w:kern w:val="0"/>
                <w:sz w:val="20"/>
                <w:szCs w:val="20"/>
              </w:rPr>
            </w:pPr>
          </w:p>
        </w:tc>
        <w:tc>
          <w:tcPr>
            <w:tcW w:w="2661"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其他辅助设施</w:t>
            </w:r>
          </w:p>
        </w:tc>
        <w:tc>
          <w:tcPr>
            <w:tcW w:w="1346" w:type="dxa"/>
            <w:vAlign w:val="center"/>
          </w:tcPr>
          <w:p>
            <w:pPr>
              <w:widowControl/>
              <w:jc w:val="center"/>
              <w:rPr>
                <w:color w:val="000000"/>
                <w:kern w:val="0"/>
                <w:sz w:val="20"/>
                <w:szCs w:val="20"/>
              </w:rPr>
            </w:pPr>
            <w:r>
              <w:rPr>
                <w:color w:val="000000"/>
                <w:kern w:val="0"/>
                <w:sz w:val="20"/>
                <w:szCs w:val="20"/>
              </w:rPr>
              <w:t>1</w:t>
            </w:r>
          </w:p>
        </w:tc>
        <w:tc>
          <w:tcPr>
            <w:tcW w:w="1346" w:type="dxa"/>
            <w:vAlign w:val="center"/>
          </w:tcPr>
          <w:p>
            <w:pPr>
              <w:widowControl/>
              <w:jc w:val="center"/>
              <w:rPr>
                <w:color w:val="000000"/>
                <w:kern w:val="0"/>
                <w:sz w:val="20"/>
                <w:szCs w:val="20"/>
              </w:rPr>
            </w:pPr>
            <w:r>
              <w:rPr>
                <w:color w:val="000000"/>
                <w:kern w:val="0"/>
                <w:sz w:val="20"/>
                <w:szCs w:val="20"/>
              </w:rPr>
              <w:t>650.00</w:t>
            </w:r>
          </w:p>
        </w:tc>
        <w:tc>
          <w:tcPr>
            <w:tcW w:w="1149" w:type="dxa"/>
            <w:vAlign w:val="center"/>
          </w:tcPr>
          <w:p>
            <w:pPr>
              <w:widowControl/>
              <w:jc w:val="center"/>
              <w:rPr>
                <w:color w:val="000000"/>
                <w:kern w:val="0"/>
                <w:sz w:val="20"/>
                <w:szCs w:val="20"/>
              </w:rPr>
            </w:pPr>
            <w:r>
              <w:rPr>
                <w:color w:val="000000"/>
                <w:kern w:val="0"/>
                <w:sz w:val="20"/>
                <w:szCs w:val="20"/>
              </w:rPr>
              <w:t>650.00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4681" w:type="dxa"/>
            <w:gridSpan w:val="2"/>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合计</w:t>
            </w:r>
          </w:p>
        </w:tc>
        <w:tc>
          <w:tcPr>
            <w:tcW w:w="1346" w:type="dxa"/>
            <w:noWrap/>
            <w:vAlign w:val="center"/>
          </w:tcPr>
          <w:p>
            <w:pPr>
              <w:widowControl/>
              <w:jc w:val="center"/>
              <w:rPr>
                <w:rFonts w:ascii="宋体" w:hAnsi="宋体" w:cs="宋体"/>
                <w:b/>
                <w:bCs/>
                <w:color w:val="000000"/>
                <w:kern w:val="0"/>
                <w:sz w:val="24"/>
              </w:rPr>
            </w:pPr>
          </w:p>
        </w:tc>
        <w:tc>
          <w:tcPr>
            <w:tcW w:w="1346" w:type="dxa"/>
            <w:vAlign w:val="center"/>
          </w:tcPr>
          <w:p>
            <w:pPr>
              <w:widowControl/>
              <w:jc w:val="center"/>
              <w:rPr>
                <w:b/>
                <w:bCs/>
                <w:color w:val="000000"/>
                <w:kern w:val="0"/>
                <w:sz w:val="20"/>
                <w:szCs w:val="20"/>
              </w:rPr>
            </w:pPr>
            <w:r>
              <w:rPr>
                <w:b/>
                <w:bCs/>
                <w:color w:val="000000"/>
                <w:kern w:val="0"/>
                <w:sz w:val="20"/>
                <w:szCs w:val="20"/>
              </w:rPr>
              <w:t>37895.00</w:t>
            </w:r>
          </w:p>
        </w:tc>
        <w:tc>
          <w:tcPr>
            <w:tcW w:w="1149" w:type="dxa"/>
            <w:vAlign w:val="center"/>
          </w:tcPr>
          <w:p>
            <w:pPr>
              <w:widowControl/>
              <w:jc w:val="center"/>
              <w:rPr>
                <w:b/>
                <w:bCs/>
                <w:color w:val="000000"/>
                <w:kern w:val="0"/>
                <w:sz w:val="20"/>
                <w:szCs w:val="20"/>
              </w:rPr>
            </w:pPr>
            <w:r>
              <w:rPr>
                <w:b/>
                <w:bCs/>
                <w:color w:val="000000"/>
                <w:kern w:val="0"/>
                <w:sz w:val="20"/>
                <w:szCs w:val="20"/>
              </w:rPr>
              <w:t>46095.00</w:t>
            </w:r>
          </w:p>
        </w:tc>
      </w:tr>
      <w:tr>
        <w:tblPrEx>
          <w:tblW w:w="8522" w:type="dxa"/>
          <w:jc w:val="center"/>
          <w:tblLayout w:type="fixed"/>
          <w:tblCellMar>
            <w:top w:w="0" w:type="dxa"/>
            <w:left w:w="108" w:type="dxa"/>
            <w:bottom w:w="0" w:type="dxa"/>
            <w:right w:w="108" w:type="dxa"/>
          </w:tblCellMar>
          <w:tblLook w:val="0000"/>
        </w:tblPrEx>
        <w:trPr>
          <w:trHeight w:val="300"/>
          <w:jc w:val="center"/>
        </w:trPr>
        <w:tc>
          <w:tcPr>
            <w:tcW w:w="2020" w:type="dxa"/>
            <w:vMerge w:val="restart"/>
            <w:vAlign w:val="center"/>
          </w:tcPr>
          <w:p>
            <w:pPr>
              <w:widowControl/>
              <w:jc w:val="center"/>
              <w:rPr>
                <w:color w:val="000000"/>
                <w:kern w:val="0"/>
                <w:sz w:val="20"/>
                <w:szCs w:val="20"/>
              </w:rPr>
            </w:pPr>
            <w:r>
              <w:rPr>
                <w:color w:val="000000"/>
                <w:kern w:val="0"/>
                <w:sz w:val="20"/>
                <w:szCs w:val="20"/>
              </w:rPr>
              <w:t>2</w:t>
            </w:r>
            <w:r>
              <w:rPr>
                <w:rFonts w:ascii="宋体" w:hAnsi="宋体" w:hint="eastAsia"/>
                <w:color w:val="000000"/>
                <w:kern w:val="0"/>
                <w:sz w:val="20"/>
                <w:szCs w:val="20"/>
              </w:rPr>
              <w:t>、公共设施</w:t>
            </w:r>
          </w:p>
        </w:tc>
        <w:tc>
          <w:tcPr>
            <w:tcW w:w="2661"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道路硬化及停车场工程</w:t>
            </w:r>
          </w:p>
        </w:tc>
        <w:tc>
          <w:tcPr>
            <w:tcW w:w="1346" w:type="dxa"/>
            <w:vAlign w:val="center"/>
          </w:tcPr>
          <w:p>
            <w:pPr>
              <w:widowControl/>
              <w:jc w:val="center"/>
              <w:rPr>
                <w:color w:val="000000"/>
                <w:kern w:val="0"/>
                <w:sz w:val="20"/>
                <w:szCs w:val="20"/>
              </w:rPr>
            </w:pPr>
            <w:r>
              <w:rPr>
                <w:color w:val="000000"/>
                <w:kern w:val="0"/>
                <w:sz w:val="20"/>
                <w:szCs w:val="20"/>
              </w:rPr>
              <w:t>1</w:t>
            </w:r>
          </w:p>
        </w:tc>
        <w:tc>
          <w:tcPr>
            <w:tcW w:w="1346" w:type="dxa"/>
            <w:vAlign w:val="center"/>
          </w:tcPr>
          <w:p>
            <w:pPr>
              <w:widowControl/>
              <w:jc w:val="center"/>
              <w:rPr>
                <w:color w:val="000000"/>
                <w:kern w:val="0"/>
                <w:sz w:val="20"/>
                <w:szCs w:val="20"/>
              </w:rPr>
            </w:pPr>
            <w:r>
              <w:rPr>
                <w:color w:val="000000"/>
                <w:kern w:val="0"/>
                <w:sz w:val="20"/>
                <w:szCs w:val="20"/>
              </w:rPr>
              <w:t>17000.00</w:t>
            </w:r>
          </w:p>
        </w:tc>
        <w:tc>
          <w:tcPr>
            <w:tcW w:w="1149" w:type="dxa"/>
            <w:vAlign w:val="center"/>
          </w:tcPr>
          <w:p>
            <w:pPr>
              <w:widowControl/>
              <w:jc w:val="center"/>
              <w:rPr>
                <w:color w:val="000000"/>
                <w:kern w:val="0"/>
                <w:sz w:val="20"/>
                <w:szCs w:val="20"/>
              </w:rPr>
            </w:pPr>
            <w:r>
              <w:rPr>
                <w:color w:val="000000"/>
                <w:kern w:val="0"/>
                <w:sz w:val="20"/>
                <w:szCs w:val="20"/>
              </w:rPr>
              <w:t>17000.00</w:t>
            </w:r>
          </w:p>
        </w:tc>
      </w:tr>
      <w:tr>
        <w:tblPrEx>
          <w:tblW w:w="8522" w:type="dxa"/>
          <w:jc w:val="center"/>
          <w:tblLayout w:type="fixed"/>
          <w:tblCellMar>
            <w:top w:w="0" w:type="dxa"/>
            <w:left w:w="108" w:type="dxa"/>
            <w:bottom w:w="0" w:type="dxa"/>
            <w:right w:w="108" w:type="dxa"/>
          </w:tblCellMar>
          <w:tblLook w:val="0000"/>
        </w:tblPrEx>
        <w:trPr>
          <w:trHeight w:val="300"/>
          <w:jc w:val="center"/>
        </w:trPr>
        <w:tc>
          <w:tcPr>
            <w:tcW w:w="2020" w:type="dxa"/>
            <w:vMerge/>
            <w:vAlign w:val="center"/>
          </w:tcPr>
          <w:p>
            <w:pPr>
              <w:widowControl/>
              <w:jc w:val="center"/>
              <w:rPr>
                <w:color w:val="000000"/>
                <w:kern w:val="0"/>
                <w:sz w:val="20"/>
                <w:szCs w:val="20"/>
              </w:rPr>
            </w:pPr>
          </w:p>
        </w:tc>
        <w:tc>
          <w:tcPr>
            <w:tcW w:w="2661"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绿化景观工程</w:t>
            </w:r>
          </w:p>
        </w:tc>
        <w:tc>
          <w:tcPr>
            <w:tcW w:w="1346" w:type="dxa"/>
            <w:vAlign w:val="center"/>
          </w:tcPr>
          <w:p>
            <w:pPr>
              <w:widowControl/>
              <w:jc w:val="center"/>
              <w:rPr>
                <w:color w:val="000000"/>
                <w:kern w:val="0"/>
                <w:sz w:val="20"/>
                <w:szCs w:val="20"/>
              </w:rPr>
            </w:pPr>
            <w:r>
              <w:rPr>
                <w:color w:val="000000"/>
                <w:kern w:val="0"/>
                <w:sz w:val="20"/>
                <w:szCs w:val="20"/>
              </w:rPr>
              <w:t>1</w:t>
            </w:r>
          </w:p>
        </w:tc>
        <w:tc>
          <w:tcPr>
            <w:tcW w:w="1346" w:type="dxa"/>
            <w:vAlign w:val="center"/>
          </w:tcPr>
          <w:p>
            <w:pPr>
              <w:widowControl/>
              <w:jc w:val="center"/>
              <w:rPr>
                <w:color w:val="000000"/>
                <w:kern w:val="0"/>
                <w:sz w:val="20"/>
                <w:szCs w:val="20"/>
              </w:rPr>
            </w:pPr>
            <w:r>
              <w:rPr>
                <w:color w:val="000000"/>
                <w:kern w:val="0"/>
                <w:sz w:val="20"/>
                <w:szCs w:val="20"/>
              </w:rPr>
              <w:t>7500.00</w:t>
            </w:r>
          </w:p>
        </w:tc>
        <w:tc>
          <w:tcPr>
            <w:tcW w:w="1149" w:type="dxa"/>
            <w:vAlign w:val="center"/>
          </w:tcPr>
          <w:p>
            <w:pPr>
              <w:widowControl/>
              <w:jc w:val="center"/>
              <w:rPr>
                <w:color w:val="000000"/>
                <w:kern w:val="0"/>
                <w:sz w:val="20"/>
                <w:szCs w:val="20"/>
              </w:rPr>
            </w:pPr>
            <w:r>
              <w:rPr>
                <w:color w:val="000000"/>
                <w:kern w:val="0"/>
                <w:sz w:val="20"/>
                <w:szCs w:val="20"/>
              </w:rPr>
              <w:t>7500.00</w:t>
            </w:r>
          </w:p>
        </w:tc>
      </w:tr>
    </w:tbl>
    <w:p>
      <w:pPr>
        <w:pStyle w:val="Heading2"/>
        <w:spacing w:before="0" w:beforeLines="0" w:after="156" w:afterLines="50" w:line="520" w:lineRule="exact"/>
        <w:rPr>
          <w:rFonts w:ascii="Times New Roman" w:eastAsia="宋体" w:hAnsi="Times New Roman"/>
          <w:color w:val="000000"/>
          <w:sz w:val="26"/>
        </w:rPr>
      </w:pPr>
      <w:bookmarkStart w:id="138" w:name="_Toc29245"/>
      <w:r>
        <w:rPr>
          <w:rFonts w:ascii="Times New Roman" w:eastAsia="宋体" w:hAnsi="Times New Roman"/>
          <w:color w:val="000000"/>
          <w:sz w:val="26"/>
        </w:rPr>
        <w:t>5.</w:t>
      </w:r>
      <w:r>
        <w:rPr>
          <w:rFonts w:ascii="Times New Roman" w:eastAsia="宋体" w:hAnsi="Times New Roman" w:hint="eastAsia"/>
          <w:color w:val="000000"/>
          <w:sz w:val="26"/>
        </w:rPr>
        <w:t>4工程管线布置方案</w:t>
      </w:r>
      <w:bookmarkEnd w:id="130"/>
      <w:bookmarkEnd w:id="131"/>
      <w:bookmarkEnd w:id="135"/>
      <w:bookmarkEnd w:id="132"/>
      <w:bookmarkEnd w:id="136"/>
      <w:bookmarkEnd w:id="137"/>
      <w:bookmarkEnd w:id="133"/>
      <w:bookmarkEnd w:id="134"/>
      <w:bookmarkEnd w:id="138"/>
    </w:p>
    <w:p>
      <w:pPr>
        <w:pStyle w:val="Heading3"/>
        <w:spacing w:before="0" w:after="156" w:afterLines="50" w:line="520" w:lineRule="exact"/>
        <w:rPr>
          <w:rFonts w:hint="eastAsia"/>
          <w:color w:val="000000"/>
          <w:sz w:val="24"/>
        </w:rPr>
      </w:pPr>
      <w:bookmarkStart w:id="139" w:name="_Toc332545565"/>
      <w:bookmarkStart w:id="140" w:name="_Toc359945676"/>
      <w:bookmarkStart w:id="141" w:name="_Toc29711"/>
      <w:bookmarkStart w:id="142" w:name="_Toc516695512"/>
      <w:r>
        <w:rPr>
          <w:rFonts w:hint="eastAsia"/>
          <w:color w:val="000000"/>
          <w:sz w:val="24"/>
        </w:rPr>
        <w:t>5.4.1给排水</w:t>
      </w:r>
      <w:bookmarkEnd w:id="140"/>
      <w:bookmarkEnd w:id="142"/>
      <w:bookmarkEnd w:id="139"/>
      <w:bookmarkEnd w:id="141"/>
    </w:p>
    <w:p>
      <w:pPr>
        <w:spacing w:after="156" w:afterLines="50" w:line="520" w:lineRule="exact"/>
        <w:ind w:firstLine="520" w:firstLineChars="200"/>
        <w:rPr>
          <w:color w:val="000000"/>
          <w:sz w:val="26"/>
        </w:rPr>
      </w:pPr>
      <w:r>
        <w:rPr>
          <w:rFonts w:hAnsi="宋体" w:hint="eastAsia"/>
          <w:color w:val="000000"/>
          <w:sz w:val="26"/>
        </w:rPr>
        <w:t>一、</w:t>
      </w:r>
      <w:r>
        <w:rPr>
          <w:rFonts w:hAnsi="宋体"/>
          <w:color w:val="000000"/>
          <w:sz w:val="26"/>
        </w:rPr>
        <w:t>设计依据</w:t>
      </w:r>
    </w:p>
    <w:p>
      <w:pPr>
        <w:spacing w:after="156" w:afterLines="50" w:line="520" w:lineRule="exact"/>
        <w:ind w:firstLine="520" w:firstLineChars="200"/>
        <w:rPr>
          <w:color w:val="000000"/>
          <w:sz w:val="26"/>
        </w:rPr>
      </w:pPr>
      <w:r>
        <w:rPr>
          <w:color w:val="000000"/>
          <w:sz w:val="26"/>
        </w:rPr>
        <w:t>《</w:t>
      </w:r>
      <w:r>
        <w:rPr>
          <w:rFonts w:hint="eastAsia"/>
          <w:color w:val="000000"/>
          <w:sz w:val="26"/>
        </w:rPr>
        <w:t>建筑给水排水设计规范</w:t>
      </w:r>
      <w:r>
        <w:rPr>
          <w:color w:val="000000"/>
          <w:sz w:val="26"/>
        </w:rPr>
        <w:t>》</w:t>
      </w:r>
      <w:r>
        <w:rPr>
          <w:rFonts w:hint="eastAsia"/>
          <w:color w:val="000000"/>
          <w:sz w:val="26"/>
        </w:rPr>
        <w:t>GB 50015-2003（2009年版）</w:t>
      </w:r>
    </w:p>
    <w:p>
      <w:pPr>
        <w:spacing w:after="156" w:afterLines="50" w:line="520" w:lineRule="exact"/>
        <w:ind w:firstLine="520" w:firstLineChars="200"/>
        <w:rPr>
          <w:color w:val="000000"/>
          <w:sz w:val="26"/>
        </w:rPr>
      </w:pPr>
      <w:r>
        <w:rPr>
          <w:color w:val="000000"/>
          <w:sz w:val="26"/>
        </w:rPr>
        <w:t>《室外给水设计规范》GB</w:t>
      </w:r>
      <w:r>
        <w:rPr>
          <w:rFonts w:hint="eastAsia"/>
          <w:color w:val="000000"/>
          <w:sz w:val="26"/>
        </w:rPr>
        <w:t>5</w:t>
      </w:r>
      <w:r>
        <w:rPr>
          <w:color w:val="000000"/>
          <w:sz w:val="26"/>
        </w:rPr>
        <w:t>0013</w:t>
      </w:r>
      <w:r>
        <w:rPr>
          <w:rFonts w:hint="eastAsia"/>
          <w:color w:val="000000"/>
          <w:sz w:val="26"/>
        </w:rPr>
        <w:t>-</w:t>
      </w:r>
      <w:r>
        <w:rPr>
          <w:color w:val="000000"/>
          <w:sz w:val="26"/>
        </w:rPr>
        <w:t>2006</w:t>
      </w:r>
    </w:p>
    <w:p>
      <w:pPr>
        <w:spacing w:after="156" w:afterLines="50" w:line="520" w:lineRule="exact"/>
        <w:ind w:firstLine="520" w:firstLineChars="200"/>
        <w:rPr>
          <w:color w:val="000000"/>
          <w:sz w:val="26"/>
        </w:rPr>
        <w:sectPr>
          <w:headerReference w:type="default" r:id="rId225"/>
          <w:footerReference w:type="default" r:id="rId226"/>
          <w:headerReference w:type="first" r:id="rId227"/>
          <w:footerReference w:type="first" r:id="rId228"/>
          <w:type w:val="nextPage"/>
          <w:pgSz w:w="11906" w:h="16838"/>
          <w:pgMar w:top="1440" w:right="1797" w:bottom="1440" w:left="1797" w:header="851" w:footer="992" w:gutter="0"/>
          <w:pgNumType w:fmt="decimal" w:start="29"/>
          <w:cols w:space="708"/>
          <w:titlePg w:val="0"/>
          <w:docGrid w:type="linesAndChars" w:linePitch="312"/>
        </w:sectPr>
      </w:pPr>
      <w:r>
        <w:rPr>
          <w:color w:val="000000"/>
          <w:sz w:val="26"/>
        </w:rPr>
        <w:t>《</w:t>
      </w:r>
      <w:r>
        <w:rPr>
          <w:rFonts w:hint="eastAsia"/>
          <w:color w:val="000000"/>
          <w:sz w:val="26"/>
        </w:rPr>
        <w:t>室外排水设计规范 [2014年版]</w:t>
      </w:r>
      <w:r>
        <w:rPr>
          <w:color w:val="000000"/>
          <w:sz w:val="26"/>
        </w:rPr>
        <w:t>》GB50014</w:t>
      </w:r>
      <w:r>
        <w:rPr>
          <w:rFonts w:hint="eastAsia"/>
          <w:color w:val="000000"/>
          <w:sz w:val="26"/>
        </w:rPr>
        <w:t>-</w:t>
      </w:r>
      <w:r>
        <w:rPr>
          <w:color w:val="000000"/>
          <w:sz w:val="26"/>
        </w:rPr>
        <w:t>2006</w:t>
      </w:r>
    </w:p>
    <w:p>
      <w:pPr>
        <w:spacing w:after="156" w:afterLines="50" w:line="520" w:lineRule="exact"/>
        <w:ind w:firstLine="520" w:firstLineChars="200"/>
        <w:rPr>
          <w:color w:val="000000"/>
          <w:sz w:val="26"/>
        </w:rPr>
      </w:pPr>
      <w:r>
        <w:rPr>
          <w:rFonts w:hint="eastAsia"/>
          <w:color w:val="000000"/>
          <w:sz w:val="26"/>
        </w:rPr>
        <w:t>《建筑设计防火规范》GB 50016-2014</w:t>
      </w:r>
    </w:p>
    <w:p>
      <w:pPr>
        <w:spacing w:after="156" w:afterLines="50" w:line="520" w:lineRule="exact"/>
        <w:ind w:firstLine="520" w:firstLineChars="200"/>
        <w:rPr>
          <w:color w:val="000000"/>
          <w:sz w:val="26"/>
        </w:rPr>
      </w:pPr>
      <w:r>
        <w:rPr>
          <w:color w:val="000000"/>
          <w:sz w:val="26"/>
        </w:rPr>
        <w:t>《建筑灭火器配置设计规范》GB 50140-2005</w:t>
      </w:r>
    </w:p>
    <w:p>
      <w:pPr>
        <w:spacing w:after="156" w:afterLines="50" w:line="520" w:lineRule="exact"/>
        <w:ind w:firstLine="520" w:firstLineChars="200"/>
        <w:rPr>
          <w:color w:val="000000"/>
          <w:sz w:val="26"/>
        </w:rPr>
      </w:pPr>
      <w:r>
        <w:rPr>
          <w:rFonts w:hint="eastAsia"/>
          <w:color w:val="000000"/>
          <w:sz w:val="26"/>
        </w:rPr>
        <w:t>《自动喷水灭火系统设计规范》GB 50084-2017</w:t>
      </w:r>
    </w:p>
    <w:p>
      <w:pPr>
        <w:spacing w:after="156" w:afterLines="50" w:line="520" w:lineRule="exact"/>
        <w:ind w:firstLine="520" w:firstLineChars="200"/>
        <w:rPr>
          <w:color w:val="000000"/>
          <w:sz w:val="26"/>
        </w:rPr>
      </w:pPr>
      <w:r>
        <w:rPr>
          <w:rFonts w:hAnsi="宋体" w:hint="eastAsia"/>
          <w:color w:val="000000"/>
          <w:sz w:val="26"/>
        </w:rPr>
        <w:t>二、</w:t>
      </w:r>
      <w:r>
        <w:rPr>
          <w:rFonts w:hAnsi="宋体"/>
          <w:color w:val="000000"/>
          <w:sz w:val="26"/>
        </w:rPr>
        <w:t>给水设计</w:t>
      </w:r>
    </w:p>
    <w:p>
      <w:pPr>
        <w:spacing w:after="156" w:afterLines="50" w:line="520" w:lineRule="exact"/>
        <w:ind w:firstLine="520" w:firstLineChars="200"/>
        <w:rPr>
          <w:color w:val="000000"/>
          <w:sz w:val="26"/>
        </w:rPr>
      </w:pPr>
      <w:r>
        <w:rPr>
          <w:color w:val="000000"/>
          <w:sz w:val="26"/>
        </w:rPr>
        <w:t>A</w:t>
      </w:r>
      <w:r>
        <w:rPr>
          <w:rFonts w:hAnsi="宋体"/>
          <w:color w:val="000000"/>
          <w:sz w:val="26"/>
        </w:rPr>
        <w:t>、水源</w:t>
      </w:r>
    </w:p>
    <w:p>
      <w:pPr>
        <w:spacing w:after="156" w:afterLines="50" w:line="520" w:lineRule="exact"/>
        <w:ind w:firstLine="520" w:firstLineChars="200"/>
        <w:rPr>
          <w:color w:val="000000"/>
          <w:sz w:val="26"/>
        </w:rPr>
      </w:pPr>
      <w:r>
        <w:rPr>
          <w:rFonts w:hAnsi="宋体"/>
          <w:color w:val="000000"/>
          <w:sz w:val="26"/>
        </w:rPr>
        <w:t>本项目工程水源</w:t>
      </w:r>
      <w:r>
        <w:rPr>
          <w:rFonts w:hAnsi="宋体" w:hint="eastAsia"/>
          <w:color w:val="000000"/>
          <w:sz w:val="26"/>
        </w:rPr>
        <w:t>由当地自来水供水管网供给</w:t>
      </w:r>
      <w:r>
        <w:rPr>
          <w:rFonts w:hAnsi="宋体"/>
          <w:color w:val="000000"/>
          <w:sz w:val="26"/>
        </w:rPr>
        <w:t>。引入管采用管径</w:t>
      </w:r>
      <w:r>
        <w:rPr>
          <w:color w:val="000000"/>
          <w:sz w:val="26"/>
        </w:rPr>
        <w:t>DN150</w:t>
      </w:r>
      <w:r>
        <w:rPr>
          <w:rFonts w:hAnsi="宋体"/>
          <w:color w:val="000000"/>
          <w:sz w:val="26"/>
        </w:rPr>
        <w:t>。</w:t>
      </w:r>
    </w:p>
    <w:p>
      <w:pPr>
        <w:spacing w:after="156" w:afterLines="50" w:line="520" w:lineRule="exact"/>
        <w:ind w:firstLine="520" w:firstLineChars="200"/>
        <w:rPr>
          <w:color w:val="000000"/>
          <w:sz w:val="26"/>
        </w:rPr>
      </w:pPr>
      <w:r>
        <w:rPr>
          <w:color w:val="000000"/>
          <w:sz w:val="26"/>
        </w:rPr>
        <w:t>B</w:t>
      </w:r>
      <w:r>
        <w:rPr>
          <w:rFonts w:hAnsi="宋体"/>
          <w:color w:val="000000"/>
          <w:sz w:val="26"/>
        </w:rPr>
        <w:t>、室内给水系统</w:t>
      </w:r>
    </w:p>
    <w:p>
      <w:pPr>
        <w:spacing w:after="156" w:afterLines="50" w:line="520" w:lineRule="exact"/>
        <w:ind w:firstLine="520" w:firstLineChars="200"/>
        <w:rPr>
          <w:color w:val="000000"/>
          <w:sz w:val="26"/>
        </w:rPr>
      </w:pPr>
      <w:r>
        <w:rPr>
          <w:rFonts w:hAnsi="宋体"/>
          <w:color w:val="000000"/>
          <w:sz w:val="26"/>
        </w:rPr>
        <w:t>生活给水系统</w:t>
      </w:r>
      <w:r>
        <w:rPr>
          <w:rFonts w:hAnsi="宋体" w:hint="eastAsia"/>
          <w:color w:val="000000"/>
          <w:sz w:val="26"/>
        </w:rPr>
        <w:t>由当地自来水供水管网</w:t>
      </w:r>
      <w:r>
        <w:rPr>
          <w:rFonts w:hAnsi="宋体"/>
          <w:color w:val="000000"/>
          <w:sz w:val="26"/>
        </w:rPr>
        <w:t>直接供水</w:t>
      </w:r>
      <w:r>
        <w:rPr>
          <w:rFonts w:hAnsi="宋体" w:hint="eastAsia"/>
          <w:color w:val="000000"/>
          <w:sz w:val="26"/>
        </w:rPr>
        <w:t>，水质符合生活饮用标准。</w:t>
      </w:r>
      <w:r>
        <w:rPr>
          <w:rFonts w:hAnsi="宋体"/>
          <w:color w:val="000000"/>
          <w:sz w:val="26"/>
        </w:rPr>
        <w:t>给水管道采用</w:t>
      </w:r>
      <w:r>
        <w:rPr>
          <w:color w:val="000000"/>
          <w:sz w:val="26"/>
        </w:rPr>
        <w:t>PP</w:t>
      </w:r>
      <w:r>
        <w:rPr>
          <w:rFonts w:hAnsi="宋体" w:hint="eastAsia"/>
          <w:color w:val="000000"/>
          <w:sz w:val="26"/>
        </w:rPr>
        <w:t>-</w:t>
      </w:r>
      <w:r>
        <w:rPr>
          <w:color w:val="000000"/>
          <w:sz w:val="26"/>
        </w:rPr>
        <w:t>R</w:t>
      </w:r>
      <w:r>
        <w:rPr>
          <w:rFonts w:hAnsi="宋体"/>
          <w:color w:val="000000"/>
          <w:sz w:val="26"/>
        </w:rPr>
        <w:t>给水管，热熔连接。</w:t>
      </w:r>
    </w:p>
    <w:p>
      <w:pPr>
        <w:spacing w:after="156" w:afterLines="50" w:line="520" w:lineRule="exact"/>
        <w:ind w:firstLine="520" w:firstLineChars="200"/>
        <w:rPr>
          <w:color w:val="000000"/>
          <w:sz w:val="26"/>
        </w:rPr>
      </w:pPr>
      <w:r>
        <w:rPr>
          <w:rFonts w:hAnsi="宋体"/>
          <w:color w:val="000000"/>
          <w:sz w:val="26"/>
        </w:rPr>
        <w:t>消防给水系统</w:t>
      </w:r>
    </w:p>
    <w:p>
      <w:pPr>
        <w:spacing w:after="156" w:afterLines="50" w:line="520" w:lineRule="exact"/>
        <w:ind w:firstLine="520" w:firstLineChars="200"/>
        <w:rPr>
          <w:color w:val="000000"/>
          <w:sz w:val="26"/>
        </w:rPr>
      </w:pPr>
      <w:r>
        <w:rPr>
          <w:rFonts w:hAnsi="宋体"/>
          <w:color w:val="000000"/>
          <w:sz w:val="26"/>
        </w:rPr>
        <w:t>设有室内消火栓。消火栓间距不大于</w:t>
      </w:r>
      <w:r>
        <w:rPr>
          <w:color w:val="000000"/>
          <w:sz w:val="26"/>
        </w:rPr>
        <w:t>30</w:t>
      </w:r>
      <w:r>
        <w:rPr>
          <w:rFonts w:hAnsi="宋体"/>
          <w:color w:val="000000"/>
          <w:sz w:val="26"/>
        </w:rPr>
        <w:t>米，确保同层任何部位都有两股水柱同时到达灭火点。消火栓采用</w:t>
      </w:r>
      <w:r>
        <w:rPr>
          <w:color w:val="000000"/>
          <w:sz w:val="26"/>
        </w:rPr>
        <w:t>SG24/65</w:t>
      </w:r>
      <w:r>
        <w:rPr>
          <w:rFonts w:hAnsi="宋体"/>
          <w:color w:val="000000"/>
          <w:sz w:val="26"/>
        </w:rPr>
        <w:t>型室内自救式消火栓，消火栓口径为</w:t>
      </w:r>
      <w:r>
        <w:rPr>
          <w:color w:val="000000"/>
          <w:sz w:val="26"/>
        </w:rPr>
        <w:t>DN65</w:t>
      </w:r>
      <w:r>
        <w:rPr>
          <w:rFonts w:hAnsi="宋体"/>
          <w:color w:val="000000"/>
          <w:sz w:val="26"/>
        </w:rPr>
        <w:t>，水龙带长</w:t>
      </w:r>
      <w:r>
        <w:rPr>
          <w:color w:val="000000"/>
          <w:sz w:val="26"/>
        </w:rPr>
        <w:t>25</w:t>
      </w:r>
      <w:r>
        <w:rPr>
          <w:rFonts w:hAnsi="宋体"/>
          <w:color w:val="000000"/>
          <w:sz w:val="26"/>
        </w:rPr>
        <w:t>米，水枪喷嘴为</w:t>
      </w:r>
      <w:r>
        <w:rPr>
          <w:color w:val="000000"/>
          <w:sz w:val="26"/>
        </w:rPr>
        <w:t>DN19</w:t>
      </w:r>
      <w:r>
        <w:rPr>
          <w:rFonts w:hAnsi="宋体"/>
          <w:color w:val="000000"/>
          <w:sz w:val="26"/>
        </w:rPr>
        <w:t>。消防给水管采用热镀钢管。</w:t>
      </w:r>
    </w:p>
    <w:p>
      <w:pPr>
        <w:spacing w:after="156" w:afterLines="50" w:line="520" w:lineRule="exact"/>
        <w:ind w:firstLine="520" w:firstLineChars="200"/>
        <w:rPr>
          <w:color w:val="000000"/>
          <w:sz w:val="26"/>
        </w:rPr>
      </w:pPr>
      <w:r>
        <w:rPr>
          <w:color w:val="000000"/>
          <w:sz w:val="26"/>
        </w:rPr>
        <w:t>C</w:t>
      </w:r>
      <w:r>
        <w:rPr>
          <w:rFonts w:hAnsi="宋体"/>
          <w:color w:val="000000"/>
          <w:sz w:val="26"/>
        </w:rPr>
        <w:t>、室外给水系统</w:t>
      </w:r>
    </w:p>
    <w:p>
      <w:pPr>
        <w:spacing w:after="156" w:afterLines="50" w:line="520" w:lineRule="exact"/>
        <w:ind w:firstLine="520" w:firstLineChars="200"/>
        <w:rPr>
          <w:color w:val="000000"/>
          <w:sz w:val="26"/>
        </w:rPr>
      </w:pPr>
      <w:r>
        <w:rPr>
          <w:rFonts w:hAnsi="宋体"/>
          <w:color w:val="000000"/>
          <w:sz w:val="26"/>
        </w:rPr>
        <w:t>室外给水管网系统采用生活、消防合用给水系统，水源为</w:t>
      </w:r>
      <w:r>
        <w:rPr>
          <w:rFonts w:hAnsi="宋体" w:hint="eastAsia"/>
          <w:color w:val="000000"/>
          <w:sz w:val="26"/>
        </w:rPr>
        <w:t>当地自来水供水管网供给</w:t>
      </w:r>
      <w:r>
        <w:rPr>
          <w:rFonts w:hAnsi="宋体"/>
          <w:color w:val="000000"/>
          <w:sz w:val="26"/>
        </w:rPr>
        <w:t>。</w:t>
      </w:r>
    </w:p>
    <w:p>
      <w:pPr>
        <w:spacing w:after="156" w:afterLines="50" w:line="520" w:lineRule="exact"/>
        <w:ind w:firstLine="520" w:firstLineChars="200"/>
        <w:rPr>
          <w:color w:val="000000"/>
          <w:sz w:val="26"/>
        </w:rPr>
      </w:pPr>
      <w:r>
        <w:rPr>
          <w:rFonts w:hAnsi="宋体"/>
          <w:color w:val="000000"/>
          <w:sz w:val="26"/>
        </w:rPr>
        <w:t>给水管网系统布置成环状，主要管径由</w:t>
      </w:r>
      <w:r>
        <w:rPr>
          <w:color w:val="000000"/>
          <w:sz w:val="26"/>
        </w:rPr>
        <w:t>DN150</w:t>
      </w:r>
      <w:r>
        <w:rPr>
          <w:rFonts w:hAnsi="宋体"/>
          <w:color w:val="000000"/>
          <w:sz w:val="26"/>
        </w:rPr>
        <w:t>组成，室外设有地上式消火栓。</w:t>
      </w:r>
    </w:p>
    <w:p>
      <w:pPr>
        <w:spacing w:after="156" w:afterLines="50" w:line="520" w:lineRule="exact"/>
        <w:ind w:firstLine="520" w:firstLineChars="200"/>
        <w:rPr>
          <w:color w:val="000000"/>
          <w:sz w:val="26"/>
        </w:rPr>
      </w:pPr>
      <w:r>
        <w:rPr>
          <w:rFonts w:hAnsi="宋体" w:hint="eastAsia"/>
          <w:color w:val="000000"/>
          <w:sz w:val="26"/>
        </w:rPr>
        <w:t>三、</w:t>
      </w:r>
      <w:r>
        <w:rPr>
          <w:rFonts w:hAnsi="宋体"/>
          <w:color w:val="000000"/>
          <w:sz w:val="26"/>
        </w:rPr>
        <w:t>排水设计</w:t>
      </w:r>
    </w:p>
    <w:p>
      <w:pPr>
        <w:spacing w:after="156" w:afterLines="50" w:line="520" w:lineRule="exact"/>
        <w:ind w:firstLine="520" w:firstLineChars="200"/>
        <w:rPr>
          <w:color w:val="000000"/>
          <w:sz w:val="26"/>
        </w:rPr>
      </w:pPr>
      <w:r>
        <w:rPr>
          <w:rFonts w:hAnsi="宋体"/>
          <w:color w:val="000000"/>
          <w:sz w:val="26"/>
        </w:rPr>
        <w:t>室内排水</w:t>
      </w:r>
    </w:p>
    <w:p>
      <w:pPr>
        <w:spacing w:after="156" w:afterLines="50" w:line="520" w:lineRule="exact"/>
        <w:ind w:firstLine="520" w:firstLineChars="200"/>
        <w:rPr>
          <w:color w:val="000000"/>
          <w:sz w:val="26"/>
        </w:rPr>
        <w:sectPr>
          <w:headerReference w:type="default" r:id="rId229"/>
          <w:footerReference w:type="default" r:id="rId230"/>
          <w:headerReference w:type="first" r:id="rId231"/>
          <w:footerReference w:type="first" r:id="rId232"/>
          <w:type w:val="nextPage"/>
          <w:pgSz w:w="11906" w:h="16838"/>
          <w:pgMar w:top="1440" w:right="1797" w:bottom="1440" w:left="1797" w:header="851" w:footer="992" w:gutter="0"/>
          <w:pgNumType w:fmt="decimal" w:start="30"/>
          <w:cols w:space="708"/>
          <w:titlePg w:val="0"/>
          <w:docGrid w:type="linesAndChars" w:linePitch="312"/>
        </w:sectPr>
      </w:pPr>
      <w:r>
        <w:rPr>
          <w:rFonts w:hAnsi="宋体"/>
          <w:color w:val="000000"/>
          <w:sz w:val="26"/>
        </w:rPr>
        <w:t>室内排水采用粪便污水与生活洗涤废水合流管道，排水管采用</w:t>
      </w:r>
      <w:r>
        <w:rPr>
          <w:color w:val="000000"/>
          <w:sz w:val="26"/>
        </w:rPr>
        <w:t>PVC</w:t>
      </w:r>
    </w:p>
    <w:p>
      <w:pPr>
        <w:spacing w:after="156" w:afterLines="50" w:line="520" w:lineRule="exact"/>
        <w:ind w:firstLine="520" w:firstLineChars="200"/>
        <w:rPr>
          <w:color w:val="000000"/>
          <w:sz w:val="26"/>
        </w:rPr>
      </w:pPr>
      <w:r>
        <w:rPr>
          <w:rFonts w:hAnsi="宋体"/>
          <w:color w:val="000000"/>
          <w:sz w:val="26"/>
        </w:rPr>
        <w:t>芯层发泡管道。</w:t>
      </w:r>
    </w:p>
    <w:p>
      <w:pPr>
        <w:spacing w:after="156" w:afterLines="50" w:line="520" w:lineRule="exact"/>
        <w:ind w:firstLine="520" w:firstLineChars="200"/>
        <w:rPr>
          <w:color w:val="000000"/>
          <w:sz w:val="26"/>
        </w:rPr>
      </w:pPr>
      <w:r>
        <w:rPr>
          <w:rFonts w:hAnsi="宋体"/>
          <w:color w:val="000000"/>
          <w:sz w:val="26"/>
        </w:rPr>
        <w:t>室外排水</w:t>
      </w:r>
    </w:p>
    <w:p>
      <w:pPr>
        <w:spacing w:after="156" w:afterLines="50" w:line="520" w:lineRule="exact"/>
        <w:ind w:firstLine="520" w:firstLineChars="200"/>
        <w:rPr>
          <w:color w:val="000000"/>
          <w:sz w:val="26"/>
        </w:rPr>
      </w:pPr>
      <w:r>
        <w:rPr>
          <w:rFonts w:hAnsi="宋体"/>
          <w:color w:val="000000"/>
          <w:sz w:val="26"/>
        </w:rPr>
        <w:t>室外排水采用雨、污分流制，生活污水排至</w:t>
      </w:r>
      <w:r>
        <w:rPr>
          <w:rFonts w:hAnsi="宋体" w:hint="eastAsia"/>
          <w:color w:val="000000"/>
          <w:sz w:val="26"/>
        </w:rPr>
        <w:t>园区污水处理厂</w:t>
      </w:r>
      <w:r>
        <w:rPr>
          <w:rFonts w:hAnsi="宋体"/>
          <w:color w:val="000000"/>
          <w:sz w:val="26"/>
        </w:rPr>
        <w:t>统一处理</w:t>
      </w:r>
      <w:r>
        <w:rPr>
          <w:rFonts w:hAnsi="宋体" w:hint="eastAsia"/>
          <w:color w:val="000000"/>
          <w:sz w:val="26"/>
        </w:rPr>
        <w:t>，达标排放。</w:t>
      </w:r>
      <w:r>
        <w:rPr>
          <w:rFonts w:hAnsi="宋体"/>
          <w:color w:val="000000"/>
          <w:sz w:val="26"/>
        </w:rPr>
        <w:t>雨水经雨水管道汇集，进入市政雨水回排放系统。</w:t>
      </w:r>
    </w:p>
    <w:p>
      <w:pPr>
        <w:spacing w:after="156" w:afterLines="50" w:line="520" w:lineRule="exact"/>
        <w:ind w:firstLine="520" w:firstLineChars="200"/>
        <w:rPr>
          <w:color w:val="000000"/>
          <w:sz w:val="26"/>
        </w:rPr>
      </w:pPr>
      <w:r>
        <w:rPr>
          <w:rFonts w:hAnsi="宋体" w:hint="eastAsia"/>
          <w:color w:val="000000"/>
          <w:sz w:val="26"/>
        </w:rPr>
        <w:t>四、</w:t>
      </w:r>
      <w:r>
        <w:rPr>
          <w:rFonts w:hAnsi="宋体"/>
          <w:color w:val="000000"/>
          <w:sz w:val="26"/>
        </w:rPr>
        <w:t>消防固定灭火系统</w:t>
      </w:r>
    </w:p>
    <w:p>
      <w:pPr>
        <w:spacing w:after="156" w:afterLines="50" w:line="520" w:lineRule="exact"/>
        <w:ind w:firstLine="520" w:firstLineChars="200"/>
        <w:rPr>
          <w:rFonts w:hAnsi="宋体" w:hint="eastAsia"/>
          <w:color w:val="000000"/>
          <w:sz w:val="26"/>
        </w:rPr>
      </w:pPr>
      <w:r>
        <w:rPr>
          <w:rFonts w:hAnsi="宋体" w:hint="eastAsia"/>
          <w:color w:val="000000"/>
          <w:sz w:val="26"/>
        </w:rPr>
        <w:t>主要建筑物均按二级耐火等级建造，在各建筑物内设置有室内消防栓，同时设有二个室外消防栓。厂区若有火灾，可以较及时地扑灭。</w:t>
      </w:r>
    </w:p>
    <w:p>
      <w:pPr>
        <w:spacing w:after="156" w:afterLines="50" w:line="520" w:lineRule="exact"/>
        <w:ind w:firstLine="520" w:firstLineChars="200"/>
        <w:rPr>
          <w:rFonts w:ascii="宋体" w:hAnsi="宋体" w:hint="eastAsia"/>
          <w:color w:val="000000"/>
          <w:sz w:val="26"/>
        </w:rPr>
      </w:pPr>
      <w:r>
        <w:rPr>
          <w:rFonts w:hAnsi="宋体" w:hint="eastAsia"/>
          <w:color w:val="000000"/>
          <w:sz w:val="26"/>
        </w:rPr>
        <w:t>另外，本项目拟在各车间设置部分干粉灭火器，</w:t>
      </w:r>
      <w:r>
        <w:rPr>
          <w:rFonts w:hAnsi="宋体"/>
          <w:color w:val="000000"/>
          <w:sz w:val="26"/>
        </w:rPr>
        <w:t>充装量为</w:t>
      </w:r>
      <w:r>
        <w:rPr>
          <w:color w:val="000000"/>
          <w:sz w:val="26"/>
        </w:rPr>
        <w:t>6L</w:t>
      </w:r>
      <w:r>
        <w:rPr>
          <w:rFonts w:hAnsi="宋体"/>
          <w:color w:val="000000"/>
          <w:sz w:val="26"/>
        </w:rPr>
        <w:t>，灭火级别为</w:t>
      </w:r>
      <w:r>
        <w:rPr>
          <w:color w:val="000000"/>
          <w:sz w:val="26"/>
        </w:rPr>
        <w:t>5A</w:t>
      </w:r>
      <w:r>
        <w:rPr>
          <w:rFonts w:hint="eastAsia"/>
          <w:color w:val="000000"/>
          <w:sz w:val="26"/>
        </w:rPr>
        <w:t>，</w:t>
      </w:r>
      <w:r>
        <w:rPr>
          <w:rFonts w:hAnsi="宋体" w:hint="eastAsia"/>
          <w:color w:val="000000"/>
          <w:sz w:val="26"/>
        </w:rPr>
        <w:t>以备在火灾刚发生时使用，以避免用水灭火而导致产品损坏</w:t>
      </w:r>
      <w:r>
        <w:rPr>
          <w:rFonts w:hAnsi="宋体"/>
          <w:color w:val="000000"/>
          <w:sz w:val="26"/>
        </w:rPr>
        <w:t>。</w:t>
      </w:r>
    </w:p>
    <w:p>
      <w:pPr>
        <w:pStyle w:val="Heading3"/>
        <w:spacing w:before="0" w:after="156" w:afterLines="50" w:line="520" w:lineRule="exact"/>
        <w:rPr>
          <w:rFonts w:hint="eastAsia"/>
          <w:color w:val="000000"/>
          <w:sz w:val="24"/>
        </w:rPr>
      </w:pPr>
      <w:bookmarkStart w:id="143" w:name="_Toc1163"/>
      <w:bookmarkStart w:id="144" w:name="_Toc359945677"/>
      <w:bookmarkStart w:id="145" w:name="_Toc332545566"/>
      <w:bookmarkStart w:id="146" w:name="_Toc17728729"/>
      <w:r>
        <w:rPr>
          <w:rFonts w:hint="eastAsia"/>
          <w:color w:val="000000"/>
          <w:sz w:val="24"/>
        </w:rPr>
        <w:t>5.4.2供电</w:t>
      </w:r>
      <w:bookmarkEnd w:id="144"/>
      <w:bookmarkEnd w:id="145"/>
      <w:bookmarkEnd w:id="146"/>
      <w:bookmarkEnd w:id="143"/>
    </w:p>
    <w:p>
      <w:pPr>
        <w:spacing w:after="156" w:afterLines="50" w:line="520" w:lineRule="exact"/>
        <w:ind w:firstLine="520" w:firstLineChars="200"/>
        <w:rPr>
          <w:color w:val="000000"/>
          <w:sz w:val="26"/>
        </w:rPr>
      </w:pPr>
      <w:r>
        <w:rPr>
          <w:rFonts w:hAnsi="宋体"/>
          <w:color w:val="000000"/>
          <w:sz w:val="26"/>
        </w:rPr>
        <w:t>电气工程</w:t>
      </w:r>
    </w:p>
    <w:p>
      <w:pPr>
        <w:spacing w:after="156" w:afterLines="50" w:line="520" w:lineRule="exact"/>
        <w:ind w:firstLine="520" w:firstLineChars="200"/>
        <w:rPr>
          <w:color w:val="000000"/>
          <w:sz w:val="26"/>
        </w:rPr>
      </w:pPr>
      <w:r>
        <w:rPr>
          <w:color w:val="000000"/>
          <w:sz w:val="26"/>
        </w:rPr>
        <w:t>(l</w:t>
      </w:r>
      <w:r>
        <w:rPr>
          <w:rFonts w:hAnsi="宋体"/>
          <w:color w:val="000000"/>
          <w:sz w:val="26"/>
        </w:rPr>
        <w:t>）供电电源</w:t>
      </w:r>
    </w:p>
    <w:p>
      <w:pPr>
        <w:spacing w:after="156" w:afterLines="50" w:line="520" w:lineRule="exact"/>
        <w:ind w:firstLine="520" w:firstLineChars="200"/>
        <w:rPr>
          <w:color w:val="000000"/>
          <w:sz w:val="26"/>
        </w:rPr>
      </w:pPr>
      <w:r>
        <w:rPr>
          <w:rFonts w:hAnsi="宋体"/>
          <w:color w:val="000000"/>
          <w:sz w:val="26"/>
        </w:rPr>
        <w:t>本工程电源</w:t>
      </w:r>
      <w:r>
        <w:rPr>
          <w:rFonts w:hAnsi="宋体" w:hint="eastAsia"/>
          <w:color w:val="000000"/>
          <w:sz w:val="26"/>
        </w:rPr>
        <w:t>由国家电网提供电能，承办单位设计自备供电线路系统，安装配电功能齐全的配电装置，即可满足项目供电需求，各种生产设备总装机功率为5000KW</w:t>
      </w:r>
      <w:r>
        <w:rPr>
          <w:rFonts w:hAnsi="宋体"/>
          <w:color w:val="000000"/>
          <w:sz w:val="26"/>
        </w:rPr>
        <w:t>。</w:t>
      </w:r>
    </w:p>
    <w:p>
      <w:pPr>
        <w:spacing w:after="156" w:afterLines="50" w:line="520" w:lineRule="exact"/>
        <w:ind w:firstLine="520" w:firstLineChars="200"/>
        <w:rPr>
          <w:rFonts w:hAnsi="宋体"/>
          <w:color w:val="000000"/>
          <w:sz w:val="26"/>
        </w:rPr>
      </w:pPr>
      <w:r>
        <w:rPr>
          <w:rFonts w:hAnsi="宋体"/>
          <w:color w:val="000000"/>
          <w:sz w:val="26"/>
        </w:rPr>
        <w:t>无功功率补偿</w:t>
      </w:r>
    </w:p>
    <w:p>
      <w:pPr>
        <w:spacing w:after="156" w:afterLines="50" w:line="520" w:lineRule="exact"/>
        <w:ind w:firstLine="520" w:firstLineChars="200"/>
        <w:rPr>
          <w:rFonts w:hAnsi="宋体"/>
          <w:color w:val="000000"/>
          <w:sz w:val="26"/>
        </w:rPr>
      </w:pPr>
      <w:r>
        <w:rPr>
          <w:rFonts w:hAnsi="宋体"/>
          <w:color w:val="000000"/>
          <w:sz w:val="26"/>
        </w:rPr>
        <w:t>变电室低压配电间内安装低压电力电容器进行无功功率补偿。10KV母线侧需配置无功补偿及谐波滤波装置，低压侧集中补偿自动切换。</w:t>
      </w:r>
    </w:p>
    <w:p>
      <w:pPr>
        <w:spacing w:after="156" w:afterLines="50" w:line="520" w:lineRule="exact"/>
        <w:ind w:firstLine="520" w:firstLineChars="200"/>
        <w:rPr>
          <w:color w:val="000000"/>
          <w:sz w:val="26"/>
        </w:rPr>
      </w:pPr>
      <w:r>
        <w:rPr>
          <w:rFonts w:hAnsi="宋体"/>
          <w:color w:val="000000"/>
          <w:sz w:val="26"/>
        </w:rPr>
        <w:t>继电保护</w:t>
      </w:r>
    </w:p>
    <w:p>
      <w:pPr>
        <w:spacing w:after="156" w:afterLines="50" w:line="520" w:lineRule="exact"/>
        <w:ind w:firstLine="520" w:firstLineChars="200"/>
        <w:rPr>
          <w:color w:val="000000"/>
          <w:sz w:val="26"/>
        </w:rPr>
      </w:pPr>
      <w:r>
        <w:rPr>
          <w:rFonts w:hAnsi="宋体"/>
          <w:color w:val="000000"/>
          <w:sz w:val="26"/>
        </w:rPr>
        <w:t>变压器高压侧采用负荷开关加熔断器保护。</w:t>
      </w:r>
    </w:p>
    <w:p>
      <w:pPr>
        <w:spacing w:after="156" w:afterLines="50" w:line="520" w:lineRule="exact"/>
        <w:ind w:firstLine="520" w:firstLineChars="200"/>
        <w:rPr>
          <w:color w:val="000000"/>
          <w:sz w:val="26"/>
        </w:rPr>
      </w:pPr>
      <w:r>
        <w:rPr>
          <w:color w:val="000000"/>
          <w:sz w:val="26"/>
        </w:rPr>
        <w:t>(2</w:t>
      </w:r>
      <w:r>
        <w:rPr>
          <w:rFonts w:hAnsi="宋体"/>
          <w:color w:val="000000"/>
          <w:sz w:val="26"/>
        </w:rPr>
        <w:t>）低压配电方式及线路敷设</w:t>
      </w:r>
    </w:p>
    <w:p>
      <w:pPr>
        <w:spacing w:after="156" w:afterLines="50" w:line="520" w:lineRule="exact"/>
        <w:ind w:firstLine="520" w:firstLineChars="200"/>
        <w:rPr>
          <w:color w:val="000000"/>
          <w:sz w:val="26"/>
        </w:rPr>
      </w:pPr>
      <w:r>
        <w:rPr>
          <w:color w:val="000000"/>
          <w:sz w:val="26"/>
        </w:rPr>
        <w:br/>
      </w:r>
      <w:r>
        <w:rPr>
          <w:color w:val="000000"/>
          <w:sz w:val="26"/>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233" w:history="1">
        <w:r>
          <w:rPr>
            <w:rFonts w:ascii="SimSun" w:eastAsia="SimSun" w:hAnsi="SimSun" w:cs="SimSun"/>
            <w:b/>
            <w:bCs/>
            <w:color w:val="0000EE"/>
            <w:kern w:val="0"/>
            <w:sz w:val="30"/>
            <w:szCs w:val="30"/>
            <w:u w:val="single" w:color="0000EE"/>
          </w:rPr>
          <w:t>https://d.book118.com/285042001134011111</w:t>
        </w:r>
      </w:hyperlink>
    </w:p>
    <w:p>
      <w:pPr>
        <w:spacing w:after="156" w:afterLines="50" w:line="520" w:lineRule="exact"/>
        <w:ind w:firstLine="520" w:firstLineChars="200"/>
        <w:rPr>
          <w:color w:val="000000"/>
          <w:sz w:val="26"/>
        </w:rPr>
      </w:pPr>
    </w:p>
    <w:sectPr>
      <w:headerReference w:type="default" r:id="rId234"/>
      <w:footerReference w:type="default" r:id="rId235"/>
      <w:headerReference w:type="first" r:id="rId236"/>
      <w:footerReference w:type="first" r:id="rId237"/>
      <w:type w:val="nextPage"/>
      <w:pgSz w:w="11906" w:h="16838"/>
      <w:pgMar w:top="1440" w:right="1797" w:bottom="1440" w:left="1797" w:header="851" w:footer="992" w:gutter="0"/>
      <w:pgNumType w:fmt="decimal" w:start="31"/>
      <w:cols w:space="708"/>
      <w:titlePg w:val="0"/>
      <w:docGrid w:type="linesAndChar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auto"/>
    <w:pitch w:val="default"/>
    <w:sig w:usb0="E0002EFF" w:usb1="C000785B" w:usb2="00000009" w:usb3="00000000" w:csb0="400001FF" w:csb1="FFFF0000"/>
  </w:font>
  <w:font w:name="宋体">
    <w:panose1 w:val="02010600030101010101"/>
    <w:charset w:val="86"/>
    <w:family w:val="auto"/>
    <w:pitch w:val="default"/>
    <w:sig w:usb0="00000003" w:usb1="288F0000" w:usb2="00000006" w:usb3="00000000" w:csb0="00040001" w:csb1="00000000"/>
  </w:font>
  <w:font w:name="Times">
    <w:altName w:val="Times New Roman"/>
    <w:panose1 w:val="02020603050405020304"/>
    <w:charset w:val="00"/>
    <w:family w:val="roman"/>
    <w:pitch w:val="default"/>
    <w:sig w:usb0="E0003EFF" w:usb1="C000785B" w:usb2="00000009" w:usb3="00000000" w:csb0="000001FF" w:csb1="00000000"/>
  </w:font>
  <w:font w:name="Arial">
    <w:panose1 w:val="020B0604020202020204"/>
    <w:charset w:val="00"/>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Verdana">
    <w:panose1 w:val="020B0604030504040204"/>
    <w:charset w:val="00"/>
    <w:family w:val="swiss"/>
    <w:pitch w:val="default"/>
    <w:sig w:usb0="A00006FF" w:usb1="4000205B" w:usb2="00000010" w:usb3="00000000" w:csb0="2000019F" w:csb1="00000000"/>
  </w:font>
  <w:font w:name="仿宋_GB2312">
    <w:altName w:val="仿宋"/>
    <w:panose1 w:val="02010609030101010101"/>
    <w:charset w:val="86"/>
    <w:family w:val="modern"/>
    <w:pitch w:val="default"/>
    <w:sig w:usb0="00000001" w:usb1="080E0000" w:usb2="00000000" w:usb3="00000000" w:csb0="00040000" w:csb1="00000000"/>
  </w:font>
  <w:font w:name="”“Times New Roman”“">
    <w:altName w:val="宋体"/>
    <w:panose1 w:val="00000000000000000000"/>
    <w:charset w:val="86"/>
    <w:family w:val="roman"/>
    <w:pitch w:val="default"/>
    <w:sig w:usb0="00000001" w:usb1="080E0000" w:usb2="00000010" w:usb3="00000000" w:csb0="00040000" w:csb1="00000000"/>
  </w:font>
  <w:font w:name="Courier New">
    <w:panose1 w:val="02070309020205020404"/>
    <w:charset w:val="00"/>
    <w:family w:val="modern"/>
    <w:pitch w:val="default"/>
    <w:sig w:usb0="E0002EFF" w:usb1="C0007843" w:usb2="00000009" w:usb3="00000000" w:csb0="400001FF" w:csb1="FFFF0000"/>
  </w:font>
  <w:font w:name="楷体_GB2312">
    <w:altName w:val="楷体"/>
    <w:panose1 w:val="02010609030101010101"/>
    <w:charset w:val="86"/>
    <w:family w:val="modern"/>
    <w:pitch w:val="default"/>
    <w:sig w:usb0="00000001" w:usb1="080E0000" w:usb2="00000000" w:usb3="00000000" w:csb0="00040000" w:csb1="00000000"/>
  </w:font>
  <w:font w:name="新宋体">
    <w:panose1 w:val="02010609030101010101"/>
    <w:charset w:val="86"/>
    <w:family w:val="modern"/>
    <w:pitch w:val="default"/>
    <w:sig w:usb0="00000283" w:usb1="288F0000" w:usb2="00000006" w:usb3="00000000" w:csb0="00040001" w:csb1="00000000"/>
  </w:font>
  <w:font w:name="ˎ̥">
    <w:altName w:val="Times New Roman"/>
    <w:panose1 w:val="00000000000000000000"/>
    <w:charset w:val="00"/>
    <w:family w:val="roman"/>
    <w:pitch w:val="default"/>
    <w:sig w:usb0="00000000" w:usb1="00000000" w:usb2="00000000" w:usb3="00000000" w:csb0="00040001" w:csb1="00000000"/>
  </w:font>
  <w:font w:name="华文新魏">
    <w:altName w:val="宋体"/>
    <w:panose1 w:val="02010800040101010101"/>
    <w:charset w:val="86"/>
    <w:family w:val="auto"/>
    <w:pitch w:val="default"/>
    <w:sig w:usb0="00000001" w:usb1="080F0000" w:usb2="00000010" w:usb3="00000000" w:csb0="00040000" w:csb1="00000000"/>
  </w:font>
  <w:font w:name="Arial Unicode MS">
    <w:altName w:val="Arial"/>
    <w:panose1 w:val="020B0604020202020204"/>
    <w:charset w:val="00"/>
    <w:family w:val="roman"/>
    <w:pitch w:val="default"/>
    <w:sig w:usb0="00000003" w:usb1="00000000" w:usb2="00000000" w:usb3="00000000" w:csb0="00000001" w:csb1="00000000"/>
  </w:font>
  <w:font w:name="MS Mincho">
    <w:altName w:val="MS UI Gothic"/>
    <w:panose1 w:val="02020609040205080304"/>
    <w:charset w:val="80"/>
    <w:family w:val="roman"/>
    <w:pitch w:val="default"/>
    <w:sig w:usb0="E00002FF" w:usb1="6AC7FDFB" w:usb2="00000012" w:usb3="00000000" w:csb0="4002009F" w:csb1="DFD70000"/>
  </w:font>
  <w:font w:name="Calibri">
    <w:panose1 w:val="020F0502020204030204"/>
    <w:charset w:val="00"/>
    <w:family w:val="swiss"/>
    <w:pitch w:val="default"/>
    <w:sig w:usb0="E0002EFF" w:usb1="C000247B" w:usb2="00000009" w:usb3="00000000" w:csb0="200001FF" w:csb1="00000000"/>
  </w:font>
  <w:font w:name="Wingdings">
    <w:panose1 w:val="05000000000000000000"/>
    <w:charset w:val="02"/>
    <w:family w:val="auto"/>
    <w:pitch w:val="default"/>
    <w:sig w:usb0="00000000" w:usb1="00000000" w:usb2="00000000" w:usb3="00000000" w:csb0="8000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p>
  <w:p>
    <w:pPr>
      <w:pStyle w:val="Footer"/>
      <w:tabs>
        <w:tab w:val="center" w:pos="4153"/>
        <w:tab w:val="right" w:pos="8306"/>
      </w:tabs>
      <w:rPr>
        <w:rFonts w:hint="eastAsia"/>
      </w:rP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p>
  <w:p>
    <w:pPr>
      <w:pStyle w:val="Footer"/>
      <w:tabs>
        <w:tab w:val="center" w:pos="4153"/>
        <w:tab w:val="right" w:pos="8306"/>
      </w:tabs>
      <w:rPr>
        <w:rFonts w:hint="eastAsia"/>
      </w:rP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1" o:spid="_x0000_s2049" type="#_x0000_t202" style="width:2in;height:2in;margin-top:0;margin-left:0;mso-position-horizontal:center;mso-position-horizontal-relative:margin;mso-wrap-style:none;position:absolute;v-text-anchor:top;z-index:25165824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5</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50" type="#_x0000_t202" style="width:2in;height:2in;margin-top:0;margin-left:0;mso-position-horizontal:center;mso-position-horizontal-relative:margin;mso-wrap-style:none;position:absolute;v-text-anchor:top;z-index:25165926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1" o:spid="_x0000_s2051" type="#_x0000_t202" style="width:2in;height:2in;margin-top:0;margin-left:0;mso-position-horizontal:center;mso-position-horizontal-relative:margin;mso-wrap-style:none;position:absolute;v-text-anchor:top;z-index:25166028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3</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52" type="#_x0000_t202" style="width:2in;height:2in;margin-top:0;margin-left:0;mso-position-horizontal:center;mso-position-horizontal-relative:margin;mso-wrap-style:none;position:absolute;v-text-anchor:top;z-index:25166131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1" o:spid="_x0000_s2053" type="#_x0000_t202" style="width:2in;height:2in;margin-top:0;margin-left:0;mso-position-horizontal:center;mso-position-horizontal-relative:margin;mso-wrap-style:none;position:absolute;v-text-anchor:top;z-index:25166233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3</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54" type="#_x0000_t202" style="width:2in;height:2in;margin-top:0;margin-left:0;mso-position-horizontal:center;mso-position-horizontal-relative:margin;mso-wrap-style:none;position:absolute;v-text-anchor:top;z-index:25166336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1" o:spid="_x0000_s2055" type="#_x0000_t202" style="width:2in;height:2in;margin-top:0;margin-left:0;mso-position-horizontal:center;mso-position-horizontal-relative:margin;mso-wrap-style:none;position:absolute;v-text-anchor:top;z-index:25166438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4</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56" type="#_x0000_t202" style="width:2in;height:2in;margin-top:0;margin-left:0;mso-position-horizontal:center;mso-position-horizontal-relative:margin;mso-wrap-style:none;position:absolute;v-text-anchor:top;z-index:25166540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1" o:spid="_x0000_s2057" type="#_x0000_t202" style="width:2in;height:2in;margin-top:0;margin-left:0;mso-position-horizontal:center;mso-position-horizontal-relative:margin;mso-wrap-style:none;position:absolute;v-text-anchor:top;z-index:25166643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5</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58" type="#_x0000_t202" style="width:2in;height:2in;margin-top:0;margin-left:0;mso-position-horizontal:center;mso-position-horizontal-relative:margin;mso-wrap-style:none;position:absolute;v-text-anchor:top;z-index:25166745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59" type="#_x0000_t202" style="width:2in;height:2in;margin-top:0;margin-left:0;mso-position-horizontal:center;mso-position-horizontal-relative:margin;mso-wrap-style:none;position:absolute;v-text-anchor:top;z-index:25166950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60" type="#_x0000_t202" style="width:2in;height:2in;margin-top:0;margin-left:0;mso-position-horizontal:center;mso-position-horizontal-relative:margin;mso-wrap-style:none;position:absolute;v-text-anchor:top;z-index:25166848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61" type="#_x0000_t202" style="width:2in;height:2in;margin-top:0;margin-left:0;mso-position-horizontal:center;mso-position-horizontal-relative:margin;mso-wrap-style:none;position:absolute;v-text-anchor:top;z-index:25167155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62" type="#_x0000_t202" style="width:2in;height:2in;margin-top:0;margin-left:0;mso-position-horizontal:center;mso-position-horizontal-relative:margin;mso-wrap-style:none;position:absolute;v-text-anchor:top;z-index:25167052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63" type="#_x0000_t202" style="width:2in;height:2in;margin-top:0;margin-left:0;mso-position-horizontal:center;mso-position-horizontal-relative:margin;mso-wrap-style:none;position:absolute;v-text-anchor:top;z-index:25167360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3</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64" type="#_x0000_t202" style="width:2in;height:2in;margin-top:0;margin-left:0;mso-position-horizontal:center;mso-position-horizontal-relative:margin;mso-wrap-style:none;position:absolute;v-text-anchor:top;z-index:25167257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65" type="#_x0000_t202" style="width:2in;height:2in;margin-top:0;margin-left:0;mso-position-horizontal:center;mso-position-horizontal-relative:margin;mso-wrap-style:none;position:absolute;v-text-anchor:top;z-index:25167564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4</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66" type="#_x0000_t202" style="width:2in;height:2in;margin-top:0;margin-left:0;mso-position-horizontal:center;mso-position-horizontal-relative:margin;mso-wrap-style:none;position:absolute;v-text-anchor:top;z-index:25167462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67" type="#_x0000_t202" style="width:2in;height:2in;margin-top:0;margin-left:0;mso-position-horizontal:center;mso-position-horizontal-relative:margin;mso-wrap-style:none;position:absolute;v-text-anchor:top;z-index:25167769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6</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68" type="#_x0000_t202" style="width:2in;height:2in;margin-top:0;margin-left:0;mso-position-horizontal:center;mso-position-horizontal-relative:margin;mso-wrap-style:none;position:absolute;v-text-anchor:top;z-index:25167667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69" type="#_x0000_t202" style="width:2in;height:2in;margin-top:0;margin-left:0;mso-position-horizontal:center;mso-position-horizontal-relative:margin;mso-wrap-style:none;position:absolute;v-text-anchor:top;z-index:25167974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6</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70" type="#_x0000_t202" style="width:2in;height:2in;margin-top:0;margin-left:0;mso-position-horizontal:center;mso-position-horizontal-relative:margin;mso-wrap-style:none;position:absolute;v-text-anchor:top;z-index:25167872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71" type="#_x0000_t202" style="width:2in;height:2in;margin-top:0;margin-left:0;mso-position-horizontal:center;mso-position-horizontal-relative:margin;mso-wrap-style:none;position:absolute;v-text-anchor:top;z-index:25168179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7</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72" type="#_x0000_t202" style="width:2in;height:2in;margin-top:0;margin-left:0;mso-position-horizontal:center;mso-position-horizontal-relative:margin;mso-wrap-style:none;position:absolute;v-text-anchor:top;z-index:25168076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73" type="#_x0000_t202" style="width:2in;height:2in;margin-top:0;margin-left:0;mso-position-horizontal:center;mso-position-horizontal-relative:margin;mso-wrap-style:none;position:absolute;v-text-anchor:top;z-index:25168384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8</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74" type="#_x0000_t202" style="width:2in;height:2in;margin-top:0;margin-left:0;mso-position-horizontal:center;mso-position-horizontal-relative:margin;mso-wrap-style:none;position:absolute;v-text-anchor:top;z-index:25168281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75" type="#_x0000_t202" style="width:2in;height:2in;margin-top:0;margin-left:0;mso-position-horizontal:center;mso-position-horizontal-relative:margin;mso-wrap-style:none;position:absolute;v-text-anchor:top;z-index:25168588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10</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76" type="#_x0000_t202" style="width:2in;height:2in;margin-top:0;margin-left:0;mso-position-horizontal:center;mso-position-horizontal-relative:margin;mso-wrap-style:none;position:absolute;v-text-anchor:top;z-index:25168486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77" type="#_x0000_t202" style="width:2in;height:2in;margin-top:0;margin-left:0;mso-position-horizontal:center;mso-position-horizontal-relative:margin;mso-wrap-style:none;position:absolute;v-text-anchor:top;z-index:25168793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78" type="#_x0000_t202" style="width:2in;height:2in;margin-top:0;margin-left:0;mso-position-horizontal:center;mso-position-horizontal-relative:margin;mso-wrap-style:none;position:absolute;v-text-anchor:top;z-index:25168691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79" type="#_x0000_t202" style="width:2in;height:2in;margin-top:0;margin-left:0;mso-position-horizontal:center;mso-position-horizontal-relative:margin;mso-wrap-style:none;position:absolute;v-text-anchor:top;z-index:25168998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80" type="#_x0000_t202" style="width:2in;height:2in;margin-top:0;margin-left:0;mso-position-horizontal:center;mso-position-horizontal-relative:margin;mso-wrap-style:none;position:absolute;v-text-anchor:top;z-index:25168896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4" o:spid="_x0000_s2081" type="#_x0000_t202" style="width:2in;height:2in;margin-top:0;margin-left:0;mso-position-horizontal:center;mso-position-horizontal-relative:margin;mso-wrap-style:none;position:absolute;v-text-anchor:top;z-index:25169203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12</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82" type="#_x0000_t202" style="width:2in;height:2in;margin-top:0;margin-left:0;mso-position-horizontal:center;mso-position-horizontal-relative:margin;mso-wrap-style:none;position:absolute;v-text-anchor:top;z-index:25169100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4" o:spid="_x0000_s2083" type="#_x0000_t202" style="width:2in;height:2in;margin-top:0;margin-left:0;mso-position-horizontal:center;mso-position-horizontal-relative:margin;mso-wrap-style:none;position:absolute;v-text-anchor:top;z-index:25169408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13</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84" type="#_x0000_t202" style="width:2in;height:2in;margin-top:0;margin-left:0;mso-position-horizontal:center;mso-position-horizontal-relative:margin;mso-wrap-style:none;position:absolute;v-text-anchor:top;z-index:25169305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4" o:spid="_x0000_s2085" type="#_x0000_t202" style="width:2in;height:2in;margin-top:0;margin-left:0;mso-position-horizontal:center;mso-position-horizontal-relative:margin;mso-wrap-style:none;position:absolute;v-text-anchor:top;z-index:25169612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15</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86" type="#_x0000_t202" style="width:2in;height:2in;margin-top:0;margin-left:0;mso-position-horizontal:center;mso-position-horizontal-relative:margin;mso-wrap-style:none;position:absolute;v-text-anchor:top;z-index:25169510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4" o:spid="_x0000_s2087" type="#_x0000_t202" style="width:2in;height:2in;margin-top:0;margin-left:0;mso-position-horizontal:center;mso-position-horizontal-relative:margin;mso-wrap-style:none;position:absolute;v-text-anchor:top;z-index:25169817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15</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88" type="#_x0000_t202" style="width:2in;height:2in;margin-top:0;margin-left:0;mso-position-horizontal:center;mso-position-horizontal-relative:margin;mso-wrap-style:none;position:absolute;v-text-anchor:top;z-index:25169715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4" o:spid="_x0000_s2089" type="#_x0000_t202" style="width:2in;height:2in;margin-top:0;margin-left:0;mso-position-horizontal:center;mso-position-horizontal-relative:margin;mso-wrap-style:none;position:absolute;v-text-anchor:top;z-index:25170022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16</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90" type="#_x0000_t202" style="width:2in;height:2in;margin-top:0;margin-left:0;mso-position-horizontal:center;mso-position-horizontal-relative:margin;mso-wrap-style:none;position:absolute;v-text-anchor:top;z-index:25169920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4" o:spid="_x0000_s2091" type="#_x0000_t202" style="width:2in;height:2in;margin-top:0;margin-left:0;mso-position-horizontal:center;mso-position-horizontal-relative:margin;mso-wrap-style:none;position:absolute;v-text-anchor:top;z-index:25170227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17</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92" type="#_x0000_t202" style="width:2in;height:2in;margin-top:0;margin-left:0;mso-position-horizontal:center;mso-position-horizontal-relative:margin;mso-wrap-style:none;position:absolute;v-text-anchor:top;z-index:25170124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4" o:spid="_x0000_s2093" type="#_x0000_t202" style="width:2in;height:2in;margin-top:0;margin-left:0;mso-position-horizontal:center;mso-position-horizontal-relative:margin;mso-wrap-style:none;position:absolute;v-text-anchor:top;z-index:25170432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18</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94" type="#_x0000_t202" style="width:2in;height:2in;margin-top:0;margin-left:0;mso-position-horizontal:center;mso-position-horizontal-relative:margin;mso-wrap-style:none;position:absolute;v-text-anchor:top;z-index:25170329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095" type="#_x0000_t202" style="width:2in;height:2in;margin-top:0;margin-left:0;mso-position-horizontal:center;mso-position-horizontal-relative:margin;mso-wrap-style:none;position:absolute;v-text-anchor:top;z-index:25170636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19</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96" type="#_x0000_t202" style="width:2in;height:2in;margin-top:0;margin-left:0;mso-position-horizontal:center;mso-position-horizontal-relative:margin;mso-wrap-style:none;position:absolute;v-text-anchor:top;z-index:25170534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097" type="#_x0000_t202" style="width:2in;height:2in;margin-top:0;margin-left:0;mso-position-horizontal:center;mso-position-horizontal-relative:margin;mso-wrap-style:none;position:absolute;v-text-anchor:top;z-index:25170841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20</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98" type="#_x0000_t202" style="width:2in;height:2in;margin-top:0;margin-left:0;mso-position-horizontal:center;mso-position-horizontal-relative:margin;mso-wrap-style:none;position:absolute;v-text-anchor:top;z-index:25170739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099" type="#_x0000_t202" style="width:2in;height:2in;margin-top:0;margin-left:0;mso-position-horizontal:center;mso-position-horizontal-relative:margin;mso-wrap-style:none;position:absolute;v-text-anchor:top;z-index:25171046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100" type="#_x0000_t202" style="width:2in;height:2in;margin-top:0;margin-left:0;mso-position-horizontal:center;mso-position-horizontal-relative:margin;mso-wrap-style:none;position:absolute;v-text-anchor:top;z-index:25170944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101" type="#_x0000_t202" style="width:2in;height:2in;margin-top:0;margin-left:0;mso-position-horizontal:center;mso-position-horizontal-relative:margin;mso-wrap-style:none;position:absolute;v-text-anchor:top;z-index:25171251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22</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102" type="#_x0000_t202" style="width:2in;height:2in;margin-top:0;margin-left:0;mso-position-horizontal:center;mso-position-horizontal-relative:margin;mso-wrap-style:none;position:absolute;v-text-anchor:top;z-index:25171148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103" type="#_x0000_t202" style="width:2in;height:2in;margin-top:0;margin-left:0;mso-position-horizontal:center;mso-position-horizontal-relative:margin;mso-wrap-style:none;position:absolute;v-text-anchor:top;z-index:25171456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23</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104" type="#_x0000_t202" style="width:2in;height:2in;margin-top:0;margin-left:0;mso-position-horizontal:center;mso-position-horizontal-relative:margin;mso-wrap-style:none;position:absolute;v-text-anchor:top;z-index:25171353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105" type="#_x0000_t202" style="width:2in;height:2in;margin-top:0;margin-left:0;mso-position-horizontal:center;mso-position-horizontal-relative:margin;mso-wrap-style:none;position:absolute;v-text-anchor:top;z-index:25171660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24</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6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106" type="#_x0000_t202" style="width:2in;height:2in;margin-top:0;margin-left:0;mso-position-horizontal:center;mso-position-horizontal-relative:margin;mso-wrap-style:none;position:absolute;v-text-anchor:top;z-index:25171558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6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107" type="#_x0000_t202" style="width:2in;height:2in;margin-top:0;margin-left:0;mso-position-horizontal:center;mso-position-horizontal-relative:margin;mso-wrap-style:none;position:absolute;v-text-anchor:top;z-index:25171865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26</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6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108" type="#_x0000_t202" style="width:2in;height:2in;margin-top:0;margin-left:0;mso-position-horizontal:center;mso-position-horizontal-relative:margin;mso-wrap-style:none;position:absolute;v-text-anchor:top;z-index:25171763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6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109" type="#_x0000_t202" style="width:2in;height:2in;margin-top:0;margin-left:0;mso-position-horizontal:center;mso-position-horizontal-relative:margin;mso-wrap-style:none;position:absolute;v-text-anchor:top;z-index:25172070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26</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6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110" type="#_x0000_t202" style="width:2in;height:2in;margin-top:0;margin-left:0;mso-position-horizontal:center;mso-position-horizontal-relative:margin;mso-wrap-style:none;position:absolute;v-text-anchor:top;z-index:25171968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6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111" type="#_x0000_t202" style="width:2in;height:2in;margin-top:0;margin-left:0;mso-position-horizontal:center;mso-position-horizontal-relative:margin;mso-wrap-style:none;position:absolute;v-text-anchor:top;z-index:25172275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27</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6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112" type="#_x0000_t202" style="width:2in;height:2in;margin-top:0;margin-left:0;mso-position-horizontal:center;mso-position-horizontal-relative:margin;mso-wrap-style:none;position:absolute;v-text-anchor:top;z-index:25172172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6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113" type="#_x0000_t202" style="width:2in;height:2in;margin-top:0;margin-left:0;mso-position-horizontal:center;mso-position-horizontal-relative:margin;mso-wrap-style:none;position:absolute;v-text-anchor:top;z-index:25172480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28</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6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114" type="#_x0000_t202" style="width:2in;height:2in;margin-top:0;margin-left:0;mso-position-horizontal:center;mso-position-horizontal-relative:margin;mso-wrap-style:none;position:absolute;v-text-anchor:top;z-index:25172377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6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115" type="#_x0000_t202" style="width:2in;height:2in;margin-top:0;margin-left:0;mso-position-horizontal:center;mso-position-horizontal-relative:margin;mso-wrap-style:none;position:absolute;v-text-anchor:top;z-index:25172684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29</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7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116" type="#_x0000_t202" style="width:2in;height:2in;margin-top:0;margin-left:0;mso-position-horizontal:center;mso-position-horizontal-relative:margin;mso-wrap-style:none;position:absolute;v-text-anchor:top;z-index:25172582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7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117" type="#_x0000_t202" style="width:2in;height:2in;margin-top:0;margin-left:0;mso-position-horizontal:center;mso-position-horizontal-relative:margin;mso-wrap-style:none;position:absolute;v-text-anchor:top;z-index:25172889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30</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7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118" type="#_x0000_t202" style="width:2in;height:2in;margin-top:0;margin-left:0;mso-position-horizontal:center;mso-position-horizontal-relative:margin;mso-wrap-style:none;position:absolute;v-text-anchor:top;z-index:25172787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7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119" type="#_x0000_t202" style="width:2in;height:2in;margin-top:0;margin-left:0;mso-position-horizontal:center;mso-position-horizontal-relative:margin;mso-wrap-style:none;position:absolute;v-text-anchor:top;z-index:25173094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31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7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120" type="#_x0000_t202" style="width:2in;height:2in;margin-top:0;margin-left:0;mso-position-horizontal:center;mso-position-horizontal-relative:margin;mso-wrap-style:none;position:absolute;v-text-anchor:top;z-index:25172992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r>
      <w:rPr>
        <w:rFonts w:hint="eastAsia"/>
      </w:rPr>
      <w:t xml:space="preserve">                                </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r>
      <w:rPr>
        <w:rFonts w:hint="eastAsia"/>
      </w:rPr>
      <w:t xml:space="preserve">                                </w:t>
    </w: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r>
      <w:rPr>
        <w:rFonts w:hint="eastAsia"/>
      </w:rPr>
      <w:t xml:space="preserve">                                </w:t>
    </w:r>
  </w:p>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r>
      <w:rPr>
        <w:rFonts w:hint="eastAsia"/>
      </w:rPr>
      <w:t xml:space="preserve">                                </w:t>
    </w:r>
  </w:p>
</w:hdr>
</file>

<file path=word/header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r>
      <w:rPr>
        <w:rFonts w:hint="eastAsia"/>
      </w:rPr>
      <w:t xml:space="preserve">                                </w:t>
    </w:r>
  </w:p>
</w:hdr>
</file>

<file path=word/header1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1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r>
      <w:rPr>
        <w:rFonts w:hint="eastAsia"/>
      </w:rPr>
      <w:t xml:space="preserve">                                </w:t>
    </w:r>
  </w:p>
</w:hdr>
</file>

<file path=word/header1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1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1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1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1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1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1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1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2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2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2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2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2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2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2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2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2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2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3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3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3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3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3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3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3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3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3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3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4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4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4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4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4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4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4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4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4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4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5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5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5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5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5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5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5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5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5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5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6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6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6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6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6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6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6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6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6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6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7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7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7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7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7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23"/>
    <w:multiLevelType w:val="multilevel"/>
    <w:tmpl w:val="00000023"/>
    <w:lvl w:ilvl="0">
      <w:start w:val="1"/>
      <w:numFmt w:val="bullet"/>
      <w:lvlText w:val=""/>
      <w:lvlJc w:val="left"/>
      <w:pPr>
        <w:tabs>
          <w:tab w:val="num" w:pos="940"/>
        </w:tabs>
        <w:ind w:left="940" w:hanging="420"/>
      </w:pPr>
      <w:rPr>
        <w:rFonts w:ascii="Wingdings" w:hAnsi="Wingdings" w:hint="default"/>
      </w:rPr>
    </w:lvl>
    <w:lvl w:ilvl="1">
      <w:start w:val="1"/>
      <w:numFmt w:val="bullet"/>
      <w:lvlText w:val=""/>
      <w:lvlJc w:val="left"/>
      <w:pPr>
        <w:tabs>
          <w:tab w:val="num" w:pos="1360"/>
        </w:tabs>
        <w:ind w:left="1360" w:hanging="420"/>
      </w:pPr>
      <w:rPr>
        <w:rFonts w:ascii="Wingdings" w:hAnsi="Wingdings" w:hint="default"/>
      </w:rPr>
    </w:lvl>
    <w:lvl w:ilvl="2">
      <w:start w:val="1"/>
      <w:numFmt w:val="bullet"/>
      <w:lvlText w:val=""/>
      <w:lvlJc w:val="left"/>
      <w:pPr>
        <w:tabs>
          <w:tab w:val="num" w:pos="1780"/>
        </w:tabs>
        <w:ind w:left="1780" w:hanging="420"/>
      </w:pPr>
      <w:rPr>
        <w:rFonts w:ascii="Wingdings" w:hAnsi="Wingdings" w:hint="default"/>
      </w:rPr>
    </w:lvl>
    <w:lvl w:ilvl="3">
      <w:start w:val="1"/>
      <w:numFmt w:val="bullet"/>
      <w:lvlText w:val=""/>
      <w:lvlJc w:val="left"/>
      <w:pPr>
        <w:tabs>
          <w:tab w:val="num" w:pos="2200"/>
        </w:tabs>
        <w:ind w:left="2200" w:hanging="420"/>
      </w:pPr>
      <w:rPr>
        <w:rFonts w:ascii="Wingdings" w:hAnsi="Wingdings" w:hint="default"/>
      </w:rPr>
    </w:lvl>
    <w:lvl w:ilvl="4">
      <w:start w:val="1"/>
      <w:numFmt w:val="bullet"/>
      <w:lvlText w:val=""/>
      <w:lvlJc w:val="left"/>
      <w:pPr>
        <w:tabs>
          <w:tab w:val="num" w:pos="2620"/>
        </w:tabs>
        <w:ind w:left="2620" w:hanging="420"/>
      </w:pPr>
      <w:rPr>
        <w:rFonts w:ascii="Wingdings" w:hAnsi="Wingdings" w:hint="default"/>
      </w:rPr>
    </w:lvl>
    <w:lvl w:ilvl="5">
      <w:start w:val="1"/>
      <w:numFmt w:val="bullet"/>
      <w:lvlText w:val=""/>
      <w:lvlJc w:val="left"/>
      <w:pPr>
        <w:tabs>
          <w:tab w:val="num" w:pos="3040"/>
        </w:tabs>
        <w:ind w:left="3040" w:hanging="420"/>
      </w:pPr>
      <w:rPr>
        <w:rFonts w:ascii="Wingdings" w:hAnsi="Wingdings" w:hint="default"/>
      </w:rPr>
    </w:lvl>
    <w:lvl w:ilvl="6">
      <w:start w:val="1"/>
      <w:numFmt w:val="bullet"/>
      <w:lvlText w:val=""/>
      <w:lvlJc w:val="left"/>
      <w:pPr>
        <w:tabs>
          <w:tab w:val="num" w:pos="3460"/>
        </w:tabs>
        <w:ind w:left="3460" w:hanging="420"/>
      </w:pPr>
      <w:rPr>
        <w:rFonts w:ascii="Wingdings" w:hAnsi="Wingdings" w:hint="default"/>
      </w:rPr>
    </w:lvl>
    <w:lvl w:ilvl="7">
      <w:start w:val="1"/>
      <w:numFmt w:val="bullet"/>
      <w:lvlText w:val=""/>
      <w:lvlJc w:val="left"/>
      <w:pPr>
        <w:tabs>
          <w:tab w:val="num" w:pos="3880"/>
        </w:tabs>
        <w:ind w:left="3880" w:hanging="420"/>
      </w:pPr>
      <w:rPr>
        <w:rFonts w:ascii="Wingdings" w:hAnsi="Wingdings" w:hint="default"/>
      </w:rPr>
    </w:lvl>
    <w:lvl w:ilvl="8">
      <w:start w:val="1"/>
      <w:numFmt w:val="bullet"/>
      <w:lvlText w:val=""/>
      <w:lvlJc w:val="left"/>
      <w:pPr>
        <w:tabs>
          <w:tab w:val="num" w:pos="4300"/>
        </w:tabs>
        <w:ind w:left="4300" w:hanging="420"/>
      </w:pPr>
      <w:rPr>
        <w:rFonts w:ascii="Wingdings" w:hAnsi="Wingdings" w:hint="default"/>
      </w:rPr>
    </w:lvl>
  </w:abstractNum>
  <w:abstractNum w:abstractNumId="1">
    <w:nsid w:val="23A3556D"/>
    <w:multiLevelType w:val="multilevel"/>
    <w:tmpl w:val="23A3556D"/>
    <w:lvl w:ilvl="0">
      <w:start w:val="1"/>
      <w:numFmt w:val="decimal"/>
      <w:lvlText w:val="%1."/>
      <w:lvlJc w:val="left"/>
      <w:pPr>
        <w:tabs>
          <w:tab w:val="num" w:pos="940"/>
        </w:tabs>
        <w:ind w:left="940" w:hanging="420"/>
      </w:pPr>
    </w:lvl>
    <w:lvl w:ilvl="1">
      <w:start w:val="1"/>
      <w:numFmt w:val="lowerLetter"/>
      <w:lvlText w:val="%2)"/>
      <w:lvlJc w:val="left"/>
      <w:pPr>
        <w:tabs>
          <w:tab w:val="num" w:pos="1360"/>
        </w:tabs>
        <w:ind w:left="1360" w:hanging="420"/>
      </w:pPr>
    </w:lvl>
    <w:lvl w:ilvl="2">
      <w:start w:val="1"/>
      <w:numFmt w:val="lowerRoman"/>
      <w:lvlText w:val="%3."/>
      <w:lvlJc w:val="right"/>
      <w:pPr>
        <w:tabs>
          <w:tab w:val="num" w:pos="1780"/>
        </w:tabs>
        <w:ind w:left="1780" w:hanging="420"/>
      </w:pPr>
    </w:lvl>
    <w:lvl w:ilvl="3">
      <w:start w:val="1"/>
      <w:numFmt w:val="decimal"/>
      <w:lvlText w:val="%4."/>
      <w:lvlJc w:val="left"/>
      <w:pPr>
        <w:tabs>
          <w:tab w:val="num" w:pos="2200"/>
        </w:tabs>
        <w:ind w:left="2200" w:hanging="420"/>
      </w:pPr>
    </w:lvl>
    <w:lvl w:ilvl="4">
      <w:start w:val="1"/>
      <w:numFmt w:val="lowerLetter"/>
      <w:lvlText w:val="%5)"/>
      <w:lvlJc w:val="left"/>
      <w:pPr>
        <w:tabs>
          <w:tab w:val="num" w:pos="2620"/>
        </w:tabs>
        <w:ind w:left="2620" w:hanging="420"/>
      </w:pPr>
    </w:lvl>
    <w:lvl w:ilvl="5">
      <w:start w:val="1"/>
      <w:numFmt w:val="lowerRoman"/>
      <w:lvlText w:val="%6."/>
      <w:lvlJc w:val="right"/>
      <w:pPr>
        <w:tabs>
          <w:tab w:val="num" w:pos="3040"/>
        </w:tabs>
        <w:ind w:left="3040" w:hanging="420"/>
      </w:pPr>
    </w:lvl>
    <w:lvl w:ilvl="6">
      <w:start w:val="1"/>
      <w:numFmt w:val="decimal"/>
      <w:lvlText w:val="%7."/>
      <w:lvlJc w:val="left"/>
      <w:pPr>
        <w:tabs>
          <w:tab w:val="num" w:pos="3460"/>
        </w:tabs>
        <w:ind w:left="3460" w:hanging="420"/>
      </w:pPr>
    </w:lvl>
    <w:lvl w:ilvl="7">
      <w:start w:val="1"/>
      <w:numFmt w:val="lowerLetter"/>
      <w:lvlText w:val="%8)"/>
      <w:lvlJc w:val="left"/>
      <w:pPr>
        <w:tabs>
          <w:tab w:val="num" w:pos="3880"/>
        </w:tabs>
        <w:ind w:left="3880" w:hanging="420"/>
      </w:pPr>
    </w:lvl>
    <w:lvl w:ilvl="8">
      <w:start w:val="1"/>
      <w:numFmt w:val="lowerRoman"/>
      <w:lvlText w:val="%9."/>
      <w:lvlJc w:val="right"/>
      <w:pPr>
        <w:tabs>
          <w:tab w:val="num" w:pos="4300"/>
        </w:tabs>
        <w:ind w:left="4300" w:hanging="420"/>
      </w:pPr>
    </w:lvl>
  </w:abstractNum>
  <w:abstractNum w:abstractNumId="2">
    <w:nsid w:val="31460997"/>
    <w:multiLevelType w:val="multilevel"/>
    <w:tmpl w:val="31460997"/>
    <w:lvl w:ilvl="0">
      <w:start w:val="1"/>
      <w:numFmt w:val="bullet"/>
      <w:lvlText w:val=""/>
      <w:lvlJc w:val="left"/>
      <w:pPr>
        <w:tabs>
          <w:tab w:val="num" w:pos="940"/>
        </w:tabs>
        <w:ind w:left="940" w:hanging="420"/>
      </w:pPr>
      <w:rPr>
        <w:rFonts w:ascii="Wingdings" w:hAnsi="Wingdings" w:hint="default"/>
      </w:rPr>
    </w:lvl>
    <w:lvl w:ilvl="1">
      <w:start w:val="1"/>
      <w:numFmt w:val="bullet"/>
      <w:lvlText w:val=""/>
      <w:lvlJc w:val="left"/>
      <w:pPr>
        <w:tabs>
          <w:tab w:val="num" w:pos="1360"/>
        </w:tabs>
        <w:ind w:left="1360" w:hanging="420"/>
      </w:pPr>
      <w:rPr>
        <w:rFonts w:ascii="Wingdings" w:hAnsi="Wingdings" w:hint="default"/>
      </w:rPr>
    </w:lvl>
    <w:lvl w:ilvl="2">
      <w:start w:val="1"/>
      <w:numFmt w:val="bullet"/>
      <w:lvlText w:val=""/>
      <w:lvlJc w:val="left"/>
      <w:pPr>
        <w:tabs>
          <w:tab w:val="num" w:pos="1780"/>
        </w:tabs>
        <w:ind w:left="1780" w:hanging="420"/>
      </w:pPr>
      <w:rPr>
        <w:rFonts w:ascii="Wingdings" w:hAnsi="Wingdings" w:hint="default"/>
      </w:rPr>
    </w:lvl>
    <w:lvl w:ilvl="3">
      <w:start w:val="1"/>
      <w:numFmt w:val="bullet"/>
      <w:lvlText w:val=""/>
      <w:lvlJc w:val="left"/>
      <w:pPr>
        <w:tabs>
          <w:tab w:val="num" w:pos="2200"/>
        </w:tabs>
        <w:ind w:left="2200" w:hanging="420"/>
      </w:pPr>
      <w:rPr>
        <w:rFonts w:ascii="Wingdings" w:hAnsi="Wingdings" w:hint="default"/>
      </w:rPr>
    </w:lvl>
    <w:lvl w:ilvl="4">
      <w:start w:val="1"/>
      <w:numFmt w:val="bullet"/>
      <w:lvlText w:val=""/>
      <w:lvlJc w:val="left"/>
      <w:pPr>
        <w:tabs>
          <w:tab w:val="num" w:pos="2620"/>
        </w:tabs>
        <w:ind w:left="2620" w:hanging="420"/>
      </w:pPr>
      <w:rPr>
        <w:rFonts w:ascii="Wingdings" w:hAnsi="Wingdings" w:hint="default"/>
      </w:rPr>
    </w:lvl>
    <w:lvl w:ilvl="5">
      <w:start w:val="1"/>
      <w:numFmt w:val="bullet"/>
      <w:lvlText w:val=""/>
      <w:lvlJc w:val="left"/>
      <w:pPr>
        <w:tabs>
          <w:tab w:val="num" w:pos="3040"/>
        </w:tabs>
        <w:ind w:left="3040" w:hanging="420"/>
      </w:pPr>
      <w:rPr>
        <w:rFonts w:ascii="Wingdings" w:hAnsi="Wingdings" w:hint="default"/>
      </w:rPr>
    </w:lvl>
    <w:lvl w:ilvl="6">
      <w:start w:val="1"/>
      <w:numFmt w:val="bullet"/>
      <w:lvlText w:val=""/>
      <w:lvlJc w:val="left"/>
      <w:pPr>
        <w:tabs>
          <w:tab w:val="num" w:pos="3460"/>
        </w:tabs>
        <w:ind w:left="3460" w:hanging="420"/>
      </w:pPr>
      <w:rPr>
        <w:rFonts w:ascii="Wingdings" w:hAnsi="Wingdings" w:hint="default"/>
      </w:rPr>
    </w:lvl>
    <w:lvl w:ilvl="7">
      <w:start w:val="1"/>
      <w:numFmt w:val="bullet"/>
      <w:lvlText w:val=""/>
      <w:lvlJc w:val="left"/>
      <w:pPr>
        <w:tabs>
          <w:tab w:val="num" w:pos="3880"/>
        </w:tabs>
        <w:ind w:left="3880" w:hanging="420"/>
      </w:pPr>
      <w:rPr>
        <w:rFonts w:ascii="Wingdings" w:hAnsi="Wingdings" w:hint="default"/>
      </w:rPr>
    </w:lvl>
    <w:lvl w:ilvl="8">
      <w:start w:val="1"/>
      <w:numFmt w:val="bullet"/>
      <w:lvlText w:val=""/>
      <w:lvlJc w:val="left"/>
      <w:pPr>
        <w:tabs>
          <w:tab w:val="num" w:pos="4300"/>
        </w:tabs>
        <w:ind w:left="4300" w:hanging="420"/>
      </w:pPr>
      <w:rPr>
        <w:rFonts w:ascii="Wingdings" w:hAnsi="Wingdings" w:hint="default"/>
      </w:rPr>
    </w:lvl>
  </w:abstractNum>
  <w:abstractNum w:abstractNumId="3">
    <w:nsid w:val="4FF131EE"/>
    <w:multiLevelType w:val="multilevel"/>
    <w:tmpl w:val="23A3556D"/>
    <w:lvl w:ilvl="0">
      <w:start w:val="1"/>
      <w:numFmt w:val="decimal"/>
      <w:lvlText w:val="%1."/>
      <w:lvlJc w:val="left"/>
      <w:pPr>
        <w:tabs>
          <w:tab w:val="num" w:pos="940"/>
        </w:tabs>
        <w:ind w:left="940" w:hanging="420"/>
      </w:pPr>
    </w:lvl>
    <w:lvl w:ilvl="1">
      <w:start w:val="1"/>
      <w:numFmt w:val="lowerLetter"/>
      <w:lvlText w:val="%2)"/>
      <w:lvlJc w:val="left"/>
      <w:pPr>
        <w:tabs>
          <w:tab w:val="num" w:pos="1360"/>
        </w:tabs>
        <w:ind w:left="1360" w:hanging="420"/>
      </w:pPr>
    </w:lvl>
    <w:lvl w:ilvl="2">
      <w:start w:val="1"/>
      <w:numFmt w:val="lowerRoman"/>
      <w:lvlText w:val="%3."/>
      <w:lvlJc w:val="right"/>
      <w:pPr>
        <w:tabs>
          <w:tab w:val="num" w:pos="1780"/>
        </w:tabs>
        <w:ind w:left="1780" w:hanging="420"/>
      </w:pPr>
    </w:lvl>
    <w:lvl w:ilvl="3">
      <w:start w:val="1"/>
      <w:numFmt w:val="decimal"/>
      <w:lvlText w:val="%4."/>
      <w:lvlJc w:val="left"/>
      <w:pPr>
        <w:tabs>
          <w:tab w:val="num" w:pos="2200"/>
        </w:tabs>
        <w:ind w:left="2200" w:hanging="420"/>
      </w:pPr>
    </w:lvl>
    <w:lvl w:ilvl="4">
      <w:start w:val="1"/>
      <w:numFmt w:val="lowerLetter"/>
      <w:lvlText w:val="%5)"/>
      <w:lvlJc w:val="left"/>
      <w:pPr>
        <w:tabs>
          <w:tab w:val="num" w:pos="2620"/>
        </w:tabs>
        <w:ind w:left="2620" w:hanging="420"/>
      </w:pPr>
    </w:lvl>
    <w:lvl w:ilvl="5">
      <w:start w:val="1"/>
      <w:numFmt w:val="lowerRoman"/>
      <w:lvlText w:val="%6."/>
      <w:lvlJc w:val="right"/>
      <w:pPr>
        <w:tabs>
          <w:tab w:val="num" w:pos="3040"/>
        </w:tabs>
        <w:ind w:left="3040" w:hanging="420"/>
      </w:pPr>
    </w:lvl>
    <w:lvl w:ilvl="6">
      <w:start w:val="1"/>
      <w:numFmt w:val="decimal"/>
      <w:lvlText w:val="%7."/>
      <w:lvlJc w:val="left"/>
      <w:pPr>
        <w:tabs>
          <w:tab w:val="num" w:pos="3460"/>
        </w:tabs>
        <w:ind w:left="3460" w:hanging="420"/>
      </w:pPr>
    </w:lvl>
    <w:lvl w:ilvl="7">
      <w:start w:val="1"/>
      <w:numFmt w:val="lowerLetter"/>
      <w:lvlText w:val="%8)"/>
      <w:lvlJc w:val="left"/>
      <w:pPr>
        <w:tabs>
          <w:tab w:val="num" w:pos="3880"/>
        </w:tabs>
        <w:ind w:left="3880" w:hanging="420"/>
      </w:pPr>
    </w:lvl>
    <w:lvl w:ilvl="8">
      <w:start w:val="1"/>
      <w:numFmt w:val="lowerRoman"/>
      <w:lvlText w:val="%9."/>
      <w:lvlJc w:val="right"/>
      <w:pPr>
        <w:tabs>
          <w:tab w:val="num" w:pos="4300"/>
        </w:tabs>
        <w:ind w:left="4300" w:hanging="420"/>
      </w:pPr>
    </w:lvl>
  </w:abstractNum>
  <w:num w:numId="1">
    <w:abstractNumId w:val="1"/>
  </w:num>
  <w:num w:numId="2">
    <w:abstractNumId w:val="2"/>
  </w:num>
  <w:num w:numId="3">
    <w:abstractNumId w:val="0"/>
  </w:num>
  <w:num w:numId="4">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4"/>
  <w:stylePaneFormatFilter w:val="3F01"/>
  <w:defaultTabStop w:val="420"/>
  <w:drawingGridVerticalSpacing w:val="156"/>
  <w:noPunctuationKerning/>
  <w:characterSpacingControl w:val="compressPunctuation"/>
  <w:noLineBreaksAfter w:lang="en-US" w:val="([{·‘“〈《「『【〔〖（．［｛￡￥"/>
  <w:noLineBreaksBefore w:lang="en-US" w:val="!),.:;?]}¨·ˇˉ―‖’”…∶、。〃々〉》」』】〕〗！＂＇），．：；？］｀｜｝～￠"/>
  <w:endnotePr>
    <w:numFmt w:val="decimal"/>
  </w:endnotePr>
  <w:compat>
    <w:spaceForUL/>
    <w:balanceSingleByteDoubleByteWidth/>
    <w:doNotLeaveBackslashAlone/>
    <w:ulTrailSpace/>
    <w:doNotExpandShiftReturn/>
    <w:adjustLineHeightInTable/>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3C453A"/>
    <w:rsid w:val="000001C9"/>
    <w:rsid w:val="00005580"/>
    <w:rsid w:val="00007245"/>
    <w:rsid w:val="00007C53"/>
    <w:rsid w:val="0001170F"/>
    <w:rsid w:val="000134FE"/>
    <w:rsid w:val="00013CCD"/>
    <w:rsid w:val="000148AE"/>
    <w:rsid w:val="00015099"/>
    <w:rsid w:val="00015281"/>
    <w:rsid w:val="00017ECC"/>
    <w:rsid w:val="0002121C"/>
    <w:rsid w:val="000224BB"/>
    <w:rsid w:val="0002256C"/>
    <w:rsid w:val="00027E27"/>
    <w:rsid w:val="0003017C"/>
    <w:rsid w:val="000318A5"/>
    <w:rsid w:val="0003216C"/>
    <w:rsid w:val="00033103"/>
    <w:rsid w:val="00034C9B"/>
    <w:rsid w:val="000369FD"/>
    <w:rsid w:val="0003704F"/>
    <w:rsid w:val="000413C0"/>
    <w:rsid w:val="000461A2"/>
    <w:rsid w:val="000505DB"/>
    <w:rsid w:val="0005138A"/>
    <w:rsid w:val="000535E6"/>
    <w:rsid w:val="000606BD"/>
    <w:rsid w:val="00063F44"/>
    <w:rsid w:val="000657C9"/>
    <w:rsid w:val="00065AF5"/>
    <w:rsid w:val="00067AE9"/>
    <w:rsid w:val="00071185"/>
    <w:rsid w:val="00073D66"/>
    <w:rsid w:val="00075148"/>
    <w:rsid w:val="0007527E"/>
    <w:rsid w:val="000764E1"/>
    <w:rsid w:val="00077861"/>
    <w:rsid w:val="00080FEB"/>
    <w:rsid w:val="00082EF1"/>
    <w:rsid w:val="000854FD"/>
    <w:rsid w:val="000865C2"/>
    <w:rsid w:val="00087705"/>
    <w:rsid w:val="00092FE5"/>
    <w:rsid w:val="00093947"/>
    <w:rsid w:val="00094BD1"/>
    <w:rsid w:val="000A0964"/>
    <w:rsid w:val="000A1149"/>
    <w:rsid w:val="000A1F7A"/>
    <w:rsid w:val="000A2741"/>
    <w:rsid w:val="000A2CBE"/>
    <w:rsid w:val="000A344E"/>
    <w:rsid w:val="000A6ED3"/>
    <w:rsid w:val="000B4023"/>
    <w:rsid w:val="000B4456"/>
    <w:rsid w:val="000B5D43"/>
    <w:rsid w:val="000B5FFC"/>
    <w:rsid w:val="000B75A9"/>
    <w:rsid w:val="000C03AF"/>
    <w:rsid w:val="000C0479"/>
    <w:rsid w:val="000C09D1"/>
    <w:rsid w:val="000C1BD7"/>
    <w:rsid w:val="000C24B5"/>
    <w:rsid w:val="000C7DD0"/>
    <w:rsid w:val="000D1608"/>
    <w:rsid w:val="000D1BAE"/>
    <w:rsid w:val="000D33F6"/>
    <w:rsid w:val="000D33FA"/>
    <w:rsid w:val="000D37E2"/>
    <w:rsid w:val="000D5985"/>
    <w:rsid w:val="000E0AB9"/>
    <w:rsid w:val="000E1665"/>
    <w:rsid w:val="000E231E"/>
    <w:rsid w:val="000E2C3A"/>
    <w:rsid w:val="000E7558"/>
    <w:rsid w:val="000F04BF"/>
    <w:rsid w:val="000F224D"/>
    <w:rsid w:val="000F30B5"/>
    <w:rsid w:val="000F3A9C"/>
    <w:rsid w:val="000F5DFE"/>
    <w:rsid w:val="00100806"/>
    <w:rsid w:val="001009C6"/>
    <w:rsid w:val="00100FC9"/>
    <w:rsid w:val="00101616"/>
    <w:rsid w:val="00101F08"/>
    <w:rsid w:val="00101F40"/>
    <w:rsid w:val="00102A6B"/>
    <w:rsid w:val="00102F6C"/>
    <w:rsid w:val="00106F8E"/>
    <w:rsid w:val="0010709E"/>
    <w:rsid w:val="00110D3E"/>
    <w:rsid w:val="00111DE8"/>
    <w:rsid w:val="00111E3D"/>
    <w:rsid w:val="001148F1"/>
    <w:rsid w:val="00115D71"/>
    <w:rsid w:val="001162E8"/>
    <w:rsid w:val="00117171"/>
    <w:rsid w:val="00117660"/>
    <w:rsid w:val="001210E6"/>
    <w:rsid w:val="0012192B"/>
    <w:rsid w:val="00124B6D"/>
    <w:rsid w:val="00125C8C"/>
    <w:rsid w:val="00125FD3"/>
    <w:rsid w:val="00126805"/>
    <w:rsid w:val="00126CD1"/>
    <w:rsid w:val="00127C25"/>
    <w:rsid w:val="00133C8A"/>
    <w:rsid w:val="00134B3F"/>
    <w:rsid w:val="001352A4"/>
    <w:rsid w:val="00136512"/>
    <w:rsid w:val="001414A9"/>
    <w:rsid w:val="001455E1"/>
    <w:rsid w:val="00146593"/>
    <w:rsid w:val="00146DB1"/>
    <w:rsid w:val="00146FFE"/>
    <w:rsid w:val="00150BA2"/>
    <w:rsid w:val="00150D0C"/>
    <w:rsid w:val="001517BF"/>
    <w:rsid w:val="00151AE6"/>
    <w:rsid w:val="00152E0B"/>
    <w:rsid w:val="00152FF7"/>
    <w:rsid w:val="00153378"/>
    <w:rsid w:val="001536B7"/>
    <w:rsid w:val="00153B6D"/>
    <w:rsid w:val="0015420C"/>
    <w:rsid w:val="001545B6"/>
    <w:rsid w:val="00155B75"/>
    <w:rsid w:val="001560EE"/>
    <w:rsid w:val="0015765F"/>
    <w:rsid w:val="00157FAC"/>
    <w:rsid w:val="0016080E"/>
    <w:rsid w:val="00161D7A"/>
    <w:rsid w:val="001629A2"/>
    <w:rsid w:val="00164727"/>
    <w:rsid w:val="0016472D"/>
    <w:rsid w:val="001651DE"/>
    <w:rsid w:val="00165A92"/>
    <w:rsid w:val="00170245"/>
    <w:rsid w:val="0017053D"/>
    <w:rsid w:val="00170C02"/>
    <w:rsid w:val="00171AD9"/>
    <w:rsid w:val="00172779"/>
    <w:rsid w:val="00174516"/>
    <w:rsid w:val="0017726A"/>
    <w:rsid w:val="001805E4"/>
    <w:rsid w:val="00180985"/>
    <w:rsid w:val="001811CB"/>
    <w:rsid w:val="0018210C"/>
    <w:rsid w:val="00182989"/>
    <w:rsid w:val="001838EB"/>
    <w:rsid w:val="001876FF"/>
    <w:rsid w:val="00190899"/>
    <w:rsid w:val="0019115B"/>
    <w:rsid w:val="001911CF"/>
    <w:rsid w:val="0019164A"/>
    <w:rsid w:val="00194D48"/>
    <w:rsid w:val="0019642D"/>
    <w:rsid w:val="0019714C"/>
    <w:rsid w:val="001A580F"/>
    <w:rsid w:val="001A6D27"/>
    <w:rsid w:val="001A6D9D"/>
    <w:rsid w:val="001B0297"/>
    <w:rsid w:val="001B3BFD"/>
    <w:rsid w:val="001B3ECC"/>
    <w:rsid w:val="001B60DC"/>
    <w:rsid w:val="001B661F"/>
    <w:rsid w:val="001B7AF4"/>
    <w:rsid w:val="001C0E8C"/>
    <w:rsid w:val="001C4654"/>
    <w:rsid w:val="001C6C70"/>
    <w:rsid w:val="001D0D39"/>
    <w:rsid w:val="001D25AE"/>
    <w:rsid w:val="001D2774"/>
    <w:rsid w:val="001D3346"/>
    <w:rsid w:val="001D4FB2"/>
    <w:rsid w:val="001D545D"/>
    <w:rsid w:val="001D57C1"/>
    <w:rsid w:val="001D589D"/>
    <w:rsid w:val="001D6511"/>
    <w:rsid w:val="001D684D"/>
    <w:rsid w:val="001D6BE3"/>
    <w:rsid w:val="001D71D5"/>
    <w:rsid w:val="001E3D34"/>
    <w:rsid w:val="001E4469"/>
    <w:rsid w:val="001E6127"/>
    <w:rsid w:val="001E62B6"/>
    <w:rsid w:val="001E719A"/>
    <w:rsid w:val="001E71F6"/>
    <w:rsid w:val="001F0899"/>
    <w:rsid w:val="001F0CCF"/>
    <w:rsid w:val="001F0DAB"/>
    <w:rsid w:val="001F24F8"/>
    <w:rsid w:val="001F267B"/>
    <w:rsid w:val="001F30FF"/>
    <w:rsid w:val="001F5A94"/>
    <w:rsid w:val="001F5C54"/>
    <w:rsid w:val="001F5CA9"/>
    <w:rsid w:val="00201561"/>
    <w:rsid w:val="00201924"/>
    <w:rsid w:val="00203446"/>
    <w:rsid w:val="002035AA"/>
    <w:rsid w:val="00210152"/>
    <w:rsid w:val="0021370A"/>
    <w:rsid w:val="00214911"/>
    <w:rsid w:val="002156EC"/>
    <w:rsid w:val="00215C4E"/>
    <w:rsid w:val="00216429"/>
    <w:rsid w:val="00217764"/>
    <w:rsid w:val="00223ECC"/>
    <w:rsid w:val="002244C7"/>
    <w:rsid w:val="0022473F"/>
    <w:rsid w:val="002257E1"/>
    <w:rsid w:val="00225D51"/>
    <w:rsid w:val="00226027"/>
    <w:rsid w:val="002262F9"/>
    <w:rsid w:val="00226F23"/>
    <w:rsid w:val="0022723D"/>
    <w:rsid w:val="00227BAB"/>
    <w:rsid w:val="00231812"/>
    <w:rsid w:val="00231D2B"/>
    <w:rsid w:val="00231E89"/>
    <w:rsid w:val="002337C6"/>
    <w:rsid w:val="00237E3F"/>
    <w:rsid w:val="002400B2"/>
    <w:rsid w:val="00240828"/>
    <w:rsid w:val="00241937"/>
    <w:rsid w:val="002442B9"/>
    <w:rsid w:val="00244C1E"/>
    <w:rsid w:val="002466E9"/>
    <w:rsid w:val="00247717"/>
    <w:rsid w:val="00250032"/>
    <w:rsid w:val="002501D5"/>
    <w:rsid w:val="00250205"/>
    <w:rsid w:val="00250946"/>
    <w:rsid w:val="0025102C"/>
    <w:rsid w:val="00252CD5"/>
    <w:rsid w:val="00254E02"/>
    <w:rsid w:val="00255A59"/>
    <w:rsid w:val="00256AB0"/>
    <w:rsid w:val="00257642"/>
    <w:rsid w:val="00257B09"/>
    <w:rsid w:val="00257DC1"/>
    <w:rsid w:val="00260457"/>
    <w:rsid w:val="002608BF"/>
    <w:rsid w:val="002632A5"/>
    <w:rsid w:val="00263E9A"/>
    <w:rsid w:val="00264902"/>
    <w:rsid w:val="00265540"/>
    <w:rsid w:val="00266015"/>
    <w:rsid w:val="00266A14"/>
    <w:rsid w:val="002715CB"/>
    <w:rsid w:val="00273450"/>
    <w:rsid w:val="0027451A"/>
    <w:rsid w:val="0027520B"/>
    <w:rsid w:val="00275230"/>
    <w:rsid w:val="0027653B"/>
    <w:rsid w:val="00277EA2"/>
    <w:rsid w:val="002800C8"/>
    <w:rsid w:val="00281E24"/>
    <w:rsid w:val="00282DB7"/>
    <w:rsid w:val="00283B95"/>
    <w:rsid w:val="00283F56"/>
    <w:rsid w:val="00283F80"/>
    <w:rsid w:val="00284282"/>
    <w:rsid w:val="00284C50"/>
    <w:rsid w:val="00284C53"/>
    <w:rsid w:val="002914D0"/>
    <w:rsid w:val="00296347"/>
    <w:rsid w:val="002A1FE9"/>
    <w:rsid w:val="002A4475"/>
    <w:rsid w:val="002A4DB1"/>
    <w:rsid w:val="002A5421"/>
    <w:rsid w:val="002A6FBE"/>
    <w:rsid w:val="002B05C0"/>
    <w:rsid w:val="002B3B31"/>
    <w:rsid w:val="002B451D"/>
    <w:rsid w:val="002B64FD"/>
    <w:rsid w:val="002B6F5A"/>
    <w:rsid w:val="002B7143"/>
    <w:rsid w:val="002C1860"/>
    <w:rsid w:val="002C18DA"/>
    <w:rsid w:val="002C1C76"/>
    <w:rsid w:val="002C27C0"/>
    <w:rsid w:val="002C2E02"/>
    <w:rsid w:val="002C343F"/>
    <w:rsid w:val="002C3C59"/>
    <w:rsid w:val="002C3DD2"/>
    <w:rsid w:val="002C6139"/>
    <w:rsid w:val="002C698C"/>
    <w:rsid w:val="002C6B9B"/>
    <w:rsid w:val="002C79E5"/>
    <w:rsid w:val="002C7BF4"/>
    <w:rsid w:val="002D0AA5"/>
    <w:rsid w:val="002D1272"/>
    <w:rsid w:val="002D37E9"/>
    <w:rsid w:val="002D7ADF"/>
    <w:rsid w:val="002E3D2D"/>
    <w:rsid w:val="002E4370"/>
    <w:rsid w:val="002E5048"/>
    <w:rsid w:val="002E5514"/>
    <w:rsid w:val="002E58E8"/>
    <w:rsid w:val="002E5F25"/>
    <w:rsid w:val="002F0218"/>
    <w:rsid w:val="002F0219"/>
    <w:rsid w:val="002F06FE"/>
    <w:rsid w:val="002F2C4C"/>
    <w:rsid w:val="002F5747"/>
    <w:rsid w:val="0030407C"/>
    <w:rsid w:val="003053F0"/>
    <w:rsid w:val="00307768"/>
    <w:rsid w:val="0031323D"/>
    <w:rsid w:val="00316BE6"/>
    <w:rsid w:val="003175C0"/>
    <w:rsid w:val="003216E6"/>
    <w:rsid w:val="0032182C"/>
    <w:rsid w:val="0032288A"/>
    <w:rsid w:val="00325052"/>
    <w:rsid w:val="0032551D"/>
    <w:rsid w:val="0032574A"/>
    <w:rsid w:val="00325D81"/>
    <w:rsid w:val="00325DAA"/>
    <w:rsid w:val="00326DEF"/>
    <w:rsid w:val="00330810"/>
    <w:rsid w:val="00330BF1"/>
    <w:rsid w:val="003319D1"/>
    <w:rsid w:val="00332AA0"/>
    <w:rsid w:val="00333125"/>
    <w:rsid w:val="00333271"/>
    <w:rsid w:val="00335262"/>
    <w:rsid w:val="003408C6"/>
    <w:rsid w:val="0034111E"/>
    <w:rsid w:val="00341C6D"/>
    <w:rsid w:val="00342924"/>
    <w:rsid w:val="00342B7A"/>
    <w:rsid w:val="00343D0A"/>
    <w:rsid w:val="00345AD6"/>
    <w:rsid w:val="00345D3B"/>
    <w:rsid w:val="00345E1A"/>
    <w:rsid w:val="00346340"/>
    <w:rsid w:val="0034675E"/>
    <w:rsid w:val="003469D7"/>
    <w:rsid w:val="00351FEB"/>
    <w:rsid w:val="0035204D"/>
    <w:rsid w:val="00352379"/>
    <w:rsid w:val="00353988"/>
    <w:rsid w:val="00353C68"/>
    <w:rsid w:val="00356ADE"/>
    <w:rsid w:val="00356D02"/>
    <w:rsid w:val="003621CC"/>
    <w:rsid w:val="00365628"/>
    <w:rsid w:val="00365D20"/>
    <w:rsid w:val="00366104"/>
    <w:rsid w:val="00367B2E"/>
    <w:rsid w:val="00372C4E"/>
    <w:rsid w:val="00373409"/>
    <w:rsid w:val="003736AD"/>
    <w:rsid w:val="00373E15"/>
    <w:rsid w:val="0038191D"/>
    <w:rsid w:val="00381BFA"/>
    <w:rsid w:val="00381C47"/>
    <w:rsid w:val="00381DB3"/>
    <w:rsid w:val="00383BB4"/>
    <w:rsid w:val="003851FF"/>
    <w:rsid w:val="003862E4"/>
    <w:rsid w:val="00386BBA"/>
    <w:rsid w:val="0039161C"/>
    <w:rsid w:val="003918F0"/>
    <w:rsid w:val="00391A4D"/>
    <w:rsid w:val="00391CFD"/>
    <w:rsid w:val="00396317"/>
    <w:rsid w:val="003970FC"/>
    <w:rsid w:val="003972CD"/>
    <w:rsid w:val="003973EE"/>
    <w:rsid w:val="00397CE1"/>
    <w:rsid w:val="003A16C8"/>
    <w:rsid w:val="003A277D"/>
    <w:rsid w:val="003A4BDB"/>
    <w:rsid w:val="003A58ED"/>
    <w:rsid w:val="003A6010"/>
    <w:rsid w:val="003A6C22"/>
    <w:rsid w:val="003B0D9E"/>
    <w:rsid w:val="003B3154"/>
    <w:rsid w:val="003B4254"/>
    <w:rsid w:val="003B4EF1"/>
    <w:rsid w:val="003B5256"/>
    <w:rsid w:val="003B56F5"/>
    <w:rsid w:val="003B75DE"/>
    <w:rsid w:val="003B79CA"/>
    <w:rsid w:val="003B7A12"/>
    <w:rsid w:val="003C1360"/>
    <w:rsid w:val="003C3809"/>
    <w:rsid w:val="003C453A"/>
    <w:rsid w:val="003C64EB"/>
    <w:rsid w:val="003C770F"/>
    <w:rsid w:val="003C7808"/>
    <w:rsid w:val="003C79F7"/>
    <w:rsid w:val="003D28AD"/>
    <w:rsid w:val="003D2D7E"/>
    <w:rsid w:val="003D37E8"/>
    <w:rsid w:val="003D3F95"/>
    <w:rsid w:val="003D5891"/>
    <w:rsid w:val="003D6345"/>
    <w:rsid w:val="003D68C3"/>
    <w:rsid w:val="003D72D9"/>
    <w:rsid w:val="003D7BAB"/>
    <w:rsid w:val="003D7E5E"/>
    <w:rsid w:val="003E223B"/>
    <w:rsid w:val="003E2987"/>
    <w:rsid w:val="003E513F"/>
    <w:rsid w:val="003E5158"/>
    <w:rsid w:val="003E70F0"/>
    <w:rsid w:val="003F0FD1"/>
    <w:rsid w:val="003F1B45"/>
    <w:rsid w:val="003F374B"/>
    <w:rsid w:val="003F49BA"/>
    <w:rsid w:val="003F5B0B"/>
    <w:rsid w:val="003F7864"/>
    <w:rsid w:val="00401239"/>
    <w:rsid w:val="004016F3"/>
    <w:rsid w:val="0040299B"/>
    <w:rsid w:val="004066CA"/>
    <w:rsid w:val="00407DAF"/>
    <w:rsid w:val="00410B2B"/>
    <w:rsid w:val="00412484"/>
    <w:rsid w:val="00414813"/>
    <w:rsid w:val="00414D1C"/>
    <w:rsid w:val="004157E6"/>
    <w:rsid w:val="0041692F"/>
    <w:rsid w:val="00421053"/>
    <w:rsid w:val="0042337D"/>
    <w:rsid w:val="00423784"/>
    <w:rsid w:val="00425806"/>
    <w:rsid w:val="00425B0D"/>
    <w:rsid w:val="00425B5D"/>
    <w:rsid w:val="0042675E"/>
    <w:rsid w:val="004267F9"/>
    <w:rsid w:val="00426CE8"/>
    <w:rsid w:val="0042772F"/>
    <w:rsid w:val="00430D1D"/>
    <w:rsid w:val="00431322"/>
    <w:rsid w:val="004318C2"/>
    <w:rsid w:val="00432413"/>
    <w:rsid w:val="00433981"/>
    <w:rsid w:val="00433B88"/>
    <w:rsid w:val="00433FC1"/>
    <w:rsid w:val="00437725"/>
    <w:rsid w:val="00440728"/>
    <w:rsid w:val="00440B3F"/>
    <w:rsid w:val="00440F45"/>
    <w:rsid w:val="004413AD"/>
    <w:rsid w:val="00442222"/>
    <w:rsid w:val="00443251"/>
    <w:rsid w:val="004439B4"/>
    <w:rsid w:val="00443D64"/>
    <w:rsid w:val="00446A9B"/>
    <w:rsid w:val="0045108F"/>
    <w:rsid w:val="00451AA1"/>
    <w:rsid w:val="00453522"/>
    <w:rsid w:val="0045370A"/>
    <w:rsid w:val="004541D8"/>
    <w:rsid w:val="00455038"/>
    <w:rsid w:val="00456824"/>
    <w:rsid w:val="004569F7"/>
    <w:rsid w:val="00460BAE"/>
    <w:rsid w:val="0046222D"/>
    <w:rsid w:val="00462B60"/>
    <w:rsid w:val="00463AC0"/>
    <w:rsid w:val="004666C0"/>
    <w:rsid w:val="00467063"/>
    <w:rsid w:val="004709F6"/>
    <w:rsid w:val="00471DB4"/>
    <w:rsid w:val="00471E17"/>
    <w:rsid w:val="0047313B"/>
    <w:rsid w:val="00474415"/>
    <w:rsid w:val="00474A17"/>
    <w:rsid w:val="00475386"/>
    <w:rsid w:val="00475FEF"/>
    <w:rsid w:val="00480153"/>
    <w:rsid w:val="00480E7B"/>
    <w:rsid w:val="00482827"/>
    <w:rsid w:val="00482BE3"/>
    <w:rsid w:val="0048328C"/>
    <w:rsid w:val="00483CA2"/>
    <w:rsid w:val="0049231D"/>
    <w:rsid w:val="00492AC3"/>
    <w:rsid w:val="00493BD3"/>
    <w:rsid w:val="00494A8C"/>
    <w:rsid w:val="00494D34"/>
    <w:rsid w:val="00495637"/>
    <w:rsid w:val="004A3990"/>
    <w:rsid w:val="004A4BF9"/>
    <w:rsid w:val="004A6DE7"/>
    <w:rsid w:val="004A733D"/>
    <w:rsid w:val="004B0F3D"/>
    <w:rsid w:val="004B486E"/>
    <w:rsid w:val="004B4A24"/>
    <w:rsid w:val="004B5EF6"/>
    <w:rsid w:val="004B61B1"/>
    <w:rsid w:val="004B7605"/>
    <w:rsid w:val="004B7990"/>
    <w:rsid w:val="004C04AF"/>
    <w:rsid w:val="004C15F3"/>
    <w:rsid w:val="004C26CF"/>
    <w:rsid w:val="004C3C2C"/>
    <w:rsid w:val="004C47E2"/>
    <w:rsid w:val="004C53E4"/>
    <w:rsid w:val="004C63E0"/>
    <w:rsid w:val="004C6BFB"/>
    <w:rsid w:val="004C6CB5"/>
    <w:rsid w:val="004C6EE9"/>
    <w:rsid w:val="004D06AC"/>
    <w:rsid w:val="004D17BB"/>
    <w:rsid w:val="004D24AB"/>
    <w:rsid w:val="004D25BA"/>
    <w:rsid w:val="004D345F"/>
    <w:rsid w:val="004D3EAE"/>
    <w:rsid w:val="004E114A"/>
    <w:rsid w:val="004E5C0C"/>
    <w:rsid w:val="004E6B05"/>
    <w:rsid w:val="004E6CA3"/>
    <w:rsid w:val="004E6CDA"/>
    <w:rsid w:val="004F00EF"/>
    <w:rsid w:val="004F031B"/>
    <w:rsid w:val="004F1E16"/>
    <w:rsid w:val="004F301C"/>
    <w:rsid w:val="004F4266"/>
    <w:rsid w:val="004F46A1"/>
    <w:rsid w:val="004F4A43"/>
    <w:rsid w:val="004F6057"/>
    <w:rsid w:val="004F6E63"/>
    <w:rsid w:val="004F73CB"/>
    <w:rsid w:val="004F7590"/>
    <w:rsid w:val="004F76E3"/>
    <w:rsid w:val="004F7B57"/>
    <w:rsid w:val="0050049B"/>
    <w:rsid w:val="00503E0A"/>
    <w:rsid w:val="00503F29"/>
    <w:rsid w:val="005045E4"/>
    <w:rsid w:val="0050480A"/>
    <w:rsid w:val="00504D6B"/>
    <w:rsid w:val="00504E78"/>
    <w:rsid w:val="00505449"/>
    <w:rsid w:val="00505CA9"/>
    <w:rsid w:val="00505D99"/>
    <w:rsid w:val="00505DBF"/>
    <w:rsid w:val="00510B23"/>
    <w:rsid w:val="005135C2"/>
    <w:rsid w:val="00515B7E"/>
    <w:rsid w:val="00515F03"/>
    <w:rsid w:val="005160C1"/>
    <w:rsid w:val="0051678C"/>
    <w:rsid w:val="00516FBC"/>
    <w:rsid w:val="00520F24"/>
    <w:rsid w:val="00521D3F"/>
    <w:rsid w:val="005235FB"/>
    <w:rsid w:val="005261FC"/>
    <w:rsid w:val="00526263"/>
    <w:rsid w:val="00526AA7"/>
    <w:rsid w:val="00530913"/>
    <w:rsid w:val="00531238"/>
    <w:rsid w:val="00531607"/>
    <w:rsid w:val="00532BDC"/>
    <w:rsid w:val="00533220"/>
    <w:rsid w:val="005367C8"/>
    <w:rsid w:val="00537099"/>
    <w:rsid w:val="005376B8"/>
    <w:rsid w:val="00537941"/>
    <w:rsid w:val="00540AB0"/>
    <w:rsid w:val="00544515"/>
    <w:rsid w:val="00546A45"/>
    <w:rsid w:val="0054708E"/>
    <w:rsid w:val="00547376"/>
    <w:rsid w:val="005477E6"/>
    <w:rsid w:val="00550183"/>
    <w:rsid w:val="0055027D"/>
    <w:rsid w:val="00552883"/>
    <w:rsid w:val="00552FB1"/>
    <w:rsid w:val="00556CA4"/>
    <w:rsid w:val="005571A7"/>
    <w:rsid w:val="0055742B"/>
    <w:rsid w:val="00560FCA"/>
    <w:rsid w:val="005619FB"/>
    <w:rsid w:val="00562F25"/>
    <w:rsid w:val="00563C6F"/>
    <w:rsid w:val="0056616D"/>
    <w:rsid w:val="005662B1"/>
    <w:rsid w:val="0056648E"/>
    <w:rsid w:val="00567CE2"/>
    <w:rsid w:val="00570C29"/>
    <w:rsid w:val="005720B1"/>
    <w:rsid w:val="0057229A"/>
    <w:rsid w:val="00572672"/>
    <w:rsid w:val="00572CB4"/>
    <w:rsid w:val="00573083"/>
    <w:rsid w:val="00574530"/>
    <w:rsid w:val="00574B2D"/>
    <w:rsid w:val="00577C96"/>
    <w:rsid w:val="00584AEA"/>
    <w:rsid w:val="00584D30"/>
    <w:rsid w:val="005873A2"/>
    <w:rsid w:val="0059220C"/>
    <w:rsid w:val="00592964"/>
    <w:rsid w:val="005946B8"/>
    <w:rsid w:val="00594E2F"/>
    <w:rsid w:val="00597A11"/>
    <w:rsid w:val="00597D9C"/>
    <w:rsid w:val="005A02AA"/>
    <w:rsid w:val="005A07E7"/>
    <w:rsid w:val="005A0DEA"/>
    <w:rsid w:val="005A17FF"/>
    <w:rsid w:val="005A198B"/>
    <w:rsid w:val="005A2E0C"/>
    <w:rsid w:val="005B301F"/>
    <w:rsid w:val="005B3C69"/>
    <w:rsid w:val="005B4458"/>
    <w:rsid w:val="005B5552"/>
    <w:rsid w:val="005B6CC4"/>
    <w:rsid w:val="005B73D6"/>
    <w:rsid w:val="005B796E"/>
    <w:rsid w:val="005C0D7A"/>
    <w:rsid w:val="005C1747"/>
    <w:rsid w:val="005C2E7D"/>
    <w:rsid w:val="005C348A"/>
    <w:rsid w:val="005C3F6F"/>
    <w:rsid w:val="005C5596"/>
    <w:rsid w:val="005C5B39"/>
    <w:rsid w:val="005C5F40"/>
    <w:rsid w:val="005D113D"/>
    <w:rsid w:val="005D25B6"/>
    <w:rsid w:val="005D468B"/>
    <w:rsid w:val="005E0C79"/>
    <w:rsid w:val="005E4266"/>
    <w:rsid w:val="005F28EF"/>
    <w:rsid w:val="005F41EC"/>
    <w:rsid w:val="005F4D77"/>
    <w:rsid w:val="005F5E46"/>
    <w:rsid w:val="005F6860"/>
    <w:rsid w:val="00602E66"/>
    <w:rsid w:val="00603921"/>
    <w:rsid w:val="00603E08"/>
    <w:rsid w:val="00604D64"/>
    <w:rsid w:val="006066B6"/>
    <w:rsid w:val="00606A5B"/>
    <w:rsid w:val="0061250E"/>
    <w:rsid w:val="00613E7A"/>
    <w:rsid w:val="0061402D"/>
    <w:rsid w:val="00614233"/>
    <w:rsid w:val="00617C48"/>
    <w:rsid w:val="00617DCA"/>
    <w:rsid w:val="00620F3F"/>
    <w:rsid w:val="006216AA"/>
    <w:rsid w:val="0062193E"/>
    <w:rsid w:val="00622374"/>
    <w:rsid w:val="00630CDA"/>
    <w:rsid w:val="00631A87"/>
    <w:rsid w:val="00633DF9"/>
    <w:rsid w:val="006340C6"/>
    <w:rsid w:val="006343F2"/>
    <w:rsid w:val="00637EA6"/>
    <w:rsid w:val="00637F69"/>
    <w:rsid w:val="0064005E"/>
    <w:rsid w:val="00640986"/>
    <w:rsid w:val="00640DE1"/>
    <w:rsid w:val="00641924"/>
    <w:rsid w:val="006422CF"/>
    <w:rsid w:val="0064238F"/>
    <w:rsid w:val="00644945"/>
    <w:rsid w:val="00644D36"/>
    <w:rsid w:val="0064641E"/>
    <w:rsid w:val="0064682C"/>
    <w:rsid w:val="00646AB4"/>
    <w:rsid w:val="006504D7"/>
    <w:rsid w:val="00651587"/>
    <w:rsid w:val="0065162C"/>
    <w:rsid w:val="006527C8"/>
    <w:rsid w:val="00656826"/>
    <w:rsid w:val="00656E7C"/>
    <w:rsid w:val="006573B6"/>
    <w:rsid w:val="0066553C"/>
    <w:rsid w:val="006660AB"/>
    <w:rsid w:val="006662F4"/>
    <w:rsid w:val="006668B0"/>
    <w:rsid w:val="00667074"/>
    <w:rsid w:val="006670E9"/>
    <w:rsid w:val="006708A3"/>
    <w:rsid w:val="00670A17"/>
    <w:rsid w:val="00670C36"/>
    <w:rsid w:val="006714FB"/>
    <w:rsid w:val="00671547"/>
    <w:rsid w:val="00671827"/>
    <w:rsid w:val="006720F0"/>
    <w:rsid w:val="006729FE"/>
    <w:rsid w:val="00673175"/>
    <w:rsid w:val="00673674"/>
    <w:rsid w:val="00674248"/>
    <w:rsid w:val="006744F6"/>
    <w:rsid w:val="00674598"/>
    <w:rsid w:val="00680898"/>
    <w:rsid w:val="0068246D"/>
    <w:rsid w:val="006824F7"/>
    <w:rsid w:val="00682DF2"/>
    <w:rsid w:val="006830C4"/>
    <w:rsid w:val="00683C93"/>
    <w:rsid w:val="00686641"/>
    <w:rsid w:val="0068729C"/>
    <w:rsid w:val="00690228"/>
    <w:rsid w:val="00690508"/>
    <w:rsid w:val="006937D4"/>
    <w:rsid w:val="006971A4"/>
    <w:rsid w:val="006A20B7"/>
    <w:rsid w:val="006A22A5"/>
    <w:rsid w:val="006A260A"/>
    <w:rsid w:val="006A3329"/>
    <w:rsid w:val="006A3C64"/>
    <w:rsid w:val="006A450E"/>
    <w:rsid w:val="006A67C6"/>
    <w:rsid w:val="006A6D01"/>
    <w:rsid w:val="006A765F"/>
    <w:rsid w:val="006A7BCA"/>
    <w:rsid w:val="006B1758"/>
    <w:rsid w:val="006B17A3"/>
    <w:rsid w:val="006B2637"/>
    <w:rsid w:val="006B37BB"/>
    <w:rsid w:val="006B4CCC"/>
    <w:rsid w:val="006B5664"/>
    <w:rsid w:val="006B5E06"/>
    <w:rsid w:val="006B5E25"/>
    <w:rsid w:val="006B6DBF"/>
    <w:rsid w:val="006C1411"/>
    <w:rsid w:val="006C1D70"/>
    <w:rsid w:val="006C33F7"/>
    <w:rsid w:val="006C3EC8"/>
    <w:rsid w:val="006C64B8"/>
    <w:rsid w:val="006C778F"/>
    <w:rsid w:val="006D1EC6"/>
    <w:rsid w:val="006D2135"/>
    <w:rsid w:val="006D2A4E"/>
    <w:rsid w:val="006D2CD8"/>
    <w:rsid w:val="006D5C67"/>
    <w:rsid w:val="006E0EC2"/>
    <w:rsid w:val="006E1583"/>
    <w:rsid w:val="006E2ABB"/>
    <w:rsid w:val="006E2B02"/>
    <w:rsid w:val="006E624E"/>
    <w:rsid w:val="006E765F"/>
    <w:rsid w:val="006F02AC"/>
    <w:rsid w:val="006F0727"/>
    <w:rsid w:val="006F1A36"/>
    <w:rsid w:val="006F2661"/>
    <w:rsid w:val="006F2EA8"/>
    <w:rsid w:val="006F6AB0"/>
    <w:rsid w:val="006F7525"/>
    <w:rsid w:val="006F7C36"/>
    <w:rsid w:val="00700256"/>
    <w:rsid w:val="007003ED"/>
    <w:rsid w:val="00700E47"/>
    <w:rsid w:val="007019C2"/>
    <w:rsid w:val="00703198"/>
    <w:rsid w:val="0070439E"/>
    <w:rsid w:val="00705BC5"/>
    <w:rsid w:val="007122FD"/>
    <w:rsid w:val="007127E6"/>
    <w:rsid w:val="00713874"/>
    <w:rsid w:val="00716A6C"/>
    <w:rsid w:val="0071796A"/>
    <w:rsid w:val="00717FF4"/>
    <w:rsid w:val="0072127F"/>
    <w:rsid w:val="007215DF"/>
    <w:rsid w:val="00721897"/>
    <w:rsid w:val="00722EB3"/>
    <w:rsid w:val="00725830"/>
    <w:rsid w:val="00726D6C"/>
    <w:rsid w:val="00730D0C"/>
    <w:rsid w:val="00732192"/>
    <w:rsid w:val="007326E9"/>
    <w:rsid w:val="00732996"/>
    <w:rsid w:val="00735938"/>
    <w:rsid w:val="00735DEE"/>
    <w:rsid w:val="00736CB2"/>
    <w:rsid w:val="00737E80"/>
    <w:rsid w:val="00740D1E"/>
    <w:rsid w:val="00746889"/>
    <w:rsid w:val="007468B4"/>
    <w:rsid w:val="007506C9"/>
    <w:rsid w:val="007507FC"/>
    <w:rsid w:val="007524A4"/>
    <w:rsid w:val="00754C0A"/>
    <w:rsid w:val="00756B9D"/>
    <w:rsid w:val="007579D6"/>
    <w:rsid w:val="00760EA5"/>
    <w:rsid w:val="007637CB"/>
    <w:rsid w:val="00763B74"/>
    <w:rsid w:val="00763D74"/>
    <w:rsid w:val="00766F02"/>
    <w:rsid w:val="0077082B"/>
    <w:rsid w:val="00770C39"/>
    <w:rsid w:val="00772E49"/>
    <w:rsid w:val="007737C7"/>
    <w:rsid w:val="00773F28"/>
    <w:rsid w:val="00775474"/>
    <w:rsid w:val="0077669B"/>
    <w:rsid w:val="00776DBA"/>
    <w:rsid w:val="007805D4"/>
    <w:rsid w:val="00783BAC"/>
    <w:rsid w:val="007840EE"/>
    <w:rsid w:val="0078618E"/>
    <w:rsid w:val="00787F9C"/>
    <w:rsid w:val="00790000"/>
    <w:rsid w:val="007908F6"/>
    <w:rsid w:val="00790FF1"/>
    <w:rsid w:val="0079142D"/>
    <w:rsid w:val="00791B8D"/>
    <w:rsid w:val="00795989"/>
    <w:rsid w:val="00795AB7"/>
    <w:rsid w:val="00795EB3"/>
    <w:rsid w:val="0079611C"/>
    <w:rsid w:val="0079619E"/>
    <w:rsid w:val="00797AF8"/>
    <w:rsid w:val="007A0984"/>
    <w:rsid w:val="007A2661"/>
    <w:rsid w:val="007A308E"/>
    <w:rsid w:val="007A48E9"/>
    <w:rsid w:val="007A4C81"/>
    <w:rsid w:val="007A4EEA"/>
    <w:rsid w:val="007A6E94"/>
    <w:rsid w:val="007A7FF6"/>
    <w:rsid w:val="007B12D9"/>
    <w:rsid w:val="007B36D4"/>
    <w:rsid w:val="007B4032"/>
    <w:rsid w:val="007B5212"/>
    <w:rsid w:val="007B53B9"/>
    <w:rsid w:val="007B5B35"/>
    <w:rsid w:val="007B6586"/>
    <w:rsid w:val="007C06AC"/>
    <w:rsid w:val="007C06BB"/>
    <w:rsid w:val="007C072F"/>
    <w:rsid w:val="007C08AE"/>
    <w:rsid w:val="007C172F"/>
    <w:rsid w:val="007C2F8B"/>
    <w:rsid w:val="007C4A3C"/>
    <w:rsid w:val="007C572F"/>
    <w:rsid w:val="007C57A5"/>
    <w:rsid w:val="007C58CB"/>
    <w:rsid w:val="007C5B20"/>
    <w:rsid w:val="007C6019"/>
    <w:rsid w:val="007C74A9"/>
    <w:rsid w:val="007D0831"/>
    <w:rsid w:val="007D2B2C"/>
    <w:rsid w:val="007D2CE3"/>
    <w:rsid w:val="007D3077"/>
    <w:rsid w:val="007D32CE"/>
    <w:rsid w:val="007D433E"/>
    <w:rsid w:val="007D4B1D"/>
    <w:rsid w:val="007D5689"/>
    <w:rsid w:val="007D5A0F"/>
    <w:rsid w:val="007D6E44"/>
    <w:rsid w:val="007D708E"/>
    <w:rsid w:val="007E0784"/>
    <w:rsid w:val="007E11CA"/>
    <w:rsid w:val="007E2216"/>
    <w:rsid w:val="007E6F0B"/>
    <w:rsid w:val="007E6FCA"/>
    <w:rsid w:val="007E7300"/>
    <w:rsid w:val="007E7748"/>
    <w:rsid w:val="007E7756"/>
    <w:rsid w:val="007F203D"/>
    <w:rsid w:val="007F2D47"/>
    <w:rsid w:val="007F37E7"/>
    <w:rsid w:val="007F3EE5"/>
    <w:rsid w:val="007F48CB"/>
    <w:rsid w:val="007F4EA9"/>
    <w:rsid w:val="00800708"/>
    <w:rsid w:val="008014AC"/>
    <w:rsid w:val="00801660"/>
    <w:rsid w:val="00802614"/>
    <w:rsid w:val="00804CCB"/>
    <w:rsid w:val="00804E3C"/>
    <w:rsid w:val="00805A0A"/>
    <w:rsid w:val="008102E9"/>
    <w:rsid w:val="0081054B"/>
    <w:rsid w:val="0081177C"/>
    <w:rsid w:val="00811B3B"/>
    <w:rsid w:val="00812754"/>
    <w:rsid w:val="00812BEE"/>
    <w:rsid w:val="00813717"/>
    <w:rsid w:val="008140C3"/>
    <w:rsid w:val="008229B0"/>
    <w:rsid w:val="0082376F"/>
    <w:rsid w:val="00824C79"/>
    <w:rsid w:val="00824E33"/>
    <w:rsid w:val="00826829"/>
    <w:rsid w:val="00826A45"/>
    <w:rsid w:val="00827094"/>
    <w:rsid w:val="00827A28"/>
    <w:rsid w:val="00827BE5"/>
    <w:rsid w:val="0083183F"/>
    <w:rsid w:val="00832634"/>
    <w:rsid w:val="00832FA0"/>
    <w:rsid w:val="00833314"/>
    <w:rsid w:val="0083343F"/>
    <w:rsid w:val="00833B30"/>
    <w:rsid w:val="00835C4C"/>
    <w:rsid w:val="008412AD"/>
    <w:rsid w:val="0084144F"/>
    <w:rsid w:val="0084186B"/>
    <w:rsid w:val="0084299B"/>
    <w:rsid w:val="008430CC"/>
    <w:rsid w:val="0084424C"/>
    <w:rsid w:val="00847453"/>
    <w:rsid w:val="00850227"/>
    <w:rsid w:val="00850D52"/>
    <w:rsid w:val="0085124C"/>
    <w:rsid w:val="008523BB"/>
    <w:rsid w:val="00853272"/>
    <w:rsid w:val="00853BE4"/>
    <w:rsid w:val="00853C7E"/>
    <w:rsid w:val="00853D66"/>
    <w:rsid w:val="00854D0A"/>
    <w:rsid w:val="00856582"/>
    <w:rsid w:val="00860BCD"/>
    <w:rsid w:val="008619EB"/>
    <w:rsid w:val="0086344F"/>
    <w:rsid w:val="0086370E"/>
    <w:rsid w:val="00863B5D"/>
    <w:rsid w:val="00864D9D"/>
    <w:rsid w:val="00864FBC"/>
    <w:rsid w:val="008662FD"/>
    <w:rsid w:val="00871563"/>
    <w:rsid w:val="008721E4"/>
    <w:rsid w:val="00873359"/>
    <w:rsid w:val="00875B0D"/>
    <w:rsid w:val="00875BB9"/>
    <w:rsid w:val="00876935"/>
    <w:rsid w:val="00876F77"/>
    <w:rsid w:val="008772D9"/>
    <w:rsid w:val="0088064E"/>
    <w:rsid w:val="0088395F"/>
    <w:rsid w:val="00884E05"/>
    <w:rsid w:val="00885998"/>
    <w:rsid w:val="00887509"/>
    <w:rsid w:val="008908D6"/>
    <w:rsid w:val="00891429"/>
    <w:rsid w:val="00894043"/>
    <w:rsid w:val="008953F7"/>
    <w:rsid w:val="008957C1"/>
    <w:rsid w:val="00897B03"/>
    <w:rsid w:val="008A62FF"/>
    <w:rsid w:val="008A6E91"/>
    <w:rsid w:val="008A77B1"/>
    <w:rsid w:val="008A7B6F"/>
    <w:rsid w:val="008B2906"/>
    <w:rsid w:val="008B2A1C"/>
    <w:rsid w:val="008B2A83"/>
    <w:rsid w:val="008B3340"/>
    <w:rsid w:val="008B7329"/>
    <w:rsid w:val="008B7B1B"/>
    <w:rsid w:val="008C0276"/>
    <w:rsid w:val="008C0E09"/>
    <w:rsid w:val="008C2414"/>
    <w:rsid w:val="008C3475"/>
    <w:rsid w:val="008C3F0A"/>
    <w:rsid w:val="008C51EB"/>
    <w:rsid w:val="008C568D"/>
    <w:rsid w:val="008C5B07"/>
    <w:rsid w:val="008D06BA"/>
    <w:rsid w:val="008D1CCF"/>
    <w:rsid w:val="008D318A"/>
    <w:rsid w:val="008D3D89"/>
    <w:rsid w:val="008D3E9A"/>
    <w:rsid w:val="008D61E4"/>
    <w:rsid w:val="008D62B5"/>
    <w:rsid w:val="008D769A"/>
    <w:rsid w:val="008E2265"/>
    <w:rsid w:val="008E3A49"/>
    <w:rsid w:val="008E4582"/>
    <w:rsid w:val="008E5936"/>
    <w:rsid w:val="008E754D"/>
    <w:rsid w:val="008E76CA"/>
    <w:rsid w:val="008F17B5"/>
    <w:rsid w:val="008F37E4"/>
    <w:rsid w:val="008F676A"/>
    <w:rsid w:val="008F6B84"/>
    <w:rsid w:val="008F78F2"/>
    <w:rsid w:val="0090206A"/>
    <w:rsid w:val="00902B7A"/>
    <w:rsid w:val="00904275"/>
    <w:rsid w:val="00904594"/>
    <w:rsid w:val="009107ED"/>
    <w:rsid w:val="00910944"/>
    <w:rsid w:val="00911ED6"/>
    <w:rsid w:val="00912A50"/>
    <w:rsid w:val="00913587"/>
    <w:rsid w:val="00913A9B"/>
    <w:rsid w:val="00913C6B"/>
    <w:rsid w:val="00920472"/>
    <w:rsid w:val="00920FDB"/>
    <w:rsid w:val="00921652"/>
    <w:rsid w:val="009230A0"/>
    <w:rsid w:val="00923E8D"/>
    <w:rsid w:val="00925C2B"/>
    <w:rsid w:val="009260EC"/>
    <w:rsid w:val="009268C5"/>
    <w:rsid w:val="0093093C"/>
    <w:rsid w:val="00933A3D"/>
    <w:rsid w:val="00933FB3"/>
    <w:rsid w:val="009348AE"/>
    <w:rsid w:val="009350C9"/>
    <w:rsid w:val="00935F20"/>
    <w:rsid w:val="00936B40"/>
    <w:rsid w:val="00937D8E"/>
    <w:rsid w:val="00937F93"/>
    <w:rsid w:val="009410A0"/>
    <w:rsid w:val="00941A77"/>
    <w:rsid w:val="009434F0"/>
    <w:rsid w:val="00944665"/>
    <w:rsid w:val="00945AF2"/>
    <w:rsid w:val="0094624C"/>
    <w:rsid w:val="0094656A"/>
    <w:rsid w:val="00947630"/>
    <w:rsid w:val="00947F39"/>
    <w:rsid w:val="00950841"/>
    <w:rsid w:val="00951673"/>
    <w:rsid w:val="009527FB"/>
    <w:rsid w:val="00955DA7"/>
    <w:rsid w:val="0095610D"/>
    <w:rsid w:val="00956183"/>
    <w:rsid w:val="00956CEC"/>
    <w:rsid w:val="009627E1"/>
    <w:rsid w:val="00963BDD"/>
    <w:rsid w:val="00964B54"/>
    <w:rsid w:val="00965139"/>
    <w:rsid w:val="00967845"/>
    <w:rsid w:val="00967AF6"/>
    <w:rsid w:val="0097162C"/>
    <w:rsid w:val="0097260B"/>
    <w:rsid w:val="00972DD5"/>
    <w:rsid w:val="0097687B"/>
    <w:rsid w:val="00976EB8"/>
    <w:rsid w:val="00977FC1"/>
    <w:rsid w:val="00980702"/>
    <w:rsid w:val="00980C53"/>
    <w:rsid w:val="009811CE"/>
    <w:rsid w:val="0098292E"/>
    <w:rsid w:val="00983F5D"/>
    <w:rsid w:val="00985E96"/>
    <w:rsid w:val="00985FDF"/>
    <w:rsid w:val="0098612E"/>
    <w:rsid w:val="0098682B"/>
    <w:rsid w:val="00987B43"/>
    <w:rsid w:val="00991F2B"/>
    <w:rsid w:val="009928AE"/>
    <w:rsid w:val="00994975"/>
    <w:rsid w:val="009959B1"/>
    <w:rsid w:val="00996E83"/>
    <w:rsid w:val="00997BE8"/>
    <w:rsid w:val="009A0B13"/>
    <w:rsid w:val="009A2E19"/>
    <w:rsid w:val="009A41E8"/>
    <w:rsid w:val="009A473C"/>
    <w:rsid w:val="009A55E9"/>
    <w:rsid w:val="009A5ADB"/>
    <w:rsid w:val="009A70A9"/>
    <w:rsid w:val="009B06CF"/>
    <w:rsid w:val="009B07F6"/>
    <w:rsid w:val="009B0FCE"/>
    <w:rsid w:val="009B2197"/>
    <w:rsid w:val="009B24AB"/>
    <w:rsid w:val="009B351F"/>
    <w:rsid w:val="009B4885"/>
    <w:rsid w:val="009B5527"/>
    <w:rsid w:val="009B7496"/>
    <w:rsid w:val="009B794D"/>
    <w:rsid w:val="009B7B9A"/>
    <w:rsid w:val="009C042E"/>
    <w:rsid w:val="009C0BCE"/>
    <w:rsid w:val="009C14E5"/>
    <w:rsid w:val="009C1EBA"/>
    <w:rsid w:val="009C22CD"/>
    <w:rsid w:val="009C3CE0"/>
    <w:rsid w:val="009C4BAD"/>
    <w:rsid w:val="009C4E14"/>
    <w:rsid w:val="009C65D4"/>
    <w:rsid w:val="009C7782"/>
    <w:rsid w:val="009C7C98"/>
    <w:rsid w:val="009D1252"/>
    <w:rsid w:val="009D14C0"/>
    <w:rsid w:val="009D43AE"/>
    <w:rsid w:val="009D789D"/>
    <w:rsid w:val="009D79D2"/>
    <w:rsid w:val="009E1308"/>
    <w:rsid w:val="009E13BE"/>
    <w:rsid w:val="009E1832"/>
    <w:rsid w:val="009E2FDB"/>
    <w:rsid w:val="009E343A"/>
    <w:rsid w:val="009E4C67"/>
    <w:rsid w:val="009E5CCD"/>
    <w:rsid w:val="009E6392"/>
    <w:rsid w:val="009E6818"/>
    <w:rsid w:val="009F09D3"/>
    <w:rsid w:val="009F0DB7"/>
    <w:rsid w:val="009F0FF6"/>
    <w:rsid w:val="009F1298"/>
    <w:rsid w:val="009F1D63"/>
    <w:rsid w:val="009F3B96"/>
    <w:rsid w:val="00A0083F"/>
    <w:rsid w:val="00A01835"/>
    <w:rsid w:val="00A03BE3"/>
    <w:rsid w:val="00A056CB"/>
    <w:rsid w:val="00A06693"/>
    <w:rsid w:val="00A06EF1"/>
    <w:rsid w:val="00A10836"/>
    <w:rsid w:val="00A118B8"/>
    <w:rsid w:val="00A12719"/>
    <w:rsid w:val="00A1375B"/>
    <w:rsid w:val="00A137CF"/>
    <w:rsid w:val="00A13E33"/>
    <w:rsid w:val="00A156B7"/>
    <w:rsid w:val="00A159D8"/>
    <w:rsid w:val="00A15F71"/>
    <w:rsid w:val="00A1607D"/>
    <w:rsid w:val="00A17075"/>
    <w:rsid w:val="00A2284C"/>
    <w:rsid w:val="00A23ED9"/>
    <w:rsid w:val="00A32405"/>
    <w:rsid w:val="00A35D4C"/>
    <w:rsid w:val="00A379DC"/>
    <w:rsid w:val="00A40383"/>
    <w:rsid w:val="00A415FE"/>
    <w:rsid w:val="00A42C15"/>
    <w:rsid w:val="00A42F66"/>
    <w:rsid w:val="00A432DE"/>
    <w:rsid w:val="00A4347E"/>
    <w:rsid w:val="00A439CF"/>
    <w:rsid w:val="00A43B5E"/>
    <w:rsid w:val="00A441CF"/>
    <w:rsid w:val="00A443F6"/>
    <w:rsid w:val="00A46B39"/>
    <w:rsid w:val="00A50A8F"/>
    <w:rsid w:val="00A51865"/>
    <w:rsid w:val="00A51CAA"/>
    <w:rsid w:val="00A5322C"/>
    <w:rsid w:val="00A53833"/>
    <w:rsid w:val="00A5539C"/>
    <w:rsid w:val="00A553A5"/>
    <w:rsid w:val="00A56BFB"/>
    <w:rsid w:val="00A570CF"/>
    <w:rsid w:val="00A60E49"/>
    <w:rsid w:val="00A61D9E"/>
    <w:rsid w:val="00A62710"/>
    <w:rsid w:val="00A62E34"/>
    <w:rsid w:val="00A634DE"/>
    <w:rsid w:val="00A653F4"/>
    <w:rsid w:val="00A66887"/>
    <w:rsid w:val="00A669C2"/>
    <w:rsid w:val="00A700C0"/>
    <w:rsid w:val="00A71631"/>
    <w:rsid w:val="00A73FD0"/>
    <w:rsid w:val="00A74BC6"/>
    <w:rsid w:val="00A77840"/>
    <w:rsid w:val="00A77E93"/>
    <w:rsid w:val="00A8018F"/>
    <w:rsid w:val="00A80C5B"/>
    <w:rsid w:val="00A82875"/>
    <w:rsid w:val="00A8417C"/>
    <w:rsid w:val="00A842F7"/>
    <w:rsid w:val="00A84944"/>
    <w:rsid w:val="00A85323"/>
    <w:rsid w:val="00A85554"/>
    <w:rsid w:val="00A858EB"/>
    <w:rsid w:val="00A8720C"/>
    <w:rsid w:val="00A901D4"/>
    <w:rsid w:val="00A90421"/>
    <w:rsid w:val="00A904C3"/>
    <w:rsid w:val="00A90A92"/>
    <w:rsid w:val="00A90D4D"/>
    <w:rsid w:val="00A919E6"/>
    <w:rsid w:val="00A93E8E"/>
    <w:rsid w:val="00A956BA"/>
    <w:rsid w:val="00A969F9"/>
    <w:rsid w:val="00AA0576"/>
    <w:rsid w:val="00AA19F6"/>
    <w:rsid w:val="00AA3F06"/>
    <w:rsid w:val="00AA4CB4"/>
    <w:rsid w:val="00AA7311"/>
    <w:rsid w:val="00AB2A91"/>
    <w:rsid w:val="00AB4B3C"/>
    <w:rsid w:val="00AB6A47"/>
    <w:rsid w:val="00AB6F80"/>
    <w:rsid w:val="00AC03BF"/>
    <w:rsid w:val="00AC12E4"/>
    <w:rsid w:val="00AC49D7"/>
    <w:rsid w:val="00AC5A28"/>
    <w:rsid w:val="00AC7E30"/>
    <w:rsid w:val="00AD0D95"/>
    <w:rsid w:val="00AD27D3"/>
    <w:rsid w:val="00AD37EE"/>
    <w:rsid w:val="00AD3C03"/>
    <w:rsid w:val="00AD4B80"/>
    <w:rsid w:val="00AD4B9E"/>
    <w:rsid w:val="00AD676E"/>
    <w:rsid w:val="00AD6913"/>
    <w:rsid w:val="00AD6F8E"/>
    <w:rsid w:val="00AD7299"/>
    <w:rsid w:val="00AD746A"/>
    <w:rsid w:val="00AE0864"/>
    <w:rsid w:val="00AE14DA"/>
    <w:rsid w:val="00AE171D"/>
    <w:rsid w:val="00AE33D8"/>
    <w:rsid w:val="00AE3FA4"/>
    <w:rsid w:val="00AE6E65"/>
    <w:rsid w:val="00AE7316"/>
    <w:rsid w:val="00AF2C4E"/>
    <w:rsid w:val="00AF3CA8"/>
    <w:rsid w:val="00AF6237"/>
    <w:rsid w:val="00AF6420"/>
    <w:rsid w:val="00B023A3"/>
    <w:rsid w:val="00B037E6"/>
    <w:rsid w:val="00B0724E"/>
    <w:rsid w:val="00B120B8"/>
    <w:rsid w:val="00B123D4"/>
    <w:rsid w:val="00B12596"/>
    <w:rsid w:val="00B12812"/>
    <w:rsid w:val="00B12ADE"/>
    <w:rsid w:val="00B138EB"/>
    <w:rsid w:val="00B14CEB"/>
    <w:rsid w:val="00B153D7"/>
    <w:rsid w:val="00B15894"/>
    <w:rsid w:val="00B174EF"/>
    <w:rsid w:val="00B1757C"/>
    <w:rsid w:val="00B175DF"/>
    <w:rsid w:val="00B20DD6"/>
    <w:rsid w:val="00B212C1"/>
    <w:rsid w:val="00B21D21"/>
    <w:rsid w:val="00B23201"/>
    <w:rsid w:val="00B246D0"/>
    <w:rsid w:val="00B24A42"/>
    <w:rsid w:val="00B24D55"/>
    <w:rsid w:val="00B2585B"/>
    <w:rsid w:val="00B261DC"/>
    <w:rsid w:val="00B263AD"/>
    <w:rsid w:val="00B271A0"/>
    <w:rsid w:val="00B275C7"/>
    <w:rsid w:val="00B277D1"/>
    <w:rsid w:val="00B278F2"/>
    <w:rsid w:val="00B27E56"/>
    <w:rsid w:val="00B3125B"/>
    <w:rsid w:val="00B34CEF"/>
    <w:rsid w:val="00B36D8A"/>
    <w:rsid w:val="00B37363"/>
    <w:rsid w:val="00B37487"/>
    <w:rsid w:val="00B40BA6"/>
    <w:rsid w:val="00B40BC3"/>
    <w:rsid w:val="00B42445"/>
    <w:rsid w:val="00B425C2"/>
    <w:rsid w:val="00B451DD"/>
    <w:rsid w:val="00B46925"/>
    <w:rsid w:val="00B50982"/>
    <w:rsid w:val="00B51A57"/>
    <w:rsid w:val="00B5233B"/>
    <w:rsid w:val="00B53DD0"/>
    <w:rsid w:val="00B53E05"/>
    <w:rsid w:val="00B56487"/>
    <w:rsid w:val="00B57A1A"/>
    <w:rsid w:val="00B57AA6"/>
    <w:rsid w:val="00B60972"/>
    <w:rsid w:val="00B616A8"/>
    <w:rsid w:val="00B63D51"/>
    <w:rsid w:val="00B643C4"/>
    <w:rsid w:val="00B64A80"/>
    <w:rsid w:val="00B64F98"/>
    <w:rsid w:val="00B65F82"/>
    <w:rsid w:val="00B6690A"/>
    <w:rsid w:val="00B6738B"/>
    <w:rsid w:val="00B67B2D"/>
    <w:rsid w:val="00B70115"/>
    <w:rsid w:val="00B7098E"/>
    <w:rsid w:val="00B7171A"/>
    <w:rsid w:val="00B72709"/>
    <w:rsid w:val="00B73F85"/>
    <w:rsid w:val="00B746D5"/>
    <w:rsid w:val="00B75E8E"/>
    <w:rsid w:val="00B76A9F"/>
    <w:rsid w:val="00B76D4D"/>
    <w:rsid w:val="00B770AE"/>
    <w:rsid w:val="00B80D1E"/>
    <w:rsid w:val="00B84C8C"/>
    <w:rsid w:val="00B85630"/>
    <w:rsid w:val="00B8625D"/>
    <w:rsid w:val="00B86E9F"/>
    <w:rsid w:val="00B87393"/>
    <w:rsid w:val="00B90841"/>
    <w:rsid w:val="00B91A50"/>
    <w:rsid w:val="00B94685"/>
    <w:rsid w:val="00B94702"/>
    <w:rsid w:val="00BA45D7"/>
    <w:rsid w:val="00BA5385"/>
    <w:rsid w:val="00BA57C0"/>
    <w:rsid w:val="00BA5CD6"/>
    <w:rsid w:val="00BA6AA6"/>
    <w:rsid w:val="00BA7E93"/>
    <w:rsid w:val="00BB1389"/>
    <w:rsid w:val="00BB20E2"/>
    <w:rsid w:val="00BB5774"/>
    <w:rsid w:val="00BB765C"/>
    <w:rsid w:val="00BB79EA"/>
    <w:rsid w:val="00BB7D30"/>
    <w:rsid w:val="00BC1151"/>
    <w:rsid w:val="00BC1DB5"/>
    <w:rsid w:val="00BC2E67"/>
    <w:rsid w:val="00BC37A1"/>
    <w:rsid w:val="00BC41A6"/>
    <w:rsid w:val="00BD0645"/>
    <w:rsid w:val="00BD2512"/>
    <w:rsid w:val="00BD382F"/>
    <w:rsid w:val="00BD40FF"/>
    <w:rsid w:val="00BD5ACB"/>
    <w:rsid w:val="00BD623C"/>
    <w:rsid w:val="00BE1505"/>
    <w:rsid w:val="00BE56C9"/>
    <w:rsid w:val="00BE5801"/>
    <w:rsid w:val="00BE5A61"/>
    <w:rsid w:val="00BE7D18"/>
    <w:rsid w:val="00BF0332"/>
    <w:rsid w:val="00BF0962"/>
    <w:rsid w:val="00BF0976"/>
    <w:rsid w:val="00BF0EDD"/>
    <w:rsid w:val="00BF1FE7"/>
    <w:rsid w:val="00BF2555"/>
    <w:rsid w:val="00BF2D8B"/>
    <w:rsid w:val="00BF3643"/>
    <w:rsid w:val="00BF3757"/>
    <w:rsid w:val="00BF4093"/>
    <w:rsid w:val="00BF6896"/>
    <w:rsid w:val="00BF714F"/>
    <w:rsid w:val="00BF7613"/>
    <w:rsid w:val="00C001FF"/>
    <w:rsid w:val="00C006FE"/>
    <w:rsid w:val="00C0105F"/>
    <w:rsid w:val="00C01428"/>
    <w:rsid w:val="00C034A4"/>
    <w:rsid w:val="00C03693"/>
    <w:rsid w:val="00C037AD"/>
    <w:rsid w:val="00C061E2"/>
    <w:rsid w:val="00C07114"/>
    <w:rsid w:val="00C10812"/>
    <w:rsid w:val="00C11D50"/>
    <w:rsid w:val="00C1319A"/>
    <w:rsid w:val="00C1340F"/>
    <w:rsid w:val="00C16785"/>
    <w:rsid w:val="00C175BD"/>
    <w:rsid w:val="00C2458C"/>
    <w:rsid w:val="00C24D3C"/>
    <w:rsid w:val="00C26EB5"/>
    <w:rsid w:val="00C33698"/>
    <w:rsid w:val="00C353C5"/>
    <w:rsid w:val="00C35C23"/>
    <w:rsid w:val="00C36010"/>
    <w:rsid w:val="00C37181"/>
    <w:rsid w:val="00C3793A"/>
    <w:rsid w:val="00C37FA7"/>
    <w:rsid w:val="00C40B32"/>
    <w:rsid w:val="00C43A18"/>
    <w:rsid w:val="00C4612D"/>
    <w:rsid w:val="00C46DFA"/>
    <w:rsid w:val="00C50F8B"/>
    <w:rsid w:val="00C54DDF"/>
    <w:rsid w:val="00C54E3F"/>
    <w:rsid w:val="00C57A35"/>
    <w:rsid w:val="00C604D4"/>
    <w:rsid w:val="00C624C2"/>
    <w:rsid w:val="00C63DB9"/>
    <w:rsid w:val="00C63FE7"/>
    <w:rsid w:val="00C647DB"/>
    <w:rsid w:val="00C65A19"/>
    <w:rsid w:val="00C7122C"/>
    <w:rsid w:val="00C71632"/>
    <w:rsid w:val="00C71DF9"/>
    <w:rsid w:val="00C732A5"/>
    <w:rsid w:val="00C735E3"/>
    <w:rsid w:val="00C73643"/>
    <w:rsid w:val="00C73E99"/>
    <w:rsid w:val="00C74D89"/>
    <w:rsid w:val="00C76368"/>
    <w:rsid w:val="00C771A4"/>
    <w:rsid w:val="00C80DB0"/>
    <w:rsid w:val="00C80ECB"/>
    <w:rsid w:val="00C812AD"/>
    <w:rsid w:val="00C8170F"/>
    <w:rsid w:val="00C83554"/>
    <w:rsid w:val="00C838F9"/>
    <w:rsid w:val="00C861D7"/>
    <w:rsid w:val="00C873A5"/>
    <w:rsid w:val="00C905C3"/>
    <w:rsid w:val="00C9322E"/>
    <w:rsid w:val="00C93E83"/>
    <w:rsid w:val="00C941B8"/>
    <w:rsid w:val="00C951AD"/>
    <w:rsid w:val="00C95A47"/>
    <w:rsid w:val="00CA03A7"/>
    <w:rsid w:val="00CA1625"/>
    <w:rsid w:val="00CA1B5A"/>
    <w:rsid w:val="00CA2FD7"/>
    <w:rsid w:val="00CA3F2A"/>
    <w:rsid w:val="00CA641C"/>
    <w:rsid w:val="00CA7435"/>
    <w:rsid w:val="00CB0DCC"/>
    <w:rsid w:val="00CB0E20"/>
    <w:rsid w:val="00CB2C6E"/>
    <w:rsid w:val="00CB32D1"/>
    <w:rsid w:val="00CB33FF"/>
    <w:rsid w:val="00CB3D91"/>
    <w:rsid w:val="00CB6144"/>
    <w:rsid w:val="00CB6AAF"/>
    <w:rsid w:val="00CB7C94"/>
    <w:rsid w:val="00CC252D"/>
    <w:rsid w:val="00CC4967"/>
    <w:rsid w:val="00CC4A4B"/>
    <w:rsid w:val="00CC4B94"/>
    <w:rsid w:val="00CC5822"/>
    <w:rsid w:val="00CC5CE5"/>
    <w:rsid w:val="00CC6A61"/>
    <w:rsid w:val="00CC79B9"/>
    <w:rsid w:val="00CD0A78"/>
    <w:rsid w:val="00CD0D8C"/>
    <w:rsid w:val="00CD147C"/>
    <w:rsid w:val="00CD4E73"/>
    <w:rsid w:val="00CD5C04"/>
    <w:rsid w:val="00CE088B"/>
    <w:rsid w:val="00CE28F6"/>
    <w:rsid w:val="00CE7114"/>
    <w:rsid w:val="00CE72E9"/>
    <w:rsid w:val="00CF1746"/>
    <w:rsid w:val="00CF176D"/>
    <w:rsid w:val="00CF295C"/>
    <w:rsid w:val="00CF406A"/>
    <w:rsid w:val="00CF4BD7"/>
    <w:rsid w:val="00CF4CDB"/>
    <w:rsid w:val="00CF5EAD"/>
    <w:rsid w:val="00CF6BBE"/>
    <w:rsid w:val="00D03CD7"/>
    <w:rsid w:val="00D03F0A"/>
    <w:rsid w:val="00D0450E"/>
    <w:rsid w:val="00D06CA3"/>
    <w:rsid w:val="00D107A3"/>
    <w:rsid w:val="00D10E90"/>
    <w:rsid w:val="00D12AE3"/>
    <w:rsid w:val="00D133CC"/>
    <w:rsid w:val="00D13BAB"/>
    <w:rsid w:val="00D13C8A"/>
    <w:rsid w:val="00D15222"/>
    <w:rsid w:val="00D200B3"/>
    <w:rsid w:val="00D2084B"/>
    <w:rsid w:val="00D2112D"/>
    <w:rsid w:val="00D22373"/>
    <w:rsid w:val="00D22753"/>
    <w:rsid w:val="00D24571"/>
    <w:rsid w:val="00D249B3"/>
    <w:rsid w:val="00D24F35"/>
    <w:rsid w:val="00D250AB"/>
    <w:rsid w:val="00D2515B"/>
    <w:rsid w:val="00D276CE"/>
    <w:rsid w:val="00D3096F"/>
    <w:rsid w:val="00D32128"/>
    <w:rsid w:val="00D323D9"/>
    <w:rsid w:val="00D32BC9"/>
    <w:rsid w:val="00D34410"/>
    <w:rsid w:val="00D34775"/>
    <w:rsid w:val="00D3488B"/>
    <w:rsid w:val="00D3560A"/>
    <w:rsid w:val="00D365A5"/>
    <w:rsid w:val="00D37584"/>
    <w:rsid w:val="00D40158"/>
    <w:rsid w:val="00D4035B"/>
    <w:rsid w:val="00D40537"/>
    <w:rsid w:val="00D4167E"/>
    <w:rsid w:val="00D42A94"/>
    <w:rsid w:val="00D42BA3"/>
    <w:rsid w:val="00D44A3B"/>
    <w:rsid w:val="00D458D9"/>
    <w:rsid w:val="00D46DCF"/>
    <w:rsid w:val="00D46DF7"/>
    <w:rsid w:val="00D50912"/>
    <w:rsid w:val="00D50BD4"/>
    <w:rsid w:val="00D51B18"/>
    <w:rsid w:val="00D51FD0"/>
    <w:rsid w:val="00D52ED0"/>
    <w:rsid w:val="00D5491C"/>
    <w:rsid w:val="00D56523"/>
    <w:rsid w:val="00D56931"/>
    <w:rsid w:val="00D60755"/>
    <w:rsid w:val="00D62D33"/>
    <w:rsid w:val="00D62F03"/>
    <w:rsid w:val="00D63A8A"/>
    <w:rsid w:val="00D63D38"/>
    <w:rsid w:val="00D63F6D"/>
    <w:rsid w:val="00D64629"/>
    <w:rsid w:val="00D64801"/>
    <w:rsid w:val="00D65112"/>
    <w:rsid w:val="00D65839"/>
    <w:rsid w:val="00D6613F"/>
    <w:rsid w:val="00D668F1"/>
    <w:rsid w:val="00D66AC2"/>
    <w:rsid w:val="00D66D9F"/>
    <w:rsid w:val="00D7106D"/>
    <w:rsid w:val="00D7395C"/>
    <w:rsid w:val="00D73B2B"/>
    <w:rsid w:val="00D74010"/>
    <w:rsid w:val="00D740C3"/>
    <w:rsid w:val="00D81ECA"/>
    <w:rsid w:val="00D81F23"/>
    <w:rsid w:val="00D8319D"/>
    <w:rsid w:val="00D84C08"/>
    <w:rsid w:val="00D86185"/>
    <w:rsid w:val="00D874D7"/>
    <w:rsid w:val="00D908BB"/>
    <w:rsid w:val="00D91137"/>
    <w:rsid w:val="00D930E3"/>
    <w:rsid w:val="00D9488A"/>
    <w:rsid w:val="00D95D68"/>
    <w:rsid w:val="00D96C7A"/>
    <w:rsid w:val="00DA0567"/>
    <w:rsid w:val="00DA0AA7"/>
    <w:rsid w:val="00DA1336"/>
    <w:rsid w:val="00DA3D24"/>
    <w:rsid w:val="00DA5209"/>
    <w:rsid w:val="00DA5A78"/>
    <w:rsid w:val="00DB0775"/>
    <w:rsid w:val="00DB393D"/>
    <w:rsid w:val="00DB482E"/>
    <w:rsid w:val="00DC360A"/>
    <w:rsid w:val="00DC4096"/>
    <w:rsid w:val="00DC5B76"/>
    <w:rsid w:val="00DC6448"/>
    <w:rsid w:val="00DC6A17"/>
    <w:rsid w:val="00DC6B7A"/>
    <w:rsid w:val="00DC6FC6"/>
    <w:rsid w:val="00DD055C"/>
    <w:rsid w:val="00DD2275"/>
    <w:rsid w:val="00DD22D6"/>
    <w:rsid w:val="00DD2611"/>
    <w:rsid w:val="00DD2D42"/>
    <w:rsid w:val="00DD3893"/>
    <w:rsid w:val="00DD465D"/>
    <w:rsid w:val="00DD6B92"/>
    <w:rsid w:val="00DD6BEE"/>
    <w:rsid w:val="00DE0AD1"/>
    <w:rsid w:val="00DE3658"/>
    <w:rsid w:val="00DE40B6"/>
    <w:rsid w:val="00DF0425"/>
    <w:rsid w:val="00DF15BF"/>
    <w:rsid w:val="00DF34DF"/>
    <w:rsid w:val="00DF6342"/>
    <w:rsid w:val="00DF67E2"/>
    <w:rsid w:val="00DF6B10"/>
    <w:rsid w:val="00DF6F99"/>
    <w:rsid w:val="00E00875"/>
    <w:rsid w:val="00E016A3"/>
    <w:rsid w:val="00E03249"/>
    <w:rsid w:val="00E03381"/>
    <w:rsid w:val="00E0558E"/>
    <w:rsid w:val="00E06433"/>
    <w:rsid w:val="00E119DA"/>
    <w:rsid w:val="00E122C1"/>
    <w:rsid w:val="00E14344"/>
    <w:rsid w:val="00E14C8C"/>
    <w:rsid w:val="00E154AC"/>
    <w:rsid w:val="00E155EC"/>
    <w:rsid w:val="00E1637C"/>
    <w:rsid w:val="00E163A5"/>
    <w:rsid w:val="00E17404"/>
    <w:rsid w:val="00E17923"/>
    <w:rsid w:val="00E20F0A"/>
    <w:rsid w:val="00E220FA"/>
    <w:rsid w:val="00E22168"/>
    <w:rsid w:val="00E25435"/>
    <w:rsid w:val="00E25FE1"/>
    <w:rsid w:val="00E26240"/>
    <w:rsid w:val="00E27492"/>
    <w:rsid w:val="00E27C59"/>
    <w:rsid w:val="00E27C68"/>
    <w:rsid w:val="00E312C9"/>
    <w:rsid w:val="00E31B14"/>
    <w:rsid w:val="00E32003"/>
    <w:rsid w:val="00E32117"/>
    <w:rsid w:val="00E3346A"/>
    <w:rsid w:val="00E53014"/>
    <w:rsid w:val="00E54045"/>
    <w:rsid w:val="00E55086"/>
    <w:rsid w:val="00E6082A"/>
    <w:rsid w:val="00E60AF5"/>
    <w:rsid w:val="00E614CE"/>
    <w:rsid w:val="00E61B7D"/>
    <w:rsid w:val="00E61B9F"/>
    <w:rsid w:val="00E6262F"/>
    <w:rsid w:val="00E6379B"/>
    <w:rsid w:val="00E65E22"/>
    <w:rsid w:val="00E66AD7"/>
    <w:rsid w:val="00E707EE"/>
    <w:rsid w:val="00E70821"/>
    <w:rsid w:val="00E73CFE"/>
    <w:rsid w:val="00E74ADF"/>
    <w:rsid w:val="00E74C09"/>
    <w:rsid w:val="00E75445"/>
    <w:rsid w:val="00E838A5"/>
    <w:rsid w:val="00E83B34"/>
    <w:rsid w:val="00E83C8F"/>
    <w:rsid w:val="00E85A63"/>
    <w:rsid w:val="00E865F3"/>
    <w:rsid w:val="00E9224E"/>
    <w:rsid w:val="00E92518"/>
    <w:rsid w:val="00E957BF"/>
    <w:rsid w:val="00E9619F"/>
    <w:rsid w:val="00E96922"/>
    <w:rsid w:val="00E9764A"/>
    <w:rsid w:val="00E9796B"/>
    <w:rsid w:val="00EA0F06"/>
    <w:rsid w:val="00EA18E3"/>
    <w:rsid w:val="00EA2250"/>
    <w:rsid w:val="00EA2D5B"/>
    <w:rsid w:val="00EB0248"/>
    <w:rsid w:val="00EB14FF"/>
    <w:rsid w:val="00EB2606"/>
    <w:rsid w:val="00EB332E"/>
    <w:rsid w:val="00EB4FD2"/>
    <w:rsid w:val="00EB554D"/>
    <w:rsid w:val="00EB62DA"/>
    <w:rsid w:val="00EB7E3C"/>
    <w:rsid w:val="00EC19A7"/>
    <w:rsid w:val="00EC1AEC"/>
    <w:rsid w:val="00EC223C"/>
    <w:rsid w:val="00EC29D3"/>
    <w:rsid w:val="00EC3762"/>
    <w:rsid w:val="00EC3BBC"/>
    <w:rsid w:val="00EC3D9E"/>
    <w:rsid w:val="00EC4923"/>
    <w:rsid w:val="00EC4DDA"/>
    <w:rsid w:val="00EC4F94"/>
    <w:rsid w:val="00EC620B"/>
    <w:rsid w:val="00EC6251"/>
    <w:rsid w:val="00EC76AE"/>
    <w:rsid w:val="00ED3BDB"/>
    <w:rsid w:val="00ED5361"/>
    <w:rsid w:val="00ED66DE"/>
    <w:rsid w:val="00ED6CDA"/>
    <w:rsid w:val="00ED7A9C"/>
    <w:rsid w:val="00EE25FC"/>
    <w:rsid w:val="00EE59B1"/>
    <w:rsid w:val="00EE6383"/>
    <w:rsid w:val="00EE74E1"/>
    <w:rsid w:val="00EF1B6A"/>
    <w:rsid w:val="00EF201F"/>
    <w:rsid w:val="00EF2886"/>
    <w:rsid w:val="00EF2A6E"/>
    <w:rsid w:val="00EF2B2C"/>
    <w:rsid w:val="00EF301B"/>
    <w:rsid w:val="00F00B0B"/>
    <w:rsid w:val="00F02A44"/>
    <w:rsid w:val="00F02BED"/>
    <w:rsid w:val="00F03BF6"/>
    <w:rsid w:val="00F101D1"/>
    <w:rsid w:val="00F1254A"/>
    <w:rsid w:val="00F142AD"/>
    <w:rsid w:val="00F14B7A"/>
    <w:rsid w:val="00F14C0E"/>
    <w:rsid w:val="00F1599D"/>
    <w:rsid w:val="00F169EB"/>
    <w:rsid w:val="00F16C1B"/>
    <w:rsid w:val="00F21A38"/>
    <w:rsid w:val="00F221F0"/>
    <w:rsid w:val="00F22F05"/>
    <w:rsid w:val="00F25522"/>
    <w:rsid w:val="00F25D33"/>
    <w:rsid w:val="00F260DA"/>
    <w:rsid w:val="00F268DE"/>
    <w:rsid w:val="00F27868"/>
    <w:rsid w:val="00F278E9"/>
    <w:rsid w:val="00F32D14"/>
    <w:rsid w:val="00F345D5"/>
    <w:rsid w:val="00F36B23"/>
    <w:rsid w:val="00F402BF"/>
    <w:rsid w:val="00F40DFE"/>
    <w:rsid w:val="00F44553"/>
    <w:rsid w:val="00F4549B"/>
    <w:rsid w:val="00F46F6A"/>
    <w:rsid w:val="00F52936"/>
    <w:rsid w:val="00F52B1C"/>
    <w:rsid w:val="00F53DA3"/>
    <w:rsid w:val="00F5718C"/>
    <w:rsid w:val="00F62E89"/>
    <w:rsid w:val="00F64A83"/>
    <w:rsid w:val="00F650F9"/>
    <w:rsid w:val="00F67E8F"/>
    <w:rsid w:val="00F716D1"/>
    <w:rsid w:val="00F728B6"/>
    <w:rsid w:val="00F731C2"/>
    <w:rsid w:val="00F734D6"/>
    <w:rsid w:val="00F75E42"/>
    <w:rsid w:val="00F76220"/>
    <w:rsid w:val="00F8167A"/>
    <w:rsid w:val="00F8749F"/>
    <w:rsid w:val="00F87E92"/>
    <w:rsid w:val="00F91456"/>
    <w:rsid w:val="00F94E04"/>
    <w:rsid w:val="00F9550D"/>
    <w:rsid w:val="00F975E6"/>
    <w:rsid w:val="00FA0BAB"/>
    <w:rsid w:val="00FA0E20"/>
    <w:rsid w:val="00FA279D"/>
    <w:rsid w:val="00FA4E70"/>
    <w:rsid w:val="00FA719B"/>
    <w:rsid w:val="00FB02AD"/>
    <w:rsid w:val="00FB0FE3"/>
    <w:rsid w:val="00FB148A"/>
    <w:rsid w:val="00FB30D3"/>
    <w:rsid w:val="00FB3652"/>
    <w:rsid w:val="00FB56A9"/>
    <w:rsid w:val="00FC0541"/>
    <w:rsid w:val="00FC13AA"/>
    <w:rsid w:val="00FC1782"/>
    <w:rsid w:val="00FC4776"/>
    <w:rsid w:val="00FC5D84"/>
    <w:rsid w:val="00FC6F6F"/>
    <w:rsid w:val="00FC775F"/>
    <w:rsid w:val="00FD019A"/>
    <w:rsid w:val="00FD1AC8"/>
    <w:rsid w:val="00FD55A4"/>
    <w:rsid w:val="00FD6807"/>
    <w:rsid w:val="00FE0AAE"/>
    <w:rsid w:val="00FE5D60"/>
    <w:rsid w:val="00FE640F"/>
    <w:rsid w:val="00FE6A97"/>
    <w:rsid w:val="00FE747A"/>
    <w:rsid w:val="00FF1F20"/>
    <w:rsid w:val="00FF4745"/>
    <w:rsid w:val="00FF4B03"/>
    <w:rsid w:val="04B06C0C"/>
    <w:rsid w:val="0726616A"/>
    <w:rsid w:val="0C251CAC"/>
    <w:rsid w:val="0DB577DF"/>
    <w:rsid w:val="0E554CA0"/>
    <w:rsid w:val="1353144A"/>
    <w:rsid w:val="143A0367"/>
    <w:rsid w:val="156323DB"/>
    <w:rsid w:val="158A22DB"/>
    <w:rsid w:val="18DF2026"/>
    <w:rsid w:val="19E4775A"/>
    <w:rsid w:val="1E842DB0"/>
    <w:rsid w:val="21950785"/>
    <w:rsid w:val="22AB2F10"/>
    <w:rsid w:val="2335044A"/>
    <w:rsid w:val="28267E51"/>
    <w:rsid w:val="299F190F"/>
    <w:rsid w:val="2E196BA9"/>
    <w:rsid w:val="2E1B39DB"/>
    <w:rsid w:val="2EB344A0"/>
    <w:rsid w:val="32013ED9"/>
    <w:rsid w:val="33387DDF"/>
    <w:rsid w:val="34DA10AC"/>
    <w:rsid w:val="351B3B2C"/>
    <w:rsid w:val="39F46CCB"/>
    <w:rsid w:val="3A335EEC"/>
    <w:rsid w:val="3FA06820"/>
    <w:rsid w:val="401239B2"/>
    <w:rsid w:val="445D3A7E"/>
    <w:rsid w:val="478943F9"/>
    <w:rsid w:val="49DF58C8"/>
    <w:rsid w:val="4ABB1DD8"/>
    <w:rsid w:val="4CAA49C3"/>
    <w:rsid w:val="4D9251A5"/>
    <w:rsid w:val="50A9066E"/>
    <w:rsid w:val="5AB76194"/>
    <w:rsid w:val="5B2F0FE6"/>
    <w:rsid w:val="5C594974"/>
    <w:rsid w:val="5C654874"/>
    <w:rsid w:val="628622B7"/>
    <w:rsid w:val="637E3E96"/>
    <w:rsid w:val="642F45A5"/>
    <w:rsid w:val="6950151A"/>
    <w:rsid w:val="698843D2"/>
    <w:rsid w:val="6AE866EC"/>
    <w:rsid w:val="700E26E5"/>
    <w:rsid w:val="70F3200C"/>
    <w:rsid w:val="72660E5E"/>
    <w:rsid w:val="75E827E0"/>
    <w:rsid w:val="784960F5"/>
  </w:rsids>
  <w:docVars>
    <w:docVar w:name="commondata" w:val="eyJoZGlkIjoiZDQ4ZDJmZjI2MGE1OWRkYTllYWY5ZTQ0MDYwM2VlZjEifQ=="/>
  </w:docVars>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lsdException w:name="heading 1" w:semiHidden="0" w:uiPriority="0" w:unhideWhenUsed="0"/>
    <w:lsdException w:name="heading 2" w:semiHidden="0" w:uiPriority="0" w:unhideWhenUsed="0"/>
    <w:lsdException w:name="heading 3" w:semiHidden="0" w:uiPriority="0" w:unhideWhenUsed="0"/>
    <w:lsdException w:name="heading 4" w:semiHidden="0" w:uiPriority="0" w:unhideWhenUsed="0"/>
    <w:lsdException w:name="heading 5" w:semiHidden="0" w:uiPriority="0" w:unhideWhenUsed="0"/>
    <w:lsdException w:name="heading 6" w:semiHidden="0" w:uiPriority="0" w:unhideWhenUsed="0"/>
    <w:lsdException w:name="heading 7" w:semiHidden="0" w:uiPriority="0" w:unhideWhenUsed="0"/>
    <w:lsdException w:name="heading 8" w:semiHidden="0" w:uiPriority="0" w:unhideWhenUsed="0"/>
    <w:lsdException w:name="heading 9" w:semiHidden="0" w:uiPriority="0" w:unhideWhenUsed="0"/>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uiPriority="0" w:unhideWhenUsed="0"/>
    <w:lsdException w:name="toc 2" w:uiPriority="0" w:unhideWhenUsed="0"/>
    <w:lsdException w:name="toc 3" w:uiPriority="0" w:unhideWhenUsed="0"/>
    <w:lsdException w:name="toc 4" w:uiPriority="0" w:unhideWhenUsed="0"/>
    <w:lsdException w:name="toc 5" w:uiPriority="0" w:unhideWhenUsed="0"/>
    <w:lsdException w:name="toc 6" w:uiPriority="0" w:unhideWhenUsed="0"/>
    <w:lsdException w:name="toc 7" w:uiPriority="0" w:unhideWhenUsed="0"/>
    <w:lsdException w:name="toc 8" w:uiPriority="0" w:unhideWhenUsed="0"/>
    <w:lsdException w:name="toc 9"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semiHidden="0" w:uiPriority="0" w:unhideWhenUsed="0"/>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lsdException w:name="Closing" w:semiHidden="0" w:uiPriority="0" w:unhideWhenUsed="0"/>
    <w:lsdException w:name="Signature" w:semiHidden="0" w:uiPriority="0" w:unhideWhenUsed="0"/>
    <w:lsdException w:name="Default Paragraph Font"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lsdException w:name="Emphasis" w:semiHidden="0" w:uiPriority="0" w:unhideWhenUsed="0"/>
    <w:lsdException w:name="Document Map"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uiPriority="0" w:unhideWhenUsed="0"/>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uiPriority="0" w:unhideWhenUsed="0"/>
    <w:lsdException w:name="Table Grid" w:semiHidden="0" w:uiPriority="0" w:unhideWhenUsed="0"/>
    <w:lsdException w:name="Table Theme"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pPr>
      <w:widowControl w:val="0"/>
      <w:jc w:val="both"/>
    </w:pPr>
    <w:rPr>
      <w:kern w:val="2"/>
      <w:sz w:val="21"/>
      <w:szCs w:val="24"/>
      <w:lang w:val="en-US" w:eastAsia="zh-CN" w:bidi="ar-SA"/>
    </w:rPr>
  </w:style>
  <w:style w:type="paragraph" w:styleId="Heading1">
    <w:name w:val="heading 1"/>
    <w:basedOn w:val="Normal"/>
    <w:next w:val="Normal"/>
    <w:link w:val="1Char"/>
    <w:pPr>
      <w:keepNext/>
      <w:keepLines/>
      <w:spacing w:before="531" w:beforeLines="150" w:after="354" w:afterLines="100" w:line="580" w:lineRule="exact"/>
      <w:outlineLvl w:val="0"/>
    </w:pPr>
    <w:rPr>
      <w:rFonts w:ascii="Times" w:hAnsi="Times"/>
      <w:b/>
      <w:bCs/>
      <w:kern w:val="44"/>
      <w:sz w:val="44"/>
      <w:szCs w:val="44"/>
    </w:rPr>
  </w:style>
  <w:style w:type="paragraph" w:styleId="Heading2">
    <w:name w:val="heading 2"/>
    <w:basedOn w:val="Normal"/>
    <w:next w:val="Normal"/>
    <w:link w:val="CharChar15"/>
    <w:pPr>
      <w:keepNext/>
      <w:keepLines/>
      <w:spacing w:before="885" w:beforeLines="250" w:after="354" w:afterLines="100" w:line="415" w:lineRule="auto"/>
      <w:outlineLvl w:val="1"/>
    </w:pPr>
    <w:rPr>
      <w:rFonts w:ascii="Arial" w:eastAsia="黑体" w:hAnsi="Arial"/>
      <w:b/>
      <w:bCs/>
      <w:sz w:val="32"/>
      <w:szCs w:val="32"/>
    </w:rPr>
  </w:style>
  <w:style w:type="paragraph" w:styleId="Heading3">
    <w:name w:val="heading 3"/>
    <w:basedOn w:val="Normal"/>
    <w:next w:val="Normal"/>
    <w:link w:val="Level1-2Char"/>
    <w:pPr>
      <w:keepNext/>
      <w:keepLines/>
      <w:spacing w:before="260" w:after="260" w:line="416" w:lineRule="auto"/>
      <w:outlineLvl w:val="2"/>
    </w:pPr>
    <w:rPr>
      <w:b/>
      <w:bCs/>
      <w:sz w:val="32"/>
      <w:szCs w:val="32"/>
    </w:rPr>
  </w:style>
  <w:style w:type="paragraph" w:styleId="Heading4">
    <w:name w:val="heading 4"/>
    <w:basedOn w:val="Normal"/>
    <w:next w:val="Normal"/>
    <w:pPr>
      <w:keepNext/>
      <w:keepLines/>
      <w:spacing w:before="280" w:after="290" w:line="376" w:lineRule="auto"/>
      <w:outlineLvl w:val="3"/>
    </w:pPr>
    <w:rPr>
      <w:rFonts w:ascii="Arial" w:hAnsi="Arial"/>
      <w:bCs/>
      <w:sz w:val="24"/>
    </w:rPr>
  </w:style>
  <w:style w:type="paragraph" w:styleId="Heading5">
    <w:name w:val="heading 5"/>
    <w:basedOn w:val="Normal"/>
    <w:next w:val="Normal"/>
    <w:pPr>
      <w:keepNext/>
      <w:keepLines/>
      <w:tabs>
        <w:tab w:val="left" w:pos="1155"/>
      </w:tabs>
      <w:spacing w:before="50" w:beforeLines="50" w:line="360" w:lineRule="auto"/>
      <w:outlineLvl w:val="4"/>
    </w:pPr>
    <w:rPr>
      <w:bCs/>
      <w:sz w:val="24"/>
    </w:rPr>
  </w:style>
  <w:style w:type="paragraph" w:styleId="Heading6">
    <w:name w:val="heading 6"/>
    <w:basedOn w:val="Normal"/>
    <w:next w:val="Normal"/>
    <w:pPr>
      <w:keepNext/>
      <w:keepLines/>
      <w:spacing w:before="240" w:after="64" w:line="320" w:lineRule="auto"/>
      <w:outlineLvl w:val="5"/>
    </w:pPr>
    <w:rPr>
      <w:rFonts w:ascii="Arial" w:eastAsia="黑体" w:hAnsi="Arial"/>
      <w:b/>
      <w:bCs/>
      <w:sz w:val="24"/>
    </w:rPr>
  </w:style>
  <w:style w:type="paragraph" w:styleId="Heading7">
    <w:name w:val="heading 7"/>
    <w:basedOn w:val="Normal"/>
    <w:next w:val="Normal"/>
    <w:pPr>
      <w:keepNext/>
      <w:keepLines/>
      <w:spacing w:before="240" w:after="64" w:line="320" w:lineRule="auto"/>
      <w:outlineLvl w:val="6"/>
    </w:pPr>
    <w:rPr>
      <w:b/>
      <w:bCs/>
      <w:sz w:val="24"/>
    </w:rPr>
  </w:style>
  <w:style w:type="character" w:default="1" w:styleId="DefaultParagraphFont">
    <w:name w:val="Default Paragraph Font"/>
    <w:link w:val="char"/>
    <w:semiHidden/>
    <w:rPr>
      <w:rFonts w:ascii="Verdana" w:eastAsia="仿宋_GB2312" w:hAnsi="Verdana" w:cs="”“Times New Roman”“"/>
      <w:kern w:val="0"/>
      <w:sz w:val="28"/>
      <w:szCs w:val="28"/>
      <w:lang w:eastAsia="en-US"/>
    </w:rPr>
  </w:style>
  <w:style w:type="table" w:default="1" w:styleId="TableNormal">
    <w:name w:val="Normal Table"/>
    <w:semiHidden/>
    <w:tblPr>
      <w:tblCellMar>
        <w:top w:w="0" w:type="dxa"/>
        <w:left w:w="108" w:type="dxa"/>
        <w:bottom w:w="0" w:type="dxa"/>
        <w:right w:w="108" w:type="dxa"/>
      </w:tblCellMar>
    </w:tblPr>
  </w:style>
  <w:style w:type="character" w:customStyle="1" w:styleId="1Char">
    <w:name w:val="标题 1 Char"/>
    <w:link w:val="Heading1"/>
    <w:rPr>
      <w:rFonts w:ascii="Times" w:eastAsia="宋体" w:hAnsi="Times"/>
      <w:b/>
      <w:bCs/>
      <w:kern w:val="44"/>
      <w:sz w:val="44"/>
      <w:szCs w:val="44"/>
      <w:lang w:val="en-US" w:eastAsia="zh-CN" w:bidi="ar-SA"/>
    </w:rPr>
  </w:style>
  <w:style w:type="character" w:customStyle="1" w:styleId="CharChar15">
    <w:name w:val=" Char Char15"/>
    <w:basedOn w:val="DefaultParagraphFont"/>
    <w:link w:val="Heading2"/>
    <w:rPr>
      <w:rFonts w:ascii="Arial" w:eastAsia="黑体" w:hAnsi="Arial"/>
      <w:b/>
      <w:bCs/>
      <w:kern w:val="2"/>
      <w:sz w:val="32"/>
      <w:szCs w:val="32"/>
      <w:lang w:val="en-US" w:eastAsia="zh-CN" w:bidi="ar-SA"/>
    </w:rPr>
  </w:style>
  <w:style w:type="paragraph" w:customStyle="1" w:styleId="char">
    <w:name w:val="char"/>
    <w:basedOn w:val="Normal"/>
    <w:link w:val="DefaultParagraphFont"/>
    <w:pPr>
      <w:widowControl/>
      <w:spacing w:after="160"/>
      <w:jc w:val="left"/>
    </w:pPr>
    <w:rPr>
      <w:rFonts w:ascii="Verdana" w:eastAsia="仿宋_GB2312" w:hAnsi="Verdana" w:cs="”“Times New Roman”“"/>
      <w:kern w:val="0"/>
      <w:sz w:val="28"/>
      <w:szCs w:val="28"/>
      <w:lang w:eastAsia="en-US"/>
    </w:rPr>
  </w:style>
  <w:style w:type="character" w:customStyle="1" w:styleId="Level1-2Char">
    <w:name w:val="Level 1 - 2 Char"/>
    <w:aliases w:val="1.1.1 Char,3rd level Char,CT Char,H3 Char,Level 1 - 1 Char,PIM 3 Char,h3 Char,hl3 Ch,l3 Char,level_3 Char,sect1.2.3 Char,sect1.2.31 Char,sect1.2.311 Char,sect1.2.312 Char,sect1.2.32 Char,sect1.2.33 Char,三级标题 Char,三级标题 Char Char,标题四 Char"/>
    <w:basedOn w:val="DefaultParagraphFont"/>
    <w:link w:val="Heading3"/>
    <w:rPr>
      <w:rFonts w:eastAsia="宋体"/>
      <w:b/>
      <w:bCs/>
      <w:kern w:val="2"/>
      <w:sz w:val="32"/>
      <w:szCs w:val="32"/>
      <w:lang w:val="en-US" w:eastAsia="zh-CN" w:bidi="ar-SA"/>
    </w:rPr>
  </w:style>
  <w:style w:type="paragraph" w:styleId="TOC7">
    <w:name w:val="toc 7"/>
    <w:basedOn w:val="Normal"/>
    <w:next w:val="Normal"/>
    <w:semiHidden/>
    <w:pPr>
      <w:ind w:left="2520" w:leftChars="1200"/>
    </w:pPr>
  </w:style>
  <w:style w:type="paragraph" w:styleId="ListNumber">
    <w:name w:val="List Number"/>
    <w:pPr>
      <w:numPr>
        <w:ilvl w:val="0"/>
        <w:numId w:val="0"/>
      </w:numPr>
      <w:spacing w:after="120"/>
      <w:ind w:left="576" w:hanging="576"/>
    </w:pPr>
    <w:rPr>
      <w:sz w:val="22"/>
      <w:lang w:val="en-US" w:eastAsia="en-US" w:bidi="ar-SA"/>
    </w:rPr>
  </w:style>
  <w:style w:type="paragraph" w:styleId="NormalIndent">
    <w:name w:val="Normal Indent"/>
    <w:basedOn w:val="Normal"/>
    <w:pPr>
      <w:adjustRightInd w:val="0"/>
      <w:snapToGrid w:val="0"/>
      <w:spacing w:after="156" w:afterLines="50" w:line="400" w:lineRule="exact"/>
    </w:pPr>
    <w:rPr>
      <w:rFonts w:ascii="宋体" w:hAnsi="宋体"/>
      <w:bCs/>
      <w:sz w:val="28"/>
      <w:szCs w:val="28"/>
    </w:rPr>
  </w:style>
  <w:style w:type="paragraph" w:styleId="DocumentMap">
    <w:name w:val="Document Map"/>
    <w:basedOn w:val="Normal"/>
    <w:semiHidden/>
    <w:pPr>
      <w:shd w:val="clear" w:color="auto" w:fill="000080"/>
    </w:pPr>
  </w:style>
  <w:style w:type="paragraph" w:styleId="BodyText">
    <w:name w:val="Body Text"/>
    <w:basedOn w:val="Normal"/>
    <w:pPr>
      <w:spacing w:after="120"/>
    </w:pPr>
  </w:style>
  <w:style w:type="paragraph" w:styleId="BodyTextIndent">
    <w:name w:val="Body Text Indent"/>
    <w:basedOn w:val="Normal"/>
    <w:pPr>
      <w:spacing w:after="120"/>
      <w:ind w:left="420" w:leftChars="200"/>
    </w:pPr>
  </w:style>
  <w:style w:type="paragraph" w:styleId="List2">
    <w:name w:val="List 2"/>
    <w:basedOn w:val="Normal"/>
    <w:pPr>
      <w:ind w:left="100" w:hanging="200" w:leftChars="200" w:hangingChars="200"/>
    </w:pPr>
  </w:style>
  <w:style w:type="paragraph" w:styleId="TOC5">
    <w:name w:val="toc 5"/>
    <w:basedOn w:val="Normal"/>
    <w:next w:val="Normal"/>
    <w:semiHidden/>
    <w:pPr>
      <w:ind w:left="1680" w:leftChars="800"/>
    </w:pPr>
  </w:style>
  <w:style w:type="paragraph" w:styleId="TOC3">
    <w:name w:val="toc 3"/>
    <w:basedOn w:val="Normal"/>
    <w:next w:val="Normal"/>
    <w:semiHidden/>
    <w:pPr>
      <w:ind w:left="840" w:leftChars="400"/>
    </w:pPr>
  </w:style>
  <w:style w:type="paragraph" w:styleId="PlainText">
    <w:name w:val="Plain Text"/>
    <w:basedOn w:val="Normal"/>
    <w:rPr>
      <w:rFonts w:ascii="宋体" w:hAnsi="Courier New" w:cs="Courier New"/>
      <w:szCs w:val="21"/>
    </w:rPr>
  </w:style>
  <w:style w:type="paragraph" w:styleId="TOC8">
    <w:name w:val="toc 8"/>
    <w:basedOn w:val="Normal"/>
    <w:next w:val="Normal"/>
    <w:semiHidden/>
    <w:pPr>
      <w:ind w:left="2940" w:leftChars="1400"/>
    </w:pPr>
  </w:style>
  <w:style w:type="paragraph" w:styleId="Date">
    <w:name w:val="Date"/>
    <w:basedOn w:val="Normal"/>
    <w:next w:val="Normal"/>
    <w:pPr>
      <w:ind w:left="100" w:leftChars="2500"/>
    </w:pPr>
  </w:style>
  <w:style w:type="paragraph" w:styleId="BodyTextIndent2">
    <w:name w:val="Body Text Indent 2"/>
    <w:basedOn w:val="Normal"/>
    <w:pPr>
      <w:ind w:firstLine="536" w:firstLineChars="200"/>
    </w:pPr>
    <w:rPr>
      <w:sz w:val="28"/>
    </w:rPr>
  </w:style>
  <w:style w:type="paragraph" w:styleId="BalloonText">
    <w:name w:val="Balloon Text"/>
    <w:basedOn w:val="Normal"/>
    <w:semiHidden/>
    <w:rPr>
      <w:sz w:val="18"/>
      <w:szCs w:val="18"/>
    </w:rPr>
  </w:style>
  <w:style w:type="paragraph" w:styleId="Footer">
    <w:name w:val="footer"/>
    <w:basedOn w:val="Normal"/>
    <w:pPr>
      <w:tabs>
        <w:tab w:val="center" w:pos="4153"/>
        <w:tab w:val="right" w:pos="8306"/>
      </w:tabs>
      <w:snapToGrid w:val="0"/>
      <w:jc w:val="left"/>
    </w:pPr>
    <w:rPr>
      <w:sz w:val="18"/>
      <w:szCs w:val="18"/>
    </w:rPr>
  </w:style>
  <w:style w:type="paragraph" w:styleId="Header">
    <w:name w:val="header"/>
    <w:basedOn w:val="Normal"/>
    <w:pPr>
      <w:pBdr>
        <w:bottom w:val="single" w:sz="6" w:space="1" w:color="auto"/>
      </w:pBdr>
      <w:tabs>
        <w:tab w:val="center" w:pos="4153"/>
        <w:tab w:val="right" w:pos="8306"/>
      </w:tabs>
      <w:snapToGrid w:val="0"/>
      <w:jc w:val="center"/>
    </w:pPr>
    <w:rPr>
      <w:sz w:val="18"/>
      <w:szCs w:val="18"/>
    </w:rPr>
  </w:style>
  <w:style w:type="paragraph" w:styleId="TOC1">
    <w:name w:val="toc 1"/>
    <w:basedOn w:val="Normal"/>
    <w:next w:val="Normal"/>
    <w:semiHidden/>
    <w:pPr>
      <w:tabs>
        <w:tab w:val="right" w:leader="dot" w:pos="8296"/>
      </w:tabs>
      <w:spacing w:before="156" w:beforeLines="50" w:after="78" w:afterLines="25"/>
    </w:pPr>
    <w:rPr>
      <w:rFonts w:ascii="楷体_GB2312" w:eastAsia="楷体_GB2312"/>
      <w:b/>
      <w:sz w:val="26"/>
    </w:rPr>
  </w:style>
  <w:style w:type="paragraph" w:styleId="TOC4">
    <w:name w:val="toc 4"/>
    <w:basedOn w:val="Normal"/>
    <w:next w:val="Normal"/>
    <w:semiHidden/>
    <w:pPr>
      <w:ind w:left="1260" w:leftChars="600"/>
    </w:pPr>
  </w:style>
  <w:style w:type="paragraph" w:styleId="TOC6">
    <w:name w:val="toc 6"/>
    <w:basedOn w:val="Normal"/>
    <w:next w:val="Normal"/>
    <w:semiHidden/>
    <w:pPr>
      <w:ind w:left="2100" w:leftChars="1000"/>
    </w:pPr>
  </w:style>
  <w:style w:type="paragraph" w:styleId="BodyTextIndent3">
    <w:name w:val="Body Text Indent 3"/>
    <w:basedOn w:val="Normal"/>
    <w:pPr>
      <w:spacing w:after="120"/>
      <w:ind w:left="420" w:leftChars="200"/>
    </w:pPr>
    <w:rPr>
      <w:sz w:val="16"/>
      <w:szCs w:val="16"/>
    </w:rPr>
  </w:style>
  <w:style w:type="paragraph" w:styleId="TOC2">
    <w:name w:val="toc 2"/>
    <w:basedOn w:val="Normal"/>
    <w:next w:val="Normal"/>
    <w:semiHidden/>
    <w:pPr>
      <w:tabs>
        <w:tab w:val="right" w:leader="dot" w:pos="8302"/>
      </w:tabs>
      <w:ind w:left="420" w:leftChars="200"/>
    </w:pPr>
    <w:rPr>
      <w:rFonts w:ascii="新宋体" w:eastAsia="新宋体" w:hAnsi="新宋体"/>
      <w:b/>
    </w:rPr>
  </w:style>
  <w:style w:type="paragraph" w:styleId="TOC9">
    <w:name w:val="toc 9"/>
    <w:basedOn w:val="Normal"/>
    <w:next w:val="Normal"/>
    <w:semiHidden/>
    <w:pPr>
      <w:ind w:left="3360" w:leftChars="1600"/>
    </w:pPr>
  </w:style>
  <w:style w:type="paragraph" w:styleId="MessageHeader">
    <w:name w:val="Message Header"/>
    <w:basedOn w:val="Normal"/>
    <w:pPr>
      <w:pBdr>
        <w:top w:val="single" w:sz="6" w:space="1" w:color="auto"/>
        <w:left w:val="single" w:sz="6" w:space="1" w:color="auto"/>
        <w:bottom w:val="single" w:sz="6" w:space="1" w:color="auto"/>
        <w:right w:val="single" w:sz="6" w:space="1" w:color="auto"/>
      </w:pBdr>
      <w:shd w:val="pct20" w:color="auto" w:fill="auto"/>
      <w:ind w:left="1080" w:hanging="1080" w:leftChars="500" w:hangingChars="500"/>
    </w:pPr>
    <w:rPr>
      <w:rFonts w:ascii="Arial" w:hAnsi="Arial" w:cs="Arial"/>
      <w:sz w:val="24"/>
    </w:rPr>
  </w:style>
  <w:style w:type="paragraph" w:styleId="HTMLPreformatted">
    <w:name w:val="HTML Preformatted"/>
    <w:basedOn w:val="Normal"/>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cs="宋体"/>
      <w:kern w:val="0"/>
      <w:sz w:val="24"/>
    </w:rPr>
  </w:style>
  <w:style w:type="paragraph" w:styleId="NormalWeb">
    <w:name w:val="Normal (Web)"/>
    <w:basedOn w:val="Normal"/>
    <w:pPr>
      <w:widowControl/>
      <w:spacing w:before="100" w:beforeAutospacing="1" w:after="100" w:afterAutospacing="1"/>
      <w:jc w:val="left"/>
    </w:pPr>
    <w:rPr>
      <w:rFonts w:ascii="宋体" w:hAnsi="宋体" w:cs="宋体"/>
      <w:kern w:val="0"/>
      <w:sz w:val="24"/>
    </w:rPr>
  </w:style>
  <w:style w:type="paragraph" w:styleId="Title">
    <w:name w:val="Title"/>
    <w:basedOn w:val="Normal"/>
    <w:pPr>
      <w:widowControl/>
      <w:overflowPunct w:val="0"/>
      <w:autoSpaceDE w:val="0"/>
      <w:autoSpaceDN w:val="0"/>
      <w:adjustRightInd w:val="0"/>
      <w:jc w:val="center"/>
      <w:textAlignment w:val="baseline"/>
    </w:pPr>
    <w:rPr>
      <w:rFonts w:ascii="Arial" w:hAnsi="Arial"/>
      <w:b/>
      <w:kern w:val="0"/>
      <w:sz w:val="24"/>
      <w:szCs w:val="20"/>
      <w:u w:val="single"/>
    </w:rPr>
  </w:style>
  <w:style w:type="table" w:styleId="TableGrid">
    <w:name w:val="Table Grid"/>
    <w:basedOn w:val="TableNormal"/>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Theme">
    <w:name w:val="Table Theme"/>
    <w:basedOn w:val="TableNormal"/>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List7">
    <w:name w:val="Table List 7"/>
    <w:basedOn w:val="TableNormal"/>
    <w:pPr>
      <w:widowControl w:val="0"/>
      <w:jc w:val="both"/>
    </w:pPr>
    <w:tblPr>
      <w:tblStyleRowBandSize w:val="1"/>
      <w:tblBorders>
        <w:top w:val="single" w:sz="12" w:space="0" w:color="008000"/>
        <w:left w:val="single" w:sz="6" w:space="0" w:color="008000"/>
        <w:bottom w:val="single" w:sz="12" w:space="0" w:color="008000"/>
        <w:right w:val="single" w:sz="6" w:space="0" w:color="008000"/>
        <w:insideH w:val="single" w:sz="6" w:space="0" w:color="000000"/>
        <w:insideV w:val="none" w:sz="0" w:space="0" w:color="auto"/>
      </w:tblBorders>
    </w:tblPr>
    <w:tblStylePr w:type="firstRow">
      <w:rPr>
        <w:b/>
        <w:bCs/>
      </w:rPr>
      <w:tblPr/>
      <w:tcPr>
        <w:tcBorders>
          <w:top w:val="nil"/>
          <w:left w:val="nil"/>
          <w:bottom w:val="single" w:sz="12" w:space="0" w:color="008000"/>
          <w:right w:val="nil"/>
          <w:insideH w:val="nil"/>
          <w:insideV w:val="nil"/>
          <w:tl2br w:val="nil"/>
          <w:tr2bl w:val="nil"/>
        </w:tcBorders>
        <w:shd w:val="solid" w:color="C0C0C0" w:fill="FFFFFF"/>
      </w:tcPr>
    </w:tblStylePr>
    <w:tblStylePr w:type="lastRow">
      <w:rPr>
        <w:b/>
        <w:bCs/>
      </w:rPr>
      <w:tblPr/>
      <w:tcPr>
        <w:tcBorders>
          <w:top w:val="single" w:sz="12" w:space="0" w:color="008000"/>
          <w:left w:val="nil"/>
          <w:bottom w:val="nil"/>
          <w:right w:val="nil"/>
          <w:insideH w:val="nil"/>
          <w:insideV w:val="nil"/>
          <w:tl2br w:val="nil"/>
          <w:tr2bl w:val="nil"/>
        </w:tcBorders>
      </w:tcPr>
    </w:tblStylePr>
    <w:tblStylePr w:type="firstCol">
      <w:rPr>
        <w:b/>
        <w:bCs/>
      </w:rPr>
      <w:tblPr/>
      <w:tcPr>
        <w:tcBorders>
          <w:top w:val="nil"/>
          <w:left w:val="nil"/>
          <w:bottom w:val="nil"/>
          <w:right w:val="nil"/>
          <w:insideH w:val="nil"/>
          <w:insideV w:val="nil"/>
          <w:tl2br w:val="nil"/>
          <w:tr2bl w:val="nil"/>
        </w:tcBorders>
      </w:tcPr>
    </w:tblStylePr>
    <w:tblStylePr w:type="lastCol">
      <w:rPr>
        <w:b/>
        <w:bCs/>
      </w:rPr>
      <w:tblPr/>
      <w:tcPr>
        <w:tcBorders>
          <w:top w:val="nil"/>
          <w:left w:val="nil"/>
          <w:bottom w:val="nil"/>
          <w:right w:val="nil"/>
          <w:insideH w:val="nil"/>
          <w:insideV w:val="nil"/>
          <w:tl2br w:val="nil"/>
          <w:tr2bl w:val="nil"/>
        </w:tcBorders>
      </w:tcPr>
    </w:tblStylePr>
    <w:tblStylePr w:type="band1Horz">
      <w:rPr>
        <w:color w:val="auto"/>
      </w:rPr>
      <w:tblPr/>
      <w:tcPr>
        <w:tcBorders>
          <w:top w:val="nil"/>
          <w:left w:val="nil"/>
          <w:bottom w:val="nil"/>
          <w:right w:val="nil"/>
          <w:insideH w:val="nil"/>
          <w:insideV w:val="nil"/>
          <w:tl2br w:val="nil"/>
          <w:tr2bl w:val="nil"/>
        </w:tcBorders>
        <w:shd w:val="pct20" w:color="000000" w:fill="FFFFFF"/>
      </w:tcPr>
    </w:tblStylePr>
    <w:tblStylePr w:type="band2Horz">
      <w:tblPr/>
      <w:tcPr>
        <w:tcBorders>
          <w:top w:val="nil"/>
          <w:left w:val="nil"/>
          <w:bottom w:val="nil"/>
          <w:right w:val="nil"/>
          <w:insideH w:val="nil"/>
          <w:insideV w:val="nil"/>
          <w:tl2br w:val="nil"/>
          <w:tr2bl w:val="nil"/>
        </w:tcBorders>
        <w:shd w:val="pct25" w:color="FFFF00" w:fill="FFFFFF"/>
      </w:tcPr>
    </w:tblStylePr>
  </w:style>
  <w:style w:type="table" w:styleId="TableColumns1">
    <w:name w:val="Table Columns 1"/>
    <w:basedOn w:val="TableNormal"/>
    <w:pPr>
      <w:widowControl w:val="0"/>
      <w:jc w:val="both"/>
    </w:pPr>
    <w:rPr>
      <w:b/>
      <w:bCs/>
    </w:rPr>
    <w:tblPr>
      <w:tblStyleColBandSize w:val="1"/>
      <w:tblBorders>
        <w:top w:val="single" w:sz="12" w:space="0" w:color="000000"/>
        <w:left w:val="single" w:sz="12" w:space="0" w:color="000000"/>
        <w:bottom w:val="single" w:sz="12" w:space="0" w:color="000000"/>
        <w:right w:val="single" w:sz="12" w:space="0" w:color="000000"/>
        <w:insideH w:val="none" w:sz="0" w:space="0" w:color="auto"/>
        <w:insideV w:val="none" w:sz="0" w:space="0" w:color="auto"/>
      </w:tblBorders>
    </w:tblPr>
    <w:tblStylePr w:type="firstRow">
      <w:rPr>
        <w:b w:val="0"/>
        <w:bCs w:val="0"/>
      </w:rPr>
      <w:tblPr/>
      <w:tcPr>
        <w:tcBorders>
          <w:top w:val="nil"/>
          <w:left w:val="nil"/>
          <w:bottom w:val="double" w:sz="6" w:space="0" w:color="000000"/>
          <w:right w:val="nil"/>
          <w:insideH w:val="nil"/>
          <w:insideV w:val="nil"/>
          <w:tl2br w:val="nil"/>
          <w:tr2bl w:val="nil"/>
        </w:tcBorders>
      </w:tcPr>
    </w:tblStylePr>
    <w:tblStylePr w:type="lastRow">
      <w:rPr>
        <w:b w:val="0"/>
        <w:bCs w:val="0"/>
      </w:rPr>
      <w:tblPr/>
      <w:tcPr>
        <w:tcBorders>
          <w:top w:val="nil"/>
          <w:left w:val="nil"/>
          <w:bottom w:val="nil"/>
          <w:right w:val="nil"/>
          <w:insideH w:val="nil"/>
          <w:insideV w:val="nil"/>
          <w:tl2br w:val="nil"/>
          <w:tr2bl w:val="nil"/>
        </w:tcBorders>
      </w:tcPr>
    </w:tblStylePr>
    <w:tblStylePr w:type="firstCol">
      <w:rPr>
        <w:b w:val="0"/>
        <w:bCs w:val="0"/>
      </w:rPr>
      <w:tblPr/>
      <w:tcPr>
        <w:tcBorders>
          <w:top w:val="nil"/>
          <w:left w:val="nil"/>
          <w:bottom w:val="nil"/>
          <w:right w:val="nil"/>
          <w:insideH w:val="nil"/>
          <w:insideV w:val="nil"/>
          <w:tl2br w:val="nil"/>
          <w:tr2bl w:val="nil"/>
        </w:tcBorders>
      </w:tcPr>
    </w:tblStylePr>
    <w:tblStylePr w:type="lastCol">
      <w:rPr>
        <w:b w:val="0"/>
        <w:bCs w:val="0"/>
      </w:rPr>
      <w:tblPr/>
      <w:tcPr>
        <w:tcBorders>
          <w:top w:val="nil"/>
          <w:left w:val="nil"/>
          <w:bottom w:val="nil"/>
          <w:right w:val="nil"/>
          <w:insideH w:val="nil"/>
          <w:insideV w:val="nil"/>
          <w:tl2br w:val="nil"/>
          <w:tr2bl w:val="nil"/>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op w:val="nil"/>
          <w:left w:val="nil"/>
          <w:bottom w:val="nil"/>
          <w:right w:val="nil"/>
          <w:insideH w:val="nil"/>
          <w:insideV w:val="nil"/>
          <w:tl2br w:val="nil"/>
          <w:tr2bl w:val="nil"/>
        </w:tcBorders>
      </w:tcPr>
    </w:tblStylePr>
    <w:tblStylePr w:type="swCell">
      <w:rPr>
        <w:b/>
        <w:bCs/>
      </w:rPr>
      <w:tblPr/>
      <w:tcPr>
        <w:tcBorders>
          <w:top w:val="nil"/>
          <w:left w:val="nil"/>
          <w:bottom w:val="nil"/>
          <w:right w:val="nil"/>
          <w:insideH w:val="nil"/>
          <w:insideV w:val="nil"/>
          <w:tl2br w:val="nil"/>
          <w:tr2bl w:val="nil"/>
        </w:tcBorders>
      </w:tcPr>
    </w:tblStylePr>
  </w:style>
  <w:style w:type="character" w:styleId="Strong">
    <w:name w:val="Strong"/>
    <w:basedOn w:val="DefaultParagraphFont"/>
    <w:rPr>
      <w:b/>
      <w:bCs/>
    </w:rPr>
  </w:style>
  <w:style w:type="character" w:styleId="PageNumber">
    <w:name w:val="page number"/>
    <w:basedOn w:val="DefaultParagraphFont"/>
  </w:style>
  <w:style w:type="character" w:styleId="FollowedHyperlink">
    <w:name w:val="FollowedHyperlink"/>
    <w:basedOn w:val="DefaultParagraphFont"/>
    <w:rPr>
      <w:color w:val="800080"/>
      <w:u w:val="single"/>
    </w:rPr>
  </w:style>
  <w:style w:type="character" w:styleId="Emphasis">
    <w:name w:val="Emphasis"/>
    <w:basedOn w:val="DefaultParagraphFont"/>
    <w:rPr>
      <w:i/>
      <w:iCs/>
    </w:rPr>
  </w:style>
  <w:style w:type="character" w:styleId="Hyperlink">
    <w:name w:val="Hyperlink"/>
    <w:basedOn w:val="DefaultParagraphFont"/>
    <w:rPr>
      <w:color w:val="0000FF"/>
      <w:u w:val="single"/>
    </w:rPr>
  </w:style>
  <w:style w:type="character" w:styleId="HTMLCode">
    <w:name w:val="HTML Code"/>
    <w:basedOn w:val="DefaultParagraphFont"/>
    <w:rPr>
      <w:rFonts w:ascii="宋体" w:eastAsia="宋体" w:hAnsi="宋体" w:cs="宋体"/>
      <w:sz w:val="24"/>
      <w:szCs w:val="24"/>
    </w:rPr>
  </w:style>
  <w:style w:type="character" w:customStyle="1" w:styleId="style121">
    <w:name w:val="style121"/>
    <w:basedOn w:val="DefaultParagraphFont"/>
    <w:rPr>
      <w:color w:val="333333"/>
    </w:rPr>
  </w:style>
  <w:style w:type="character" w:customStyle="1" w:styleId="html-attribute-value">
    <w:name w:val="html-attribute-value"/>
    <w:basedOn w:val="DefaultParagraphFont"/>
  </w:style>
  <w:style w:type="character" w:customStyle="1" w:styleId="headline-content">
    <w:name w:val="headline-content"/>
    <w:basedOn w:val="DefaultParagraphFont"/>
  </w:style>
  <w:style w:type="character" w:customStyle="1" w:styleId="px141">
    <w:name w:val="px141"/>
    <w:basedOn w:val="DefaultParagraphFont"/>
    <w:rPr>
      <w:rFonts w:ascii="ˎ̥" w:hAnsi="ˎ̥" w:hint="default"/>
      <w:sz w:val="21"/>
      <w:szCs w:val="21"/>
    </w:rPr>
  </w:style>
  <w:style w:type="character" w:customStyle="1" w:styleId="html-attribute-name">
    <w:name w:val="html-attribute-name"/>
    <w:basedOn w:val="DefaultParagraphFont"/>
  </w:style>
  <w:style w:type="character" w:customStyle="1" w:styleId="style1">
    <w:name w:val="style1"/>
    <w:basedOn w:val="DefaultParagraphFont"/>
  </w:style>
  <w:style w:type="character" w:customStyle="1" w:styleId="textediteditable-title">
    <w:name w:val="text_edit editable-title"/>
    <w:basedOn w:val="DefaultParagraphFont"/>
  </w:style>
  <w:style w:type="character" w:customStyle="1" w:styleId="px14">
    <w:name w:val="px14"/>
    <w:basedOn w:val="DefaultParagraphFont"/>
  </w:style>
  <w:style w:type="character" w:customStyle="1" w:styleId="font12001e5a1">
    <w:name w:val="font12_001e5a1"/>
    <w:basedOn w:val="DefaultParagraphFont"/>
    <w:rPr>
      <w:sz w:val="18"/>
      <w:szCs w:val="18"/>
      <w:u w:val="none"/>
    </w:rPr>
  </w:style>
  <w:style w:type="character" w:customStyle="1" w:styleId="H2Char1">
    <w:name w:val="H2 Char1"/>
    <w:aliases w:val="(一) Char1,2 Char1,2nd level Char1,Body Text (Reset numbering) Char1,HD2 Char,Header 2 Char1,Heading 2 CCBS Char1,Heading 2 Hidden Char1,ISO1 Char1,Reset numbering Char,h2 Char1,heading 2 Char1,l2 Char,y节 Char1,标2 Char,标题 21 Char,第一章 标题 2 Char1"/>
    <w:basedOn w:val="DefaultParagraphFont"/>
    <w:rPr>
      <w:rFonts w:ascii="Arial" w:eastAsia="黑体" w:hAnsi="Arial"/>
      <w:b/>
      <w:bCs/>
      <w:kern w:val="2"/>
      <w:sz w:val="32"/>
      <w:szCs w:val="32"/>
      <w:lang w:val="en-US" w:eastAsia="zh-CN" w:bidi="ar-SA"/>
    </w:rPr>
  </w:style>
  <w:style w:type="character" w:customStyle="1" w:styleId="newscontent">
    <w:name w:val="newscontent"/>
    <w:basedOn w:val="DefaultParagraphFont"/>
  </w:style>
  <w:style w:type="character" w:customStyle="1" w:styleId="stone1">
    <w:name w:val="stone1"/>
    <w:basedOn w:val="DefaultParagraphFont"/>
    <w:rPr>
      <w:vanish/>
    </w:rPr>
  </w:style>
  <w:style w:type="character" w:customStyle="1" w:styleId="title11">
    <w:name w:val="title11"/>
    <w:basedOn w:val="DefaultParagraphFont"/>
  </w:style>
  <w:style w:type="character" w:customStyle="1" w:styleId="zi1">
    <w:name w:val="zi1"/>
    <w:basedOn w:val="DefaultParagraphFont"/>
    <w:rPr>
      <w:color w:val="000000"/>
      <w:sz w:val="18"/>
      <w:szCs w:val="18"/>
      <w:u w:val="none"/>
    </w:rPr>
  </w:style>
  <w:style w:type="character" w:customStyle="1" w:styleId="tx131">
    <w:name w:val="tx131"/>
    <w:basedOn w:val="DefaultParagraphFont"/>
    <w:rPr>
      <w:rFonts w:ascii="宋体" w:eastAsia="宋体" w:hAnsi="宋体" w:hint="eastAsia"/>
      <w:sz w:val="22"/>
      <w:szCs w:val="22"/>
    </w:rPr>
  </w:style>
  <w:style w:type="character" w:customStyle="1" w:styleId="default1">
    <w:name w:val="default1"/>
    <w:basedOn w:val="DefaultParagraphFont"/>
    <w:rPr>
      <w:sz w:val="21"/>
      <w:szCs w:val="21"/>
    </w:rPr>
  </w:style>
  <w:style w:type="character" w:customStyle="1" w:styleId="headline-content2">
    <w:name w:val="headline-content2"/>
    <w:basedOn w:val="DefaultParagraphFont"/>
  </w:style>
  <w:style w:type="character" w:customStyle="1" w:styleId="html-tag">
    <w:name w:val="html-tag"/>
    <w:basedOn w:val="DefaultParagraphFont"/>
  </w:style>
  <w:style w:type="character" w:customStyle="1" w:styleId="bjh-p">
    <w:name w:val="bjh-p"/>
    <w:basedOn w:val="DefaultParagraphFont"/>
  </w:style>
  <w:style w:type="character" w:customStyle="1" w:styleId="greyfont">
    <w:name w:val="greyfont"/>
    <w:basedOn w:val="DefaultParagraphFont"/>
  </w:style>
  <w:style w:type="character" w:customStyle="1" w:styleId="count4">
    <w:name w:val="count4"/>
    <w:basedOn w:val="DefaultParagraphFont"/>
  </w:style>
  <w:style w:type="character" w:customStyle="1" w:styleId="3Char">
    <w:name w:val="标题 3 Char"/>
    <w:basedOn w:val="DefaultParagraphFont"/>
    <w:rPr>
      <w:rFonts w:ascii="Times New Roman" w:eastAsia="华文新魏" w:hAnsi="Times New Roman"/>
      <w:b/>
      <w:dstrike w:val="0"/>
      <w:shadow/>
      <w:color w:val="000000"/>
      <w:kern w:val="2"/>
      <w:sz w:val="28"/>
      <w:szCs w:val="23"/>
      <w:vertAlign w:val="baseline"/>
      <w:lang w:val="en-US" w:eastAsia="zh-CN" w:bidi="ar-SA"/>
    </w:rPr>
  </w:style>
  <w:style w:type="character" w:customStyle="1" w:styleId="yqlink">
    <w:name w:val="yqlink"/>
    <w:basedOn w:val="DefaultParagraphFont"/>
  </w:style>
  <w:style w:type="character" w:customStyle="1" w:styleId="big1">
    <w:name w:val="big1"/>
    <w:basedOn w:val="DefaultParagraphFont"/>
    <w:rPr>
      <w:sz w:val="21"/>
      <w:szCs w:val="21"/>
    </w:rPr>
  </w:style>
  <w:style w:type="character" w:customStyle="1" w:styleId="apple-converted-space">
    <w:name w:val="apple-converted-space"/>
    <w:basedOn w:val="DefaultParagraphFont"/>
  </w:style>
  <w:style w:type="character" w:customStyle="1" w:styleId="articlelink1">
    <w:name w:val="articlelink1"/>
    <w:basedOn w:val="DefaultParagraphFont"/>
    <w:rPr>
      <w:color w:val="080CBD"/>
      <w:sz w:val="21"/>
      <w:szCs w:val="21"/>
    </w:rPr>
  </w:style>
  <w:style w:type="character" w:customStyle="1" w:styleId="2Char0">
    <w:name w:val="标题 2 Char"/>
    <w:aliases w:val="(一) Char,(一) Char Char,2 Char,2nd level Char,Body Text (Reset numbering) Char,H2 Char,Header 2 Char,Heading 2 CCBS Char,Heading 2 Hidden Char,ISO1 Char,Reset numbering Char Char,h2 Char,heading 2 Char,y节 Char,第一章 标题 2 Char"/>
    <w:basedOn w:val="DefaultParagraphFont"/>
    <w:rPr>
      <w:rFonts w:ascii="Arial" w:eastAsia="黑体" w:hAnsi="Arial"/>
      <w:b/>
      <w:bCs/>
      <w:kern w:val="2"/>
      <w:sz w:val="32"/>
      <w:szCs w:val="32"/>
      <w:lang w:val="en-US" w:eastAsia="zh-CN" w:bidi="ar-SA"/>
    </w:rPr>
  </w:style>
  <w:style w:type="character" w:customStyle="1" w:styleId="test121">
    <w:name w:val="test121"/>
    <w:basedOn w:val="DefaultParagraphFont"/>
    <w:rPr>
      <w:color w:val="000000"/>
      <w:sz w:val="21"/>
      <w:szCs w:val="21"/>
    </w:rPr>
  </w:style>
  <w:style w:type="paragraph" w:customStyle="1" w:styleId="double">
    <w:name w:val="double"/>
    <w:basedOn w:val="Normal"/>
    <w:pPr>
      <w:widowControl/>
      <w:spacing w:before="100" w:beforeAutospacing="1" w:after="100" w:afterAutospacing="1"/>
      <w:jc w:val="left"/>
    </w:pPr>
    <w:rPr>
      <w:rFonts w:ascii="宋体" w:hAnsi="宋体" w:cs="宋体"/>
      <w:color w:val="666666"/>
      <w:kern w:val="0"/>
      <w:sz w:val="24"/>
    </w:rPr>
  </w:style>
  <w:style w:type="paragraph" w:customStyle="1" w:styleId="a">
    <w:name w:val="正文内容"/>
    <w:basedOn w:val="Normal"/>
    <w:pPr>
      <w:spacing w:before="100" w:after="100" w:line="360" w:lineRule="auto"/>
      <w:ind w:firstLine="420"/>
    </w:pPr>
    <w:rPr>
      <w:sz w:val="24"/>
    </w:rPr>
  </w:style>
  <w:style w:type="paragraph" w:customStyle="1" w:styleId="reader-word-layerreader-word-s12-2">
    <w:name w:val="reader-word-layer reader-word-s12-2"/>
    <w:basedOn w:val="Normal"/>
    <w:pPr>
      <w:widowControl/>
      <w:spacing w:before="100" w:beforeAutospacing="1" w:after="100" w:afterAutospacing="1"/>
      <w:jc w:val="left"/>
    </w:pPr>
    <w:rPr>
      <w:rFonts w:ascii="宋体" w:hAnsi="宋体" w:cs="宋体"/>
      <w:kern w:val="0"/>
      <w:sz w:val="24"/>
    </w:rPr>
  </w:style>
  <w:style w:type="paragraph" w:customStyle="1" w:styleId="1">
    <w:name w:val="申报单位样式1"/>
    <w:basedOn w:val="10"/>
    <w:pPr>
      <w:tabs>
        <w:tab w:val="clear" w:pos="1410"/>
      </w:tabs>
      <w:ind w:firstLine="0"/>
      <w:outlineLvl w:val="9"/>
    </w:pPr>
    <w:rPr>
      <w:spacing w:val="0"/>
      <w:kern w:val="32"/>
      <w:sz w:val="36"/>
    </w:rPr>
  </w:style>
  <w:style w:type="paragraph" w:customStyle="1" w:styleId="10">
    <w:name w:val="封面项目名称1"/>
    <w:basedOn w:val="2"/>
    <w:next w:val="2"/>
    <w:pPr>
      <w:tabs>
        <w:tab w:val="left" w:pos="1410"/>
      </w:tabs>
      <w:ind w:hanging="720"/>
    </w:pPr>
    <w:rPr>
      <w:rFonts w:ascii="宋体" w:hAnsi="宋体"/>
      <w:b w:val="0"/>
      <w:snapToGrid w:val="0"/>
      <w:spacing w:val="-56"/>
      <w:kern w:val="48"/>
      <w:sz w:val="44"/>
      <w:szCs w:val="44"/>
    </w:rPr>
  </w:style>
  <w:style w:type="paragraph" w:customStyle="1" w:styleId="2">
    <w:name w:val="封面项目名称2"/>
    <w:pPr>
      <w:jc w:val="distribute"/>
      <w:outlineLvl w:val="7"/>
    </w:pPr>
    <w:rPr>
      <w:b/>
      <w:color w:val="000000"/>
      <w:spacing w:val="-60"/>
      <w:kern w:val="52"/>
      <w:sz w:val="52"/>
      <w:lang w:val="en-US" w:eastAsia="zh-CN" w:bidi="ar-SA"/>
    </w:rPr>
  </w:style>
  <w:style w:type="paragraph" w:customStyle="1" w:styleId="album-div1">
    <w:name w:val="album-div1"/>
    <w:basedOn w:val="Normal"/>
    <w:pPr>
      <w:widowControl/>
      <w:shd w:val="clear" w:color="auto" w:fill="FFFFFF"/>
      <w:spacing w:before="100" w:beforeAutospacing="1" w:after="100" w:afterAutospacing="1"/>
      <w:jc w:val="left"/>
    </w:pPr>
    <w:rPr>
      <w:rFonts w:ascii="宋体" w:hAnsi="宋体" w:cs="宋体"/>
      <w:kern w:val="0"/>
      <w:sz w:val="24"/>
    </w:rPr>
  </w:style>
  <w:style w:type="paragraph" w:customStyle="1" w:styleId="4">
    <w:name w:val="样式4"/>
    <w:basedOn w:val="Normal"/>
    <w:pPr>
      <w:keepNext/>
      <w:keepLines/>
      <w:tabs>
        <w:tab w:val="left" w:pos="1533"/>
      </w:tabs>
      <w:autoSpaceDE w:val="0"/>
      <w:autoSpaceDN w:val="0"/>
      <w:adjustRightInd w:val="0"/>
      <w:spacing w:before="120" w:after="120" w:line="360" w:lineRule="auto"/>
      <w:ind w:left="1476" w:hanging="396"/>
      <w:jc w:val="center"/>
      <w:outlineLvl w:val="0"/>
    </w:pPr>
    <w:rPr>
      <w:sz w:val="28"/>
      <w:szCs w:val="28"/>
    </w:rPr>
  </w:style>
  <w:style w:type="paragraph" w:customStyle="1" w:styleId="a0">
    <w:name w:val="目录"/>
    <w:pPr>
      <w:tabs>
        <w:tab w:val="left" w:pos="360"/>
      </w:tabs>
      <w:ind w:left="360" w:hanging="360"/>
      <w:jc w:val="center"/>
      <w:outlineLvl w:val="0"/>
    </w:pPr>
    <w:rPr>
      <w:rFonts w:ascii="宋体"/>
      <w:color w:val="FF0000"/>
      <w:sz w:val="32"/>
      <w:lang w:val="en-US" w:eastAsia="zh-CN" w:bidi="ar-SA"/>
    </w:rPr>
  </w:style>
  <w:style w:type="paragraph" w:customStyle="1" w:styleId="reader-word-layerreader-word-s2-1">
    <w:name w:val="reader-word-layer reader-word-s2-1"/>
    <w:basedOn w:val="Normal"/>
    <w:pPr>
      <w:widowControl/>
      <w:spacing w:before="100" w:beforeAutospacing="1" w:after="100" w:afterAutospacing="1"/>
      <w:jc w:val="left"/>
    </w:pPr>
    <w:rPr>
      <w:rFonts w:ascii="宋体" w:hAnsi="宋体" w:cs="宋体"/>
      <w:kern w:val="0"/>
      <w:sz w:val="24"/>
    </w:rPr>
  </w:style>
  <w:style w:type="paragraph" w:customStyle="1" w:styleId="pic-info">
    <w:name w:val="pic-info"/>
    <w:basedOn w:val="Normal"/>
    <w:pPr>
      <w:widowControl/>
      <w:spacing w:before="100" w:beforeAutospacing="1" w:after="100" w:afterAutospacing="1"/>
      <w:jc w:val="left"/>
    </w:pPr>
    <w:rPr>
      <w:rFonts w:ascii="宋体" w:hAnsi="宋体" w:cs="宋体"/>
      <w:kern w:val="0"/>
      <w:sz w:val="24"/>
    </w:rPr>
  </w:style>
  <w:style w:type="paragraph" w:customStyle="1" w:styleId="font7">
    <w:name w:val="font7"/>
    <w:basedOn w:val="Normal"/>
    <w:pPr>
      <w:widowControl/>
      <w:spacing w:before="100" w:beforeAutospacing="1" w:after="100" w:afterAutospacing="1"/>
      <w:jc w:val="left"/>
    </w:pPr>
    <w:rPr>
      <w:rFonts w:eastAsia="Arial Unicode MS"/>
      <w:kern w:val="0"/>
      <w:sz w:val="20"/>
      <w:szCs w:val="20"/>
    </w:rPr>
  </w:style>
  <w:style w:type="paragraph" w:customStyle="1" w:styleId="a1">
    <w:name w:val="简单回函地址"/>
    <w:basedOn w:val="Normal"/>
  </w:style>
  <w:style w:type="paragraph" w:customStyle="1" w:styleId="xl28">
    <w:name w:val="xl28"/>
    <w:basedOn w:val="Normal"/>
    <w:pPr>
      <w:widowControl/>
      <w:pBdr>
        <w:bottom w:val="single" w:sz="8" w:space="0" w:color="auto"/>
        <w:right w:val="single" w:sz="8" w:space="0" w:color="auto"/>
      </w:pBdr>
      <w:spacing w:before="100" w:beforeAutospacing="1" w:after="100" w:afterAutospacing="1"/>
      <w:jc w:val="center"/>
      <w:textAlignment w:val="top"/>
    </w:pPr>
    <w:rPr>
      <w:rFonts w:ascii="Arial Unicode MS" w:hAnsi="Arial Unicode MS"/>
      <w:kern w:val="0"/>
      <w:sz w:val="20"/>
      <w:szCs w:val="20"/>
    </w:rPr>
  </w:style>
  <w:style w:type="paragraph" w:customStyle="1" w:styleId="xl32">
    <w:name w:val="xl32"/>
    <w:basedOn w:val="Normal"/>
    <w:pPr>
      <w:widowControl/>
      <w:pBdr>
        <w:top w:val="single" w:sz="8" w:space="0" w:color="auto"/>
        <w:left w:val="single" w:sz="8" w:space="0" w:color="auto"/>
        <w:bottom w:val="single" w:sz="8" w:space="0" w:color="auto"/>
      </w:pBdr>
      <w:spacing w:before="100" w:beforeAutospacing="1" w:after="100" w:afterAutospacing="1"/>
      <w:jc w:val="center"/>
    </w:pPr>
    <w:rPr>
      <w:rFonts w:ascii="Arial Unicode MS" w:hAnsi="Arial Unicode MS"/>
      <w:kern w:val="0"/>
      <w:sz w:val="20"/>
      <w:szCs w:val="20"/>
    </w:rPr>
  </w:style>
  <w:style w:type="paragraph" w:customStyle="1" w:styleId="CharCharCharCharCharCharCharCharCharCharCharCharCharCharCharCharCharCharCharCharCharCharCharCharCharCharCharCharCharCharCharCharChar">
    <w:name w:val="Char Char Char Char Char Char Char Char Char Char Char Char Char Char Char Char Char Char Char Char Char Char Char Char Char Char Char Char Char Char Char Char Char"/>
    <w:basedOn w:val="Normal"/>
    <w:pPr>
      <w:widowControl/>
      <w:spacing w:after="160" w:line="240" w:lineRule="exact"/>
      <w:jc w:val="left"/>
    </w:pPr>
    <w:rPr>
      <w:rFonts w:ascii="Verdana" w:eastAsia="仿宋_GB2312" w:hAnsi="Verdana" w:cs="Verdana"/>
      <w:kern w:val="0"/>
      <w:sz w:val="24"/>
      <w:lang w:eastAsia="en-US"/>
    </w:rPr>
  </w:style>
  <w:style w:type="paragraph" w:customStyle="1" w:styleId="40">
    <w:name w:val="标题4"/>
    <w:basedOn w:val="Normal"/>
    <w:pPr>
      <w:keepNext/>
      <w:keepLines/>
      <w:autoSpaceDE w:val="0"/>
      <w:autoSpaceDN w:val="0"/>
      <w:adjustRightInd w:val="0"/>
      <w:spacing w:before="120" w:after="120" w:line="360" w:lineRule="auto"/>
      <w:jc w:val="center"/>
      <w:outlineLvl w:val="0"/>
    </w:pPr>
    <w:rPr>
      <w:sz w:val="28"/>
      <w:szCs w:val="28"/>
    </w:rPr>
  </w:style>
  <w:style w:type="paragraph" w:customStyle="1" w:styleId="xl34">
    <w:name w:val="xl34"/>
    <w:basedOn w:val="Normal"/>
    <w:pPr>
      <w:widowControl/>
      <w:pBdr>
        <w:top w:val="single" w:sz="8" w:space="0" w:color="auto"/>
        <w:bottom w:val="single" w:sz="8" w:space="0" w:color="auto"/>
        <w:right w:val="single" w:sz="8" w:space="0" w:color="auto"/>
      </w:pBdr>
      <w:spacing w:before="100" w:beforeAutospacing="1" w:after="100" w:afterAutospacing="1"/>
      <w:jc w:val="center"/>
    </w:pPr>
    <w:rPr>
      <w:rFonts w:ascii="Arial" w:hAnsi="Arial" w:cs="Arial"/>
      <w:kern w:val="0"/>
      <w:sz w:val="20"/>
      <w:szCs w:val="20"/>
    </w:rPr>
  </w:style>
  <w:style w:type="paragraph" w:customStyle="1" w:styleId="declear1">
    <w:name w:val="declear1"/>
    <w:basedOn w:val="Normal"/>
    <w:pPr>
      <w:widowControl/>
      <w:spacing w:after="30" w:line="240" w:lineRule="atLeast"/>
      <w:jc w:val="left"/>
    </w:pPr>
    <w:rPr>
      <w:rFonts w:ascii="宋体" w:hAnsi="宋体" w:cs="宋体"/>
      <w:vanish/>
      <w:color w:val="999999"/>
      <w:kern w:val="0"/>
      <w:sz w:val="18"/>
      <w:szCs w:val="18"/>
    </w:rPr>
  </w:style>
  <w:style w:type="paragraph" w:customStyle="1" w:styleId="CharCharCharCharChar1CharCharChar">
    <w:name w:val="Char Char Char Char Char1 Char Char Char"/>
    <w:basedOn w:val="Normal"/>
    <w:pPr>
      <w:widowControl/>
      <w:spacing w:after="160" w:line="240" w:lineRule="exact"/>
      <w:jc w:val="left"/>
    </w:pPr>
    <w:rPr>
      <w:rFonts w:ascii="Verdana" w:eastAsia="MS Mincho" w:hAnsi="Verdana" w:cs="Verdana"/>
      <w:kern w:val="0"/>
      <w:sz w:val="20"/>
      <w:szCs w:val="20"/>
      <w:lang w:eastAsia="en-US"/>
    </w:rPr>
  </w:style>
  <w:style w:type="paragraph" w:customStyle="1" w:styleId="CharCharCharCharChar1CharCharChar0">
    <w:name w:val=" Char Char Char Char Char1 Char Char Char"/>
    <w:basedOn w:val="Normal"/>
    <w:pPr>
      <w:widowControl/>
      <w:spacing w:after="160" w:line="240" w:lineRule="exact"/>
      <w:jc w:val="left"/>
    </w:pPr>
    <w:rPr>
      <w:rFonts w:ascii="Verdana" w:eastAsia="MS Mincho" w:hAnsi="Verdana" w:cs="Verdana"/>
      <w:kern w:val="0"/>
      <w:sz w:val="20"/>
      <w:szCs w:val="20"/>
      <w:lang w:eastAsia="en-US"/>
    </w:rPr>
  </w:style>
  <w:style w:type="paragraph" w:customStyle="1" w:styleId="reader-word-layerreader-word-s11-8">
    <w:name w:val="reader-word-layer reader-word-s11-8"/>
    <w:basedOn w:val="Normal"/>
    <w:pPr>
      <w:widowControl/>
      <w:spacing w:before="100" w:beforeAutospacing="1" w:after="100" w:afterAutospacing="1"/>
      <w:jc w:val="left"/>
    </w:pPr>
    <w:rPr>
      <w:rFonts w:ascii="宋体" w:hAnsi="宋体" w:cs="宋体"/>
      <w:kern w:val="0"/>
      <w:sz w:val="24"/>
    </w:rPr>
  </w:style>
  <w:style w:type="paragraph" w:customStyle="1" w:styleId="xl33">
    <w:name w:val="xl33"/>
    <w:basedOn w:val="Normal"/>
    <w:pPr>
      <w:widowControl/>
      <w:pBdr>
        <w:top w:val="single" w:sz="8" w:space="0" w:color="auto"/>
        <w:bottom w:val="single" w:sz="8" w:space="0" w:color="auto"/>
      </w:pBdr>
      <w:spacing w:before="100" w:beforeAutospacing="1" w:after="100" w:afterAutospacing="1"/>
      <w:jc w:val="center"/>
    </w:pPr>
    <w:rPr>
      <w:rFonts w:ascii="Arial" w:hAnsi="Arial" w:cs="Arial"/>
      <w:kern w:val="0"/>
      <w:sz w:val="20"/>
      <w:szCs w:val="20"/>
    </w:rPr>
  </w:style>
  <w:style w:type="paragraph" w:customStyle="1" w:styleId="xl24">
    <w:name w:val="xl24"/>
    <w:basedOn w:val="Normal"/>
    <w:pPr>
      <w:widowControl/>
      <w:pBdr>
        <w:top w:val="single" w:sz="8" w:space="0" w:color="auto"/>
        <w:left w:val="single" w:sz="8" w:space="0" w:color="auto"/>
        <w:bottom w:val="single" w:sz="8" w:space="0" w:color="auto"/>
        <w:right w:val="single" w:sz="8" w:space="0" w:color="auto"/>
      </w:pBdr>
      <w:spacing w:before="100" w:beforeAutospacing="1" w:after="100" w:afterAutospacing="1"/>
      <w:jc w:val="center"/>
    </w:pPr>
    <w:rPr>
      <w:rFonts w:ascii="Arial Unicode MS" w:hAnsi="Arial Unicode MS"/>
      <w:kern w:val="0"/>
      <w:sz w:val="20"/>
      <w:szCs w:val="20"/>
    </w:rPr>
  </w:style>
  <w:style w:type="paragraph" w:customStyle="1" w:styleId="xl26">
    <w:name w:val="xl26"/>
    <w:basedOn w:val="Normal"/>
    <w:pPr>
      <w:widowControl/>
      <w:pBdr>
        <w:left w:val="single" w:sz="8" w:space="0" w:color="auto"/>
        <w:bottom w:val="single" w:sz="8" w:space="0" w:color="auto"/>
        <w:right w:val="single" w:sz="8" w:space="0" w:color="auto"/>
      </w:pBdr>
      <w:spacing w:before="100" w:beforeAutospacing="1" w:after="100" w:afterAutospacing="1"/>
      <w:jc w:val="center"/>
    </w:pPr>
    <w:rPr>
      <w:rFonts w:ascii="Arial Unicode MS" w:hAnsi="Arial Unicode MS"/>
      <w:kern w:val="0"/>
      <w:sz w:val="20"/>
      <w:szCs w:val="20"/>
    </w:rPr>
  </w:style>
  <w:style w:type="paragraph" w:customStyle="1" w:styleId="11">
    <w:name w:val="样式1"/>
    <w:basedOn w:val="Heading1"/>
    <w:pPr>
      <w:tabs>
        <w:tab w:val="left" w:pos="5557"/>
      </w:tabs>
      <w:spacing w:before="120" w:beforeLines="0" w:after="0" w:afterLines="0" w:line="240" w:lineRule="auto"/>
      <w:ind w:left="7825" w:hanging="3856"/>
    </w:pPr>
    <w:rPr>
      <w:rFonts w:ascii="Times New Roman" w:hAnsi="Times New Roman"/>
      <w:b w:val="0"/>
      <w:sz w:val="40"/>
      <w:szCs w:val="30"/>
    </w:rPr>
  </w:style>
  <w:style w:type="paragraph" w:customStyle="1" w:styleId="font5">
    <w:name w:val="font5"/>
    <w:basedOn w:val="Normal"/>
    <w:pPr>
      <w:widowControl/>
      <w:spacing w:before="100" w:beforeAutospacing="1" w:after="100" w:afterAutospacing="1"/>
      <w:jc w:val="left"/>
    </w:pPr>
    <w:rPr>
      <w:rFonts w:ascii="宋体" w:hAnsi="宋体" w:hint="eastAsia"/>
      <w:kern w:val="0"/>
      <w:sz w:val="18"/>
      <w:szCs w:val="18"/>
    </w:rPr>
  </w:style>
  <w:style w:type="paragraph" w:customStyle="1" w:styleId="reader-word-layerreader-word-s12-0">
    <w:name w:val="reader-word-layer reader-word-s12-0"/>
    <w:basedOn w:val="Normal"/>
    <w:pPr>
      <w:widowControl/>
      <w:spacing w:before="100" w:beforeAutospacing="1" w:after="100" w:afterAutospacing="1"/>
      <w:jc w:val="left"/>
    </w:pPr>
    <w:rPr>
      <w:rFonts w:ascii="宋体" w:hAnsi="宋体" w:cs="宋体"/>
      <w:kern w:val="0"/>
      <w:sz w:val="24"/>
    </w:rPr>
  </w:style>
  <w:style w:type="paragraph" w:customStyle="1" w:styleId="22">
    <w:name w:val="样式 标题 2 + 首行缩进:  2 字符"/>
    <w:basedOn w:val="Heading2"/>
    <w:pPr>
      <w:spacing w:before="0" w:beforeLines="0" w:after="0" w:afterLines="0" w:line="360" w:lineRule="auto"/>
      <w:ind w:firstLine="200" w:firstLineChars="200"/>
    </w:pPr>
    <w:rPr>
      <w:rFonts w:ascii="Times New Roman" w:eastAsia="宋体" w:hAnsi="Times New Roman" w:cs="宋体"/>
      <w:sz w:val="30"/>
      <w:szCs w:val="20"/>
    </w:rPr>
  </w:style>
  <w:style w:type="paragraph" w:customStyle="1" w:styleId="xl29">
    <w:name w:val="xl29"/>
    <w:basedOn w:val="Normal"/>
    <w:pPr>
      <w:widowControl/>
      <w:pBdr>
        <w:left w:val="single" w:sz="8" w:space="0" w:color="auto"/>
        <w:bottom w:val="single" w:sz="8" w:space="0" w:color="auto"/>
        <w:right w:val="single" w:sz="8" w:space="0" w:color="auto"/>
      </w:pBdr>
      <w:spacing w:before="100" w:beforeAutospacing="1" w:after="100" w:afterAutospacing="1"/>
      <w:jc w:val="center"/>
    </w:pPr>
    <w:rPr>
      <w:kern w:val="0"/>
      <w:sz w:val="20"/>
      <w:szCs w:val="20"/>
    </w:rPr>
  </w:style>
  <w:style w:type="paragraph" w:customStyle="1" w:styleId="3051">
    <w:name w:val="样式 标题 3 + 段前: 0.5 行1"/>
    <w:basedOn w:val="Normal"/>
    <w:pPr>
      <w:tabs>
        <w:tab w:val="left" w:pos="1696"/>
      </w:tabs>
      <w:ind w:left="1469" w:hanging="340"/>
    </w:pPr>
  </w:style>
  <w:style w:type="paragraph" w:customStyle="1" w:styleId="font6">
    <w:name w:val="font6"/>
    <w:basedOn w:val="Normal"/>
    <w:pPr>
      <w:widowControl/>
      <w:spacing w:before="100" w:beforeAutospacing="1" w:after="100" w:afterAutospacing="1"/>
      <w:jc w:val="left"/>
    </w:pPr>
    <w:rPr>
      <w:rFonts w:ascii="宋体" w:hAnsi="宋体" w:hint="eastAsia"/>
      <w:kern w:val="0"/>
      <w:sz w:val="20"/>
      <w:szCs w:val="20"/>
    </w:rPr>
  </w:style>
  <w:style w:type="paragraph" w:customStyle="1" w:styleId="6">
    <w:name w:val="样式6"/>
    <w:basedOn w:val="40"/>
    <w:pPr>
      <w:tabs>
        <w:tab w:val="left" w:pos="425"/>
      </w:tabs>
      <w:ind w:left="425" w:hanging="425"/>
    </w:pPr>
    <w:rPr>
      <w:sz w:val="24"/>
      <w:szCs w:val="24"/>
    </w:rPr>
  </w:style>
  <w:style w:type="paragraph" w:customStyle="1" w:styleId="ParaChar">
    <w:name w:val="默认段落字体 Para Char"/>
    <w:basedOn w:val="Normal"/>
  </w:style>
  <w:style w:type="paragraph" w:customStyle="1" w:styleId="20">
    <w:name w:val="样式2"/>
    <w:basedOn w:val="Normal"/>
    <w:pPr>
      <w:keepNext/>
      <w:keepLines/>
      <w:tabs>
        <w:tab w:val="left" w:pos="1533"/>
      </w:tabs>
      <w:autoSpaceDE w:val="0"/>
      <w:autoSpaceDN w:val="0"/>
      <w:adjustRightInd w:val="0"/>
      <w:spacing w:before="120" w:after="120" w:line="360" w:lineRule="auto"/>
      <w:ind w:left="1476" w:hanging="396"/>
      <w:jc w:val="center"/>
      <w:outlineLvl w:val="0"/>
    </w:pPr>
    <w:rPr>
      <w:sz w:val="28"/>
      <w:szCs w:val="28"/>
    </w:rPr>
  </w:style>
  <w:style w:type="paragraph" w:customStyle="1" w:styleId="22051">
    <w:name w:val="样式 标题 2 + 首行缩进:  2 字符 段前: 0.5 行1"/>
    <w:basedOn w:val="Normal"/>
    <w:pPr>
      <w:tabs>
        <w:tab w:val="left" w:pos="1533"/>
      </w:tabs>
      <w:ind w:left="1476" w:hanging="396"/>
    </w:pPr>
  </w:style>
  <w:style w:type="paragraph" w:customStyle="1" w:styleId="defaultfont">
    <w:name w:val="defaultfont"/>
    <w:basedOn w:val="Normal"/>
    <w:pPr>
      <w:widowControl/>
      <w:spacing w:before="100" w:beforeAutospacing="1" w:after="100" w:afterAutospacing="1"/>
      <w:jc w:val="left"/>
    </w:pPr>
    <w:rPr>
      <w:rFonts w:ascii="Arial" w:hAnsi="Arial" w:cs="Arial"/>
      <w:kern w:val="0"/>
      <w:sz w:val="23"/>
      <w:szCs w:val="23"/>
    </w:rPr>
  </w:style>
  <w:style w:type="paragraph" w:customStyle="1" w:styleId="Style91">
    <w:name w:val="_Style 91"/>
    <w:basedOn w:val="Normal"/>
    <w:pPr>
      <w:spacing w:line="360" w:lineRule="auto"/>
      <w:ind w:firstLine="200"/>
    </w:pPr>
    <w:rPr>
      <w:rFonts w:ascii="宋体" w:hAnsi="宋体" w:cs="宋体"/>
    </w:rPr>
  </w:style>
  <w:style w:type="paragraph" w:customStyle="1" w:styleId="reader-word-layerreader-word-s2-0">
    <w:name w:val="reader-word-layer reader-word-s2-0"/>
    <w:basedOn w:val="Normal"/>
    <w:pPr>
      <w:widowControl/>
      <w:spacing w:before="100" w:beforeAutospacing="1" w:after="100" w:afterAutospacing="1"/>
      <w:jc w:val="left"/>
    </w:pPr>
    <w:rPr>
      <w:rFonts w:ascii="宋体" w:hAnsi="宋体" w:cs="宋体"/>
      <w:kern w:val="0"/>
      <w:sz w:val="24"/>
    </w:rPr>
  </w:style>
  <w:style w:type="paragraph" w:customStyle="1" w:styleId="xl25">
    <w:name w:val="xl25"/>
    <w:basedOn w:val="Normal"/>
    <w:pPr>
      <w:widowControl/>
      <w:pBdr>
        <w:top w:val="single" w:sz="8" w:space="0" w:color="auto"/>
        <w:bottom w:val="single" w:sz="8" w:space="0" w:color="auto"/>
        <w:right w:val="single" w:sz="8" w:space="0" w:color="auto"/>
      </w:pBdr>
      <w:spacing w:before="100" w:beforeAutospacing="1" w:after="100" w:afterAutospacing="1"/>
      <w:jc w:val="center"/>
    </w:pPr>
    <w:rPr>
      <w:rFonts w:ascii="Arial Unicode MS" w:hAnsi="Arial Unicode MS"/>
      <w:kern w:val="0"/>
      <w:sz w:val="20"/>
      <w:szCs w:val="20"/>
    </w:rPr>
  </w:style>
  <w:style w:type="paragraph" w:customStyle="1" w:styleId="xl30">
    <w:name w:val="xl30"/>
    <w:basedOn w:val="Normal"/>
    <w:pPr>
      <w:widowControl/>
      <w:pBdr>
        <w:bottom w:val="single" w:sz="8" w:space="0" w:color="auto"/>
        <w:right w:val="single" w:sz="8" w:space="0" w:color="auto"/>
      </w:pBdr>
      <w:spacing w:before="100" w:beforeAutospacing="1" w:after="100" w:afterAutospacing="1"/>
      <w:jc w:val="center"/>
      <w:textAlignment w:val="top"/>
    </w:pPr>
    <w:rPr>
      <w:rFonts w:ascii="Arial Unicode MS" w:hAnsi="Arial Unicode MS"/>
      <w:kern w:val="0"/>
      <w:sz w:val="20"/>
      <w:szCs w:val="20"/>
    </w:rPr>
  </w:style>
  <w:style w:type="paragraph" w:customStyle="1" w:styleId="Char3">
    <w:name w:val="Char"/>
    <w:basedOn w:val="Normal"/>
    <w:pPr>
      <w:widowControl/>
      <w:spacing w:after="160" w:line="240" w:lineRule="exact"/>
      <w:jc w:val="left"/>
    </w:pPr>
    <w:rPr>
      <w:rFonts w:ascii="Verdana" w:hAnsi="Verdana"/>
      <w:kern w:val="0"/>
      <w:szCs w:val="20"/>
      <w:lang w:eastAsia="en-US"/>
    </w:rPr>
  </w:style>
  <w:style w:type="paragraph" w:customStyle="1" w:styleId="xl27">
    <w:name w:val="xl27"/>
    <w:basedOn w:val="Normal"/>
    <w:pPr>
      <w:widowControl/>
      <w:pBdr>
        <w:bottom w:val="single" w:sz="8" w:space="0" w:color="auto"/>
        <w:right w:val="single" w:sz="8" w:space="0" w:color="auto"/>
      </w:pBdr>
      <w:spacing w:before="100" w:beforeAutospacing="1" w:after="100" w:afterAutospacing="1"/>
      <w:jc w:val="left"/>
      <w:textAlignment w:val="top"/>
    </w:pPr>
    <w:rPr>
      <w:rFonts w:ascii="Arial Unicode MS" w:hAnsi="Arial Unicode MS"/>
      <w:kern w:val="0"/>
      <w:sz w:val="20"/>
      <w:szCs w:val="20"/>
    </w:rPr>
  </w:style>
  <w:style w:type="paragraph" w:customStyle="1" w:styleId="5">
    <w:name w:val="样式5"/>
    <w:basedOn w:val="40"/>
    <w:next w:val="Heading1"/>
  </w:style>
  <w:style w:type="paragraph" w:customStyle="1" w:styleId="Char4">
    <w:name w:val=" Char"/>
    <w:basedOn w:val="Normal"/>
    <w:pPr>
      <w:widowControl/>
      <w:spacing w:after="160" w:line="240" w:lineRule="exact"/>
      <w:jc w:val="left"/>
    </w:pPr>
    <w:rPr>
      <w:rFonts w:ascii="Verdana" w:eastAsia="MS Mincho" w:hAnsi="Verdana" w:cs="Verdana"/>
      <w:kern w:val="0"/>
      <w:sz w:val="20"/>
      <w:szCs w:val="20"/>
      <w:lang w:eastAsia="en-US"/>
    </w:rPr>
  </w:style>
  <w:style w:type="paragraph" w:customStyle="1" w:styleId="3">
    <w:name w:val="样式3"/>
    <w:basedOn w:val="Normal"/>
    <w:pPr>
      <w:keepNext/>
      <w:keepLines/>
      <w:tabs>
        <w:tab w:val="left" w:pos="1533"/>
      </w:tabs>
      <w:autoSpaceDE w:val="0"/>
      <w:autoSpaceDN w:val="0"/>
      <w:adjustRightInd w:val="0"/>
      <w:spacing w:before="120" w:after="120" w:line="360" w:lineRule="auto"/>
      <w:ind w:left="1476" w:hanging="396"/>
      <w:jc w:val="center"/>
      <w:outlineLvl w:val="0"/>
    </w:pPr>
    <w:rPr>
      <w:sz w:val="28"/>
      <w:szCs w:val="28"/>
    </w:rPr>
  </w:style>
  <w:style w:type="paragraph" w:customStyle="1" w:styleId="p0">
    <w:name w:val="p0"/>
    <w:basedOn w:val="Normal"/>
    <w:pPr>
      <w:widowControl/>
      <w:spacing w:before="100" w:beforeAutospacing="1" w:after="100" w:afterAutospacing="1"/>
      <w:jc w:val="left"/>
    </w:pPr>
    <w:rPr>
      <w:rFonts w:ascii="宋体" w:hAnsi="宋体" w:cs="宋体"/>
      <w:kern w:val="0"/>
      <w:sz w:val="24"/>
    </w:rPr>
  </w:style>
  <w:style w:type="paragraph" w:customStyle="1" w:styleId="reader-word-layerreader-word-s12-8">
    <w:name w:val="reader-word-layer reader-word-s12-8"/>
    <w:basedOn w:val="Normal"/>
    <w:pPr>
      <w:widowControl/>
      <w:spacing w:before="100" w:beforeAutospacing="1" w:after="100" w:afterAutospacing="1"/>
      <w:jc w:val="left"/>
    </w:pPr>
    <w:rPr>
      <w:rFonts w:ascii="宋体" w:hAnsi="宋体" w:cs="宋体"/>
      <w:kern w:val="0"/>
      <w:sz w:val="24"/>
    </w:rPr>
  </w:style>
  <w:style w:type="paragraph" w:customStyle="1" w:styleId="CharCharChar">
    <w:name w:val=" Char Char Char"/>
    <w:basedOn w:val="Normal"/>
    <w:rPr>
      <w:rFonts w:ascii="仿宋_GB2312" w:eastAsia="仿宋_GB2312"/>
      <w:b/>
      <w:sz w:val="32"/>
      <w:szCs w:val="32"/>
    </w:rPr>
  </w:style>
  <w:style w:type="paragraph" w:customStyle="1" w:styleId="12">
    <w:name w:val="1"/>
    <w:basedOn w:val="Normal"/>
    <w:next w:val="BodyTextIndent"/>
    <w:pPr>
      <w:spacing w:line="560" w:lineRule="atLeast"/>
      <w:ind w:firstLine="480"/>
    </w:pPr>
    <w:rPr>
      <w:rFonts w:ascii="宋体" w:hAnsi="宋体"/>
      <w:sz w:val="24"/>
      <w:szCs w:val="20"/>
    </w:rPr>
  </w:style>
  <w:style w:type="paragraph" w:customStyle="1" w:styleId="xl31">
    <w:name w:val="xl31"/>
    <w:basedOn w:val="Normal"/>
    <w:pPr>
      <w:widowControl/>
      <w:pBdr>
        <w:bottom w:val="single" w:sz="8" w:space="0" w:color="auto"/>
        <w:right w:val="single" w:sz="8" w:space="0" w:color="auto"/>
      </w:pBdr>
      <w:spacing w:before="100" w:beforeAutospacing="1" w:after="100" w:afterAutospacing="1"/>
      <w:jc w:val="center"/>
    </w:pPr>
    <w:rPr>
      <w:rFonts w:ascii="Arial" w:hAnsi="Arial" w:cs="Arial"/>
      <w:kern w:val="0"/>
      <w:sz w:val="20"/>
      <w:szCs w:val="20"/>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4.xml" /><Relationship Id="rId100" Type="http://schemas.openxmlformats.org/officeDocument/2006/relationships/header" Target="header45.xml" /><Relationship Id="rId101" Type="http://schemas.openxmlformats.org/officeDocument/2006/relationships/footer" Target="footer45.xml" /><Relationship Id="rId102" Type="http://schemas.openxmlformats.org/officeDocument/2006/relationships/header" Target="header46.xml" /><Relationship Id="rId103" Type="http://schemas.openxmlformats.org/officeDocument/2006/relationships/footer" Target="footer46.xml" /><Relationship Id="rId104" Type="http://schemas.openxmlformats.org/officeDocument/2006/relationships/header" Target="header47.xml" /><Relationship Id="rId105" Type="http://schemas.openxmlformats.org/officeDocument/2006/relationships/footer" Target="footer47.xml" /><Relationship Id="rId106" Type="http://schemas.openxmlformats.org/officeDocument/2006/relationships/header" Target="header48.xml" /><Relationship Id="rId107" Type="http://schemas.openxmlformats.org/officeDocument/2006/relationships/footer" Target="footer48.xml" /><Relationship Id="rId108" Type="http://schemas.openxmlformats.org/officeDocument/2006/relationships/image" Target="media/image1.png" /><Relationship Id="rId109" Type="http://schemas.openxmlformats.org/officeDocument/2006/relationships/hyperlink" Target="https://baike.baidu.com/item/%E6%B1%9F%E5%9F%8E/1517" TargetMode="External" /><Relationship Id="rId11" Type="http://schemas.openxmlformats.org/officeDocument/2006/relationships/footer" Target="footer4.xml" /><Relationship Id="rId110" Type="http://schemas.openxmlformats.org/officeDocument/2006/relationships/hyperlink" Target="https://baike.baidu.com/item/%E6%B9%96%E5%8C%97%E7%9C%81/210064" TargetMode="External" /><Relationship Id="rId111" Type="http://schemas.openxmlformats.org/officeDocument/2006/relationships/hyperlink" Target="https://baike.baidu.com/item/%E4%B8%AD%E9%83%A8%E5%85%AD%E7%9C%81/1939765" TargetMode="External" /><Relationship Id="rId112" Type="http://schemas.openxmlformats.org/officeDocument/2006/relationships/hyperlink" Target="https://baike.baidu.com/item/%E5%89%AF%E7%9C%81%E7%BA%A7%E5%B8%82/1561706" TargetMode="External" /><Relationship Id="rId113" Type="http://schemas.openxmlformats.org/officeDocument/2006/relationships/hyperlink" Target="https://baike.baidu.com/item/%E7%89%B9%E5%A4%A7%E5%9F%8E%E5%B8%82/1491" TargetMode="External" /><Relationship Id="rId114" Type="http://schemas.openxmlformats.org/officeDocument/2006/relationships/hyperlink" Target="https://baike.baidu.com/item/%E4%B8%AD%E9%83%A8%E5%9C%B0%E5%8C%BA/7549145" TargetMode="External" /><Relationship Id="rId115" Type="http://schemas.openxmlformats.org/officeDocument/2006/relationships/hyperlink" Target="https://baike.baidu.com/item/%E4%B8%AD%E5%BF%83%E5%9F%8E%E5%B8%82/10849239" TargetMode="External" /><Relationship Id="rId116" Type="http://schemas.openxmlformats.org/officeDocument/2006/relationships/hyperlink" Target="https://baike.baidu.com/item/%E9%95%BF%E6%B1%9F%E7%BB%8F%E6%B5%8E%E5%B8%A6/5453694" TargetMode="External" /><Relationship Id="rId117" Type="http://schemas.openxmlformats.org/officeDocument/2006/relationships/hyperlink" Target="https://baike.baidu.com/item/%E7%BB%BC%E5%90%88%E4%BA%A4%E9%80%9A%E6%9E%A2%E7%BA%BD/1417280" TargetMode="External" /><Relationship Id="rId118" Type="http://schemas.openxmlformats.org/officeDocument/2006/relationships/hyperlink" Target="https://baike.baidu.com/item/%E6%AD%A6%E6%B1%89%E8%81%94%E5%8B%A4%E4%BF%9D%E9%9A%9C%E5%9F%BA%E5%9C%B0/19962700" TargetMode="External" /><Relationship Id="rId119" Type="http://schemas.openxmlformats.org/officeDocument/2006/relationships/header" Target="header49.xml" /><Relationship Id="rId12" Type="http://schemas.openxmlformats.org/officeDocument/2006/relationships/header" Target="header5.xml" /><Relationship Id="rId120" Type="http://schemas.openxmlformats.org/officeDocument/2006/relationships/footer" Target="footer49.xml" /><Relationship Id="rId121" Type="http://schemas.openxmlformats.org/officeDocument/2006/relationships/header" Target="header50.xml" /><Relationship Id="rId122" Type="http://schemas.openxmlformats.org/officeDocument/2006/relationships/footer" Target="footer50.xml" /><Relationship Id="rId123" Type="http://schemas.openxmlformats.org/officeDocument/2006/relationships/hyperlink" Target="https://baike.baidu.com/item/%E6%B1%9F%E6%B1%89%E5%B9%B3%E5%8E%9F/10796670" TargetMode="External" /><Relationship Id="rId124" Type="http://schemas.openxmlformats.org/officeDocument/2006/relationships/hyperlink" Target="https://baike.baidu.com/item/%E9%95%BF%E6%B1%9F/388" TargetMode="External" /><Relationship Id="rId125" Type="http://schemas.openxmlformats.org/officeDocument/2006/relationships/hyperlink" Target="https://baike.baidu.com/item/%E6%B1%89%E6%B1%9F/14144" TargetMode="External" /><Relationship Id="rId126" Type="http://schemas.openxmlformats.org/officeDocument/2006/relationships/hyperlink" Target="https://baike.baidu.com/item/%E4%B8%AD%E5%BF%83%E5%9F%8E%E5%8C%BA/4369940" TargetMode="External" /><Relationship Id="rId127" Type="http://schemas.openxmlformats.org/officeDocument/2006/relationships/hyperlink" Target="https://baike.baidu.com/item/%E6%AD%A6%E6%B1%89%E4%B8%89%E9%95%87/3758321" TargetMode="External" /><Relationship Id="rId128" Type="http://schemas.openxmlformats.org/officeDocument/2006/relationships/hyperlink" Target="https://baike.baidu.com/item/%E6%AD%A6%E6%98%8C/3508122" TargetMode="External" /><Relationship Id="rId129" Type="http://schemas.openxmlformats.org/officeDocument/2006/relationships/hyperlink" Target="https://baike.baidu.com/item/%E6%B1%89%E9%98%B3/77381" TargetMode="External" /><Relationship Id="rId13" Type="http://schemas.openxmlformats.org/officeDocument/2006/relationships/footer" Target="footer5.xml" /><Relationship Id="rId130" Type="http://schemas.openxmlformats.org/officeDocument/2006/relationships/hyperlink" Target="https://baike.baidu.com/item/%E4%B9%9D%E7%9C%81%E9%80%9A%E8%A1%A2/936666" TargetMode="External" /><Relationship Id="rId131" Type="http://schemas.openxmlformats.org/officeDocument/2006/relationships/hyperlink" Target="https://baike.baidu.com/item/%E5%8D%8E%E4%B8%AD%E5%9C%B0%E5%8C%BA/7596457" TargetMode="External" /><Relationship Id="rId132" Type="http://schemas.openxmlformats.org/officeDocument/2006/relationships/hyperlink" Target="https://baike.baidu.com/item/%E5%9B%BD%E5%AE%B6%E5%8E%86%E5%8F%B2%E6%96%87%E5%8C%96%E5%90%8D%E5%9F%8E/6412721" TargetMode="External" /><Relationship Id="rId133" Type="http://schemas.openxmlformats.org/officeDocument/2006/relationships/hyperlink" Target="https://baike.baidu.com/item/%E6%A5%9A%E6%96%87%E5%8C%96/1911039" TargetMode="External" /><Relationship Id="rId134" Type="http://schemas.openxmlformats.org/officeDocument/2006/relationships/hyperlink" Target="https://baike.baidu.com/item/%E7%9B%98%E9%BE%99%E5%9F%8E%E9%81%97%E5%9D%80/592967" TargetMode="External" /><Relationship Id="rId135" Type="http://schemas.openxmlformats.org/officeDocument/2006/relationships/hyperlink" Target="https://baike.baidu.com/item/%E6%98%A5%E7%A7%8B%E6%88%98%E5%9B%BD/53913" TargetMode="External" /><Relationship Id="rId136" Type="http://schemas.openxmlformats.org/officeDocument/2006/relationships/hyperlink" Target="https://baike.baidu.com/item/%E6%B4%8B%E5%8A%A1%E8%BF%90%E5%8A%A8/298687" TargetMode="External" /><Relationship Id="rId137" Type="http://schemas.openxmlformats.org/officeDocument/2006/relationships/hyperlink" Target="https://baike.baidu.com/item/%E6%B0%91%E4%B8%BB%E9%9D%A9%E5%91%BD/1532009" TargetMode="External" /><Relationship Id="rId138" Type="http://schemas.openxmlformats.org/officeDocument/2006/relationships/hyperlink" Target="https://baike.baidu.com/item/%E6%AD%A6%E6%98%8C%E8%B5%B7%E4%B9%89/544385" TargetMode="External" /><Relationship Id="rId139" Type="http://schemas.openxmlformats.org/officeDocument/2006/relationships/hyperlink" Target="https://baike.baidu.com/item/%E8%BE%9B%E4%BA%A5%E9%9D%A9%E5%91%BD/5560" TargetMode="External" /><Relationship Id="rId14" Type="http://schemas.openxmlformats.org/officeDocument/2006/relationships/header" Target="header6.xml" /><Relationship Id="rId140" Type="http://schemas.openxmlformats.org/officeDocument/2006/relationships/hyperlink" Target="https://baike.baidu.com/item/%E4%B8%AD%E5%85%B1%E4%B8%AD%E5%A4%AE/1017851" TargetMode="External" /><Relationship Id="rId141" Type="http://schemas.openxmlformats.org/officeDocument/2006/relationships/hyperlink" Target="https://baike.baidu.com/item/%E9%95%BF%E6%B1%9F%E7%BB%8F%E6%B5%8E%E5%B8%A6%E5%8F%91%E5%B1%95%E8%A7%84%E5%88%92%E7%BA%B2%E8%A6%81/19477054" TargetMode="External" /><Relationship Id="rId142" Type="http://schemas.openxmlformats.org/officeDocument/2006/relationships/hyperlink" Target="https://baike.baidu.com/item/%E8%B6%85%E5%A4%A7%E5%9F%8E%E5%B8%82/413865" TargetMode="External" /><Relationship Id="rId143" Type="http://schemas.openxmlformats.org/officeDocument/2006/relationships/hyperlink" Target="https://baike.baidu.com/item/%E5%9B%BD%E5%AE%B6%E5%8F%91%E6%94%B9%E5%A7%94/11157689" TargetMode="External" /><Relationship Id="rId144" Type="http://schemas.openxmlformats.org/officeDocument/2006/relationships/hyperlink" Target="https://baike.baidu.com/item/%E5%9B%BD%E5%AE%B6%E4%B8%AD%E5%BF%83%E5%9F%8E%E5%B8%82/842500" TargetMode="External" /><Relationship Id="rId145" Type="http://schemas.openxmlformats.org/officeDocument/2006/relationships/hyperlink" Target="https://baike.baidu.com/item/%E7%AC%AC%E4%B8%83%E5%B1%8A%E4%B8%96%E7%95%8C%E5%86%9B%E4%BA%BA%E8%BF%90%E5%8A%A8%E4%BC%9A/16986544" TargetMode="External" /><Relationship Id="rId146" Type="http://schemas.openxmlformats.org/officeDocument/2006/relationships/header" Target="header51.xml" /><Relationship Id="rId147" Type="http://schemas.openxmlformats.org/officeDocument/2006/relationships/footer" Target="footer51.xml" /><Relationship Id="rId148" Type="http://schemas.openxmlformats.org/officeDocument/2006/relationships/header" Target="header52.xml" /><Relationship Id="rId149" Type="http://schemas.openxmlformats.org/officeDocument/2006/relationships/footer" Target="footer52.xml" /><Relationship Id="rId15" Type="http://schemas.openxmlformats.org/officeDocument/2006/relationships/footer" Target="footer6.xml" /><Relationship Id="rId150" Type="http://schemas.openxmlformats.org/officeDocument/2006/relationships/hyperlink" Target="https://baike.baidu.com/item/%E4%BA%AC%E5%B9%BF%E9%AB%98%E9%93%81" TargetMode="External" /><Relationship Id="rId151" Type="http://schemas.openxmlformats.org/officeDocument/2006/relationships/hyperlink" Target="https://baike.baidu.com/item/%E6%B2%AA%E6%B1%89%E8%93%89%E9%93%81%E8%B7%AF" TargetMode="External" /><Relationship Id="rId152" Type="http://schemas.openxmlformats.org/officeDocument/2006/relationships/hyperlink" Target="https://baike.baidu.com/item/%E5%8C%97%E4%BA%AC/128981" TargetMode="External" /><Relationship Id="rId153" Type="http://schemas.openxmlformats.org/officeDocument/2006/relationships/hyperlink" Target="https://baike.baidu.com/item/%E5%B9%BF%E5%B7%9E/72101" TargetMode="External" /><Relationship Id="rId154" Type="http://schemas.openxmlformats.org/officeDocument/2006/relationships/hyperlink" Target="https://baike.baidu.com/item/%E5%A4%A7%E4%B8%AD%E5%8D%8E%E5%8C%BA" TargetMode="External" /><Relationship Id="rId155" Type="http://schemas.openxmlformats.org/officeDocument/2006/relationships/hyperlink" Target="https://baike.baidu.com/item/%E6%AD%A6%E6%B1%89%E5%A4%A9%E6%B2%B3%E5%9B%BD%E9%99%85%E6%9C%BA%E5%9C%BA" TargetMode="External" /><Relationship Id="rId156" Type="http://schemas.openxmlformats.org/officeDocument/2006/relationships/hyperlink" Target="https://baike.baidu.com/item/%E9%BB%84%E9%99%82%E5%8C%BA" TargetMode="External" /><Relationship Id="rId157" Type="http://schemas.openxmlformats.org/officeDocument/2006/relationships/hyperlink" Target="https://baike.baidu.com/item/4F%E7%BA%A7%E6%9C%BA%E5%9C%BA" TargetMode="External" /><Relationship Id="rId158" Type="http://schemas.openxmlformats.org/officeDocument/2006/relationships/hyperlink" Target="https://baike.baidu.com/item/%E5%B7%B4%E9%BB%8E/858" TargetMode="External" /><Relationship Id="rId159" Type="http://schemas.openxmlformats.org/officeDocument/2006/relationships/hyperlink" Target="https://baike.baidu.com/item/%E6%97%A7%E9%87%91%E5%B1%B1/29211" TargetMode="External" /><Relationship Id="rId16" Type="http://schemas.openxmlformats.org/officeDocument/2006/relationships/header" Target="header7.xml" /><Relationship Id="rId160" Type="http://schemas.openxmlformats.org/officeDocument/2006/relationships/hyperlink" Target="https://baike.baidu.com/item/%E8%8A%9D%E5%8A%A0%E5%93%A5/9600" TargetMode="External" /><Relationship Id="rId161" Type="http://schemas.openxmlformats.org/officeDocument/2006/relationships/hyperlink" Target="https://baike.baidu.com/item/%E5%A2%A8%E5%B0%94%E6%9C%AC" TargetMode="External" /><Relationship Id="rId162" Type="http://schemas.openxmlformats.org/officeDocument/2006/relationships/hyperlink" Target="https://baike.baidu.com/item/%E8%8E%AB%E6%96%AF%E7%A7%91/5522" TargetMode="External" /><Relationship Id="rId163" Type="http://schemas.openxmlformats.org/officeDocument/2006/relationships/hyperlink" Target="https://baike.baidu.com/item/%E5%A4%A7%E9%98%AA" TargetMode="External" /><Relationship Id="rId164" Type="http://schemas.openxmlformats.org/officeDocument/2006/relationships/hyperlink" Target="https://baike.baidu.com/item/%E9%A6%96%E5%B0%94/61723" TargetMode="External" /><Relationship Id="rId165" Type="http://schemas.openxmlformats.org/officeDocument/2006/relationships/hyperlink" Target="https://baike.baidu.com/item/%E6%96%B0%E5%8A%A0%E5%9D%A1" TargetMode="External" /><Relationship Id="rId166" Type="http://schemas.openxmlformats.org/officeDocument/2006/relationships/hyperlink" Target="https://baike.baidu.com/item/%E6%9B%BC%E8%B0%B7" TargetMode="External" /><Relationship Id="rId167" Type="http://schemas.openxmlformats.org/officeDocument/2006/relationships/hyperlink" Target="https://baike.baidu.com/item/%E5%90%89%E9%9A%86%E5%9D%A1" TargetMode="External" /><Relationship Id="rId168" Type="http://schemas.openxmlformats.org/officeDocument/2006/relationships/hyperlink" Target="https://baike.baidu.com/item/%E8%83%A1%E5%BF%97%E6%98%8E%E5%B8%82" TargetMode="External" /><Relationship Id="rId169" Type="http://schemas.openxmlformats.org/officeDocument/2006/relationships/hyperlink" Target="https://baike.baidu.com/item/%E6%AD%A6%E6%B1%89%E9%95%BF%E6%B1%9F%E5%A4%A7%E6%A1%A5" TargetMode="External" /><Relationship Id="rId17" Type="http://schemas.openxmlformats.org/officeDocument/2006/relationships/footer" Target="footer7.xml" /><Relationship Id="rId170" Type="http://schemas.openxmlformats.org/officeDocument/2006/relationships/header" Target="header53.xml" /><Relationship Id="rId171" Type="http://schemas.openxmlformats.org/officeDocument/2006/relationships/footer" Target="footer53.xml" /><Relationship Id="rId172" Type="http://schemas.openxmlformats.org/officeDocument/2006/relationships/header" Target="header54.xml" /><Relationship Id="rId173" Type="http://schemas.openxmlformats.org/officeDocument/2006/relationships/footer" Target="footer54.xml" /><Relationship Id="rId174" Type="http://schemas.openxmlformats.org/officeDocument/2006/relationships/hyperlink" Target="https://baike.baidu.com/item/%E9%95%BF%E6%B1%9F" TargetMode="External" /><Relationship Id="rId175" Type="http://schemas.openxmlformats.org/officeDocument/2006/relationships/hyperlink" Target="https://baike.baidu.com/item/%E4%BA%A4%E9%80%9A%E9%83%A8" TargetMode="External" /><Relationship Id="rId176" Type="http://schemas.openxmlformats.org/officeDocument/2006/relationships/hyperlink" Target="https://baike.baidu.com/item/%E6%B4%8B%E5%B1%B1%E6%B8%AF" TargetMode="External" /><Relationship Id="rId177" Type="http://schemas.openxmlformats.org/officeDocument/2006/relationships/hyperlink" Target="https://baike.baidu.com/item/%E6%AD%A6%E6%B1%89%E6%96%B0%E6%B8%AF" TargetMode="External" /><Relationship Id="rId178" Type="http://schemas.openxmlformats.org/officeDocument/2006/relationships/hyperlink" Target="https://baike.baidu.com/item/%E6%BE%9C%E6%B2%A7%E6%B1%9F" TargetMode="External" /><Relationship Id="rId179" Type="http://schemas.openxmlformats.org/officeDocument/2006/relationships/hyperlink" Target="https://baike.baidu.com/item/%E9%95%BF%E6%B1%9F%E6%B0%B4%E5%88%A9%E5%A7%94%E5%91%98%E4%BC%9A" TargetMode="External" /><Relationship Id="rId18" Type="http://schemas.openxmlformats.org/officeDocument/2006/relationships/header" Target="header8.xml" /><Relationship Id="rId180" Type="http://schemas.openxmlformats.org/officeDocument/2006/relationships/hyperlink" Target="https://baike.baidu.com/item/%E6%AD%A6%E6%B1%89%E8%88%AA%E8%BF%90%E4%BA%A4%E6%98%93%E6%89%80" TargetMode="External" /><Relationship Id="rId181" Type="http://schemas.openxmlformats.org/officeDocument/2006/relationships/hyperlink" Target="https://baike.baidu.com/item/%E8%88%AA%E4%BA%A4%E6%89%80" TargetMode="External" /><Relationship Id="rId182" Type="http://schemas.openxmlformats.org/officeDocument/2006/relationships/hyperlink" Target="https://baike.baidu.com/item/%E6%B9%96%E5%8C%97%E7%9C%81" TargetMode="External" /><Relationship Id="rId183" Type="http://schemas.openxmlformats.org/officeDocument/2006/relationships/hyperlink" Target="https://baike.baidu.com/item/%E6%AD%A6%E6%B1%89%E5%B8%82" TargetMode="External" /><Relationship Id="rId184" Type="http://schemas.openxmlformats.org/officeDocument/2006/relationships/hyperlink" Target="https://baike.baidu.com/item/%E5%9F%8E%E5%B8%82%E8%BD%A8%E9%81%93%E4%BA%A4%E9%80%9A" TargetMode="External" /><Relationship Id="rId185" Type="http://schemas.openxmlformats.org/officeDocument/2006/relationships/hyperlink" Target="https://baike.baidu.com/item/%E6%AD%A6%E6%B1%89%E8%BD%A8%E9%81%93%E4%BA%A4%E9%80%9A1%E5%8F%B7%E7%BA%BF" TargetMode="External" /><Relationship Id="rId186" Type="http://schemas.openxmlformats.org/officeDocument/2006/relationships/header" Target="header55.xml" /><Relationship Id="rId187" Type="http://schemas.openxmlformats.org/officeDocument/2006/relationships/footer" Target="footer55.xml" /><Relationship Id="rId188" Type="http://schemas.openxmlformats.org/officeDocument/2006/relationships/header" Target="header56.xml" /><Relationship Id="rId189" Type="http://schemas.openxmlformats.org/officeDocument/2006/relationships/footer" Target="footer56.xml" /><Relationship Id="rId19" Type="http://schemas.openxmlformats.org/officeDocument/2006/relationships/footer" Target="footer8.xml" /><Relationship Id="rId190" Type="http://schemas.openxmlformats.org/officeDocument/2006/relationships/hyperlink" Target="https://baike.baidu.com/item/%E4%BA%9A%E7%83%AD%E5%B8%A6%E5%AD%A3%E9%A3%8E%E6%80%A7%E6%B9%BF%E6%B6%A6%E6%B0%94%E5%80%99" TargetMode="External" /><Relationship Id="rId191" Type="http://schemas.openxmlformats.org/officeDocument/2006/relationships/hyperlink" Target="https://baike.baidu.com/item/%E6%B9%BF%E5%9C%B0/27043" TargetMode="External" /><Relationship Id="rId192" Type="http://schemas.openxmlformats.org/officeDocument/2006/relationships/header" Target="header57.xml" /><Relationship Id="rId193" Type="http://schemas.openxmlformats.org/officeDocument/2006/relationships/footer" Target="footer57.xml" /><Relationship Id="rId194" Type="http://schemas.openxmlformats.org/officeDocument/2006/relationships/header" Target="header58.xml" /><Relationship Id="rId195" Type="http://schemas.openxmlformats.org/officeDocument/2006/relationships/footer" Target="footer58.xml" /><Relationship Id="rId196" Type="http://schemas.openxmlformats.org/officeDocument/2006/relationships/hyperlink" Target="https://baike.baidu.com/item/%E9%9B%81/6913111" TargetMode="External" /><Relationship Id="rId197" Type="http://schemas.openxmlformats.org/officeDocument/2006/relationships/hyperlink" Target="https://baike.baidu.com/item/%E9%B9%B3/4674222" TargetMode="External" /><Relationship Id="rId198" Type="http://schemas.openxmlformats.org/officeDocument/2006/relationships/hyperlink" Target="https://baike.baidu.com/item/%E9%B9%88" TargetMode="External" /><Relationship Id="rId199" Type="http://schemas.openxmlformats.org/officeDocument/2006/relationships/hyperlink" Target="https://baike.baidu.com/item/%E7%99%BD%E9%B9%B3" TargetMode="External" /><Relationship Id="rId2" Type="http://schemas.openxmlformats.org/officeDocument/2006/relationships/webSettings" Target="webSettings.xml" /><Relationship Id="rId20" Type="http://schemas.openxmlformats.org/officeDocument/2006/relationships/header" Target="header9.xml" /><Relationship Id="rId200" Type="http://schemas.openxmlformats.org/officeDocument/2006/relationships/hyperlink" Target="https://baike.baidu.com/item/%E6%B1%9F%E8%B1%9A" TargetMode="External" /><Relationship Id="rId201" Type="http://schemas.openxmlformats.org/officeDocument/2006/relationships/hyperlink" Target="https://baike.baidu.com/item/%E7%99%BD%E9%B3%8D%E8%B1%9A/36241" TargetMode="External" /><Relationship Id="rId202" Type="http://schemas.openxmlformats.org/officeDocument/2006/relationships/hyperlink" Target="https://baike.baidu.com/item/%E8%86%A8%E6%B6%A6%E5%9C%9F" TargetMode="External" /><Relationship Id="rId203" Type="http://schemas.openxmlformats.org/officeDocument/2006/relationships/hyperlink" Target="https://baike.baidu.com/item/%E7%99%BD%E4%BA%91%E5%B2%A9" TargetMode="External" /><Relationship Id="rId204" Type="http://schemas.openxmlformats.org/officeDocument/2006/relationships/hyperlink" Target="https://baike.baidu.com/item/%E7%9F%B3%E8%8B%B1%E7%A0%82" TargetMode="External" /><Relationship Id="rId205" Type="http://schemas.openxmlformats.org/officeDocument/2006/relationships/header" Target="header59.xml" /><Relationship Id="rId206" Type="http://schemas.openxmlformats.org/officeDocument/2006/relationships/footer" Target="footer59.xml" /><Relationship Id="rId207" Type="http://schemas.openxmlformats.org/officeDocument/2006/relationships/header" Target="header60.xml" /><Relationship Id="rId208" Type="http://schemas.openxmlformats.org/officeDocument/2006/relationships/footer" Target="footer60.xml" /><Relationship Id="rId209" Type="http://schemas.openxmlformats.org/officeDocument/2006/relationships/header" Target="header61.xml" /><Relationship Id="rId21" Type="http://schemas.openxmlformats.org/officeDocument/2006/relationships/footer" Target="footer9.xml" /><Relationship Id="rId210" Type="http://schemas.openxmlformats.org/officeDocument/2006/relationships/footer" Target="footer61.xml" /><Relationship Id="rId211" Type="http://schemas.openxmlformats.org/officeDocument/2006/relationships/header" Target="header62.xml" /><Relationship Id="rId212" Type="http://schemas.openxmlformats.org/officeDocument/2006/relationships/footer" Target="footer62.xml" /><Relationship Id="rId213" Type="http://schemas.openxmlformats.org/officeDocument/2006/relationships/header" Target="header63.xml" /><Relationship Id="rId214" Type="http://schemas.openxmlformats.org/officeDocument/2006/relationships/footer" Target="footer63.xml" /><Relationship Id="rId215" Type="http://schemas.openxmlformats.org/officeDocument/2006/relationships/header" Target="header64.xml" /><Relationship Id="rId216" Type="http://schemas.openxmlformats.org/officeDocument/2006/relationships/footer" Target="footer64.xml" /><Relationship Id="rId217" Type="http://schemas.openxmlformats.org/officeDocument/2006/relationships/header" Target="header65.xml" /><Relationship Id="rId218" Type="http://schemas.openxmlformats.org/officeDocument/2006/relationships/footer" Target="footer65.xml" /><Relationship Id="rId219" Type="http://schemas.openxmlformats.org/officeDocument/2006/relationships/header" Target="header66.xml" /><Relationship Id="rId22" Type="http://schemas.openxmlformats.org/officeDocument/2006/relationships/header" Target="header10.xml" /><Relationship Id="rId220" Type="http://schemas.openxmlformats.org/officeDocument/2006/relationships/footer" Target="footer66.xml" /><Relationship Id="rId221" Type="http://schemas.openxmlformats.org/officeDocument/2006/relationships/header" Target="header67.xml" /><Relationship Id="rId222" Type="http://schemas.openxmlformats.org/officeDocument/2006/relationships/footer" Target="footer67.xml" /><Relationship Id="rId223" Type="http://schemas.openxmlformats.org/officeDocument/2006/relationships/header" Target="header68.xml" /><Relationship Id="rId224" Type="http://schemas.openxmlformats.org/officeDocument/2006/relationships/footer" Target="footer68.xml" /><Relationship Id="rId225" Type="http://schemas.openxmlformats.org/officeDocument/2006/relationships/header" Target="header69.xml" /><Relationship Id="rId226" Type="http://schemas.openxmlformats.org/officeDocument/2006/relationships/footer" Target="footer69.xml" /><Relationship Id="rId227" Type="http://schemas.openxmlformats.org/officeDocument/2006/relationships/header" Target="header70.xml" /><Relationship Id="rId228" Type="http://schemas.openxmlformats.org/officeDocument/2006/relationships/footer" Target="footer70.xml" /><Relationship Id="rId229" Type="http://schemas.openxmlformats.org/officeDocument/2006/relationships/header" Target="header71.xml" /><Relationship Id="rId23" Type="http://schemas.openxmlformats.org/officeDocument/2006/relationships/footer" Target="footer10.xml" /><Relationship Id="rId230" Type="http://schemas.openxmlformats.org/officeDocument/2006/relationships/footer" Target="footer71.xml" /><Relationship Id="rId231" Type="http://schemas.openxmlformats.org/officeDocument/2006/relationships/header" Target="header72.xml" /><Relationship Id="rId232" Type="http://schemas.openxmlformats.org/officeDocument/2006/relationships/footer" Target="footer72.xml" /><Relationship Id="rId233" Type="http://schemas.openxmlformats.org/officeDocument/2006/relationships/hyperlink" Target="https://d.book118.com/285042001134011111" TargetMode="External" /><Relationship Id="rId234" Type="http://schemas.openxmlformats.org/officeDocument/2006/relationships/header" Target="header73.xml" /><Relationship Id="rId235" Type="http://schemas.openxmlformats.org/officeDocument/2006/relationships/footer" Target="footer73.xml" /><Relationship Id="rId236" Type="http://schemas.openxmlformats.org/officeDocument/2006/relationships/header" Target="header74.xml" /><Relationship Id="rId237" Type="http://schemas.openxmlformats.org/officeDocument/2006/relationships/footer" Target="footer74.xml" /><Relationship Id="rId238" Type="http://schemas.openxmlformats.org/officeDocument/2006/relationships/theme" Target="theme/theme1.xml" /><Relationship Id="rId239" Type="http://schemas.openxmlformats.org/officeDocument/2006/relationships/numbering" Target="numbering.xml" /><Relationship Id="rId24" Type="http://schemas.openxmlformats.org/officeDocument/2006/relationships/header" Target="header11.xml" /><Relationship Id="rId240" Type="http://schemas.openxmlformats.org/officeDocument/2006/relationships/styles" Target="styles.xml" /><Relationship Id="rId25" Type="http://schemas.openxmlformats.org/officeDocument/2006/relationships/footer" Target="footer11.xml" /><Relationship Id="rId26" Type="http://schemas.openxmlformats.org/officeDocument/2006/relationships/header" Target="header12.xml" /><Relationship Id="rId27" Type="http://schemas.openxmlformats.org/officeDocument/2006/relationships/footer" Target="footer12.xml" /><Relationship Id="rId28" Type="http://schemas.openxmlformats.org/officeDocument/2006/relationships/header" Target="header13.xml" /><Relationship Id="rId29" Type="http://schemas.openxmlformats.org/officeDocument/2006/relationships/footer" Target="footer13.xml" /><Relationship Id="rId3" Type="http://schemas.openxmlformats.org/officeDocument/2006/relationships/fontTable" Target="fontTable.xml" /><Relationship Id="rId30" Type="http://schemas.openxmlformats.org/officeDocument/2006/relationships/header" Target="header14.xml" /><Relationship Id="rId31" Type="http://schemas.openxmlformats.org/officeDocument/2006/relationships/footer" Target="footer14.xml" /><Relationship Id="rId32" Type="http://schemas.openxmlformats.org/officeDocument/2006/relationships/header" Target="header15.xml" /><Relationship Id="rId33" Type="http://schemas.openxmlformats.org/officeDocument/2006/relationships/footer" Target="footer15.xml" /><Relationship Id="rId34" Type="http://schemas.openxmlformats.org/officeDocument/2006/relationships/header" Target="header16.xml" /><Relationship Id="rId35" Type="http://schemas.openxmlformats.org/officeDocument/2006/relationships/footer" Target="footer16.xml" /><Relationship Id="rId36" Type="http://schemas.openxmlformats.org/officeDocument/2006/relationships/header" Target="header17.xml" /><Relationship Id="rId37" Type="http://schemas.openxmlformats.org/officeDocument/2006/relationships/footer" Target="footer17.xml" /><Relationship Id="rId38" Type="http://schemas.openxmlformats.org/officeDocument/2006/relationships/header" Target="header18.xml" /><Relationship Id="rId39" Type="http://schemas.openxmlformats.org/officeDocument/2006/relationships/footer" Target="footer18.xml" /><Relationship Id="rId4" Type="http://schemas.openxmlformats.org/officeDocument/2006/relationships/header" Target="header1.xml" /><Relationship Id="rId40" Type="http://schemas.openxmlformats.org/officeDocument/2006/relationships/hyperlink" Target="http://www.miit.gov.cn/n1146295/n1652858/n1652930/n3757019/c5267251/part/5267260.doc" TargetMode="External" /><Relationship Id="rId41" Type="http://schemas.openxmlformats.org/officeDocument/2006/relationships/header" Target="header19.xml" /><Relationship Id="rId42" Type="http://schemas.openxmlformats.org/officeDocument/2006/relationships/footer" Target="footer19.xml" /><Relationship Id="rId43" Type="http://schemas.openxmlformats.org/officeDocument/2006/relationships/header" Target="header20.xml" /><Relationship Id="rId44" Type="http://schemas.openxmlformats.org/officeDocument/2006/relationships/footer" Target="footer20.xml" /><Relationship Id="rId45" Type="http://schemas.openxmlformats.org/officeDocument/2006/relationships/header" Target="header21.xml" /><Relationship Id="rId46" Type="http://schemas.openxmlformats.org/officeDocument/2006/relationships/footer" Target="footer21.xml" /><Relationship Id="rId47" Type="http://schemas.openxmlformats.org/officeDocument/2006/relationships/header" Target="header22.xml" /><Relationship Id="rId48" Type="http://schemas.openxmlformats.org/officeDocument/2006/relationships/footer" Target="footer22.xml" /><Relationship Id="rId49" Type="http://schemas.openxmlformats.org/officeDocument/2006/relationships/header" Target="header23.xml" /><Relationship Id="rId5" Type="http://schemas.openxmlformats.org/officeDocument/2006/relationships/footer" Target="footer1.xml" /><Relationship Id="rId50" Type="http://schemas.openxmlformats.org/officeDocument/2006/relationships/footer" Target="footer23.xml" /><Relationship Id="rId51" Type="http://schemas.openxmlformats.org/officeDocument/2006/relationships/header" Target="header24.xml" /><Relationship Id="rId52" Type="http://schemas.openxmlformats.org/officeDocument/2006/relationships/footer" Target="footer24.xml" /><Relationship Id="rId53" Type="http://schemas.openxmlformats.org/officeDocument/2006/relationships/header" Target="header25.xml" /><Relationship Id="rId54" Type="http://schemas.openxmlformats.org/officeDocument/2006/relationships/footer" Target="footer25.xml" /><Relationship Id="rId55" Type="http://schemas.openxmlformats.org/officeDocument/2006/relationships/header" Target="header26.xml" /><Relationship Id="rId56" Type="http://schemas.openxmlformats.org/officeDocument/2006/relationships/footer" Target="footer26.xml" /><Relationship Id="rId57" Type="http://schemas.openxmlformats.org/officeDocument/2006/relationships/hyperlink" Target="https://baike.baidu.com/item/%E7%94%9F%E7%89%A9%E5%8C%BB%E8%8D%AF/3224279" TargetMode="External" /><Relationship Id="rId58" Type="http://schemas.openxmlformats.org/officeDocument/2006/relationships/hyperlink" Target="https://baike.baidu.com/item/%E5%8C%BB%E7%96%97%E5%99%A8%E6%A2%B0/883406" TargetMode="External" /><Relationship Id="rId59" Type="http://schemas.openxmlformats.org/officeDocument/2006/relationships/hyperlink" Target="https://baike.baidu.com/item/%E5%9B%BD%E5%AE%B6%E5%AD%98%E5%82%A8%E5%99%A8%E5%9F%BA%E5%9C%B0/20358002" TargetMode="External" /><Relationship Id="rId6" Type="http://schemas.openxmlformats.org/officeDocument/2006/relationships/header" Target="header2.xml" /><Relationship Id="rId60" Type="http://schemas.openxmlformats.org/officeDocument/2006/relationships/hyperlink" Target="https://baike.baidu.com/item/%E5%9B%BD%E5%AE%B6%E7%BD%91%E7%BB%9C%E5%AE%89%E5%85%A8%E4%BA%BA%E6%89%8D%E4%B8%8E%E5%88%9B%E6%96%B0%E5%9F%BA%E5%9C%B0/23211018" TargetMode="External" /><Relationship Id="rId61" Type="http://schemas.openxmlformats.org/officeDocument/2006/relationships/hyperlink" Target="https://baike.baidu.com/item/%E5%B7%A5%E4%B8%9A%E4%BA%92%E8%81%94%E7%BD%91/8413475" TargetMode="External" /><Relationship Id="rId62" Type="http://schemas.openxmlformats.org/officeDocument/2006/relationships/header" Target="header27.xml" /><Relationship Id="rId63" Type="http://schemas.openxmlformats.org/officeDocument/2006/relationships/footer" Target="footer27.xml" /><Relationship Id="rId64" Type="http://schemas.openxmlformats.org/officeDocument/2006/relationships/header" Target="header28.xml" /><Relationship Id="rId65" Type="http://schemas.openxmlformats.org/officeDocument/2006/relationships/footer" Target="footer28.xml" /><Relationship Id="rId66" Type="http://schemas.openxmlformats.org/officeDocument/2006/relationships/hyperlink" Target="https://baike.baidu.com/item/%E6%99%BA%E8%83%BD%E5%88%B6%E9%80%A0/4753603" TargetMode="External" /><Relationship Id="rId67" Type="http://schemas.openxmlformats.org/officeDocument/2006/relationships/hyperlink" Target="https://baike.baidu.com/item/%E4%BF%A1%E6%81%AF%E6%8A%80%E6%9C%AF%E4%BA%A7%E4%B8%9A/7255127" TargetMode="External" /><Relationship Id="rId68" Type="http://schemas.openxmlformats.org/officeDocument/2006/relationships/header" Target="header29.xml" /><Relationship Id="rId69" Type="http://schemas.openxmlformats.org/officeDocument/2006/relationships/footer" Target="footer29.xml" /><Relationship Id="rId7" Type="http://schemas.openxmlformats.org/officeDocument/2006/relationships/footer" Target="footer2.xml" /><Relationship Id="rId70" Type="http://schemas.openxmlformats.org/officeDocument/2006/relationships/header" Target="header30.xml" /><Relationship Id="rId71" Type="http://schemas.openxmlformats.org/officeDocument/2006/relationships/footer" Target="footer30.xml" /><Relationship Id="rId72" Type="http://schemas.openxmlformats.org/officeDocument/2006/relationships/header" Target="header31.xml" /><Relationship Id="rId73" Type="http://schemas.openxmlformats.org/officeDocument/2006/relationships/footer" Target="footer31.xml" /><Relationship Id="rId74" Type="http://schemas.openxmlformats.org/officeDocument/2006/relationships/header" Target="header32.xml" /><Relationship Id="rId75" Type="http://schemas.openxmlformats.org/officeDocument/2006/relationships/footer" Target="footer32.xml" /><Relationship Id="rId76" Type="http://schemas.openxmlformats.org/officeDocument/2006/relationships/header" Target="header33.xml" /><Relationship Id="rId77" Type="http://schemas.openxmlformats.org/officeDocument/2006/relationships/footer" Target="footer33.xml" /><Relationship Id="rId78" Type="http://schemas.openxmlformats.org/officeDocument/2006/relationships/header" Target="header34.xml" /><Relationship Id="rId79" Type="http://schemas.openxmlformats.org/officeDocument/2006/relationships/footer" Target="footer34.xml" /><Relationship Id="rId8" Type="http://schemas.openxmlformats.org/officeDocument/2006/relationships/header" Target="header3.xml" /><Relationship Id="rId80" Type="http://schemas.openxmlformats.org/officeDocument/2006/relationships/header" Target="header35.xml" /><Relationship Id="rId81" Type="http://schemas.openxmlformats.org/officeDocument/2006/relationships/footer" Target="footer35.xml" /><Relationship Id="rId82" Type="http://schemas.openxmlformats.org/officeDocument/2006/relationships/header" Target="header36.xml" /><Relationship Id="rId83" Type="http://schemas.openxmlformats.org/officeDocument/2006/relationships/footer" Target="footer36.xml" /><Relationship Id="rId84" Type="http://schemas.openxmlformats.org/officeDocument/2006/relationships/header" Target="header37.xml" /><Relationship Id="rId85" Type="http://schemas.openxmlformats.org/officeDocument/2006/relationships/footer" Target="footer37.xml" /><Relationship Id="rId86" Type="http://schemas.openxmlformats.org/officeDocument/2006/relationships/header" Target="header38.xml" /><Relationship Id="rId87" Type="http://schemas.openxmlformats.org/officeDocument/2006/relationships/footer" Target="footer38.xml" /><Relationship Id="rId88" Type="http://schemas.openxmlformats.org/officeDocument/2006/relationships/header" Target="header39.xml" /><Relationship Id="rId89" Type="http://schemas.openxmlformats.org/officeDocument/2006/relationships/footer" Target="footer39.xml" /><Relationship Id="rId9" Type="http://schemas.openxmlformats.org/officeDocument/2006/relationships/footer" Target="footer3.xml" /><Relationship Id="rId90" Type="http://schemas.openxmlformats.org/officeDocument/2006/relationships/header" Target="header40.xml" /><Relationship Id="rId91" Type="http://schemas.openxmlformats.org/officeDocument/2006/relationships/footer" Target="footer40.xml" /><Relationship Id="rId92" Type="http://schemas.openxmlformats.org/officeDocument/2006/relationships/header" Target="header41.xml" /><Relationship Id="rId93" Type="http://schemas.openxmlformats.org/officeDocument/2006/relationships/footer" Target="footer41.xml" /><Relationship Id="rId94" Type="http://schemas.openxmlformats.org/officeDocument/2006/relationships/header" Target="header42.xml" /><Relationship Id="rId95" Type="http://schemas.openxmlformats.org/officeDocument/2006/relationships/footer" Target="footer42.xml" /><Relationship Id="rId96" Type="http://schemas.openxmlformats.org/officeDocument/2006/relationships/header" Target="header43.xml" /><Relationship Id="rId97" Type="http://schemas.openxmlformats.org/officeDocument/2006/relationships/footer" Target="footer43.xml" /><Relationship Id="rId98" Type="http://schemas.openxmlformats.org/officeDocument/2006/relationships/header" Target="header44.xml" /><Relationship Id="rId99" Type="http://schemas.openxmlformats.org/officeDocument/2006/relationships/footer" Target="footer44.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43</Pages>
  <Words>31507</Words>
  <Characters>36480</Characters>
  <Application>Microsoft Office Word</Application>
  <DocSecurity>0</DocSecurity>
  <Lines>532</Lines>
  <Paragraphs>149</Paragraphs>
  <ScaleCrop>false</ScaleCrop>
  <Company>dell</Company>
  <LinksUpToDate>false</LinksUpToDate>
  <CharactersWithSpaces>36968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高档精梳棉纱</dc:title>
  <dc:creator>andy</dc:creator>
  <cp:lastModifiedBy>Administrator</cp:lastModifiedBy>
  <cp:revision>2</cp:revision>
  <dcterms:created xsi:type="dcterms:W3CDTF">2019-09-13T13:23:00Z</dcterms:created>
  <dcterms:modified xsi:type="dcterms:W3CDTF">2023-09-18T23:44:15Z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336A9441364743CA9EB30558FF898A2A</vt:lpwstr>
  </property>
  <property fmtid="{D5CDD505-2E9C-101B-9397-08002B2CF9AE}" pid="3" name="KSOProductBuildVer">
    <vt:lpwstr>2052-11.1.0.14309</vt:lpwstr>
  </property>
</Properties>
</file>