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物理法处理设备相关行业公司成立报告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72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_Toc8728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07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_Toc19307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6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_Toc12463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_Toc9056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0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_Toc20807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0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_Toc11603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_Toc16602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_Toc17521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_Toc8085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37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_Toc15137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_Toc1412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_Toc9077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71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_Toc5571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_Toc20517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6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_Toc19469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2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_Toc31321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40" w:history="1">
        <w:r>
          <w:rPr>
            <w:rFonts w:ascii="仿宋" w:eastAsia="仿宋" w:hAnsi="仿宋" w:cs="仿宋" w:hint="eastAsia"/>
            <w:lang w:eastAsia="zh-CN"/>
          </w:rPr>
          <w:t>四、物理法处理设备项目概况</w:t>
        </w:r>
        <w:r>
          <w:tab/>
        </w:r>
        <w:r>
          <w:fldChar w:fldCharType="begin"/>
        </w:r>
        <w:r>
          <w:instrText xml:space="preserve"> PAGEREF _Toc24540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1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_Toc6861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8" w:history="1">
        <w:r>
          <w:rPr>
            <w:rFonts w:ascii="仿宋" w:eastAsia="仿宋" w:hAnsi="仿宋" w:cs="仿宋" w:hint="eastAsia"/>
            <w:lang w:eastAsia="zh-CN"/>
          </w:rPr>
          <w:t>(二)、物理法处理设备项目提出的理由</w:t>
        </w:r>
        <w:r>
          <w:tab/>
        </w:r>
        <w:r>
          <w:fldChar w:fldCharType="begin"/>
        </w:r>
        <w:r>
          <w:instrText xml:space="preserve"> PAGEREF _Toc12668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17" w:history="1">
        <w:r>
          <w:rPr>
            <w:rFonts w:ascii="仿宋" w:eastAsia="仿宋" w:hAnsi="仿宋" w:cs="仿宋" w:hint="eastAsia"/>
            <w:lang w:eastAsia="zh-CN"/>
          </w:rPr>
          <w:t>(三)、物理法处理设备项目选址</w:t>
        </w:r>
        <w:r>
          <w:tab/>
        </w:r>
        <w:r>
          <w:fldChar w:fldCharType="begin"/>
        </w:r>
        <w:r>
          <w:instrText xml:space="preserve"> PAGEREF _Toc14617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31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_Toc6331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_Toc18969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68" w:history="1">
        <w:r>
          <w:rPr>
            <w:rFonts w:ascii="仿宋" w:eastAsia="仿宋" w:hAnsi="仿宋" w:cs="仿宋" w:hint="eastAsia"/>
            <w:lang w:eastAsia="zh-CN"/>
          </w:rPr>
          <w:t>(六)、物理法处理设备项目投资</w:t>
        </w:r>
        <w:r>
          <w:tab/>
        </w:r>
        <w:r>
          <w:fldChar w:fldCharType="begin"/>
        </w:r>
        <w:r>
          <w:instrText xml:space="preserve"> PAGEREF _Toc27168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85" w:history="1">
        <w:r>
          <w:rPr>
            <w:rFonts w:ascii="仿宋" w:eastAsia="仿宋" w:hAnsi="仿宋" w:cs="仿宋" w:hint="eastAsia"/>
            <w:lang w:eastAsia="zh-CN"/>
          </w:rPr>
          <w:t>(七)、物理法处理设备项目进度规划</w:t>
        </w:r>
        <w:r>
          <w:tab/>
        </w:r>
        <w:r>
          <w:fldChar w:fldCharType="begin"/>
        </w:r>
        <w:r>
          <w:instrText xml:space="preserve"> PAGEREF _Toc16085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_Toc28365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1" w:history="1">
        <w:r>
          <w:rPr>
            <w:rFonts w:ascii="仿宋" w:eastAsia="仿宋" w:hAnsi="仿宋" w:cs="仿宋" w:hint="eastAsia"/>
            <w:lang w:eastAsia="zh-CN"/>
          </w:rPr>
          <w:t>(九)、物理法处理设备项目综合评价</w:t>
        </w:r>
        <w:r>
          <w:tab/>
        </w:r>
        <w:r>
          <w:fldChar w:fldCharType="begin"/>
        </w:r>
        <w:r>
          <w:instrText xml:space="preserve"> PAGEREF _Toc12111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83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_Toc11383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4" w:history="1">
        <w:r>
          <w:rPr>
            <w:rFonts w:ascii="仿宋" w:eastAsia="仿宋" w:hAnsi="仿宋" w:cs="仿宋" w:hint="eastAsia"/>
            <w:lang w:eastAsia="zh-CN"/>
          </w:rPr>
          <w:t>(一)、物理法处理设备项目选址原则</w:t>
        </w:r>
        <w:r>
          <w:tab/>
        </w:r>
        <w:r>
          <w:fldChar w:fldCharType="begin"/>
        </w:r>
        <w:r>
          <w:instrText xml:space="preserve"> PAGEREF _Toc10534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_Toc1560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24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_Toc10224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3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_Toc17230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98" w:history="1">
        <w:r>
          <w:rPr>
            <w:rFonts w:ascii="仿宋" w:eastAsia="仿宋" w:hAnsi="仿宋" w:cs="仿宋" w:hint="eastAsia"/>
            <w:lang w:eastAsia="zh-CN"/>
          </w:rPr>
          <w:t>(五)、物理法处理设备项目选址综合评价</w:t>
        </w:r>
        <w:r>
          <w:tab/>
        </w:r>
        <w:r>
          <w:fldChar w:fldCharType="begin"/>
        </w:r>
        <w:r>
          <w:instrText xml:space="preserve"> PAGEREF _Toc11698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28" w:history="1">
        <w:r>
          <w:rPr>
            <w:rFonts w:ascii="仿宋" w:eastAsia="仿宋" w:hAnsi="仿宋" w:cs="仿宋" w:hint="eastAsia"/>
            <w:lang w:eastAsia="zh-CN"/>
          </w:rPr>
          <w:t>六、物理法处理设备项目风险分析</w:t>
        </w:r>
        <w:r>
          <w:tab/>
        </w:r>
        <w:r>
          <w:fldChar w:fldCharType="begin"/>
        </w:r>
        <w:r>
          <w:instrText xml:space="preserve"> PAGEREF _Toc15228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8" w:history="1">
        <w:r>
          <w:rPr>
            <w:rFonts w:ascii="仿宋" w:eastAsia="仿宋" w:hAnsi="仿宋" w:cs="仿宋" w:hint="eastAsia"/>
            <w:lang w:eastAsia="zh-CN"/>
          </w:rPr>
          <w:t>(一)、物理法处理设备项目风险分析</w:t>
        </w:r>
        <w:r>
          <w:tab/>
        </w:r>
        <w:r>
          <w:fldChar w:fldCharType="begin"/>
        </w:r>
        <w:r>
          <w:instrText xml:space="preserve"> PAGEREF _Toc25578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8" w:history="1">
        <w:r>
          <w:rPr>
            <w:rFonts w:ascii="仿宋" w:eastAsia="仿宋" w:hAnsi="仿宋" w:cs="仿宋" w:hint="eastAsia"/>
            <w:lang w:eastAsia="zh-CN"/>
          </w:rPr>
          <w:t>(二)、物理法处理设备项目风险对策</w:t>
        </w:r>
        <w:r>
          <w:tab/>
        </w:r>
        <w:r>
          <w:fldChar w:fldCharType="begin"/>
        </w:r>
        <w:r>
          <w:instrText xml:space="preserve"> PAGEREF _Toc2858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98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_Toc12798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7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_Toc11577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7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_Toc23567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9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_Toc24295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8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_Toc5508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42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_Toc11442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27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_Toc3270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_Toc14239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9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_Toc25094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1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_Toc32113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689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_Toc18689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3" w:history="1">
        <w:r>
          <w:rPr>
            <w:rFonts w:ascii="仿宋" w:eastAsia="仿宋" w:hAnsi="仿宋" w:cs="仿宋" w:hint="eastAsia"/>
            <w:lang w:eastAsia="zh-CN"/>
          </w:rPr>
          <w:t>(一)、物理法处理设备项目进度安排</w:t>
        </w:r>
        <w:r>
          <w:tab/>
        </w:r>
        <w:r>
          <w:fldChar w:fldCharType="begin"/>
        </w:r>
        <w:r>
          <w:instrText xml:space="preserve"> PAGEREF _Toc973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9" w:history="1">
        <w:r>
          <w:rPr>
            <w:rFonts w:ascii="仿宋" w:eastAsia="仿宋" w:hAnsi="仿宋" w:cs="仿宋" w:hint="eastAsia"/>
            <w:lang w:eastAsia="zh-CN"/>
          </w:rPr>
          <w:t>(二)、物理法处理设备项目实施保障措施</w:t>
        </w:r>
        <w:r>
          <w:tab/>
        </w:r>
        <w:r>
          <w:fldChar w:fldCharType="begin"/>
        </w:r>
        <w:r>
          <w:instrText xml:space="preserve"> PAGEREF _Toc22049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6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_Toc1386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3" w:history="1">
        <w:r>
          <w:rPr>
            <w:rFonts w:ascii="仿宋" w:eastAsia="仿宋" w:hAnsi="仿宋" w:cs="仿宋" w:hint="eastAsia"/>
            <w:lang w:eastAsia="zh-CN"/>
          </w:rPr>
          <w:t>(一)、物理法处理设备项目背景分析</w:t>
        </w:r>
        <w:r>
          <w:tab/>
        </w:r>
        <w:r>
          <w:fldChar w:fldCharType="begin"/>
        </w:r>
        <w:r>
          <w:instrText xml:space="preserve"> PAGEREF _Toc14703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4" w:history="1">
        <w:r>
          <w:rPr>
            <w:rFonts w:ascii="仿宋" w:eastAsia="仿宋" w:hAnsi="仿宋" w:cs="仿宋" w:hint="eastAsia"/>
            <w:lang w:eastAsia="zh-CN"/>
          </w:rPr>
          <w:t>(二)、物理法处理设备项目建设必要性分析</w:t>
        </w:r>
        <w:r>
          <w:tab/>
        </w:r>
        <w:r>
          <w:fldChar w:fldCharType="begin"/>
        </w:r>
        <w:r>
          <w:instrText xml:space="preserve"> PAGEREF _Toc31154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_Toc32293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24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_Toc21124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38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_Toc23538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72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_Toc26872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60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_Toc20260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85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_Toc6485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71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_Toc5971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374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_Toc20374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_Toc30793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7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_Toc4397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3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_Toc14133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11" w:history="1">
        <w:r>
          <w:rPr>
            <w:rFonts w:ascii="仿宋" w:eastAsia="仿宋" w:hAnsi="仿宋" w:cs="仿宋" w:hint="eastAsia"/>
            <w:lang w:eastAsia="zh-CN"/>
          </w:rPr>
          <w:t>十三、法律和合规事项</w:t>
        </w:r>
        <w:r>
          <w:tab/>
        </w:r>
        <w:r>
          <w:fldChar w:fldCharType="begin"/>
        </w:r>
        <w:r>
          <w:instrText xml:space="preserve"> PAGEREF _Toc13811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1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_Toc24171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2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_Toc20823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7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_Toc25671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1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_Toc5710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72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9307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2463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9056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https://d.book118.com/285120232041011044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物理法处理设备相关行业公司成立报告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物理法处理设备相关行业公司成立报告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物理法处理设备相关行业公司成立报告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物理法处理设备相关行业公司成立报告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物理法处理设备相关行业公司成立报告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85120232041011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2023-12-31T21:24:00Z</dcterms:created>
  <dcterms:modified xsi:type="dcterms:W3CDTF">2023-12-31T21:24:41Z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2064087ED3DF4340AA7E365337F71013_11</vt:lpwstr>
  </property>
  <property fmtid="{D5CDD505-2E9C-101B-9397-08002B2CF9AE}" pid="3" name="KSOProductBuildVer">
    <vt:lpwstr>2052-12.1.0.16120</vt:lpwstr>
  </property>
</Properties>
</file>