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9"/>
        </w:rPr>
      </w:pPr>
    </w:p>
    <w:p>
      <w:pPr>
        <w:spacing w:before="6"/>
        <w:ind w:left="297" w:right="0" w:firstLine="0"/>
        <w:jc w:val="center"/>
        <w:rPr>
          <w:rFonts w:ascii="等线" w:eastAsia="等线"/>
          <w:b/>
          <w:sz w:val="52"/>
        </w:rPr>
      </w:pPr>
      <w:r>
        <w:rPr>
          <w:rFonts w:ascii="等线" w:eastAsia="等线"/>
          <w:b/>
          <w:sz w:val="52"/>
        </w:rPr>
        <w:t>xxxxxx</w:t>
      </w:r>
      <w:r>
        <w:rPr>
          <w:rFonts w:ascii="等线" w:eastAsia="等线"/>
          <w:b/>
          <w:spacing w:val="-3"/>
          <w:sz w:val="52"/>
        </w:rPr>
        <w:t xml:space="preserve"> 门急诊病房综合楼</w:t>
      </w:r>
    </w:p>
    <w:p>
      <w:pPr>
        <w:pStyle w:val="Title"/>
        <w:spacing w:line="206" w:lineRule="auto"/>
      </w:pPr>
      <w:bookmarkStart w:id="0" w:name="_bookmark0"/>
      <w:bookmarkEnd w:id="0"/>
      <w:r>
        <w:rPr>
          <w:spacing w:val="-2"/>
        </w:rPr>
        <w:t>气动物流系统</w:t>
      </w:r>
      <w:r>
        <w:rPr>
          <w:spacing w:val="-2"/>
        </w:rPr>
        <w:t>项目组织设计</w:t>
      </w:r>
    </w:p>
    <w:p>
      <w:pPr>
        <w:pStyle w:val="BodyText"/>
        <w:rPr>
          <w:rFonts w:ascii="等线"/>
          <w:b/>
          <w:sz w:val="72"/>
        </w:rPr>
      </w:pPr>
    </w:p>
    <w:p>
      <w:pPr>
        <w:pStyle w:val="BodyText"/>
        <w:rPr>
          <w:rFonts w:ascii="等线"/>
          <w:b/>
          <w:sz w:val="83"/>
        </w:rPr>
      </w:pPr>
    </w:p>
    <w:p>
      <w:pPr>
        <w:tabs>
          <w:tab w:val="left" w:pos="8900"/>
        </w:tabs>
        <w:spacing w:before="0"/>
        <w:ind w:left="1160" w:right="0" w:firstLine="0"/>
        <w:jc w:val="left"/>
        <w:rPr>
          <w:rFonts w:ascii="Times New Roman" w:eastAsia="Times New Roman"/>
          <w:b/>
          <w:sz w:val="32"/>
        </w:rPr>
      </w:pPr>
      <w:r>
        <w:rPr>
          <w:rFonts w:ascii="Microsoft JhengHei" w:eastAsia="Microsoft JhengHei"/>
          <w:b/>
          <w:sz w:val="32"/>
        </w:rPr>
        <w:t>工</w:t>
      </w:r>
      <w:r>
        <w:rPr>
          <w:rFonts w:ascii="Microsoft JhengHei" w:eastAsia="Microsoft JhengHei"/>
          <w:b/>
          <w:sz w:val="32"/>
        </w:rPr>
        <w:t>程</w:t>
      </w:r>
      <w:r>
        <w:rPr>
          <w:rFonts w:ascii="Microsoft JhengHei" w:eastAsia="Microsoft JhengHei"/>
          <w:b/>
          <w:sz w:val="32"/>
        </w:rPr>
        <w:t>名</w:t>
      </w:r>
      <w:r>
        <w:rPr>
          <w:rFonts w:ascii="Microsoft JhengHei" w:eastAsia="Microsoft JhengHei"/>
          <w:b/>
          <w:sz w:val="32"/>
        </w:rPr>
        <w:t>称</w:t>
      </w:r>
      <w:r>
        <w:rPr>
          <w:rFonts w:ascii="Microsoft JhengHei" w:eastAsia="Microsoft JhengHei"/>
          <w:b/>
          <w:spacing w:val="-10"/>
          <w:sz w:val="32"/>
        </w:rPr>
        <w:t>：</w:t>
      </w:r>
      <w:r>
        <w:rPr>
          <w:rFonts w:ascii="Times New Roman" w:eastAsia="Times New Roman"/>
          <w:b/>
          <w:sz w:val="32"/>
          <w:u w:val="thick"/>
        </w:rPr>
        <w:tab/>
      </w:r>
    </w:p>
    <w:p>
      <w:pPr>
        <w:pStyle w:val="BodyText"/>
        <w:spacing w:before="5"/>
        <w:rPr>
          <w:rFonts w:ascii="Times New Roman"/>
          <w:b/>
          <w:sz w:val="11"/>
        </w:rPr>
      </w:pPr>
    </w:p>
    <w:p>
      <w:pPr>
        <w:tabs>
          <w:tab w:val="left" w:pos="8900"/>
        </w:tabs>
        <w:spacing w:before="0" w:line="549" w:lineRule="exact"/>
        <w:ind w:left="1160" w:right="0" w:firstLine="0"/>
        <w:jc w:val="left"/>
        <w:rPr>
          <w:rFonts w:ascii="Times New Roman" w:eastAsia="Times New Roman"/>
          <w:b/>
          <w:sz w:val="32"/>
        </w:rPr>
      </w:pPr>
      <w:r>
        <w:rPr>
          <w:rFonts w:ascii="Microsoft JhengHei" w:eastAsia="Microsoft JhengHei"/>
          <w:b/>
          <w:sz w:val="32"/>
        </w:rPr>
        <w:t>安</w:t>
      </w:r>
      <w:r>
        <w:rPr>
          <w:rFonts w:ascii="Microsoft JhengHei" w:eastAsia="Microsoft JhengHei"/>
          <w:b/>
          <w:sz w:val="32"/>
        </w:rPr>
        <w:t>装</w:t>
      </w:r>
      <w:r>
        <w:rPr>
          <w:rFonts w:ascii="Microsoft JhengHei" w:eastAsia="Microsoft JhengHei"/>
          <w:b/>
          <w:sz w:val="32"/>
        </w:rPr>
        <w:t>单</w:t>
      </w:r>
      <w:r>
        <w:rPr>
          <w:rFonts w:ascii="Microsoft JhengHei" w:eastAsia="Microsoft JhengHei"/>
          <w:b/>
          <w:sz w:val="32"/>
        </w:rPr>
        <w:t>位</w:t>
      </w:r>
      <w:r>
        <w:rPr>
          <w:rFonts w:ascii="Microsoft JhengHei" w:eastAsia="Microsoft JhengHei"/>
          <w:b/>
          <w:spacing w:val="-10"/>
          <w:sz w:val="32"/>
        </w:rPr>
        <w:t>：</w:t>
      </w:r>
      <w:r>
        <w:rPr>
          <w:rFonts w:ascii="Times New Roman" w:eastAsia="Times New Roman"/>
          <w:b/>
          <w:sz w:val="32"/>
          <w:u w:val="thick"/>
        </w:rPr>
        <w:tab/>
      </w:r>
    </w:p>
    <w:p>
      <w:pPr>
        <w:pStyle w:val="BodyText"/>
        <w:spacing w:before="4"/>
        <w:rPr>
          <w:rFonts w:ascii="Times New Roman"/>
          <w:b/>
          <w:sz w:val="12"/>
        </w:rPr>
      </w:pPr>
    </w:p>
    <w:p>
      <w:pPr>
        <w:tabs>
          <w:tab w:val="left" w:pos="3426"/>
          <w:tab w:val="left" w:pos="4551"/>
          <w:tab w:val="left" w:pos="5673"/>
          <w:tab w:val="left" w:pos="6957"/>
        </w:tabs>
        <w:spacing w:before="0" w:line="538" w:lineRule="exact"/>
        <w:ind w:left="1180" w:right="0" w:firstLine="0"/>
        <w:jc w:val="left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z w:val="32"/>
        </w:rPr>
        <w:t>编</w:t>
      </w:r>
      <w:r>
        <w:rPr>
          <w:rFonts w:ascii="Microsoft JhengHei" w:eastAsia="Microsoft JhengHei"/>
          <w:b/>
          <w:sz w:val="32"/>
        </w:rPr>
        <w:t>制</w:t>
      </w:r>
      <w:r>
        <w:rPr>
          <w:rFonts w:ascii="Microsoft JhengHei" w:eastAsia="Microsoft JhengHei"/>
          <w:b/>
          <w:sz w:val="32"/>
        </w:rPr>
        <w:t>日</w:t>
      </w:r>
      <w:r>
        <w:rPr>
          <w:rFonts w:ascii="Microsoft JhengHei" w:eastAsia="Microsoft JhengHei"/>
          <w:b/>
          <w:sz w:val="32"/>
        </w:rPr>
        <w:t>期</w:t>
      </w:r>
      <w:r>
        <w:rPr>
          <w:rFonts w:ascii="Microsoft JhengHei" w:eastAsia="Microsoft JhengHei"/>
          <w:b/>
          <w:spacing w:val="-10"/>
          <w:sz w:val="32"/>
        </w:rPr>
        <w:t>：</w:t>
      </w:r>
      <w:r>
        <w:rPr>
          <w:rFonts w:ascii="Microsoft JhengHei" w:eastAsia="Microsoft JhengHei"/>
          <w:b/>
          <w:sz w:val="32"/>
          <w:u w:val="thick"/>
        </w:rPr>
        <w:tab/>
      </w:r>
      <w:r>
        <w:rPr>
          <w:rFonts w:ascii="Microsoft JhengHei" w:eastAsia="Microsoft JhengHei"/>
          <w:b/>
          <w:spacing w:val="-4"/>
          <w:sz w:val="32"/>
          <w:u w:val="thick"/>
        </w:rPr>
        <w:t>2019</w:t>
      </w:r>
      <w:r>
        <w:rPr>
          <w:rFonts w:ascii="Microsoft JhengHei" w:eastAsia="Microsoft JhengHei"/>
          <w:b/>
          <w:sz w:val="32"/>
          <w:u w:val="thick"/>
        </w:rPr>
        <w:tab/>
      </w:r>
      <w:r>
        <w:rPr>
          <w:rFonts w:ascii="Microsoft JhengHei" w:eastAsia="Microsoft JhengHei"/>
          <w:b/>
          <w:sz w:val="32"/>
        </w:rPr>
        <w:t>年</w:t>
      </w:r>
      <w:r>
        <w:rPr>
          <w:rFonts w:ascii="Microsoft JhengHei" w:eastAsia="Microsoft JhengHei"/>
          <w:b/>
          <w:spacing w:val="40"/>
          <w:w w:val="150"/>
          <w:sz w:val="32"/>
          <w:u w:val="thick"/>
        </w:rPr>
        <w:t xml:space="preserve">  </w:t>
      </w:r>
      <w:r>
        <w:rPr>
          <w:rFonts w:ascii="Microsoft JhengHei" w:eastAsia="Microsoft JhengHei"/>
          <w:b/>
          <w:spacing w:val="-10"/>
          <w:sz w:val="32"/>
          <w:u w:val="thick"/>
        </w:rPr>
        <w:t>3</w:t>
      </w:r>
      <w:r>
        <w:rPr>
          <w:rFonts w:ascii="Microsoft JhengHei" w:eastAsia="Microsoft JhengHei"/>
          <w:b/>
          <w:sz w:val="32"/>
          <w:u w:val="thick"/>
        </w:rPr>
        <w:tab/>
      </w:r>
      <w:r>
        <w:rPr>
          <w:rFonts w:ascii="Microsoft JhengHei" w:eastAsia="Microsoft JhengHei"/>
          <w:b/>
          <w:sz w:val="32"/>
        </w:rPr>
        <w:t>月</w:t>
      </w:r>
      <w:r>
        <w:rPr>
          <w:rFonts w:ascii="Microsoft JhengHei" w:eastAsia="Microsoft JhengHei"/>
          <w:b/>
          <w:spacing w:val="40"/>
          <w:w w:val="150"/>
          <w:sz w:val="32"/>
          <w:u w:val="thick"/>
        </w:rPr>
        <w:t xml:space="preserve">  </w:t>
      </w:r>
      <w:r>
        <w:rPr>
          <w:rFonts w:ascii="Microsoft JhengHei" w:eastAsia="Microsoft JhengHei"/>
          <w:b/>
          <w:spacing w:val="-5"/>
          <w:sz w:val="32"/>
          <w:u w:val="thick"/>
        </w:rPr>
        <w:t>10</w:t>
      </w:r>
      <w:r>
        <w:rPr>
          <w:rFonts w:ascii="Microsoft JhengHei" w:eastAsia="Microsoft JhengHei"/>
          <w:b/>
          <w:sz w:val="32"/>
          <w:u w:val="thick"/>
        </w:rPr>
        <w:tab/>
      </w:r>
      <w:r>
        <w:rPr>
          <w:rFonts w:ascii="Microsoft JhengHei" w:eastAsia="Microsoft JhengHei"/>
          <w:b/>
          <w:spacing w:val="-10"/>
          <w:sz w:val="32"/>
        </w:rPr>
        <w:t>日</w:t>
      </w:r>
    </w:p>
    <w:p>
      <w:pPr>
        <w:pStyle w:val="BodyText"/>
        <w:spacing w:before="16"/>
        <w:rPr>
          <w:rFonts w:ascii="Microsoft JhengHei"/>
          <w:b/>
          <w:sz w:val="17"/>
        </w:rPr>
      </w:pPr>
    </w:p>
    <w:p>
      <w:pPr>
        <w:tabs>
          <w:tab w:val="left" w:pos="6969"/>
        </w:tabs>
        <w:spacing w:before="0" w:line="549" w:lineRule="exact"/>
        <w:ind w:left="3211" w:right="0" w:firstLine="0"/>
        <w:jc w:val="left"/>
        <w:rPr>
          <w:rFonts w:ascii="Times New Roman" w:eastAsia="Times New Roman"/>
          <w:b/>
          <w:sz w:val="32"/>
        </w:rPr>
      </w:pPr>
      <w:r>
        <w:rPr>
          <w:rFonts w:ascii="Microsoft JhengHei" w:eastAsia="Microsoft JhengHei"/>
          <w:b/>
          <w:sz w:val="32"/>
        </w:rPr>
        <w:t>编</w:t>
      </w:r>
      <w:r>
        <w:rPr>
          <w:rFonts w:ascii="Microsoft JhengHei" w:eastAsia="Microsoft JhengHei"/>
          <w:b/>
          <w:sz w:val="32"/>
        </w:rPr>
        <w:t>制</w:t>
      </w:r>
      <w:r>
        <w:rPr>
          <w:rFonts w:ascii="Microsoft JhengHei" w:eastAsia="Microsoft JhengHei"/>
          <w:b/>
          <w:spacing w:val="-10"/>
          <w:sz w:val="32"/>
        </w:rPr>
        <w:t>：</w:t>
      </w:r>
      <w:r>
        <w:rPr>
          <w:rFonts w:ascii="Times New Roman" w:eastAsia="Times New Roman"/>
          <w:b/>
          <w:sz w:val="32"/>
          <w:u w:val="thick"/>
        </w:rPr>
        <w:tab/>
      </w:r>
    </w:p>
    <w:p>
      <w:pPr>
        <w:pStyle w:val="BodyText"/>
        <w:rPr>
          <w:rFonts w:ascii="Times New Roman"/>
          <w:b/>
          <w:sz w:val="20"/>
        </w:rPr>
      </w:pPr>
    </w:p>
    <w:p>
      <w:pPr>
        <w:tabs>
          <w:tab w:val="left" w:pos="6969"/>
        </w:tabs>
        <w:spacing w:before="117"/>
        <w:ind w:left="3211" w:right="0" w:firstLine="0"/>
        <w:jc w:val="left"/>
        <w:rPr>
          <w:rFonts w:ascii="Times New Roman" w:eastAsia="Times New Roman"/>
          <w:b/>
          <w:sz w:val="32"/>
        </w:rPr>
      </w:pPr>
      <w:r>
        <w:rPr>
          <w:rFonts w:ascii="Microsoft JhengHei" w:eastAsia="Microsoft JhengHei"/>
          <w:b/>
          <w:sz w:val="32"/>
        </w:rPr>
        <w:t>审</w:t>
      </w:r>
      <w:r>
        <w:rPr>
          <w:rFonts w:ascii="Microsoft JhengHei" w:eastAsia="Microsoft JhengHei"/>
          <w:b/>
          <w:sz w:val="32"/>
        </w:rPr>
        <w:t>核</w:t>
      </w:r>
      <w:r>
        <w:rPr>
          <w:rFonts w:ascii="Microsoft JhengHei" w:eastAsia="Microsoft JhengHei"/>
          <w:b/>
          <w:spacing w:val="-10"/>
          <w:sz w:val="32"/>
        </w:rPr>
        <w:t>：</w:t>
      </w:r>
      <w:r>
        <w:rPr>
          <w:rFonts w:ascii="Times New Roman" w:eastAsia="Times New Roman"/>
          <w:b/>
          <w:sz w:val="32"/>
          <w:u w:val="thick"/>
        </w:rPr>
        <w:tab/>
      </w:r>
    </w:p>
    <w:p>
      <w:pPr>
        <w:pStyle w:val="BodyText"/>
        <w:rPr>
          <w:rFonts w:ascii="Times New Roman"/>
          <w:b/>
          <w:sz w:val="20"/>
        </w:rPr>
      </w:pPr>
    </w:p>
    <w:p>
      <w:pPr>
        <w:tabs>
          <w:tab w:val="left" w:pos="6969"/>
        </w:tabs>
        <w:spacing w:before="118"/>
        <w:ind w:left="3211" w:right="0" w:firstLine="0"/>
        <w:jc w:val="left"/>
        <w:rPr>
          <w:rFonts w:ascii="Times New Roman" w:eastAsia="Times New Roman"/>
          <w:b/>
          <w:sz w:val="32"/>
        </w:rPr>
      </w:pPr>
      <w:r>
        <w:rPr>
          <w:rFonts w:ascii="Microsoft JhengHei" w:eastAsia="Microsoft JhengHei"/>
          <w:b/>
          <w:sz w:val="32"/>
        </w:rPr>
        <w:t>审</w:t>
      </w:r>
      <w:r>
        <w:rPr>
          <w:rFonts w:ascii="Microsoft JhengHei" w:eastAsia="Microsoft JhengHei"/>
          <w:b/>
          <w:sz w:val="32"/>
        </w:rPr>
        <w:t>批</w:t>
      </w:r>
      <w:r>
        <w:rPr>
          <w:rFonts w:ascii="Microsoft JhengHei" w:eastAsia="Microsoft JhengHei"/>
          <w:b/>
          <w:spacing w:val="-10"/>
          <w:sz w:val="32"/>
        </w:rPr>
        <w:t>：</w:t>
      </w:r>
      <w:r>
        <w:rPr>
          <w:rFonts w:ascii="Times New Roman" w:eastAsia="Times New Roman"/>
          <w:b/>
          <w:sz w:val="32"/>
          <w:u w:val="thick"/>
        </w:rPr>
        <w:tab/>
      </w:r>
    </w:p>
    <w:p>
      <w:pPr>
        <w:spacing w:after="0"/>
        <w:jc w:val="left"/>
        <w:rPr>
          <w:rFonts w:ascii="Times New Roman" w:eastAsia="Times New Roman"/>
          <w:sz w:val="32"/>
        </w:rPr>
        <w:sectPr>
          <w:type w:val="continuous"/>
          <w:pgSz w:w="11910" w:h="16840"/>
          <w:pgMar w:top="1920" w:right="1320" w:bottom="280" w:left="1280" w:header="708" w:footer="708"/>
          <w:cols w:space="708"/>
        </w:sectPr>
      </w:pPr>
    </w:p>
    <w:p>
      <w:pPr>
        <w:tabs>
          <w:tab w:val="left" w:pos="679"/>
        </w:tabs>
        <w:spacing w:before="0" w:line="514" w:lineRule="exact"/>
        <w:ind w:left="38" w:right="0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10"/>
          <w:sz w:val="32"/>
        </w:rPr>
        <w:t>目</w:t>
      </w:r>
      <w:r>
        <w:rPr>
          <w:rFonts w:ascii="Microsoft JhengHei" w:eastAsia="Microsoft JhengHei"/>
          <w:b/>
          <w:sz w:val="32"/>
        </w:rPr>
        <w:tab/>
      </w:r>
      <w:r>
        <w:rPr>
          <w:rFonts w:ascii="Microsoft JhengHei" w:eastAsia="Microsoft JhengHei"/>
          <w:b/>
          <w:spacing w:val="-10"/>
          <w:sz w:val="32"/>
        </w:rPr>
        <w:t>录</w:t>
      </w:r>
    </w:p>
    <w:p>
      <w:pPr>
        <w:tabs>
          <w:tab w:val="right" w:leader="dot" w:pos="8325"/>
        </w:tabs>
        <w:spacing w:before="46"/>
        <w:ind w:left="30" w:right="0" w:firstLine="0"/>
        <w:jc w:val="center"/>
        <w:rPr>
          <w:rFonts w:ascii="Calibri" w:eastAsia="Calibri"/>
          <w:sz w:val="21"/>
        </w:rPr>
      </w:pPr>
      <w:hyperlink w:anchor="_bookmark0" w:history="1">
        <w:r>
          <w:rPr>
            <w:rFonts w:ascii="等线" w:eastAsia="等线"/>
            <w:b/>
            <w:sz w:val="21"/>
          </w:rPr>
          <w:t>项目安装计</w:t>
        </w:r>
        <w:r>
          <w:rPr>
            <w:rFonts w:ascii="等线" w:eastAsia="等线"/>
            <w:b/>
            <w:spacing w:val="-10"/>
            <w:sz w:val="21"/>
          </w:rPr>
          <w:t>划</w:t>
        </w:r>
        <w:r>
          <w:rPr>
            <w:rFonts w:ascii="Times New Roman" w:eastAsia="Times New Roman"/>
            <w:b/>
            <w:sz w:val="21"/>
          </w:rPr>
          <w:tab/>
        </w:r>
        <w:r>
          <w:rPr>
            <w:rFonts w:ascii="Calibri" w:eastAsia="Calibri"/>
            <w:spacing w:val="-10"/>
            <w:sz w:val="21"/>
          </w:rPr>
          <w:t>1</w:t>
        </w:r>
      </w:hyperlink>
    </w:p>
    <w:p>
      <w:pPr>
        <w:tabs>
          <w:tab w:val="left" w:pos="1569"/>
          <w:tab w:val="left" w:pos="1989"/>
          <w:tab w:val="right" w:leader="dot" w:pos="8815"/>
        </w:tabs>
        <w:spacing w:before="4"/>
        <w:ind w:left="520" w:right="0" w:firstLine="0"/>
        <w:jc w:val="left"/>
        <w:rPr>
          <w:rFonts w:ascii="Calibri" w:eastAsia="Calibri"/>
          <w:sz w:val="21"/>
        </w:rPr>
      </w:pPr>
      <w:hyperlink w:anchor="_bookmark1" w:history="1">
        <w:r>
          <w:rPr>
            <w:sz w:val="21"/>
          </w:rPr>
          <w:t>第一部</w:t>
        </w:r>
        <w:r>
          <w:rPr>
            <w:spacing w:val="-10"/>
            <w:sz w:val="21"/>
          </w:rPr>
          <w:t>分</w:t>
        </w:r>
        <w:r>
          <w:rPr>
            <w:sz w:val="21"/>
          </w:rPr>
          <w:tab/>
        </w:r>
        <w:r>
          <w:rPr>
            <w:rFonts w:ascii="Calibri" w:eastAsia="Calibri"/>
            <w:spacing w:val="-10"/>
            <w:sz w:val="21"/>
          </w:rPr>
          <w:t>.</w:t>
        </w:r>
        <w:r>
          <w:rPr>
            <w:rFonts w:ascii="Calibri" w:eastAsia="Calibri"/>
            <w:sz w:val="21"/>
          </w:rPr>
          <w:tab/>
        </w:r>
        <w:r>
          <w:rPr>
            <w:sz w:val="21"/>
          </w:rPr>
          <w:t>产品简</w:t>
        </w:r>
        <w:r>
          <w:rPr>
            <w:spacing w:val="-10"/>
            <w:sz w:val="21"/>
          </w:rPr>
          <w:t>介</w:t>
        </w:r>
        <w:r>
          <w:rPr>
            <w:rFonts w:ascii="Times New Roman" w:eastAsia="Times New Roman"/>
            <w:b/>
            <w:sz w:val="21"/>
          </w:rPr>
          <w:tab/>
        </w:r>
        <w:r>
          <w:rPr>
            <w:rFonts w:ascii="Calibri" w:eastAsia="Calibri"/>
            <w:spacing w:val="-10"/>
            <w:sz w:val="21"/>
          </w:rPr>
          <w:t>3</w:t>
        </w:r>
      </w:hyperlink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hyperlink w:anchor="_bookmark2" w:history="1">
        <w:r>
          <w:rPr>
            <w:rFonts w:ascii="Calibri" w:eastAsia="Calibri"/>
            <w:spacing w:val="-2"/>
            <w:sz w:val="21"/>
          </w:rPr>
          <w:t>(</w:t>
        </w:r>
        <w:r>
          <w:rPr>
            <w:spacing w:val="-2"/>
            <w:sz w:val="21"/>
          </w:rPr>
          <w:t>一</w:t>
        </w:r>
        <w:r>
          <w:rPr>
            <w:rFonts w:ascii="Calibri" w:eastAsia="Calibri"/>
            <w:spacing w:val="-10"/>
            <w:sz w:val="21"/>
          </w:rPr>
          <w:t>)</w:t>
        </w:r>
        <w:r>
          <w:rPr>
            <w:rFonts w:ascii="Calibri" w:eastAsia="Calibri"/>
            <w:sz w:val="21"/>
          </w:rPr>
          <w:tab/>
          <w:t>Translogic</w:t>
        </w:r>
        <w:r>
          <w:rPr>
            <w:rFonts w:ascii="Calibri" w:eastAsia="Calibri"/>
            <w:spacing w:val="-4"/>
            <w:sz w:val="21"/>
          </w:rPr>
          <w:t xml:space="preserve"> </w:t>
        </w:r>
        <w:r>
          <w:rPr>
            <w:sz w:val="21"/>
          </w:rPr>
          <w:t>气动物流系统介</w:t>
        </w:r>
        <w:r>
          <w:rPr>
            <w:spacing w:val="-10"/>
            <w:sz w:val="21"/>
          </w:rPr>
          <w:t>绍</w:t>
        </w:r>
        <w:r>
          <w:rPr>
            <w:rFonts w:ascii="Times New Roman" w:eastAsia="Times New Roman"/>
            <w:b/>
            <w:sz w:val="21"/>
          </w:rPr>
          <w:tab/>
        </w:r>
        <w:r>
          <w:rPr>
            <w:rFonts w:ascii="Calibri" w:eastAsia="Calibri"/>
            <w:spacing w:val="-10"/>
            <w:sz w:val="21"/>
          </w:rPr>
          <w:t>3</w:t>
        </w:r>
      </w:hyperlink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hyperlink w:anchor="_bookmark3" w:history="1">
        <w:r>
          <w:rPr>
            <w:rFonts w:ascii="Calibri" w:eastAsia="Calibri"/>
            <w:spacing w:val="-2"/>
            <w:sz w:val="21"/>
          </w:rPr>
          <w:t>(</w:t>
        </w:r>
        <w:r>
          <w:rPr>
            <w:spacing w:val="-2"/>
            <w:sz w:val="21"/>
          </w:rPr>
          <w:t>二</w:t>
        </w:r>
        <w:r>
          <w:rPr>
            <w:rFonts w:ascii="Calibri" w:eastAsia="Calibri"/>
            <w:spacing w:val="-10"/>
            <w:sz w:val="21"/>
          </w:rPr>
          <w:t>)</w:t>
        </w:r>
        <w:r>
          <w:rPr>
            <w:rFonts w:ascii="Calibri" w:eastAsia="Calibri"/>
            <w:sz w:val="21"/>
          </w:rPr>
          <w:tab/>
          <w:t>Translogic</w:t>
        </w:r>
        <w:r>
          <w:rPr>
            <w:rFonts w:ascii="Calibri" w:eastAsia="Calibri"/>
            <w:spacing w:val="-4"/>
            <w:sz w:val="21"/>
          </w:rPr>
          <w:t xml:space="preserve"> </w:t>
        </w:r>
        <w:r>
          <w:rPr>
            <w:sz w:val="21"/>
          </w:rPr>
          <w:t>气动物流系统优</w:t>
        </w:r>
        <w:r>
          <w:rPr>
            <w:spacing w:val="-10"/>
            <w:sz w:val="21"/>
          </w:rPr>
          <w:t>势</w:t>
        </w:r>
        <w:r>
          <w:rPr>
            <w:rFonts w:ascii="Times New Roman" w:eastAsia="Times New Roman"/>
            <w:b/>
            <w:sz w:val="21"/>
          </w:rPr>
          <w:tab/>
        </w:r>
        <w:r>
          <w:rPr>
            <w:rFonts w:ascii="Calibri" w:eastAsia="Calibri"/>
            <w:spacing w:val="-10"/>
            <w:sz w:val="21"/>
          </w:rPr>
          <w:t>3</w:t>
        </w:r>
      </w:hyperlink>
    </w:p>
    <w:p>
      <w:pPr>
        <w:tabs>
          <w:tab w:val="left" w:pos="1569"/>
          <w:tab w:val="left" w:pos="1989"/>
          <w:tab w:val="right" w:leader="dot" w:pos="8815"/>
        </w:tabs>
        <w:spacing w:before="43"/>
        <w:ind w:left="52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第二部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Calibri" w:eastAsia="Calibri"/>
          <w:spacing w:val="-10"/>
          <w:sz w:val="21"/>
        </w:rPr>
        <w:t>.</w:t>
      </w:r>
      <w:r>
        <w:rPr>
          <w:rFonts w:ascii="Calibri" w:eastAsia="Calibri"/>
          <w:sz w:val="21"/>
        </w:rPr>
        <w:tab/>
      </w:r>
      <w:r>
        <w:rPr>
          <w:sz w:val="21"/>
        </w:rPr>
        <w:t>项目概</w:t>
      </w:r>
      <w:r>
        <w:rPr>
          <w:spacing w:val="-10"/>
          <w:sz w:val="21"/>
        </w:rPr>
        <w:t>述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10"/>
          <w:sz w:val="21"/>
        </w:rPr>
        <w:t>5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一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重要站点描</w:t>
      </w:r>
      <w:r>
        <w:rPr>
          <w:spacing w:val="-10"/>
          <w:sz w:val="21"/>
        </w:rPr>
        <w:t>述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10"/>
          <w:sz w:val="21"/>
        </w:rPr>
        <w:t>5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二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设备分布一览</w:t>
      </w:r>
      <w:r>
        <w:rPr>
          <w:spacing w:val="-10"/>
          <w:sz w:val="21"/>
        </w:rPr>
        <w:t>表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10"/>
          <w:sz w:val="21"/>
        </w:rPr>
        <w:t>7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三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电气需求描</w:t>
      </w:r>
      <w:r>
        <w:rPr>
          <w:spacing w:val="-10"/>
          <w:sz w:val="21"/>
        </w:rPr>
        <w:t>述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10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四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机房需求描</w:t>
      </w:r>
      <w:r>
        <w:rPr>
          <w:spacing w:val="-10"/>
          <w:sz w:val="21"/>
        </w:rPr>
        <w:t>述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11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五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检修口需求</w:t>
      </w:r>
      <w:r>
        <w:rPr>
          <w:spacing w:val="-10"/>
          <w:sz w:val="21"/>
        </w:rPr>
        <w:t>；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12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六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其它需院方配合事项描</w:t>
      </w:r>
      <w:r>
        <w:rPr>
          <w:spacing w:val="-10"/>
          <w:sz w:val="21"/>
        </w:rPr>
        <w:t>述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14</w:t>
      </w:r>
    </w:p>
    <w:p>
      <w:pPr>
        <w:tabs>
          <w:tab w:val="left" w:pos="1569"/>
          <w:tab w:val="left" w:pos="1989"/>
          <w:tab w:val="right" w:leader="dot" w:pos="8815"/>
        </w:tabs>
        <w:spacing w:before="43"/>
        <w:ind w:left="52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第三部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Calibri" w:eastAsia="Calibri"/>
          <w:spacing w:val="-10"/>
          <w:sz w:val="21"/>
        </w:rPr>
        <w:t>.</w:t>
      </w:r>
      <w:r>
        <w:rPr>
          <w:rFonts w:ascii="Calibri" w:eastAsia="Calibri"/>
          <w:sz w:val="21"/>
        </w:rPr>
        <w:tab/>
      </w:r>
      <w:r>
        <w:rPr>
          <w:sz w:val="21"/>
        </w:rPr>
        <w:t>施工工</w:t>
      </w:r>
      <w:r>
        <w:rPr>
          <w:spacing w:val="-10"/>
          <w:sz w:val="21"/>
        </w:rPr>
        <w:t>艺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15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一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管道的安</w:t>
      </w:r>
      <w:r>
        <w:rPr>
          <w:spacing w:val="-10"/>
          <w:sz w:val="21"/>
        </w:rPr>
        <w:t>装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16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二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管道的连</w:t>
      </w:r>
      <w:r>
        <w:rPr>
          <w:spacing w:val="-10"/>
          <w:sz w:val="21"/>
        </w:rPr>
        <w:t>接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17</w:t>
      </w:r>
    </w:p>
    <w:p>
      <w:pPr>
        <w:tabs>
          <w:tab w:val="left" w:pos="1569"/>
          <w:tab w:val="right" w:leader="dot" w:pos="8815"/>
        </w:tabs>
        <w:spacing w:before="42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三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站点的安</w:t>
      </w:r>
      <w:r>
        <w:rPr>
          <w:spacing w:val="-10"/>
          <w:sz w:val="21"/>
        </w:rPr>
        <w:t>装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21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四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转换器的连接及吊</w:t>
      </w:r>
      <w:r>
        <w:rPr>
          <w:spacing w:val="-10"/>
          <w:sz w:val="21"/>
        </w:rPr>
        <w:t>装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21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五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空压机单元的安</w:t>
      </w:r>
      <w:r>
        <w:rPr>
          <w:spacing w:val="-10"/>
          <w:sz w:val="21"/>
        </w:rPr>
        <w:t>装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23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六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系统控制线缆的布设及联</w:t>
      </w:r>
      <w:r>
        <w:rPr>
          <w:spacing w:val="-10"/>
          <w:sz w:val="21"/>
        </w:rPr>
        <w:t>接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24</w:t>
      </w:r>
    </w:p>
    <w:p>
      <w:pPr>
        <w:tabs>
          <w:tab w:val="left" w:pos="1569"/>
          <w:tab w:val="left" w:pos="1989"/>
          <w:tab w:val="right" w:leader="dot" w:pos="8815"/>
        </w:tabs>
        <w:spacing w:before="43"/>
        <w:ind w:left="52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第四部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Calibri" w:eastAsia="Calibri"/>
          <w:spacing w:val="-10"/>
          <w:sz w:val="21"/>
        </w:rPr>
        <w:t>.</w:t>
      </w:r>
      <w:r>
        <w:rPr>
          <w:rFonts w:ascii="Calibri" w:eastAsia="Calibri"/>
          <w:sz w:val="21"/>
        </w:rPr>
        <w:tab/>
      </w:r>
      <w:r>
        <w:rPr>
          <w:sz w:val="21"/>
        </w:rPr>
        <w:t>质量保证方</w:t>
      </w:r>
      <w:r>
        <w:rPr>
          <w:spacing w:val="-10"/>
          <w:sz w:val="21"/>
        </w:rPr>
        <w:t>案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26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一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技术保证措</w:t>
      </w:r>
      <w:r>
        <w:rPr>
          <w:spacing w:val="-10"/>
          <w:sz w:val="21"/>
        </w:rPr>
        <w:t>施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26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二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供应采构件的质量控</w:t>
      </w:r>
      <w:r>
        <w:rPr>
          <w:spacing w:val="-10"/>
          <w:sz w:val="21"/>
        </w:rPr>
        <w:t>制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26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三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现场材料的保</w:t>
      </w:r>
      <w:r>
        <w:rPr>
          <w:spacing w:val="-10"/>
          <w:sz w:val="21"/>
        </w:rPr>
        <w:t>管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26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四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成品与半成品的保</w:t>
      </w:r>
      <w:r>
        <w:rPr>
          <w:spacing w:val="-10"/>
          <w:sz w:val="21"/>
        </w:rPr>
        <w:t>护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26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五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安装质量控</w:t>
      </w:r>
      <w:r>
        <w:rPr>
          <w:spacing w:val="-10"/>
          <w:sz w:val="21"/>
        </w:rPr>
        <w:t>制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27</w:t>
      </w:r>
    </w:p>
    <w:p>
      <w:pPr>
        <w:tabs>
          <w:tab w:val="left" w:pos="1569"/>
          <w:tab w:val="left" w:pos="1989"/>
          <w:tab w:val="right" w:leader="dot" w:pos="8815"/>
        </w:tabs>
        <w:spacing w:before="43"/>
        <w:ind w:left="52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第五部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Calibri" w:eastAsia="Calibri"/>
          <w:spacing w:val="-10"/>
          <w:sz w:val="21"/>
        </w:rPr>
        <w:t>.</w:t>
      </w:r>
      <w:r>
        <w:rPr>
          <w:rFonts w:ascii="Calibri" w:eastAsia="Calibri"/>
          <w:sz w:val="21"/>
        </w:rPr>
        <w:tab/>
      </w:r>
      <w:r>
        <w:rPr>
          <w:sz w:val="21"/>
        </w:rPr>
        <w:t>安全与文明施工方</w:t>
      </w:r>
      <w:r>
        <w:rPr>
          <w:spacing w:val="-10"/>
          <w:sz w:val="21"/>
        </w:rPr>
        <w:t>案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27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一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安全保证措</w:t>
      </w:r>
      <w:r>
        <w:rPr>
          <w:spacing w:val="-10"/>
          <w:sz w:val="21"/>
        </w:rPr>
        <w:t>施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27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二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文明施工保证措</w:t>
      </w:r>
      <w:r>
        <w:rPr>
          <w:spacing w:val="-10"/>
          <w:sz w:val="21"/>
        </w:rPr>
        <w:t>施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27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三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项目工地环境保护措</w:t>
      </w:r>
      <w:r>
        <w:rPr>
          <w:spacing w:val="-10"/>
          <w:sz w:val="21"/>
        </w:rPr>
        <w:t>施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28</w:t>
      </w:r>
    </w:p>
    <w:p>
      <w:pPr>
        <w:tabs>
          <w:tab w:val="left" w:pos="1569"/>
          <w:tab w:val="left" w:pos="1989"/>
          <w:tab w:val="right" w:leader="dot" w:pos="8815"/>
        </w:tabs>
        <w:spacing w:before="43"/>
        <w:ind w:left="52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第六部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Calibri" w:eastAsia="Calibri"/>
          <w:spacing w:val="-10"/>
          <w:sz w:val="21"/>
        </w:rPr>
        <w:t>.</w:t>
      </w:r>
      <w:r>
        <w:rPr>
          <w:rFonts w:ascii="Calibri" w:eastAsia="Calibri"/>
          <w:sz w:val="21"/>
        </w:rPr>
        <w:tab/>
      </w:r>
      <w:r>
        <w:rPr>
          <w:sz w:val="21"/>
        </w:rPr>
        <w:t>项目实施计划及工作安</w:t>
      </w:r>
      <w:r>
        <w:rPr>
          <w:spacing w:val="-10"/>
          <w:sz w:val="21"/>
        </w:rPr>
        <w:t>排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29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一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项目实施计划一览</w:t>
      </w:r>
      <w:r>
        <w:rPr>
          <w:spacing w:val="-10"/>
          <w:sz w:val="21"/>
        </w:rPr>
        <w:t>表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29</w:t>
      </w:r>
    </w:p>
    <w:p>
      <w:pPr>
        <w:tabs>
          <w:tab w:val="left" w:pos="1569"/>
          <w:tab w:val="right" w:leader="dot" w:pos="8815"/>
        </w:tabs>
        <w:spacing w:before="42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二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现场安装计划明</w:t>
      </w:r>
      <w:r>
        <w:rPr>
          <w:spacing w:val="-10"/>
          <w:sz w:val="21"/>
        </w:rPr>
        <w:t>细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30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三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安装步骤及人员安</w:t>
      </w:r>
      <w:r>
        <w:rPr>
          <w:spacing w:val="-10"/>
          <w:sz w:val="21"/>
        </w:rPr>
        <w:t>排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32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四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调试计</w:t>
      </w:r>
      <w:r>
        <w:rPr>
          <w:spacing w:val="-10"/>
          <w:sz w:val="21"/>
        </w:rPr>
        <w:t>划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33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五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培训计</w:t>
      </w:r>
      <w:r>
        <w:rPr>
          <w:spacing w:val="-10"/>
          <w:sz w:val="21"/>
        </w:rPr>
        <w:t>划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34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六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项目验收及交</w:t>
      </w:r>
      <w:r>
        <w:rPr>
          <w:spacing w:val="-10"/>
          <w:sz w:val="21"/>
        </w:rPr>
        <w:t>付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tabs>
          <w:tab w:val="left" w:pos="1569"/>
          <w:tab w:val="left" w:pos="1989"/>
          <w:tab w:val="right" w:leader="dot" w:pos="8815"/>
        </w:tabs>
        <w:spacing w:before="43"/>
        <w:ind w:left="52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第七部</w:t>
      </w:r>
      <w:r>
        <w:rPr>
          <w:spacing w:val="-10"/>
          <w:sz w:val="21"/>
        </w:rPr>
        <w:t>分</w:t>
      </w:r>
      <w:r>
        <w:rPr>
          <w:sz w:val="21"/>
        </w:rPr>
        <w:tab/>
      </w:r>
      <w:r>
        <w:rPr>
          <w:rFonts w:ascii="Calibri" w:eastAsia="Calibri"/>
          <w:spacing w:val="-10"/>
          <w:sz w:val="21"/>
        </w:rPr>
        <w:t>.</w:t>
      </w:r>
      <w:r>
        <w:rPr>
          <w:rFonts w:ascii="Calibri" w:eastAsia="Calibri"/>
          <w:sz w:val="21"/>
        </w:rPr>
        <w:tab/>
      </w:r>
      <w:r>
        <w:rPr>
          <w:sz w:val="21"/>
        </w:rPr>
        <w:t>项目图</w:t>
      </w:r>
      <w:r>
        <w:rPr>
          <w:spacing w:val="-10"/>
          <w:sz w:val="21"/>
        </w:rPr>
        <w:t>纸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一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项目系统图</w:t>
      </w:r>
      <w:r>
        <w:rPr>
          <w:spacing w:val="-10"/>
          <w:sz w:val="21"/>
        </w:rPr>
        <w:t>纸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tabs>
          <w:tab w:val="left" w:pos="1569"/>
          <w:tab w:val="right" w:leader="dot" w:pos="8815"/>
        </w:tabs>
        <w:spacing w:before="43"/>
        <w:ind w:left="940" w:right="0" w:firstLine="0"/>
        <w:jc w:val="left"/>
        <w:rPr>
          <w:rFonts w:ascii="Calibri" w:eastAsia="Calibri"/>
          <w:sz w:val="21"/>
        </w:rPr>
      </w:pPr>
      <w:r>
        <w:rPr>
          <w:rFonts w:ascii="Calibri" w:eastAsia="Calibri"/>
          <w:spacing w:val="-2"/>
          <w:sz w:val="21"/>
        </w:rPr>
        <w:t>(</w:t>
      </w:r>
      <w:r>
        <w:rPr>
          <w:spacing w:val="-2"/>
          <w:sz w:val="21"/>
        </w:rPr>
        <w:t>二</w:t>
      </w:r>
      <w:r>
        <w:rPr>
          <w:rFonts w:ascii="Calibri" w:eastAsia="Calibri"/>
          <w:spacing w:val="-10"/>
          <w:sz w:val="21"/>
        </w:rPr>
        <w:t>)</w:t>
      </w:r>
      <w:r>
        <w:rPr>
          <w:rFonts w:ascii="Calibri" w:eastAsia="Calibri"/>
          <w:sz w:val="21"/>
        </w:rPr>
        <w:tab/>
      </w:r>
      <w:r>
        <w:rPr>
          <w:sz w:val="21"/>
        </w:rPr>
        <w:t>项目施工图</w:t>
      </w:r>
      <w:r>
        <w:rPr>
          <w:spacing w:val="-10"/>
          <w:sz w:val="21"/>
        </w:rPr>
        <w:t>纸</w:t>
      </w:r>
      <w:r>
        <w:rPr>
          <w:rFonts w:ascii="Times New Roman" w:eastAsia="Times New Roman"/>
          <w:b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spacing w:after="0"/>
        <w:jc w:val="left"/>
        <w:rPr>
          <w:rFonts w:ascii="Calibri" w:eastAsia="Calibri"/>
          <w:sz w:val="21"/>
        </w:rPr>
        <w:sectPr>
          <w:footerReference w:type="default" r:id="rId4"/>
          <w:pgSz w:w="11910" w:h="16840"/>
          <w:pgMar w:top="1500" w:right="1320" w:bottom="1380" w:left="1280" w:header="0" w:footer="1180"/>
          <w:pgNumType w:start="2"/>
          <w:cols w:space="708"/>
        </w:sectPr>
      </w:pPr>
    </w:p>
    <w:p>
      <w:pPr>
        <w:spacing w:before="0" w:line="537" w:lineRule="exact"/>
        <w:ind w:left="520" w:right="0" w:firstLine="0"/>
        <w:jc w:val="left"/>
        <w:rPr>
          <w:rFonts w:ascii="Microsoft JhengHei" w:eastAsia="Microsoft JhengHei"/>
          <w:b/>
          <w:sz w:val="32"/>
        </w:rPr>
      </w:pPr>
      <w:r>
        <w:rPr>
          <w:sz w:val="32"/>
        </w:rPr>
        <w:t xml:space="preserve">第一部分 </w:t>
      </w:r>
      <w:r>
        <w:rPr>
          <w:rFonts w:ascii="Times New Roman" w:eastAsia="Times New Roman"/>
          <w:sz w:val="32"/>
        </w:rPr>
        <w:t>.</w:t>
      </w:r>
      <w:r>
        <w:rPr>
          <w:rFonts w:ascii="Times New Roman" w:eastAsia="Times New Roman"/>
          <w:spacing w:val="42"/>
          <w:w w:val="150"/>
          <w:sz w:val="32"/>
        </w:rPr>
        <w:t xml:space="preserve"> </w:t>
      </w:r>
      <w:bookmarkStart w:id="1" w:name="_bookmark1"/>
      <w:bookmarkEnd w:id="1"/>
      <w:r>
        <w:rPr>
          <w:rFonts w:ascii="Microsoft JhengHei" w:eastAsia="Microsoft JhengHei"/>
          <w:b/>
          <w:spacing w:val="-3"/>
          <w:sz w:val="32"/>
        </w:rPr>
        <w:t>产品简介</w:t>
      </w:r>
    </w:p>
    <w:p>
      <w:pPr>
        <w:pStyle w:val="BodyText"/>
        <w:spacing w:before="3"/>
        <w:rPr>
          <w:rFonts w:ascii="Microsoft JhengHei"/>
          <w:b/>
          <w:sz w:val="25"/>
        </w:rPr>
      </w:pPr>
    </w:p>
    <w:p>
      <w:pPr>
        <w:pStyle w:val="Heading2"/>
        <w:ind w:left="520" w:firstLine="0"/>
      </w:pPr>
      <w:bookmarkStart w:id="2" w:name="_bookmark2"/>
      <w:bookmarkEnd w:id="2"/>
      <w:r>
        <w:rPr>
          <w:rFonts w:ascii="Times New Roman" w:eastAsia="Times New Roman"/>
          <w:b w:val="0"/>
        </w:rPr>
        <w:t>(</w:t>
      </w:r>
      <w:r>
        <w:rPr>
          <w:rFonts w:ascii="宋体" w:eastAsia="宋体"/>
          <w:b w:val="0"/>
        </w:rPr>
        <w:t>一</w:t>
      </w:r>
      <w:r>
        <w:rPr>
          <w:rFonts w:ascii="Times New Roman" w:eastAsia="Times New Roman"/>
          <w:b w:val="0"/>
        </w:rPr>
        <w:t>)</w:t>
      </w:r>
      <w:r>
        <w:rPr>
          <w:rFonts w:ascii="Cambria" w:eastAsia="Cambria"/>
        </w:rPr>
        <w:t>Translogic</w:t>
      </w:r>
      <w:r>
        <w:rPr>
          <w:rFonts w:ascii="Cambria" w:eastAsia="Cambria"/>
          <w:spacing w:val="24"/>
        </w:rPr>
        <w:t xml:space="preserve"> </w:t>
      </w:r>
      <w:r>
        <w:rPr>
          <w:spacing w:val="-2"/>
        </w:rPr>
        <w:t>气动物流系统介绍</w:t>
      </w:r>
    </w:p>
    <w:p>
      <w:pPr>
        <w:pStyle w:val="BodyText"/>
        <w:spacing w:before="11"/>
        <w:rPr>
          <w:rFonts w:ascii="Microsoft JhengHei"/>
          <w:b/>
          <w:sz w:val="17"/>
        </w:rPr>
      </w:pPr>
    </w:p>
    <w:p>
      <w:pPr>
        <w:pStyle w:val="ListParagraph"/>
        <w:numPr>
          <w:ilvl w:val="0"/>
          <w:numId w:val="5"/>
        </w:numPr>
        <w:tabs>
          <w:tab w:val="left" w:pos="940"/>
        </w:tabs>
        <w:spacing w:before="0" w:after="0" w:line="240" w:lineRule="auto"/>
        <w:ind w:left="940" w:right="0" w:hanging="42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2"/>
          <w:sz w:val="24"/>
        </w:rPr>
        <w:t>完整的气动物流系统</w:t>
      </w:r>
    </w:p>
    <w:p>
      <w:pPr>
        <w:pStyle w:val="ListParagraph"/>
        <w:numPr>
          <w:ilvl w:val="1"/>
          <w:numId w:val="5"/>
        </w:numPr>
        <w:tabs>
          <w:tab w:val="left" w:pos="1359"/>
          <w:tab w:val="left" w:pos="1360"/>
        </w:tabs>
        <w:spacing w:before="106" w:after="0" w:line="240" w:lineRule="auto"/>
        <w:ind w:left="1360" w:right="0" w:hanging="420"/>
        <w:jc w:val="left"/>
        <w:rPr>
          <w:sz w:val="24"/>
        </w:rPr>
      </w:pPr>
      <w:r>
        <w:rPr>
          <w:sz w:val="24"/>
        </w:rPr>
        <w:t>工作站</w:t>
      </w:r>
      <w:r>
        <w:rPr>
          <w:spacing w:val="-2"/>
          <w:sz w:val="24"/>
        </w:rPr>
        <w:t>（Station）</w:t>
      </w:r>
    </w:p>
    <w:p>
      <w:pPr>
        <w:pStyle w:val="ListParagraph"/>
        <w:numPr>
          <w:ilvl w:val="1"/>
          <w:numId w:val="5"/>
        </w:numPr>
        <w:tabs>
          <w:tab w:val="left" w:pos="1359"/>
          <w:tab w:val="left" w:pos="1360"/>
        </w:tabs>
        <w:spacing w:before="160" w:after="0" w:line="240" w:lineRule="auto"/>
        <w:ind w:left="1360" w:right="0" w:hanging="420"/>
        <w:jc w:val="left"/>
        <w:rPr>
          <w:sz w:val="24"/>
        </w:rPr>
      </w:pPr>
      <w:r>
        <w:rPr>
          <w:sz w:val="24"/>
        </w:rPr>
        <w:t>传输瓶</w:t>
      </w:r>
      <w:r>
        <w:rPr>
          <w:spacing w:val="-2"/>
          <w:sz w:val="24"/>
        </w:rPr>
        <w:t>（Carrier）</w:t>
      </w:r>
    </w:p>
    <w:p>
      <w:pPr>
        <w:pStyle w:val="ListParagraph"/>
        <w:numPr>
          <w:ilvl w:val="1"/>
          <w:numId w:val="5"/>
        </w:numPr>
        <w:tabs>
          <w:tab w:val="left" w:pos="1359"/>
          <w:tab w:val="left" w:pos="1360"/>
        </w:tabs>
        <w:spacing w:before="161" w:after="0" w:line="240" w:lineRule="auto"/>
        <w:ind w:left="1360" w:right="0" w:hanging="420"/>
        <w:jc w:val="left"/>
        <w:rPr>
          <w:sz w:val="24"/>
        </w:rPr>
      </w:pPr>
      <w:r>
        <w:rPr>
          <w:sz w:val="24"/>
        </w:rPr>
        <w:t>镀锌合金钢管</w:t>
      </w:r>
      <w:r>
        <w:rPr>
          <w:spacing w:val="-2"/>
          <w:sz w:val="24"/>
        </w:rPr>
        <w:t>（Pipe）</w:t>
      </w:r>
    </w:p>
    <w:p>
      <w:pPr>
        <w:pStyle w:val="ListParagraph"/>
        <w:numPr>
          <w:ilvl w:val="1"/>
          <w:numId w:val="5"/>
        </w:numPr>
        <w:tabs>
          <w:tab w:val="left" w:pos="1359"/>
          <w:tab w:val="left" w:pos="1360"/>
        </w:tabs>
        <w:spacing w:before="160" w:after="0" w:line="240" w:lineRule="auto"/>
        <w:ind w:left="1360" w:right="0" w:hanging="420"/>
        <w:jc w:val="left"/>
        <w:rPr>
          <w:sz w:val="24"/>
        </w:rPr>
      </w:pPr>
      <w:r>
        <w:rPr>
          <w:sz w:val="24"/>
        </w:rPr>
        <w:t>风机</w:t>
      </w:r>
      <w:r>
        <w:rPr>
          <w:spacing w:val="-2"/>
          <w:sz w:val="24"/>
        </w:rPr>
        <w:t>（Blower）</w:t>
      </w:r>
    </w:p>
    <w:p>
      <w:pPr>
        <w:pStyle w:val="ListParagraph"/>
        <w:numPr>
          <w:ilvl w:val="1"/>
          <w:numId w:val="5"/>
        </w:numPr>
        <w:tabs>
          <w:tab w:val="left" w:pos="1359"/>
          <w:tab w:val="left" w:pos="1360"/>
        </w:tabs>
        <w:spacing w:before="161" w:after="0" w:line="240" w:lineRule="auto"/>
        <w:ind w:left="1360" w:right="0" w:hanging="420"/>
        <w:jc w:val="left"/>
        <w:rPr>
          <w:sz w:val="24"/>
        </w:rPr>
      </w:pPr>
      <w:r>
        <w:rPr>
          <w:sz w:val="24"/>
        </w:rPr>
        <w:t xml:space="preserve">转换器（Transfer </w:t>
      </w:r>
      <w:r>
        <w:rPr>
          <w:spacing w:val="-2"/>
          <w:sz w:val="24"/>
        </w:rPr>
        <w:t>Unit）</w:t>
      </w:r>
    </w:p>
    <w:p>
      <w:pPr>
        <w:pStyle w:val="ListParagraph"/>
        <w:numPr>
          <w:ilvl w:val="1"/>
          <w:numId w:val="5"/>
        </w:numPr>
        <w:tabs>
          <w:tab w:val="left" w:pos="1359"/>
          <w:tab w:val="left" w:pos="1360"/>
        </w:tabs>
        <w:spacing w:before="160" w:after="0" w:line="240" w:lineRule="auto"/>
        <w:ind w:left="1360" w:right="0" w:hanging="420"/>
        <w:jc w:val="left"/>
        <w:rPr>
          <w:sz w:val="24"/>
        </w:rPr>
      </w:pPr>
      <w:r>
        <w:rPr>
          <w:sz w:val="24"/>
        </w:rPr>
        <w:t xml:space="preserve">控制软件（Control </w:t>
      </w:r>
      <w:r>
        <w:rPr>
          <w:spacing w:val="-2"/>
          <w:sz w:val="24"/>
        </w:rPr>
        <w:t>Center）</w:t>
      </w:r>
    </w:p>
    <w:p>
      <w:pPr>
        <w:pStyle w:val="Heading2"/>
        <w:numPr>
          <w:ilvl w:val="0"/>
          <w:numId w:val="5"/>
        </w:numPr>
        <w:tabs>
          <w:tab w:val="left" w:pos="940"/>
        </w:tabs>
        <w:spacing w:before="81" w:after="0" w:line="240" w:lineRule="auto"/>
        <w:ind w:left="940" w:right="0" w:hanging="420"/>
        <w:jc w:val="left"/>
      </w:pPr>
      <w:r>
        <w:rPr>
          <w:spacing w:val="-3"/>
        </w:rPr>
        <w:t>工作原理</w:t>
      </w:r>
    </w:p>
    <w:p>
      <w:pPr>
        <w:pStyle w:val="BodyText"/>
        <w:spacing w:before="106" w:line="364" w:lineRule="auto"/>
        <w:ind w:left="520" w:right="478" w:firstLine="600"/>
        <w:jc w:val="both"/>
      </w:pPr>
      <w:r>
        <w:rPr>
          <w:spacing w:val="-2"/>
        </w:rPr>
        <w:t>将具有专利技术的镀锌合金钢管满布在大楼之内，通过风机抽取和压缩空</w:t>
      </w:r>
      <w:r>
        <w:rPr>
          <w:spacing w:val="-4"/>
        </w:rPr>
        <w:t>气将传输瓶进行运送，各职能部门的工作站相当于系统的终端，操作者只需轻触</w:t>
      </w:r>
      <w:r>
        <w:rPr>
          <w:spacing w:val="-2"/>
        </w:rPr>
        <w:t>按键即能完成院内各种物品的快速传递。</w:t>
      </w:r>
    </w:p>
    <w:p>
      <w:pPr>
        <w:pStyle w:val="Heading2"/>
        <w:numPr>
          <w:ilvl w:val="0"/>
          <w:numId w:val="5"/>
        </w:numPr>
        <w:tabs>
          <w:tab w:val="left" w:pos="940"/>
        </w:tabs>
        <w:spacing w:before="0" w:after="0" w:line="364" w:lineRule="exact"/>
        <w:ind w:left="940" w:right="0" w:hanging="420"/>
        <w:jc w:val="left"/>
      </w:pPr>
      <w:r>
        <w:rPr>
          <w:spacing w:val="-2"/>
        </w:rPr>
        <w:t>可传输物品</w:t>
      </w:r>
    </w:p>
    <w:p>
      <w:pPr>
        <w:pStyle w:val="ListParagraph"/>
        <w:numPr>
          <w:ilvl w:val="1"/>
          <w:numId w:val="5"/>
        </w:numPr>
        <w:tabs>
          <w:tab w:val="left" w:pos="1240"/>
        </w:tabs>
        <w:spacing w:before="106" w:after="0" w:line="240" w:lineRule="auto"/>
        <w:ind w:left="1240" w:right="0" w:hanging="360"/>
        <w:jc w:val="left"/>
        <w:rPr>
          <w:sz w:val="24"/>
        </w:rPr>
      </w:pPr>
      <w:r>
        <w:rPr>
          <w:spacing w:val="-3"/>
          <w:sz w:val="24"/>
        </w:rPr>
        <w:t>常用物品</w:t>
      </w:r>
    </w:p>
    <w:p>
      <w:pPr>
        <w:pStyle w:val="BodyText"/>
        <w:spacing w:before="161" w:line="364" w:lineRule="auto"/>
        <w:ind w:left="520" w:right="478" w:firstLine="420"/>
      </w:pPr>
      <w:r>
        <w:rPr>
          <w:spacing w:val="-2"/>
        </w:rPr>
        <w:t xml:space="preserve">血液, 尿样, 处方, 药品, 麻醉药, 手术工具, 静脉包 </w:t>
      </w:r>
      <w:r>
        <w:t>IV Bags, 血浆包, X</w:t>
      </w:r>
      <w:r>
        <w:rPr>
          <w:spacing w:val="-4"/>
        </w:rPr>
        <w:t xml:space="preserve"> 光片, 营养补充品等。</w:t>
      </w:r>
    </w:p>
    <w:p>
      <w:pPr>
        <w:pStyle w:val="ListParagraph"/>
        <w:numPr>
          <w:ilvl w:val="1"/>
          <w:numId w:val="5"/>
        </w:numPr>
        <w:tabs>
          <w:tab w:val="left" w:pos="1240"/>
        </w:tabs>
        <w:spacing w:before="1" w:after="0" w:line="240" w:lineRule="auto"/>
        <w:ind w:left="1240" w:right="0" w:hanging="360"/>
        <w:jc w:val="left"/>
        <w:rPr>
          <w:sz w:val="24"/>
        </w:rPr>
      </w:pPr>
      <w:r>
        <w:rPr>
          <w:spacing w:val="-3"/>
          <w:sz w:val="24"/>
        </w:rPr>
        <w:t>紧急物品</w:t>
      </w:r>
    </w:p>
    <w:p>
      <w:pPr>
        <w:pStyle w:val="BodyText"/>
        <w:spacing w:before="160"/>
        <w:ind w:left="940"/>
      </w:pPr>
      <w:r>
        <w:rPr>
          <w:spacing w:val="-1"/>
        </w:rPr>
        <w:t>化验室样本, 病理切片，紧急用药</w:t>
      </w:r>
    </w:p>
    <w:p>
      <w:pPr>
        <w:pStyle w:val="BodyText"/>
      </w:pPr>
    </w:p>
    <w:p>
      <w:pPr>
        <w:pStyle w:val="BodyText"/>
        <w:spacing w:before="11"/>
        <w:rPr>
          <w:sz w:val="29"/>
        </w:rPr>
      </w:pPr>
    </w:p>
    <w:p>
      <w:pPr>
        <w:pStyle w:val="Heading2"/>
        <w:ind w:left="520" w:firstLine="0"/>
      </w:pPr>
      <w:bookmarkStart w:id="3" w:name="_bookmark3"/>
      <w:bookmarkEnd w:id="3"/>
      <w:r>
        <w:rPr>
          <w:rFonts w:ascii="Times New Roman" w:eastAsia="Times New Roman"/>
          <w:b w:val="0"/>
        </w:rPr>
        <w:t>(</w:t>
      </w:r>
      <w:r>
        <w:rPr>
          <w:rFonts w:ascii="宋体" w:eastAsia="宋体"/>
          <w:b w:val="0"/>
        </w:rPr>
        <w:t>二</w:t>
      </w:r>
      <w:r>
        <w:rPr>
          <w:rFonts w:ascii="Times New Roman" w:eastAsia="Times New Roman"/>
          <w:b w:val="0"/>
        </w:rPr>
        <w:t>)</w:t>
      </w:r>
      <w:r>
        <w:rPr>
          <w:rFonts w:ascii="Cambria" w:eastAsia="Cambria"/>
        </w:rPr>
        <w:t>Translogic</w:t>
      </w:r>
      <w:r>
        <w:rPr>
          <w:rFonts w:ascii="Cambria" w:eastAsia="Cambria"/>
          <w:spacing w:val="24"/>
        </w:rPr>
        <w:t xml:space="preserve"> </w:t>
      </w:r>
      <w:r>
        <w:rPr>
          <w:spacing w:val="-2"/>
        </w:rPr>
        <w:t>气动物流系统优势</w:t>
      </w:r>
    </w:p>
    <w:p>
      <w:pPr>
        <w:pStyle w:val="BodyText"/>
        <w:spacing w:before="10"/>
        <w:rPr>
          <w:rFonts w:ascii="Microsoft JhengHei"/>
          <w:b/>
          <w:sz w:val="17"/>
        </w:rPr>
      </w:pPr>
    </w:p>
    <w:p>
      <w:pPr>
        <w:pStyle w:val="ListParagraph"/>
        <w:numPr>
          <w:ilvl w:val="0"/>
          <w:numId w:val="4"/>
        </w:numPr>
        <w:tabs>
          <w:tab w:val="left" w:pos="940"/>
        </w:tabs>
        <w:spacing w:before="1" w:after="0" w:line="240" w:lineRule="auto"/>
        <w:ind w:left="940" w:right="0" w:hanging="420"/>
        <w:jc w:val="left"/>
        <w:rPr>
          <w:rFonts w:ascii="Microsoft JhengHei" w:eastAsia="Microsoft JhengHei"/>
          <w:b/>
          <w:sz w:val="24"/>
        </w:rPr>
      </w:pPr>
      <w:r>
        <w:rPr>
          <w:rFonts w:ascii="Microsoft JhengHei" w:eastAsia="Microsoft JhengHei"/>
          <w:b/>
          <w:spacing w:val="-1"/>
          <w:sz w:val="24"/>
        </w:rPr>
        <w:t>节省电能，电梯，人力资源，提高效率</w:t>
      </w:r>
    </w:p>
    <w:p>
      <w:pPr>
        <w:pStyle w:val="BodyText"/>
        <w:spacing w:before="105" w:line="364" w:lineRule="auto"/>
        <w:ind w:left="520" w:right="478" w:firstLine="468"/>
        <w:jc w:val="both"/>
      </w:pPr>
      <w:r>
        <w:rPr>
          <w:spacing w:val="-6"/>
        </w:rPr>
        <w:t>垂直运输在当今已经完全无法满足医院人流和物流的需求，很多医院的门诊</w:t>
      </w:r>
      <w:r>
        <w:rPr>
          <w:spacing w:val="-4"/>
        </w:rPr>
        <w:t>楼、病房楼、干保楼、体检中心共用一个检验中心，这些部门的标本要到同一区</w:t>
      </w:r>
      <w:r>
        <w:rPr>
          <w:spacing w:val="-4"/>
        </w:rPr>
        <w:t>域进行检验。如人员进行送检的话，上下电梯、院区通行、势必是一个漫长的过</w:t>
      </w:r>
      <w:r>
        <w:rPr>
          <w:spacing w:val="-5"/>
        </w:rPr>
        <w:t>程，使用物流系统后可以在全院范围内通过气动物流传输标本，减少人员的往复</w:t>
      </w:r>
    </w:p>
    <w:p>
      <w:pPr>
        <w:pStyle w:val="BodyText"/>
        <w:spacing w:before="3"/>
        <w:ind w:left="520"/>
      </w:pPr>
      <w:r>
        <w:rPr>
          <w:spacing w:val="-1"/>
        </w:rPr>
        <w:t>时间，节省了电梯资源，节约电能费用。</w:t>
      </w:r>
    </w:p>
    <w:p>
      <w:pPr>
        <w:spacing w:after="0"/>
        <w:sectPr>
          <w:footerReference w:type="default" r:id="rId5"/>
          <w:pgSz w:w="11910" w:h="16840"/>
          <w:pgMar w:top="1540" w:right="1320" w:bottom="1380" w:left="1280" w:header="0" w:footer="1180"/>
          <w:pgNumType w:start="3"/>
          <w:cols w:space="708"/>
        </w:sectPr>
      </w:pPr>
    </w:p>
    <w:p>
      <w:pPr>
        <w:pStyle w:val="Heading2"/>
        <w:numPr>
          <w:ilvl w:val="0"/>
          <w:numId w:val="4"/>
        </w:numPr>
        <w:tabs>
          <w:tab w:val="left" w:pos="940"/>
        </w:tabs>
        <w:spacing w:before="0" w:after="0" w:line="406" w:lineRule="exact"/>
        <w:ind w:left="940" w:right="0" w:hanging="420"/>
        <w:jc w:val="left"/>
      </w:pPr>
      <w:r>
        <w:rPr>
          <w:spacing w:val="-1"/>
        </w:rPr>
        <w:t>缩短了患者就医时检验时间，实现“以病人为中心”</w:t>
      </w:r>
    </w:p>
    <w:p>
      <w:pPr>
        <w:pStyle w:val="BodyText"/>
        <w:spacing w:before="106" w:line="364" w:lineRule="auto"/>
        <w:ind w:left="520" w:right="238" w:firstLine="468"/>
      </w:pPr>
      <w:r>
        <w:rPr>
          <w:spacing w:val="-2"/>
        </w:rPr>
        <w:t>药品的传输，特别是夜间，护士们不用再为了少量的药而奔波于院区之间，</w:t>
      </w:r>
      <w:r>
        <w:rPr>
          <w:spacing w:val="-2"/>
        </w:rPr>
        <w:t>方便护士的同时还增加了药品传输的安全性。</w:t>
      </w:r>
    </w:p>
    <w:p>
      <w:pPr>
        <w:pStyle w:val="BodyText"/>
        <w:spacing w:before="1" w:line="364" w:lineRule="auto"/>
        <w:ind w:left="520" w:right="118" w:firstLine="468"/>
      </w:pPr>
      <w:r>
        <w:rPr>
          <w:spacing w:val="-6"/>
        </w:rPr>
        <w:t>原来在固定时间范围内，护工才从采血点向检验中心送标本，化验结果要下</w:t>
      </w:r>
      <w:r>
        <w:rPr>
          <w:spacing w:val="-6"/>
        </w:rPr>
        <w:t xml:space="preserve">  </w:t>
      </w:r>
      <w:r>
        <w:rPr>
          <w:spacing w:val="-13"/>
        </w:rPr>
        <w:t xml:space="preserve">午或者第二天上午方可作出。现阶段标本无滞留，随采随发，保证 </w:t>
      </w:r>
      <w:r>
        <w:t>2—10</w:t>
      </w:r>
      <w:r>
        <w:rPr>
          <w:spacing w:val="-15"/>
        </w:rPr>
        <w:t xml:space="preserve"> 分钟内  </w:t>
      </w:r>
      <w:r>
        <w:rPr>
          <w:spacing w:val="-2"/>
        </w:rPr>
        <w:t xml:space="preserve">检验中心就可收到标本 。美国排名前 </w:t>
      </w:r>
      <w:r>
        <w:t>10</w:t>
      </w:r>
      <w:r>
        <w:rPr>
          <w:spacing w:val="-5"/>
        </w:rPr>
        <w:t xml:space="preserve"> 位的医院都使用这种检验方式。同时，医生能够第一时间内了解患者的病情，及时作出诊断。体现医院“以病人为中心”的优质服务，以更高效率服务于更多病患。</w:t>
      </w:r>
    </w:p>
    <w:p>
      <w:pPr>
        <w:pStyle w:val="BodyText"/>
        <w:spacing w:before="3" w:line="364" w:lineRule="auto"/>
        <w:ind w:left="520" w:right="478" w:firstLine="468"/>
        <w:jc w:val="both"/>
      </w:pPr>
      <w:r>
        <w:rPr>
          <w:spacing w:val="-4"/>
        </w:rPr>
        <w:t>其他使用部门如：手术中患者的病理切片需要在最短的时间内送到病理专家</w:t>
      </w:r>
      <w:r>
        <w:rPr>
          <w:spacing w:val="-4"/>
        </w:rPr>
        <w:t>的手中，这期间患者是需要在手术床上等待的。使用优先的传输功能可以让病理</w:t>
      </w:r>
      <w:r>
        <w:rPr>
          <w:spacing w:val="-2"/>
        </w:rPr>
        <w:t>标本优先于其他传输任务。节约了时间，体现了对生命的尊重。</w:t>
      </w:r>
    </w:p>
    <w:p>
      <w:pPr>
        <w:pStyle w:val="Heading2"/>
        <w:numPr>
          <w:ilvl w:val="0"/>
          <w:numId w:val="4"/>
        </w:numPr>
        <w:tabs>
          <w:tab w:val="left" w:pos="940"/>
        </w:tabs>
        <w:spacing w:before="0" w:after="0" w:line="364" w:lineRule="exact"/>
        <w:ind w:left="940" w:right="0" w:hanging="420"/>
        <w:jc w:val="left"/>
      </w:pPr>
      <w:r>
        <w:rPr>
          <w:spacing w:val="-1"/>
        </w:rPr>
        <w:t>改善了就医环境，促进洁污分流</w:t>
      </w:r>
    </w:p>
    <w:p>
      <w:pPr>
        <w:pStyle w:val="BodyText"/>
        <w:spacing w:before="106" w:line="364" w:lineRule="auto"/>
        <w:ind w:left="520" w:right="118" w:firstLine="468"/>
      </w:pPr>
      <w:r>
        <w:rPr>
          <w:spacing w:val="-5"/>
        </w:rPr>
        <w:t>医院内汇集着患有各种疾病的病人，他们携带着各种病原菌，这给传染性疾</w:t>
      </w:r>
      <w:r>
        <w:rPr>
          <w:spacing w:val="-5"/>
        </w:rPr>
        <w:t xml:space="preserve">  病的发生提供了极大的载体空间。同时医院内患者、家属、医护人员等人流混杂，为传染性疾病的传播与交叉感染的发生提供了可能性。</w:t>
      </w:r>
    </w:p>
    <w:p>
      <w:pPr>
        <w:pStyle w:val="BodyText"/>
        <w:spacing w:before="1" w:line="364" w:lineRule="auto"/>
        <w:ind w:left="520" w:right="238" w:firstLine="468"/>
      </w:pPr>
      <w:r>
        <w:rPr>
          <w:spacing w:val="-6"/>
        </w:rPr>
        <w:t>物流系统将院内的人流与物流进行了有效的分离，所传送的物品放在密闭的</w:t>
      </w:r>
      <w:r>
        <w:rPr>
          <w:spacing w:val="-2"/>
        </w:rPr>
        <w:t xml:space="preserve"> </w:t>
      </w:r>
      <w:r>
        <w:rPr>
          <w:spacing w:val="-2"/>
        </w:rPr>
        <w:t>载体中，保持灭菌状态，避免了所传送物品的污染。比如在手术室，病理切片、</w:t>
      </w:r>
      <w:r>
        <w:rPr>
          <w:spacing w:val="-2"/>
        </w:rPr>
        <w:t>药品、急救物品的供应使用物流系统后，减少了手术室人员的流动，避免带入过</w:t>
      </w:r>
      <w:r>
        <w:rPr>
          <w:spacing w:val="-2"/>
        </w:rPr>
        <w:t xml:space="preserve"> </w:t>
      </w:r>
      <w:r>
        <w:rPr>
          <w:spacing w:val="-2"/>
        </w:rPr>
        <w:t>多的病原菌，大大降低了手术后各种感染性疾病发生。</w:t>
      </w:r>
    </w:p>
    <w:p>
      <w:pPr>
        <w:pStyle w:val="Heading2"/>
        <w:numPr>
          <w:ilvl w:val="0"/>
          <w:numId w:val="4"/>
        </w:numPr>
        <w:tabs>
          <w:tab w:val="left" w:pos="940"/>
        </w:tabs>
        <w:spacing w:before="0" w:after="0" w:line="365" w:lineRule="exact"/>
        <w:ind w:left="940" w:right="0" w:hanging="420"/>
        <w:jc w:val="left"/>
      </w:pPr>
      <w:r>
        <w:rPr>
          <w:spacing w:val="-2"/>
        </w:rPr>
        <w:t>提高物品运输安全性</w:t>
      </w:r>
    </w:p>
    <w:p>
      <w:pPr>
        <w:pStyle w:val="BodyText"/>
        <w:spacing w:before="106" w:line="364" w:lineRule="auto"/>
        <w:ind w:left="520" w:right="238" w:firstLine="468"/>
      </w:pPr>
      <w:r>
        <w:rPr>
          <w:spacing w:val="-2"/>
        </w:rPr>
        <w:t>原来人工送取物品难免出现纰漏，增加了纠纷发生的机率。应用物流系统，</w:t>
      </w:r>
      <w:r>
        <w:rPr>
          <w:spacing w:val="-2"/>
        </w:rPr>
        <w:t>全电脑控制，保证了所有传输瓶能够准确的到达目的地。</w:t>
      </w:r>
    </w:p>
    <w:p>
      <w:pPr>
        <w:pStyle w:val="BodyText"/>
        <w:spacing w:before="2" w:line="364" w:lineRule="auto"/>
        <w:ind w:left="520" w:right="478" w:firstLine="468"/>
        <w:jc w:val="both"/>
      </w:pPr>
      <w:r>
        <w:rPr>
          <w:spacing w:val="-9"/>
        </w:rPr>
        <w:t>特别是在传送敏感物品时，物流系统的密码发送功能保证了这类物品的安全</w:t>
      </w:r>
      <w:r>
        <w:rPr>
          <w:spacing w:val="-4"/>
        </w:rPr>
        <w:t>交接。比如麻醉药品，发送方可设置密码，接收方必须知道密码才可以取到该物</w:t>
      </w:r>
      <w:r>
        <w:rPr>
          <w:spacing w:val="-6"/>
        </w:rPr>
        <w:t>品。</w:t>
      </w:r>
    </w:p>
    <w:p>
      <w:pPr>
        <w:pStyle w:val="BodyText"/>
      </w:pPr>
    </w:p>
    <w:p>
      <w:pPr>
        <w:pStyle w:val="BodyText"/>
        <w:spacing w:before="10"/>
        <w:rPr>
          <w:sz w:val="25"/>
        </w:rPr>
      </w:pPr>
    </w:p>
    <w:p>
      <w:pPr>
        <w:spacing w:before="0"/>
        <w:ind w:left="520" w:right="0" w:firstLine="0"/>
        <w:jc w:val="left"/>
        <w:rPr>
          <w:rFonts w:ascii="Microsoft JhengHei" w:eastAsia="Microsoft JhengHei"/>
          <w:b/>
          <w:sz w:val="32"/>
        </w:rPr>
      </w:pPr>
      <w:r>
        <w:rPr>
          <w:sz w:val="32"/>
        </w:rPr>
        <w:t xml:space="preserve">第二部分 </w:t>
      </w:r>
      <w:r>
        <w:rPr>
          <w:rFonts w:ascii="Times New Roman" w:eastAsia="Times New Roman"/>
          <w:sz w:val="32"/>
        </w:rPr>
        <w:t>.</w:t>
      </w:r>
      <w:r>
        <w:rPr>
          <w:rFonts w:ascii="Times New Roman" w:eastAsia="Times New Roman"/>
          <w:spacing w:val="42"/>
          <w:w w:val="150"/>
          <w:sz w:val="32"/>
        </w:rPr>
        <w:t xml:space="preserve"> </w:t>
      </w:r>
      <w:r>
        <w:rPr>
          <w:rFonts w:ascii="Microsoft JhengHei" w:eastAsia="Microsoft JhengHei"/>
          <w:b/>
          <w:spacing w:val="-3"/>
          <w:sz w:val="32"/>
        </w:rPr>
        <w:t>项目概述</w:t>
      </w:r>
    </w:p>
    <w:p>
      <w:pPr>
        <w:pStyle w:val="BodyText"/>
        <w:spacing w:before="9"/>
        <w:rPr>
          <w:rFonts w:ascii="Microsoft JhengHei"/>
          <w:b/>
          <w:sz w:val="27"/>
        </w:rPr>
      </w:pPr>
    </w:p>
    <w:p>
      <w:pPr>
        <w:pStyle w:val="BodyText"/>
        <w:tabs>
          <w:tab w:val="left" w:pos="2094"/>
        </w:tabs>
        <w:ind w:left="1255"/>
      </w:pPr>
      <w:r>
        <w:rPr>
          <w:rFonts w:ascii="Times New Roman" w:eastAsia="Times New Roman"/>
          <w:u w:val="single"/>
        </w:rPr>
        <w:tab/>
      </w:r>
      <w:r>
        <w:rPr>
          <w:spacing w:val="-3"/>
          <w:u w:val="single"/>
        </w:rPr>
        <w:t xml:space="preserve">气动物流传输系统项目共设计有 经典工作站点 </w:t>
      </w:r>
      <w:r>
        <w:rPr>
          <w:u w:val="single"/>
        </w:rPr>
        <w:t>70</w:t>
      </w:r>
      <w:r>
        <w:rPr>
          <w:spacing w:val="-10"/>
          <w:u w:val="single"/>
        </w:rPr>
        <w:t xml:space="preserve"> 个，快速工作</w:t>
      </w:r>
    </w:p>
    <w:p>
      <w:pPr>
        <w:spacing w:after="0"/>
        <w:sectPr>
          <w:footerReference w:type="default" r:id="rId6"/>
          <w:pgSz w:w="11910" w:h="16840"/>
          <w:pgMar w:top="1460" w:right="1320" w:bottom="1380" w:left="1280" w:header="0" w:footer="1180"/>
          <w:pgNumType w:start="4"/>
          <w:cols w:space="708"/>
        </w:sectPr>
      </w:pPr>
    </w:p>
    <w:p>
      <w:pPr>
        <w:pStyle w:val="BodyText"/>
        <w:spacing w:before="44" w:line="364" w:lineRule="auto"/>
        <w:ind w:left="520" w:right="478"/>
        <w:jc w:val="both"/>
      </w:pPr>
      <w:r>
        <w:rPr>
          <w:spacing w:val="-10"/>
          <w:u w:val="single"/>
        </w:rPr>
        <w:t xml:space="preserve">站点 </w:t>
      </w:r>
      <w:r>
        <w:rPr>
          <w:u w:val="single"/>
        </w:rPr>
        <w:t>4 个，风机系统 20</w:t>
      </w:r>
      <w:r>
        <w:rPr>
          <w:spacing w:val="4"/>
          <w:u w:val="single"/>
        </w:rPr>
        <w:t xml:space="preserve"> 台，四路转换器 </w:t>
      </w:r>
      <w:r>
        <w:rPr>
          <w:u w:val="single"/>
        </w:rPr>
        <w:t>13</w:t>
      </w:r>
      <w:r>
        <w:rPr>
          <w:spacing w:val="-6"/>
          <w:u w:val="single"/>
        </w:rPr>
        <w:t xml:space="preserve"> 台，六路转换器 </w:t>
      </w:r>
      <w:r>
        <w:rPr>
          <w:u w:val="single"/>
        </w:rPr>
        <w:t>41</w:t>
      </w:r>
      <w:r>
        <w:rPr>
          <w:spacing w:val="12"/>
          <w:u w:val="single"/>
        </w:rPr>
        <w:t xml:space="preserve"> 台，共</w:t>
      </w:r>
      <w:r>
        <w:t xml:space="preserve"> </w:t>
      </w:r>
      <w:r>
        <w:rPr>
          <w:u w:val="single"/>
        </w:rPr>
        <w:t>10090 米管道连接新建大楼及已经投入使用的门诊楼、外科楼、内科楼及老年</w:t>
      </w:r>
      <w:r>
        <w:rPr>
          <w:spacing w:val="40"/>
          <w:u w:val="single"/>
        </w:rPr>
        <w:t xml:space="preserve"> </w:t>
      </w:r>
      <w:r>
        <w:rPr>
          <w:spacing w:val="-8"/>
          <w:u w:val="single"/>
        </w:rPr>
        <w:t xml:space="preserve">医学 </w:t>
      </w:r>
      <w:r>
        <w:rPr>
          <w:u w:val="single"/>
        </w:rPr>
        <w:t>A/B</w:t>
      </w:r>
      <w:r>
        <w:rPr>
          <w:spacing w:val="-8"/>
          <w:u w:val="single"/>
        </w:rPr>
        <w:t xml:space="preserve"> 楼。</w:t>
      </w:r>
    </w:p>
    <w:p>
      <w:pPr>
        <w:pStyle w:val="BodyText"/>
        <w:spacing w:before="6"/>
        <w:rPr>
          <w:sz w:val="17"/>
        </w:rPr>
      </w:pPr>
    </w:p>
    <w:p>
      <w:pPr>
        <w:spacing w:before="0" w:line="437" w:lineRule="exact"/>
        <w:ind w:left="52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sz w:val="24"/>
        </w:rPr>
        <w:t>(</w:t>
      </w:r>
      <w:r>
        <w:rPr>
          <w:sz w:val="24"/>
        </w:rPr>
        <w:t>一</w:t>
      </w:r>
      <w:r>
        <w:rPr>
          <w:rFonts w:ascii="Times New Roman" w:eastAsia="Times New Roman"/>
          <w:spacing w:val="20"/>
          <w:sz w:val="24"/>
        </w:rPr>
        <w:t>)</w:t>
      </w:r>
      <w:r>
        <w:rPr>
          <w:rFonts w:ascii="Microsoft JhengHei" w:eastAsia="Microsoft JhengHei"/>
          <w:b/>
          <w:spacing w:val="-2"/>
          <w:sz w:val="24"/>
        </w:rPr>
        <w:t>重要站点描述</w:t>
      </w:r>
    </w:p>
    <w:p>
      <w:pPr>
        <w:pStyle w:val="BodyText"/>
        <w:spacing w:before="13"/>
        <w:rPr>
          <w:rFonts w:ascii="Microsoft JhengHei"/>
          <w:b/>
          <w:sz w:val="19"/>
        </w:rPr>
      </w:pPr>
    </w:p>
    <w:p>
      <w:pPr>
        <w:spacing w:before="0"/>
        <w:ind w:left="1089" w:right="0" w:firstLine="0"/>
        <w:jc w:val="left"/>
        <w:rPr>
          <w:sz w:val="24"/>
        </w:rPr>
      </w:pPr>
      <w:r>
        <w:rPr>
          <w:rFonts w:ascii="Microsoft JhengHei" w:eastAsia="Microsoft JhengHei"/>
          <w:b/>
          <w:sz w:val="28"/>
        </w:rPr>
        <w:t>一）</w:t>
      </w:r>
      <w:r>
        <w:rPr>
          <w:sz w:val="28"/>
        </w:rPr>
        <w:t>新大楼</w:t>
      </w:r>
      <w:r>
        <w:rPr>
          <w:rFonts w:ascii="Microsoft JhengHei" w:eastAsia="Microsoft JhengHei"/>
          <w:b/>
          <w:sz w:val="28"/>
        </w:rPr>
        <w:t>检验科急诊检验</w:t>
      </w:r>
      <w:r>
        <w:rPr>
          <w:sz w:val="28"/>
        </w:rPr>
        <w:t>设置2个物流站点、</w:t>
      </w:r>
      <w:r>
        <w:rPr>
          <w:spacing w:val="-2"/>
          <w:sz w:val="24"/>
        </w:rPr>
        <w:t>前处理标本接收</w:t>
      </w:r>
    </w:p>
    <w:p>
      <w:pPr>
        <w:pStyle w:val="BodyText"/>
        <w:spacing w:before="71" w:line="242" w:lineRule="auto"/>
        <w:ind w:left="1159" w:right="706"/>
      </w:pPr>
      <w:r>
        <w:rPr>
          <w:spacing w:val="-2"/>
        </w:rPr>
        <w:t>（前处理室）设置两个快速工作站、不需前处理标本接收（标本室）</w:t>
      </w:r>
      <w:r>
        <w:rPr>
          <w:spacing w:val="-2"/>
        </w:rPr>
        <w:t>设</w:t>
      </w:r>
      <w:r>
        <w:rPr>
          <w:spacing w:val="-2"/>
        </w:rPr>
        <w:t>置1个物流站点</w:t>
      </w:r>
    </w:p>
    <w:p>
      <w:pPr>
        <w:pStyle w:val="Heading1"/>
        <w:spacing w:before="41"/>
      </w:pPr>
      <w:r>
        <w:rPr>
          <w:spacing w:val="-2"/>
        </w:rPr>
        <w:t>设计依据：</w:t>
      </w:r>
    </w:p>
    <w:p>
      <w:pPr>
        <w:spacing w:before="201" w:line="417" w:lineRule="auto"/>
        <w:ind w:left="1315" w:right="710" w:firstLine="560"/>
        <w:jc w:val="both"/>
        <w:rPr>
          <w:sz w:val="28"/>
        </w:rPr>
      </w:pPr>
      <w:r>
        <w:rPr>
          <w:spacing w:val="-2"/>
          <w:sz w:val="28"/>
        </w:rPr>
        <w:t>考虑到贵院检验科将视工作效率为重中之重，上述站点</w:t>
      </w:r>
      <w:r>
        <w:rPr>
          <w:spacing w:val="-2"/>
          <w:sz w:val="28"/>
        </w:rPr>
        <w:t>的放置可满足所有区域往检验科的同时发送任务，同时可以</w:t>
      </w:r>
      <w:r>
        <w:rPr>
          <w:spacing w:val="-2"/>
          <w:sz w:val="28"/>
        </w:rPr>
        <w:t>解决夜间的标本传输需求。</w:t>
      </w:r>
    </w:p>
    <w:p>
      <w:pPr>
        <w:pStyle w:val="BodyText"/>
        <w:spacing w:before="6"/>
        <w:rPr>
          <w:sz w:val="41"/>
        </w:rPr>
      </w:pPr>
    </w:p>
    <w:p>
      <w:pPr>
        <w:spacing w:before="0" w:line="290" w:lineRule="auto"/>
        <w:ind w:left="1165" w:right="932" w:hanging="79"/>
        <w:jc w:val="left"/>
        <w:rPr>
          <w:sz w:val="28"/>
        </w:rPr>
      </w:pPr>
      <w:r>
        <w:rPr>
          <w:spacing w:val="-2"/>
          <w:sz w:val="28"/>
        </w:rPr>
        <w:t>（二）新大楼</w:t>
      </w:r>
      <w:r>
        <w:rPr>
          <w:rFonts w:ascii="Microsoft JhengHei" w:eastAsia="Microsoft JhengHei"/>
          <w:b/>
          <w:spacing w:val="-2"/>
          <w:sz w:val="28"/>
        </w:rPr>
        <w:t>中心药房</w:t>
      </w:r>
      <w:r>
        <w:rPr>
          <w:spacing w:val="-2"/>
          <w:sz w:val="28"/>
        </w:rPr>
        <w:t>设置2个标准物流站点，1个快速工作</w:t>
      </w:r>
      <w:r>
        <w:rPr>
          <w:spacing w:val="-2"/>
          <w:sz w:val="28"/>
        </w:rPr>
        <w:t>站，</w:t>
      </w:r>
      <w:r>
        <w:rPr>
          <w:rFonts w:ascii="Microsoft JhengHei" w:eastAsia="Microsoft JhengHei"/>
          <w:b/>
          <w:spacing w:val="-2"/>
          <w:sz w:val="28"/>
        </w:rPr>
        <w:t>配液中心</w:t>
      </w:r>
      <w:r>
        <w:rPr>
          <w:spacing w:val="-2"/>
          <w:sz w:val="28"/>
        </w:rPr>
        <w:t>设置1个物流站点。</w:t>
      </w:r>
    </w:p>
    <w:p>
      <w:pPr>
        <w:pStyle w:val="Heading1"/>
      </w:pPr>
      <w:r>
        <w:rPr>
          <w:spacing w:val="-2"/>
        </w:rPr>
        <w:t>设计依据：</w:t>
      </w:r>
    </w:p>
    <w:p>
      <w:pPr>
        <w:spacing w:before="202" w:line="417" w:lineRule="auto"/>
        <w:ind w:left="1164" w:right="581" w:firstLine="560"/>
        <w:jc w:val="left"/>
        <w:rPr>
          <w:sz w:val="28"/>
        </w:rPr>
      </w:pPr>
      <w:r>
        <w:rPr>
          <w:spacing w:val="-2"/>
          <w:sz w:val="28"/>
        </w:rPr>
        <w:t>住院药房设置2个标准站点及1个快速工作站，配液中心设</w:t>
      </w:r>
      <w:r>
        <w:rPr>
          <w:spacing w:val="-2"/>
          <w:sz w:val="28"/>
        </w:rPr>
        <w:t>置1个站点，系统可在繁忙期间，解决楼内各病区的白天和夜</w:t>
      </w:r>
      <w:r>
        <w:rPr>
          <w:spacing w:val="-2"/>
          <w:sz w:val="28"/>
        </w:rPr>
        <w:t>间的药品的部分传输任务，节约了护士到药局频繁取药的时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间。</w:t>
      </w:r>
    </w:p>
    <w:p>
      <w:pPr>
        <w:pStyle w:val="BodyText"/>
        <w:spacing w:before="5"/>
        <w:rPr>
          <w:sz w:val="41"/>
        </w:rPr>
      </w:pPr>
    </w:p>
    <w:p>
      <w:pPr>
        <w:spacing w:before="0" w:line="290" w:lineRule="auto"/>
        <w:ind w:left="1220" w:right="652" w:hanging="140"/>
        <w:jc w:val="left"/>
        <w:rPr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（三）</w:t>
      </w:r>
      <w:r>
        <w:rPr>
          <w:spacing w:val="-2"/>
          <w:sz w:val="28"/>
        </w:rPr>
        <w:t>新大楼7F</w:t>
      </w:r>
      <w:r>
        <w:rPr>
          <w:rFonts w:ascii="Microsoft JhengHei" w:eastAsia="Microsoft JhengHei"/>
          <w:b/>
          <w:spacing w:val="-2"/>
          <w:sz w:val="28"/>
        </w:rPr>
        <w:t>大手术室</w:t>
      </w:r>
      <w:r>
        <w:rPr>
          <w:spacing w:val="-2"/>
          <w:sz w:val="28"/>
        </w:rPr>
        <w:t>设置1个站点</w:t>
      </w:r>
      <w:r>
        <w:rPr>
          <w:rFonts w:ascii="Microsoft JhengHei" w:eastAsia="Microsoft JhengHei"/>
          <w:b/>
          <w:spacing w:val="-2"/>
          <w:sz w:val="28"/>
        </w:rPr>
        <w:t>、血库</w:t>
      </w:r>
      <w:r>
        <w:rPr>
          <w:spacing w:val="-2"/>
          <w:sz w:val="28"/>
        </w:rPr>
        <w:t>设置2个标准物流</w:t>
      </w:r>
      <w:r>
        <w:rPr>
          <w:spacing w:val="-2"/>
          <w:sz w:val="28"/>
        </w:rPr>
        <w:t>站点1个快速工作站点、</w:t>
      </w:r>
      <w:r>
        <w:rPr>
          <w:rFonts w:ascii="Microsoft JhengHei" w:eastAsia="Microsoft JhengHei"/>
          <w:b/>
          <w:spacing w:val="-2"/>
          <w:sz w:val="28"/>
        </w:rPr>
        <w:t>病理科</w:t>
      </w:r>
      <w:r>
        <w:rPr>
          <w:spacing w:val="-2"/>
          <w:sz w:val="28"/>
        </w:rPr>
        <w:t>设置2个物流站点。</w:t>
      </w:r>
    </w:p>
    <w:p>
      <w:pPr>
        <w:pStyle w:val="Heading1"/>
        <w:ind w:left="1297"/>
      </w:pPr>
      <w:r>
        <w:rPr>
          <w:spacing w:val="-2"/>
        </w:rPr>
        <w:t>设计依据：</w:t>
      </w:r>
    </w:p>
    <w:p>
      <w:pPr>
        <w:spacing w:after="0"/>
        <w:sectPr>
          <w:footerReference w:type="default" r:id="rId7"/>
          <w:pgSz w:w="11910" w:h="16840"/>
          <w:pgMar w:top="1460" w:right="1320" w:bottom="1380" w:left="1280" w:header="0" w:footer="1180"/>
          <w:pgNumType w:start="5"/>
          <w:cols w:space="708"/>
        </w:sectPr>
      </w:pPr>
    </w:p>
    <w:p>
      <w:pPr>
        <w:spacing w:before="37" w:line="417" w:lineRule="auto"/>
        <w:ind w:left="1343" w:right="479" w:firstLine="560"/>
        <w:jc w:val="both"/>
        <w:rPr>
          <w:sz w:val="28"/>
        </w:rPr>
      </w:pPr>
      <w:r>
        <w:rPr>
          <w:spacing w:val="-6"/>
          <w:sz w:val="28"/>
        </w:rPr>
        <w:t>血液病理标本是医院关系患者生命的重要物品，无论是传</w:t>
      </w:r>
      <w:r>
        <w:rPr>
          <w:spacing w:val="-7"/>
          <w:sz w:val="28"/>
        </w:rPr>
        <w:t>输效率还是准确都要求十分严格，因此将这几个科室设置在同</w:t>
      </w:r>
      <w:r>
        <w:rPr>
          <w:spacing w:val="-2"/>
          <w:sz w:val="28"/>
        </w:rPr>
        <w:t>一区域内由单独风机控制，提供更快捷和安全的传输方式。</w:t>
      </w:r>
    </w:p>
    <w:p>
      <w:pPr>
        <w:spacing w:before="0" w:line="422" w:lineRule="exact"/>
        <w:ind w:left="1087" w:right="0" w:firstLine="0"/>
        <w:jc w:val="left"/>
        <w:rPr>
          <w:sz w:val="28"/>
        </w:rPr>
      </w:pPr>
      <w:r>
        <w:rPr>
          <w:rFonts w:ascii="Microsoft JhengHei" w:eastAsia="Microsoft JhengHei"/>
          <w:b/>
          <w:sz w:val="28"/>
        </w:rPr>
        <w:t>（四）病区护士站</w:t>
      </w:r>
      <w:r>
        <w:rPr>
          <w:sz w:val="28"/>
        </w:rPr>
        <w:t>均设置1</w:t>
      </w:r>
      <w:r>
        <w:rPr>
          <w:spacing w:val="-2"/>
          <w:sz w:val="28"/>
        </w:rPr>
        <w:t>个物流站点。</w:t>
      </w:r>
    </w:p>
    <w:p>
      <w:pPr>
        <w:pStyle w:val="Heading1"/>
        <w:spacing w:before="109"/>
      </w:pPr>
      <w:r>
        <w:rPr>
          <w:spacing w:val="-2"/>
        </w:rPr>
        <w:t>设计依据：</w:t>
      </w:r>
    </w:p>
    <w:p>
      <w:pPr>
        <w:spacing w:before="201" w:line="417" w:lineRule="auto"/>
        <w:ind w:left="1220" w:right="665" w:firstLine="420"/>
        <w:jc w:val="left"/>
        <w:rPr>
          <w:sz w:val="28"/>
        </w:rPr>
      </w:pPr>
      <w:r>
        <w:rPr>
          <w:spacing w:val="-2"/>
          <w:sz w:val="28"/>
        </w:rPr>
        <w:t>病区患者所需药品以及血、尿标本可直接通过各病区护士</w:t>
      </w:r>
      <w:r>
        <w:rPr>
          <w:spacing w:val="-2"/>
          <w:sz w:val="28"/>
        </w:rPr>
        <w:t>站进行收取发放。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"/>
        <w:rPr>
          <w:sz w:val="34"/>
        </w:rPr>
      </w:pPr>
    </w:p>
    <w:p>
      <w:pPr>
        <w:spacing w:before="0" w:line="290" w:lineRule="auto"/>
        <w:ind w:left="1345" w:right="3736" w:hanging="126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（五）转换区域</w:t>
      </w:r>
      <w:r>
        <w:rPr>
          <w:spacing w:val="-2"/>
          <w:sz w:val="28"/>
        </w:rPr>
        <w:t>设置3套存储单元。</w:t>
      </w:r>
      <w:r>
        <w:rPr>
          <w:rFonts w:ascii="Microsoft JhengHei" w:eastAsia="Microsoft JhengHei"/>
          <w:b/>
          <w:spacing w:val="-2"/>
          <w:sz w:val="28"/>
        </w:rPr>
        <w:t>设计依据：</w:t>
      </w:r>
    </w:p>
    <w:p>
      <w:pPr>
        <w:spacing w:before="95" w:line="417" w:lineRule="auto"/>
        <w:ind w:left="1446" w:right="478" w:firstLine="464"/>
        <w:jc w:val="left"/>
        <w:rPr>
          <w:sz w:val="28"/>
        </w:rPr>
      </w:pPr>
      <w:r>
        <w:rPr>
          <w:spacing w:val="-8"/>
          <w:sz w:val="28"/>
        </w:rPr>
        <w:t>由于站点分布在不同层的不同位置，所涉及的跨区传输相</w:t>
      </w:r>
      <w:r>
        <w:rPr>
          <w:spacing w:val="-2"/>
          <w:sz w:val="28"/>
        </w:rPr>
        <w:t>应增加，因此需设置存储单元以加快跨区传输速度。</w:t>
      </w:r>
    </w:p>
    <w:p>
      <w:pPr>
        <w:pStyle w:val="BodyText"/>
        <w:spacing w:before="7"/>
        <w:rPr>
          <w:sz w:val="31"/>
        </w:rPr>
      </w:pPr>
    </w:p>
    <w:p>
      <w:pPr>
        <w:spacing w:before="0" w:line="624" w:lineRule="exact"/>
        <w:ind w:left="520" w:right="658" w:firstLine="840"/>
        <w:jc w:val="left"/>
        <w:rPr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（六）机房</w:t>
      </w:r>
      <w:r>
        <w:rPr>
          <w:spacing w:val="-2"/>
          <w:sz w:val="28"/>
        </w:rPr>
        <w:t>位置在新大楼的9楼西北角。MTU机房位于新大楼 2F空调机房处。本项目开创性使用MTU，将新旧大楼连接为一体。</w:t>
      </w:r>
      <w:r>
        <w:rPr>
          <w:spacing w:val="-2"/>
          <w:sz w:val="28"/>
        </w:rPr>
        <w:t xml:space="preserve"> TCU将快速的执行跨楼任务，通过MTU的中转，可同时处理多个任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务，极高的提升了运行效率。</w:t>
      </w:r>
    </w:p>
    <w:p>
      <w:pPr>
        <w:spacing w:after="0" w:line="624" w:lineRule="exact"/>
        <w:jc w:val="left"/>
        <w:rPr>
          <w:sz w:val="28"/>
        </w:rPr>
        <w:sectPr>
          <w:footerReference w:type="default" r:id="rId8"/>
          <w:pgSz w:w="11910" w:h="16840"/>
          <w:pgMar w:top="1520" w:right="1320" w:bottom="1380" w:left="1280" w:header="0" w:footer="1180"/>
          <w:pgNumType w:start="6"/>
          <w:cols w:space="708"/>
        </w:sectPr>
      </w:pPr>
    </w:p>
    <w:p>
      <w:pPr>
        <w:spacing w:before="0" w:line="423" w:lineRule="exact"/>
        <w:ind w:left="52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sz w:val="24"/>
        </w:rPr>
        <w:t>(</w:t>
      </w:r>
      <w:r>
        <w:rPr>
          <w:sz w:val="24"/>
        </w:rPr>
        <w:t>二</w:t>
      </w:r>
      <w:r>
        <w:rPr>
          <w:rFonts w:ascii="Times New Roman" w:eastAsia="Times New Roman"/>
          <w:spacing w:val="20"/>
          <w:sz w:val="24"/>
        </w:rPr>
        <w:t>)</w:t>
      </w:r>
      <w:r>
        <w:rPr>
          <w:rFonts w:ascii="Microsoft JhengHei" w:eastAsia="Microsoft JhengHei"/>
          <w:b/>
          <w:spacing w:val="-2"/>
          <w:sz w:val="24"/>
        </w:rPr>
        <w:t>设备分布一览表</w:t>
      </w:r>
    </w:p>
    <w:p>
      <w:pPr>
        <w:pStyle w:val="BodyText"/>
        <w:spacing w:before="7"/>
        <w:rPr>
          <w:rFonts w:ascii="Microsoft JhengHei"/>
          <w:b/>
          <w:sz w:val="17"/>
        </w:rPr>
      </w:pPr>
    </w:p>
    <w:tbl>
      <w:tblPr>
        <w:tblStyle w:val="TableNormal0"/>
        <w:tblW w:w="0" w:type="auto"/>
        <w:jc w:val="left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5"/>
        <w:gridCol w:w="4394"/>
        <w:gridCol w:w="2835"/>
      </w:tblGrid>
      <w:tr>
        <w:tblPrEx>
          <w:tblW w:w="0" w:type="auto"/>
          <w:jc w:val="left"/>
          <w:tblInd w:w="26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5"/>
          <w:jc w:val="left"/>
        </w:trPr>
        <w:tc>
          <w:tcPr>
            <w:tcW w:w="1565" w:type="dxa"/>
          </w:tcPr>
          <w:p>
            <w:pPr>
              <w:pStyle w:val="TableParagraph"/>
              <w:spacing w:before="33" w:line="482" w:lineRule="exact"/>
              <w:ind w:left="448"/>
              <w:jc w:val="lef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20"/>
                <w:sz w:val="28"/>
              </w:rPr>
              <w:t>楼 层</w:t>
            </w:r>
          </w:p>
        </w:tc>
        <w:tc>
          <w:tcPr>
            <w:tcW w:w="4394" w:type="dxa"/>
          </w:tcPr>
          <w:p>
            <w:pPr>
              <w:pStyle w:val="TableParagraph"/>
              <w:tabs>
                <w:tab w:val="left" w:pos="943"/>
              </w:tabs>
              <w:spacing w:before="33" w:line="482" w:lineRule="exact"/>
              <w:ind w:left="10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10"/>
                <w:sz w:val="28"/>
              </w:rPr>
              <w:t>科</w:t>
            </w:r>
            <w:r>
              <w:rPr>
                <w:rFonts w:ascii="Microsoft JhengHei" w:eastAsia="Microsoft JhengHei"/>
                <w:b/>
                <w:sz w:val="28"/>
              </w:rPr>
              <w:tab/>
            </w:r>
            <w:r>
              <w:rPr>
                <w:rFonts w:ascii="Microsoft JhengHei" w:eastAsia="Microsoft JhengHei"/>
                <w:b/>
                <w:spacing w:val="-10"/>
                <w:sz w:val="28"/>
              </w:rPr>
              <w:t>室</w:t>
            </w:r>
          </w:p>
        </w:tc>
        <w:tc>
          <w:tcPr>
            <w:tcW w:w="2835" w:type="dxa"/>
          </w:tcPr>
          <w:p>
            <w:pPr>
              <w:pStyle w:val="TableParagraph"/>
              <w:spacing w:before="33" w:line="482" w:lineRule="exact"/>
              <w:ind w:right="309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>站点类型及数量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6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B1F</w:t>
            </w:r>
          </w:p>
        </w:tc>
        <w:tc>
          <w:tcPr>
            <w:tcW w:w="4394" w:type="dxa"/>
          </w:tcPr>
          <w:p>
            <w:pPr>
              <w:pStyle w:val="TableParagraph"/>
              <w:ind w:left="15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急诊标本接收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pacing w:val="-2"/>
                <w:sz w:val="24"/>
              </w:rPr>
              <w:t>急诊抢救室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138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急诊大厅(预诊台)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pacing w:val="-3"/>
                <w:sz w:val="24"/>
              </w:rPr>
              <w:t>急诊药房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3"/>
              <w:ind w:left="0"/>
              <w:jc w:val="left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2F</w:t>
            </w:r>
          </w:p>
        </w:tc>
        <w:tc>
          <w:tcPr>
            <w:tcW w:w="4394" w:type="dxa"/>
          </w:tcPr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pacing w:val="-3"/>
                <w:sz w:val="24"/>
              </w:rPr>
              <w:t>门诊药房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22"/>
              <w:jc w:val="left"/>
              <w:rPr>
                <w:sz w:val="24"/>
              </w:rPr>
            </w:pPr>
            <w:r>
              <w:rPr>
                <w:sz w:val="24"/>
              </w:rPr>
              <w:t>门诊输液(待定）</w:t>
            </w:r>
            <w:r>
              <w:rPr>
                <w:spacing w:val="-2"/>
                <w:sz w:val="24"/>
              </w:rPr>
              <w:t>考虑辅助室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1"/>
              <w:rPr>
                <w:sz w:val="24"/>
              </w:rPr>
            </w:pPr>
            <w:r>
              <w:rPr>
                <w:spacing w:val="-20"/>
                <w:sz w:val="24"/>
              </w:rPr>
              <w:t xml:space="preserve">急诊 </w:t>
            </w:r>
            <w:r>
              <w:rPr>
                <w:spacing w:val="-5"/>
                <w:sz w:val="24"/>
              </w:rPr>
              <w:t>ICU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pacing w:val="-3"/>
                <w:sz w:val="24"/>
              </w:rPr>
              <w:t>急诊观察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169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急诊住院病区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9"/>
              <w:ind w:left="0"/>
              <w:jc w:val="left"/>
              <w:rPr>
                <w:rFonts w:ascii="Microsoft JhengHei"/>
                <w:b/>
                <w:sz w:val="33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3F</w:t>
            </w:r>
          </w:p>
        </w:tc>
        <w:tc>
          <w:tcPr>
            <w:tcW w:w="4394" w:type="dxa"/>
          </w:tcPr>
          <w:p>
            <w:pPr>
              <w:pStyle w:val="TableParagraph"/>
              <w:ind w:left="138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内窥镜检查护士站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pacing w:val="-2"/>
                <w:sz w:val="24"/>
              </w:rPr>
              <w:t>门诊分诊台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bottom w:val="single" w:sz="18" w:space="0" w:color="000000"/>
            </w:tcBorders>
          </w:tcPr>
          <w:p>
            <w:pPr>
              <w:pStyle w:val="TableParagraph"/>
              <w:ind w:left="61"/>
              <w:rPr>
                <w:sz w:val="24"/>
              </w:rPr>
            </w:pPr>
            <w:r>
              <w:rPr>
                <w:spacing w:val="-4"/>
                <w:sz w:val="24"/>
              </w:rPr>
              <w:t>检验科</w:t>
            </w:r>
          </w:p>
        </w:tc>
        <w:tc>
          <w:tcPr>
            <w:tcW w:w="2835" w:type="dxa"/>
            <w:tcBorders>
              <w:bottom w:val="single" w:sz="18" w:space="0" w:color="000000"/>
            </w:tcBorders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  <w:tcBorders>
              <w:right w:val="single" w:sz="18" w:space="0" w:color="000000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4"/>
              <w:ind w:left="0"/>
              <w:jc w:val="left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618" w:right="591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4F</w:t>
            </w:r>
          </w:p>
        </w:tc>
        <w:tc>
          <w:tcPr>
            <w:tcW w:w="4394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757" w:right="696"/>
              <w:rPr>
                <w:sz w:val="24"/>
              </w:rPr>
            </w:pPr>
            <w:r>
              <w:rPr>
                <w:spacing w:val="-3"/>
                <w:sz w:val="24"/>
              </w:rPr>
              <w:t>急诊检验</w:t>
            </w:r>
          </w:p>
        </w:tc>
        <w:tc>
          <w:tcPr>
            <w:tcW w:w="283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>
            <w:pPr>
              <w:pStyle w:val="TableParagraph"/>
              <w:ind w:left="420" w:right="3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765"/>
              <w:jc w:val="left"/>
              <w:rPr>
                <w:sz w:val="24"/>
              </w:rPr>
            </w:pPr>
            <w:r>
              <w:rPr>
                <w:sz w:val="24"/>
              </w:rPr>
              <w:t>前处理标本接收（前处理室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" w:line="464" w:lineRule="exact"/>
              <w:ind w:left="420" w:right="39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 xml:space="preserve">快速工作站 </w:t>
            </w:r>
            <w:r>
              <w:rPr>
                <w:rFonts w:ascii="Microsoft JhengHei" w:eastAsia="Microsoft JhengHei"/>
                <w:b/>
                <w:sz w:val="28"/>
              </w:rPr>
              <w:t>2</w:t>
            </w:r>
            <w:r>
              <w:rPr>
                <w:rFonts w:ascii="Microsoft JhengHei" w:eastAsia="Microsoft JhengHei"/>
                <w:b/>
                <w:spacing w:val="-11"/>
                <w:sz w:val="28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ind w:left="779"/>
              <w:jc w:val="left"/>
              <w:rPr>
                <w:sz w:val="24"/>
              </w:rPr>
            </w:pPr>
            <w:r>
              <w:rPr>
                <w:sz w:val="24"/>
              </w:rPr>
              <w:t>不需前处理标本接收（标本室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ind w:left="420" w:right="3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6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>
            <w:pPr>
              <w:pStyle w:val="TableParagraph"/>
              <w:ind w:left="102" w:right="185"/>
              <w:rPr>
                <w:sz w:val="24"/>
              </w:rPr>
            </w:pPr>
            <w:r>
              <w:rPr>
                <w:sz w:val="24"/>
              </w:rPr>
              <w:t>DSA</w:t>
            </w:r>
            <w:r>
              <w:rPr>
                <w:spacing w:val="-18"/>
                <w:sz w:val="24"/>
              </w:rPr>
              <w:t xml:space="preserve"> 手术室</w:t>
            </w:r>
          </w:p>
        </w:tc>
        <w:tc>
          <w:tcPr>
            <w:tcW w:w="2835" w:type="dxa"/>
            <w:tcBorders>
              <w:top w:val="single" w:sz="18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ind w:right="30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1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0"/>
              <w:ind w:left="44"/>
              <w:rPr>
                <w:sz w:val="24"/>
              </w:rPr>
            </w:pPr>
            <w:r>
              <w:rPr>
                <w:spacing w:val="-4"/>
                <w:sz w:val="24"/>
              </w:rPr>
              <w:t>抽血处</w:t>
            </w:r>
          </w:p>
        </w:tc>
        <w:tc>
          <w:tcPr>
            <w:tcW w:w="2835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150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门诊分诊台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6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5F</w:t>
            </w:r>
          </w:p>
        </w:tc>
        <w:tc>
          <w:tcPr>
            <w:tcW w:w="4394" w:type="dxa"/>
          </w:tcPr>
          <w:p>
            <w:pPr>
              <w:pStyle w:val="TableParagraph"/>
              <w:ind w:left="125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门诊手术室护士站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3"/>
                <w:sz w:val="24"/>
              </w:rPr>
              <w:t>血液透析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3"/>
                <w:sz w:val="24"/>
              </w:rPr>
              <w:t>标本检验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门诊分诊台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6F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4"/>
                <w:sz w:val="24"/>
              </w:rPr>
              <w:t>ICU1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4"/>
                <w:sz w:val="24"/>
              </w:rPr>
              <w:t>ICU2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</w:tbl>
    <w:p>
      <w:pPr>
        <w:spacing w:after="0"/>
        <w:rPr>
          <w:sz w:val="24"/>
        </w:rPr>
        <w:sectPr>
          <w:footerReference w:type="default" r:id="rId9"/>
          <w:pgSz w:w="11910" w:h="16840"/>
          <w:pgMar w:top="1480" w:right="1320" w:bottom="1380" w:left="1280" w:header="0" w:footer="1180"/>
          <w:pgNumType w:start="7"/>
          <w:cols w:space="708"/>
        </w:sectPr>
      </w:pPr>
    </w:p>
    <w:tbl>
      <w:tblPr>
        <w:tblStyle w:val="TableNormal1"/>
        <w:tblW w:w="0" w:type="auto"/>
        <w:jc w:val="left"/>
        <w:tblInd w:w="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5"/>
        <w:gridCol w:w="4394"/>
        <w:gridCol w:w="2835"/>
      </w:tblGrid>
      <w:tr>
        <w:tblPrEx>
          <w:tblW w:w="0" w:type="auto"/>
          <w:jc w:val="left"/>
          <w:tblInd w:w="26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门诊分诊台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  <w:tcBorders>
              <w:right w:val="single" w:sz="18" w:space="0" w:color="000000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7"/>
              <w:ind w:left="0"/>
              <w:jc w:val="left"/>
              <w:rPr>
                <w:rFonts w:ascii="Microsoft JhengHei"/>
                <w:b/>
                <w:sz w:val="35"/>
              </w:rPr>
            </w:pPr>
          </w:p>
          <w:p>
            <w:pPr>
              <w:pStyle w:val="TableParagraph"/>
              <w:spacing w:before="0"/>
              <w:ind w:left="627" w:right="58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7F</w:t>
            </w:r>
          </w:p>
        </w:tc>
        <w:tc>
          <w:tcPr>
            <w:tcW w:w="4394" w:type="dxa"/>
            <w:tcBorders>
              <w:bottom w:val="single" w:sz="18" w:space="0" w:color="000000"/>
            </w:tcBorders>
          </w:tcPr>
          <w:p>
            <w:pPr>
              <w:pStyle w:val="TableParagraph"/>
              <w:ind w:left="45"/>
              <w:rPr>
                <w:sz w:val="24"/>
              </w:rPr>
            </w:pPr>
            <w:r>
              <w:rPr>
                <w:spacing w:val="-2"/>
                <w:sz w:val="24"/>
              </w:rPr>
              <w:t>大手术室护士站</w:t>
            </w:r>
          </w:p>
        </w:tc>
        <w:tc>
          <w:tcPr>
            <w:tcW w:w="2835" w:type="dxa"/>
            <w:tcBorders>
              <w:bottom w:val="single" w:sz="18" w:space="0" w:color="000000"/>
            </w:tcBorders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ind w:left="757" w:right="697"/>
              <w:rPr>
                <w:sz w:val="24"/>
              </w:rPr>
            </w:pPr>
            <w:r>
              <w:rPr>
                <w:sz w:val="24"/>
              </w:rPr>
              <w:t>病理科（快速冰冻取材室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835" w:type="dxa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ind w:left="420" w:right="3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757" w:right="697"/>
              <w:rPr>
                <w:sz w:val="24"/>
              </w:rPr>
            </w:pPr>
            <w:r>
              <w:rPr>
                <w:sz w:val="24"/>
              </w:rPr>
              <w:t>输血科（发血室</w:t>
            </w:r>
            <w:r>
              <w:rPr>
                <w:spacing w:val="-5"/>
                <w:sz w:val="24"/>
              </w:rPr>
              <w:t>）1</w:t>
            </w:r>
          </w:p>
        </w:tc>
        <w:tc>
          <w:tcPr>
            <w:tcW w:w="283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>
            <w:pPr>
              <w:pStyle w:val="TableParagraph"/>
              <w:ind w:left="420" w:right="3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757" w:right="697"/>
              <w:rPr>
                <w:sz w:val="24"/>
              </w:rPr>
            </w:pPr>
            <w:r>
              <w:rPr>
                <w:sz w:val="24"/>
              </w:rPr>
              <w:t>输血科（发血室</w:t>
            </w:r>
            <w:r>
              <w:rPr>
                <w:spacing w:val="-5"/>
                <w:sz w:val="24"/>
              </w:rPr>
              <w:t>）1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" w:line="464" w:lineRule="exact"/>
              <w:ind w:left="420" w:right="39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 xml:space="preserve">快速工作站 </w:t>
            </w:r>
            <w:r>
              <w:rPr>
                <w:rFonts w:ascii="Microsoft JhengHei" w:eastAsia="Microsoft JhengHei"/>
                <w:b/>
                <w:sz w:val="28"/>
              </w:rPr>
              <w:t>1</w:t>
            </w:r>
            <w:r>
              <w:rPr>
                <w:rFonts w:ascii="Microsoft JhengHei" w:eastAsia="Microsoft JhengHei"/>
                <w:b/>
                <w:spacing w:val="-11"/>
                <w:sz w:val="28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ind w:left="757" w:right="697"/>
              <w:rPr>
                <w:sz w:val="24"/>
              </w:rPr>
            </w:pPr>
            <w:r>
              <w:rPr>
                <w:sz w:val="24"/>
              </w:rPr>
              <w:t>输血科（操作间</w:t>
            </w:r>
            <w:r>
              <w:rPr>
                <w:spacing w:val="-10"/>
                <w:sz w:val="24"/>
              </w:rPr>
              <w:t>）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ind w:left="420" w:right="3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</w:tcPr>
          <w:p>
            <w:pPr>
              <w:pStyle w:val="TableParagraph"/>
              <w:spacing w:before="107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8F</w:t>
            </w:r>
          </w:p>
        </w:tc>
        <w:tc>
          <w:tcPr>
            <w:tcW w:w="4394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3"/>
                <w:sz w:val="24"/>
              </w:rPr>
              <w:t>配液中心</w:t>
            </w:r>
          </w:p>
        </w:tc>
        <w:tc>
          <w:tcPr>
            <w:tcW w:w="2835" w:type="dxa"/>
            <w:tcBorders>
              <w:top w:val="single" w:sz="18" w:space="0" w:color="000000"/>
              <w:bottom w:val="single" w:sz="18" w:space="0" w:color="000000"/>
            </w:tcBorders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 w:val="restart"/>
            <w:tcBorders>
              <w:right w:val="single" w:sz="18" w:space="0" w:color="000000"/>
            </w:tcBorders>
          </w:tcPr>
          <w:p>
            <w:pPr>
              <w:pStyle w:val="TableParagraph"/>
              <w:spacing w:before="0"/>
              <w:ind w:left="0"/>
              <w:jc w:val="left"/>
              <w:rPr>
                <w:rFonts w:ascii="Microsoft JhengHei"/>
                <w:b/>
                <w:sz w:val="28"/>
              </w:rPr>
            </w:pPr>
          </w:p>
          <w:p>
            <w:pPr>
              <w:pStyle w:val="TableParagraph"/>
              <w:spacing w:before="8"/>
              <w:ind w:left="0"/>
              <w:jc w:val="left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0"/>
              <w:ind w:left="618" w:right="591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9F</w:t>
            </w:r>
          </w:p>
        </w:tc>
        <w:tc>
          <w:tcPr>
            <w:tcW w:w="4394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756" w:right="697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中心药房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83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</w:tcPr>
          <w:p>
            <w:pPr>
              <w:pStyle w:val="TableParagraph"/>
              <w:spacing w:before="15" w:line="464" w:lineRule="exact"/>
              <w:ind w:left="420" w:right="392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 xml:space="preserve">快速工作站 </w:t>
            </w:r>
            <w:r>
              <w:rPr>
                <w:rFonts w:ascii="Microsoft JhengHei" w:eastAsia="Microsoft JhengHei"/>
                <w:b/>
                <w:sz w:val="28"/>
              </w:rPr>
              <w:t>1</w:t>
            </w:r>
            <w:r>
              <w:rPr>
                <w:rFonts w:ascii="Microsoft JhengHei" w:eastAsia="Microsoft JhengHei"/>
                <w:b/>
                <w:spacing w:val="-11"/>
                <w:sz w:val="28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</w:tcPr>
          <w:p>
            <w:pPr>
              <w:pStyle w:val="TableParagraph"/>
              <w:ind w:left="756" w:right="697"/>
              <w:rPr>
                <w:sz w:val="24"/>
              </w:rPr>
            </w:pPr>
            <w:r>
              <w:rPr>
                <w:spacing w:val="-12"/>
                <w:sz w:val="24"/>
              </w:rPr>
              <w:t xml:space="preserve">中心药房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</w:tcPr>
          <w:p>
            <w:pPr>
              <w:pStyle w:val="TableParagraph"/>
              <w:ind w:left="420" w:right="3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2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  <w:tcBorders>
              <w:top w:val="single" w:sz="18" w:space="0" w:color="000000"/>
            </w:tcBorders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  <w:tcBorders>
              <w:top w:val="single" w:sz="18" w:space="0" w:color="000000"/>
            </w:tcBorders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  <w:right w:val="single" w:sz="1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10F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11F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12F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13F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14F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15F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16F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60" w:right="515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17F</w:t>
            </w: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6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0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</w:tbl>
    <w:p>
      <w:pPr>
        <w:spacing w:after="0"/>
        <w:rPr>
          <w:sz w:val="24"/>
        </w:rPr>
        <w:sectPr>
          <w:footerReference w:type="default" r:id="rId10"/>
          <w:type w:val="continuous"/>
          <w:pgSz w:w="11910" w:h="16840"/>
          <w:pgMar w:top="1400" w:right="1320" w:bottom="1380" w:left="1280" w:header="0" w:footer="1180"/>
          <w:pgNumType w:start="8"/>
          <w:cols w:space="708"/>
        </w:sectPr>
      </w:pPr>
    </w:p>
    <w:tbl>
      <w:tblPr>
        <w:tblStyle w:val="TableNormal2"/>
        <w:tblW w:w="0" w:type="auto"/>
        <w:jc w:val="left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5"/>
        <w:gridCol w:w="4394"/>
        <w:gridCol w:w="2835"/>
      </w:tblGrid>
      <w:tr>
        <w:tblPrEx>
          <w:tblW w:w="0" w:type="auto"/>
          <w:jc w:val="left"/>
          <w:tblInd w:w="281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18F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19F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20F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21F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22F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23F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 w:val="restart"/>
          </w:tcPr>
          <w:p>
            <w:pPr>
              <w:pStyle w:val="TableParagraph"/>
              <w:spacing w:before="12"/>
              <w:ind w:left="0"/>
              <w:jc w:val="left"/>
              <w:rPr>
                <w:rFonts w:ascii="Microsoft JhengHei"/>
                <w:b/>
                <w:sz w:val="19"/>
              </w:rPr>
            </w:pPr>
          </w:p>
          <w:p>
            <w:pPr>
              <w:pStyle w:val="TableParagraph"/>
              <w:spacing w:before="0"/>
              <w:ind w:left="542" w:right="532"/>
              <w:rPr>
                <w:rFonts w:ascii="楷体"/>
                <w:sz w:val="28"/>
              </w:rPr>
            </w:pPr>
            <w:r>
              <w:rPr>
                <w:rFonts w:ascii="楷体"/>
                <w:spacing w:val="-5"/>
                <w:sz w:val="28"/>
              </w:rPr>
              <w:t>24F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病区护士站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1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1565" w:type="dxa"/>
          </w:tcPr>
          <w:p>
            <w:pPr>
              <w:pStyle w:val="TableParagraph"/>
              <w:spacing w:before="15" w:line="464" w:lineRule="exact"/>
              <w:ind w:left="220"/>
              <w:jc w:val="left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3"/>
                <w:sz w:val="28"/>
              </w:rPr>
              <w:t>备用系统</w:t>
            </w:r>
          </w:p>
        </w:tc>
        <w:tc>
          <w:tcPr>
            <w:tcW w:w="4394" w:type="dxa"/>
          </w:tcPr>
          <w:p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4"/>
                <w:sz w:val="24"/>
              </w:rPr>
              <w:t>旧大楼</w:t>
            </w:r>
          </w:p>
        </w:tc>
        <w:tc>
          <w:tcPr>
            <w:tcW w:w="2835" w:type="dxa"/>
          </w:tcPr>
          <w:p>
            <w:pPr>
              <w:pStyle w:val="TableParagraph"/>
              <w:ind w:right="34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普通工作站 </w:t>
            </w:r>
            <w:r>
              <w:rPr>
                <w:sz w:val="24"/>
              </w:rPr>
              <w:t>4</w:t>
            </w:r>
            <w:r>
              <w:rPr>
                <w:spacing w:val="-35"/>
                <w:sz w:val="24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959" w:type="dxa"/>
            <w:gridSpan w:val="2"/>
            <w:vMerge w:val="restart"/>
          </w:tcPr>
          <w:p>
            <w:pPr>
              <w:pStyle w:val="TableParagraph"/>
              <w:spacing w:before="9"/>
              <w:ind w:left="0"/>
              <w:jc w:val="left"/>
              <w:rPr>
                <w:rFonts w:ascii="Microsoft JhengHei"/>
                <w:b/>
                <w:sz w:val="17"/>
              </w:rPr>
            </w:pPr>
          </w:p>
          <w:p>
            <w:pPr>
              <w:pStyle w:val="TableParagraph"/>
              <w:tabs>
                <w:tab w:val="left" w:pos="809"/>
              </w:tabs>
              <w:spacing w:before="0"/>
              <w:ind w:left="9"/>
              <w:rPr>
                <w:sz w:val="32"/>
              </w:rPr>
            </w:pPr>
            <w:r>
              <w:rPr>
                <w:spacing w:val="-10"/>
                <w:sz w:val="32"/>
              </w:rPr>
              <w:t>合</w:t>
            </w:r>
            <w:r>
              <w:rPr>
                <w:sz w:val="32"/>
              </w:rPr>
              <w:tab/>
            </w:r>
            <w:r>
              <w:rPr>
                <w:spacing w:val="-10"/>
                <w:sz w:val="32"/>
              </w:rPr>
              <w:t>计</w:t>
            </w:r>
          </w:p>
        </w:tc>
        <w:tc>
          <w:tcPr>
            <w:tcW w:w="2835" w:type="dxa"/>
          </w:tcPr>
          <w:p>
            <w:pPr>
              <w:pStyle w:val="TableParagraph"/>
              <w:spacing w:before="15" w:line="464" w:lineRule="exact"/>
              <w:ind w:right="344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6"/>
                <w:sz w:val="28"/>
              </w:rPr>
              <w:t xml:space="preserve">普通工作站 </w:t>
            </w:r>
            <w:r>
              <w:rPr>
                <w:rFonts w:ascii="Microsoft JhengHei" w:eastAsia="Microsoft JhengHei"/>
                <w:b/>
                <w:spacing w:val="-4"/>
                <w:sz w:val="28"/>
              </w:rPr>
              <w:t>70</w:t>
            </w:r>
            <w:r>
              <w:rPr>
                <w:rFonts w:ascii="Microsoft JhengHei" w:eastAsia="Microsoft JhengHei"/>
                <w:b/>
                <w:spacing w:val="-11"/>
                <w:sz w:val="28"/>
              </w:rPr>
              <w:t xml:space="preserve"> 台</w:t>
            </w:r>
          </w:p>
        </w:tc>
      </w:tr>
      <w:tr>
        <w:tblPrEx>
          <w:tblW w:w="0" w:type="auto"/>
          <w:jc w:val="left"/>
          <w:tblInd w:w="2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595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spacing w:before="15" w:line="464" w:lineRule="exact"/>
              <w:ind w:right="344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2"/>
                <w:sz w:val="28"/>
              </w:rPr>
              <w:t xml:space="preserve">快速工作站 </w:t>
            </w:r>
            <w:r>
              <w:rPr>
                <w:rFonts w:ascii="Microsoft JhengHei" w:eastAsia="Microsoft JhengHei"/>
                <w:b/>
                <w:sz w:val="28"/>
              </w:rPr>
              <w:t>4</w:t>
            </w:r>
            <w:r>
              <w:rPr>
                <w:rFonts w:ascii="Microsoft JhengHei" w:eastAsia="Microsoft JhengHei"/>
                <w:b/>
                <w:spacing w:val="-11"/>
                <w:sz w:val="28"/>
              </w:rPr>
              <w:t xml:space="preserve"> 台</w:t>
            </w:r>
          </w:p>
        </w:tc>
      </w:tr>
    </w:tbl>
    <w:p>
      <w:pPr>
        <w:spacing w:after="0" w:line="464" w:lineRule="exact"/>
        <w:rPr>
          <w:rFonts w:ascii="Microsoft JhengHei" w:eastAsia="Microsoft JhengHei"/>
          <w:sz w:val="28"/>
        </w:rPr>
        <w:sectPr>
          <w:footerReference w:type="default" r:id="rId11"/>
          <w:type w:val="continuous"/>
          <w:pgSz w:w="11910" w:h="16840"/>
          <w:pgMar w:top="1400" w:right="1320" w:bottom="1380" w:left="1280" w:header="0" w:footer="1180"/>
          <w:pgNumType w:start="9"/>
          <w:cols w:space="708"/>
        </w:sectPr>
      </w:pPr>
    </w:p>
    <w:p>
      <w:pPr>
        <w:spacing w:before="0" w:line="423" w:lineRule="exact"/>
        <w:ind w:left="52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sz w:val="24"/>
        </w:rPr>
        <w:t>(</w:t>
      </w:r>
      <w:r>
        <w:rPr>
          <w:sz w:val="24"/>
        </w:rPr>
        <w:t>三</w:t>
      </w:r>
      <w:r>
        <w:rPr>
          <w:rFonts w:ascii="Times New Roman" w:eastAsia="Times New Roman"/>
          <w:spacing w:val="20"/>
          <w:sz w:val="24"/>
        </w:rPr>
        <w:t>)</w:t>
      </w:r>
      <w:r>
        <w:rPr>
          <w:rFonts w:ascii="Microsoft JhengHei" w:eastAsia="Microsoft JhengHei"/>
          <w:b/>
          <w:spacing w:val="-2"/>
          <w:sz w:val="24"/>
        </w:rPr>
        <w:t>电气需求描述</w:t>
      </w:r>
    </w:p>
    <w:p>
      <w:pPr>
        <w:pStyle w:val="BodyText"/>
        <w:spacing w:before="16"/>
        <w:rPr>
          <w:rFonts w:ascii="Microsoft JhengHei"/>
          <w:b/>
          <w:sz w:val="21"/>
        </w:rPr>
      </w:pPr>
    </w:p>
    <w:p>
      <w:pPr>
        <w:pStyle w:val="BodyText"/>
        <w:ind w:left="520"/>
      </w:pPr>
      <w:r>
        <w:rPr>
          <w:rFonts w:ascii="Arial" w:eastAsia="Arial"/>
        </w:rPr>
        <w:t>9F</w:t>
      </w:r>
      <w:r>
        <w:rPr>
          <w:rFonts w:ascii="Arial" w:eastAsia="Arial"/>
          <w:spacing w:val="-8"/>
        </w:rPr>
        <w:t xml:space="preserve"> </w:t>
      </w:r>
      <w:r>
        <w:rPr>
          <w:spacing w:val="-2"/>
        </w:rPr>
        <w:t>机房电源需求：</w:t>
      </w:r>
    </w:p>
    <w:p>
      <w:pPr>
        <w:pStyle w:val="BodyText"/>
        <w:tabs>
          <w:tab w:val="left" w:pos="2199"/>
          <w:tab w:val="left" w:pos="6514"/>
        </w:tabs>
        <w:spacing w:before="160" w:line="364" w:lineRule="auto"/>
        <w:ind w:left="520" w:right="1835"/>
        <w:rPr>
          <w:rFonts w:ascii="Arial" w:eastAsia="Arial" w:hAnsi="Arial"/>
        </w:rPr>
      </w:pP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风</w:t>
      </w:r>
      <w:r>
        <w:rPr>
          <w:spacing w:val="-2"/>
        </w:rPr>
        <w:t>机</w:t>
      </w:r>
      <w:r>
        <w:rPr>
          <w:spacing w:val="-2"/>
        </w:rPr>
        <w:t>：</w:t>
      </w:r>
      <w:r>
        <w:tab/>
      </w:r>
      <w:r>
        <w:rPr>
          <w:rFonts w:ascii="Arial" w:eastAsia="Arial" w:hAnsi="Arial"/>
        </w:rPr>
        <w:t>7.5</w:t>
      </w:r>
      <w:r>
        <w:t>×</w:t>
      </w:r>
      <w:r>
        <w:rPr>
          <w:rFonts w:ascii="Arial" w:eastAsia="Arial" w:hAnsi="Arial"/>
        </w:rPr>
        <w:t>12</w:t>
      </w:r>
      <w:r>
        <w:rPr>
          <w:rFonts w:ascii="Arial" w:eastAsia="Arial" w:hAnsi="Arial"/>
          <w:spacing w:val="-17"/>
        </w:rPr>
        <w:t xml:space="preserve"> </w:t>
      </w:r>
      <w:r>
        <w:t>台（动力）</w:t>
      </w:r>
      <w:r>
        <w:rPr>
          <w:rFonts w:ascii="Arial" w:eastAsia="Arial" w:hAnsi="Arial"/>
        </w:rPr>
        <w:t>+1.5</w:t>
      </w:r>
      <w:r>
        <w:t>×</w:t>
      </w:r>
      <w:r>
        <w:rPr>
          <w:rFonts w:ascii="Arial" w:eastAsia="Arial" w:hAnsi="Arial"/>
        </w:rPr>
        <w:t>12</w:t>
      </w:r>
      <w:r>
        <w:rPr>
          <w:rFonts w:ascii="Arial" w:eastAsia="Arial" w:hAnsi="Arial"/>
          <w:spacing w:val="-17"/>
        </w:rPr>
        <w:t xml:space="preserve"> </w:t>
      </w:r>
      <w:r>
        <w:t>台（控制）</w:t>
      </w:r>
      <w:r>
        <w:rPr>
          <w:rFonts w:ascii="Arial" w:eastAsia="Arial" w:hAnsi="Arial"/>
        </w:rPr>
        <w:t>=108KW</w:t>
      </w:r>
      <w:r>
        <w:t>快速系统风机：</w:t>
      </w:r>
      <w:r>
        <w:rPr>
          <w:rFonts w:ascii="Arial" w:eastAsia="Arial" w:hAnsi="Arial"/>
        </w:rPr>
        <w:t>7.5</w:t>
      </w:r>
      <w:r>
        <w:t>×</w:t>
      </w:r>
      <w:r>
        <w:rPr>
          <w:rFonts w:ascii="Arial" w:eastAsia="Arial" w:hAnsi="Arial"/>
        </w:rPr>
        <w:t xml:space="preserve">4 </w:t>
      </w:r>
      <w:r>
        <w:t>台（动力）</w:t>
      </w:r>
      <w:r>
        <w:rPr>
          <w:rFonts w:ascii="Arial" w:eastAsia="Arial" w:hAnsi="Arial"/>
        </w:rPr>
        <w:t>+1.5</w:t>
      </w:r>
      <w:r>
        <w:t>×</w:t>
      </w:r>
      <w:r>
        <w:rPr>
          <w:rFonts w:ascii="Arial" w:eastAsia="Arial" w:hAnsi="Arial"/>
        </w:rPr>
        <w:t xml:space="preserve">4 </w:t>
      </w:r>
      <w:r>
        <w:t>台（控制）</w:t>
        <w:tab/>
      </w:r>
      <w:r>
        <w:rPr>
          <w:rFonts w:ascii="Arial" w:eastAsia="Arial" w:hAnsi="Arial"/>
          <w:spacing w:val="-2"/>
        </w:rPr>
        <w:t>=36KW</w:t>
      </w:r>
      <w:r>
        <w:rPr>
          <w:spacing w:val="-4"/>
        </w:rPr>
        <w:t>转</w:t>
      </w:r>
      <w:r>
        <w:rPr>
          <w:spacing w:val="-4"/>
        </w:rPr>
        <w:t>换</w:t>
      </w:r>
      <w:r>
        <w:rPr>
          <w:spacing w:val="-4"/>
        </w:rPr>
        <w:t>器</w:t>
      </w:r>
      <w:r>
        <w:rPr>
          <w:spacing w:val="-4"/>
        </w:rPr>
        <w:t>：</w:t>
      </w:r>
      <w:r>
        <w:tab/>
      </w:r>
      <w:r>
        <w:rPr>
          <w:rFonts w:ascii="Arial" w:eastAsia="Arial" w:hAnsi="Arial"/>
        </w:rPr>
        <w:t>1.32Kw</w:t>
      </w:r>
      <w:r>
        <w:t>×</w:t>
      </w:r>
      <w:r>
        <w:rPr>
          <w:rFonts w:ascii="Arial" w:eastAsia="Arial" w:hAnsi="Arial"/>
        </w:rPr>
        <w:t xml:space="preserve">25 </w:t>
      </w:r>
      <w:r>
        <w:t>台</w:t>
      </w:r>
      <w:r>
        <w:rPr>
          <w:rFonts w:ascii="Arial" w:eastAsia="Arial" w:hAnsi="Arial"/>
        </w:rPr>
        <w:t>=33KW</w:t>
      </w:r>
    </w:p>
    <w:p>
      <w:pPr>
        <w:pStyle w:val="BodyText"/>
        <w:tabs>
          <w:tab w:val="left" w:pos="2213"/>
        </w:tabs>
        <w:spacing w:before="2"/>
        <w:ind w:left="520"/>
        <w:rPr>
          <w:rFonts w:ascii="Arial" w:eastAsia="Arial" w:hAnsi="Arial"/>
        </w:rPr>
      </w:pPr>
      <w:r>
        <w:rPr>
          <w:rFonts w:ascii="Arial" w:eastAsia="Arial" w:hAnsi="Arial"/>
          <w:spacing w:val="-4"/>
        </w:rPr>
        <w:t>TCU</w:t>
      </w:r>
      <w:r>
        <w:rPr>
          <w:spacing w:val="-4"/>
        </w:rPr>
        <w:t>：</w:t>
      </w:r>
      <w:r>
        <w:tab/>
      </w:r>
      <w:r>
        <w:rPr>
          <w:rFonts w:ascii="Arial" w:eastAsia="Arial" w:hAnsi="Arial"/>
        </w:rPr>
        <w:t>6Kw</w:t>
      </w:r>
      <w:r>
        <w:t>×</w:t>
      </w:r>
      <w:r>
        <w:rPr>
          <w:rFonts w:ascii="Arial" w:eastAsia="Arial" w:hAnsi="Arial"/>
        </w:rPr>
        <w:t>4</w:t>
      </w:r>
      <w:r>
        <w:rPr>
          <w:rFonts w:ascii="Arial" w:eastAsia="Arial" w:hAnsi="Arial"/>
          <w:spacing w:val="-9"/>
        </w:rPr>
        <w:t xml:space="preserve"> </w:t>
      </w:r>
      <w:r>
        <w:t>台</w:t>
      </w:r>
      <w:r>
        <w:rPr>
          <w:rFonts w:ascii="Arial" w:eastAsia="Arial" w:hAnsi="Arial"/>
          <w:spacing w:val="-2"/>
        </w:rPr>
        <w:t>=24KW</w:t>
      </w:r>
    </w:p>
    <w:p>
      <w:pPr>
        <w:pStyle w:val="BodyText"/>
        <w:tabs>
          <w:tab w:val="left" w:pos="2199"/>
        </w:tabs>
        <w:spacing w:before="161"/>
        <w:ind w:left="520"/>
        <w:rPr>
          <w:rFonts w:ascii="Arial" w:eastAsia="Arial"/>
        </w:rPr>
      </w:pPr>
      <w:r>
        <w:t>总和</w:t>
      </w:r>
      <w:r>
        <w:rPr>
          <w:spacing w:val="-10"/>
        </w:rPr>
        <w:t>：</w:t>
      </w:r>
      <w:r>
        <w:tab/>
      </w:r>
      <w:r>
        <w:rPr>
          <w:rFonts w:ascii="Arial" w:eastAsia="Arial"/>
          <w:spacing w:val="-2"/>
        </w:rPr>
        <w:t>201KW</w:t>
      </w:r>
    </w:p>
    <w:p>
      <w:pPr>
        <w:pStyle w:val="BodyText"/>
        <w:spacing w:before="160"/>
        <w:ind w:left="520"/>
        <w:rPr>
          <w:rFonts w:ascii="Arial" w:eastAsia="Arial" w:hAnsi="Arial"/>
        </w:rPr>
      </w:pPr>
      <w:r>
        <w:rPr>
          <w:spacing w:val="-6"/>
        </w:rPr>
        <w:t xml:space="preserve">考虑未来扩展系数得 </w:t>
      </w:r>
      <w:r>
        <w:rPr>
          <w:rFonts w:ascii="Arial" w:eastAsia="Arial" w:hAnsi="Arial"/>
        </w:rPr>
        <w:t>201</w:t>
      </w:r>
      <w:r>
        <w:t>×</w:t>
      </w:r>
      <w:r>
        <w:rPr>
          <w:rFonts w:ascii="Arial" w:eastAsia="Arial" w:hAnsi="Arial"/>
        </w:rPr>
        <w:t>150</w:t>
      </w:r>
      <w:r>
        <w:rPr>
          <w:rFonts w:ascii="Arial" w:eastAsia="Arial" w:hAnsi="Arial"/>
          <w:spacing w:val="-2"/>
        </w:rPr>
        <w:t>% = 301.5KW</w:t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pStyle w:val="BodyText"/>
        <w:spacing w:before="1"/>
        <w:rPr>
          <w:rFonts w:ascii="Arial"/>
          <w:sz w:val="32"/>
        </w:rPr>
      </w:pPr>
    </w:p>
    <w:p>
      <w:pPr>
        <w:pStyle w:val="BodyText"/>
        <w:ind w:left="520"/>
      </w:pPr>
      <w:r>
        <w:rPr>
          <w:rFonts w:ascii="Arial" w:eastAsia="Arial"/>
        </w:rPr>
        <w:t>MTU</w:t>
      </w:r>
      <w:r>
        <w:rPr>
          <w:rFonts w:ascii="Arial" w:eastAsia="Arial"/>
          <w:spacing w:val="-7"/>
        </w:rPr>
        <w:t xml:space="preserve"> </w:t>
      </w:r>
      <w:r>
        <w:rPr>
          <w:spacing w:val="-2"/>
        </w:rPr>
        <w:t>机房电源需求：</w:t>
      </w:r>
    </w:p>
    <w:p>
      <w:pPr>
        <w:pStyle w:val="BodyText"/>
        <w:spacing w:before="160" w:line="364" w:lineRule="auto"/>
        <w:ind w:left="520" w:right="2235"/>
        <w:jc w:val="both"/>
        <w:rPr>
          <w:rFonts w:ascii="Arial" w:eastAsia="Arial" w:hAnsi="Arial"/>
        </w:rPr>
      </w:pPr>
      <w:r>
        <w:rPr>
          <w:spacing w:val="11"/>
        </w:rPr>
        <w:t xml:space="preserve">标准风机：  </w:t>
      </w:r>
      <w:r>
        <w:rPr>
          <w:rFonts w:ascii="Arial" w:eastAsia="Arial" w:hAnsi="Arial"/>
        </w:rPr>
        <w:t>7.5</w:t>
      </w:r>
      <w:r>
        <w:t>×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-11"/>
        </w:rPr>
        <w:t xml:space="preserve"> </w:t>
      </w:r>
      <w:r>
        <w:t>台（动力）</w:t>
      </w:r>
      <w:r>
        <w:rPr>
          <w:rFonts w:ascii="Arial" w:eastAsia="Arial" w:hAnsi="Arial"/>
        </w:rPr>
        <w:t>+1.5</w:t>
      </w:r>
      <w:r>
        <w:t>×</w:t>
      </w:r>
      <w:r>
        <w:rPr>
          <w:rFonts w:ascii="Arial" w:eastAsia="Arial" w:hAnsi="Arial"/>
        </w:rPr>
        <w:t>3</w:t>
      </w:r>
      <w:r>
        <w:rPr>
          <w:rFonts w:ascii="Arial" w:eastAsia="Arial" w:hAnsi="Arial"/>
          <w:spacing w:val="-11"/>
        </w:rPr>
        <w:t xml:space="preserve"> </w:t>
      </w:r>
      <w:r>
        <w:t>台（控制</w:t>
      </w:r>
      <w:r>
        <w:t>）</w:t>
      </w:r>
      <w:r>
        <w:rPr>
          <w:rFonts w:ascii="Arial" w:eastAsia="Arial" w:hAnsi="Arial"/>
        </w:rPr>
        <w:t>=27KW</w:t>
      </w:r>
      <w:r>
        <w:t>快速系统风机：</w:t>
      </w:r>
      <w:r>
        <w:rPr>
          <w:rFonts w:ascii="Arial" w:eastAsia="Arial" w:hAnsi="Arial"/>
        </w:rPr>
        <w:t>7.5</w:t>
      </w:r>
      <w:r>
        <w:t>×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17"/>
        </w:rPr>
        <w:t xml:space="preserve"> </w:t>
      </w:r>
      <w:r>
        <w:t>台（动力）</w:t>
      </w:r>
      <w:r>
        <w:rPr>
          <w:rFonts w:ascii="Arial" w:eastAsia="Arial" w:hAnsi="Arial"/>
        </w:rPr>
        <w:t>+1.5</w:t>
      </w:r>
      <w:r>
        <w:t>×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17"/>
        </w:rPr>
        <w:t xml:space="preserve"> </w:t>
      </w:r>
      <w:r>
        <w:t>台（控制）</w:t>
      </w:r>
      <w:r>
        <w:rPr>
          <w:rFonts w:ascii="Arial" w:eastAsia="Arial" w:hAnsi="Arial"/>
        </w:rPr>
        <w:t>=54KW</w:t>
      </w:r>
      <w:r>
        <w:rPr>
          <w:spacing w:val="34"/>
        </w:rPr>
        <w:t xml:space="preserve">转换器：   </w:t>
      </w:r>
      <w:r>
        <w:rPr>
          <w:rFonts w:ascii="Arial" w:eastAsia="Arial" w:hAnsi="Arial"/>
        </w:rPr>
        <w:t>1.32Kw</w:t>
      </w:r>
      <w:r>
        <w:t>×</w:t>
      </w:r>
      <w:r>
        <w:rPr>
          <w:rFonts w:ascii="Arial" w:eastAsia="Arial" w:hAnsi="Arial"/>
        </w:rPr>
        <w:t xml:space="preserve">6 </w:t>
      </w:r>
      <w:r>
        <w:t>台</w:t>
      </w:r>
      <w:r>
        <w:rPr>
          <w:rFonts w:ascii="Arial" w:eastAsia="Arial" w:hAnsi="Arial"/>
        </w:rPr>
        <w:t>=7.92KW</w:t>
      </w:r>
    </w:p>
    <w:p>
      <w:pPr>
        <w:pStyle w:val="BodyText"/>
        <w:tabs>
          <w:tab w:val="left" w:pos="2213"/>
        </w:tabs>
        <w:spacing w:before="2"/>
        <w:ind w:left="520"/>
        <w:rPr>
          <w:rFonts w:ascii="Arial" w:eastAsia="Arial" w:hAnsi="Arial"/>
        </w:rPr>
      </w:pPr>
      <w:r>
        <w:rPr>
          <w:rFonts w:ascii="Arial" w:eastAsia="Arial" w:hAnsi="Arial"/>
          <w:spacing w:val="-4"/>
        </w:rPr>
        <w:t>TCU</w:t>
      </w:r>
      <w:r>
        <w:rPr>
          <w:spacing w:val="-4"/>
        </w:rPr>
        <w:t>：</w:t>
      </w:r>
      <w:r>
        <w:tab/>
      </w:r>
      <w:r>
        <w:rPr>
          <w:rFonts w:ascii="Arial" w:eastAsia="Arial" w:hAnsi="Arial"/>
        </w:rPr>
        <w:t>6Kw</w:t>
      </w:r>
      <w:r>
        <w:t>×</w:t>
      </w:r>
      <w:r>
        <w:rPr>
          <w:rFonts w:ascii="Arial" w:eastAsia="Arial" w:hAnsi="Arial"/>
        </w:rPr>
        <w:t>6</w:t>
      </w:r>
      <w:r>
        <w:rPr>
          <w:rFonts w:ascii="Arial" w:eastAsia="Arial" w:hAnsi="Arial"/>
          <w:spacing w:val="-9"/>
        </w:rPr>
        <w:t xml:space="preserve"> </w:t>
      </w:r>
      <w:r>
        <w:t>台</w:t>
      </w:r>
      <w:r>
        <w:rPr>
          <w:rFonts w:ascii="Arial" w:eastAsia="Arial" w:hAnsi="Arial"/>
          <w:spacing w:val="-2"/>
        </w:rPr>
        <w:t>=36KW</w:t>
      </w:r>
    </w:p>
    <w:p>
      <w:pPr>
        <w:pStyle w:val="BodyText"/>
        <w:tabs>
          <w:tab w:val="left" w:pos="2239"/>
        </w:tabs>
        <w:spacing w:before="161"/>
        <w:ind w:left="520"/>
        <w:rPr>
          <w:rFonts w:ascii="Arial" w:eastAsia="Arial" w:hAnsi="Arial"/>
        </w:rPr>
      </w:pPr>
      <w:r>
        <w:rPr>
          <w:rFonts w:ascii="Arial" w:eastAsia="Arial" w:hAnsi="Arial"/>
          <w:spacing w:val="-4"/>
        </w:rPr>
        <w:t>MTU</w:t>
      </w:r>
      <w:r>
        <w:rPr>
          <w:spacing w:val="-4"/>
        </w:rPr>
        <w:t>：</w:t>
      </w:r>
      <w:r>
        <w:tab/>
      </w:r>
      <w:r>
        <w:rPr>
          <w:rFonts w:ascii="Arial" w:eastAsia="Arial" w:hAnsi="Arial"/>
        </w:rPr>
        <w:t>8Kw</w:t>
      </w:r>
      <w:r>
        <w:t>×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10"/>
        </w:rPr>
        <w:t xml:space="preserve"> </w:t>
      </w:r>
      <w:r>
        <w:t>台</w:t>
      </w:r>
      <w:r>
        <w:rPr>
          <w:rFonts w:ascii="Arial" w:eastAsia="Arial" w:hAnsi="Arial"/>
          <w:spacing w:val="-4"/>
        </w:rPr>
        <w:t>=8KW</w:t>
      </w:r>
    </w:p>
    <w:p>
      <w:pPr>
        <w:pStyle w:val="BodyText"/>
        <w:tabs>
          <w:tab w:val="left" w:pos="2199"/>
        </w:tabs>
        <w:spacing w:before="160"/>
        <w:ind w:left="520"/>
        <w:rPr>
          <w:rFonts w:ascii="Arial" w:eastAsia="Arial"/>
        </w:rPr>
      </w:pPr>
      <w:r>
        <w:t>总和</w:t>
      </w:r>
      <w:r>
        <w:rPr>
          <w:spacing w:val="-10"/>
        </w:rPr>
        <w:t>：</w:t>
      </w:r>
      <w:r>
        <w:tab/>
      </w:r>
      <w:r>
        <w:rPr>
          <w:rFonts w:ascii="Arial" w:eastAsia="Arial"/>
          <w:spacing w:val="-2"/>
        </w:rPr>
        <w:t>132.92KW</w:t>
      </w:r>
    </w:p>
    <w:p>
      <w:pPr>
        <w:pStyle w:val="BodyText"/>
        <w:spacing w:before="161"/>
        <w:ind w:left="520"/>
        <w:rPr>
          <w:rFonts w:ascii="Arial" w:eastAsia="Arial" w:hAnsi="Arial"/>
        </w:rPr>
      </w:pPr>
      <w:r>
        <w:rPr>
          <w:spacing w:val="-6"/>
        </w:rPr>
        <w:t xml:space="preserve">考虑未来扩展系数得 </w:t>
      </w:r>
      <w:r>
        <w:rPr>
          <w:rFonts w:ascii="Arial" w:eastAsia="Arial" w:hAnsi="Arial"/>
        </w:rPr>
        <w:t>132.92</w:t>
      </w:r>
      <w:r>
        <w:t>×</w:t>
      </w:r>
      <w:r>
        <w:rPr>
          <w:rFonts w:ascii="Arial" w:eastAsia="Arial" w:hAnsi="Arial"/>
        </w:rPr>
        <w:t>150</w:t>
      </w:r>
      <w:r>
        <w:rPr>
          <w:rFonts w:ascii="Arial" w:eastAsia="Arial" w:hAnsi="Arial"/>
          <w:spacing w:val="-3"/>
        </w:rPr>
        <w:t xml:space="preserve">% = </w:t>
      </w:r>
      <w:r>
        <w:rPr>
          <w:rFonts w:ascii="Arial" w:eastAsia="Arial" w:hAnsi="Arial"/>
          <w:spacing w:val="-2"/>
        </w:rPr>
        <w:t>199.38KW</w:t>
      </w:r>
    </w:p>
    <w:p>
      <w:pPr>
        <w:spacing w:after="0"/>
        <w:rPr>
          <w:rFonts w:ascii="Arial" w:eastAsia="Arial" w:hAnsi="Arial"/>
        </w:rPr>
        <w:sectPr>
          <w:footerReference w:type="default" r:id="rId12"/>
          <w:pgSz w:w="11910" w:h="16840"/>
          <w:pgMar w:top="1480" w:right="1320" w:bottom="1380" w:left="1280" w:header="0" w:footer="1180"/>
          <w:pgNumType w:start="10"/>
          <w:cols w:space="708"/>
        </w:sectPr>
      </w:pPr>
    </w:p>
    <w:p>
      <w:pPr>
        <w:spacing w:before="0" w:line="423" w:lineRule="exact"/>
        <w:ind w:left="52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sz w:val="24"/>
        </w:rPr>
        <w:t>(</w:t>
      </w:r>
      <w:r>
        <w:rPr>
          <w:sz w:val="24"/>
        </w:rPr>
        <w:t>四</w:t>
      </w:r>
      <w:r>
        <w:rPr>
          <w:rFonts w:ascii="Times New Roman" w:eastAsia="Times New Roman"/>
          <w:spacing w:val="20"/>
          <w:sz w:val="24"/>
        </w:rPr>
        <w:t>)</w:t>
      </w:r>
      <w:r>
        <w:rPr>
          <w:rFonts w:ascii="Microsoft JhengHei" w:eastAsia="Microsoft JhengHei"/>
          <w:b/>
          <w:spacing w:val="-2"/>
          <w:sz w:val="24"/>
        </w:rPr>
        <w:t>机房需求描述</w:t>
      </w:r>
    </w:p>
    <w:p>
      <w:pPr>
        <w:pStyle w:val="BodyText"/>
        <w:spacing w:before="16"/>
        <w:rPr>
          <w:rFonts w:ascii="Microsoft JhengHei"/>
          <w:b/>
          <w:sz w:val="21"/>
        </w:rPr>
      </w:pPr>
    </w:p>
    <w:p>
      <w:pPr>
        <w:pStyle w:val="BodyText"/>
        <w:ind w:left="1000"/>
      </w:pPr>
      <w:r>
        <w:t>系统机房面积总共需约200</w:t>
      </w:r>
      <w:r>
        <w:rPr>
          <w:spacing w:val="-5"/>
        </w:rPr>
        <w:t>㎡。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000"/>
      </w:pPr>
      <w:r>
        <w:t>机房需配备良好照明条件，良好的温湿度，温度控制在-4℃-25℃，</w:t>
      </w:r>
      <w:r>
        <w:rPr>
          <w:spacing w:val="-4"/>
        </w:rPr>
        <w:t>湿度在</w:t>
      </w:r>
    </w:p>
    <w:p>
      <w:pPr>
        <w:pStyle w:val="BodyText"/>
        <w:spacing w:before="160"/>
        <w:ind w:left="520"/>
      </w:pPr>
      <w:r>
        <w:t>0-90%</w:t>
      </w:r>
      <w:r>
        <w:rPr>
          <w:spacing w:val="-10"/>
        </w:rPr>
        <w:t>。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364" w:lineRule="auto"/>
        <w:ind w:left="520" w:right="865" w:firstLine="480"/>
      </w:pPr>
      <w:r>
        <w:rPr>
          <w:spacing w:val="-2"/>
        </w:rPr>
        <w:t>地面需进行地平铺设，地砖或地坪漆处理，防止灰尘过多引起的设备故</w:t>
      </w:r>
      <w:r>
        <w:rPr>
          <w:spacing w:val="-6"/>
        </w:rPr>
        <w:t>障；</w:t>
      </w:r>
    </w:p>
    <w:p>
      <w:pPr>
        <w:pStyle w:val="BodyText"/>
        <w:spacing w:before="96" w:line="364" w:lineRule="auto"/>
        <w:ind w:left="520" w:right="865" w:firstLine="480"/>
      </w:pPr>
      <w:r>
        <w:rPr>
          <w:spacing w:val="-2"/>
        </w:rPr>
        <w:t>如上下楼层或隔壁为办公或对噪音有要求区域，需要对机房进行降噪处</w:t>
      </w:r>
      <w:r>
        <w:rPr>
          <w:spacing w:val="-6"/>
        </w:rPr>
        <w:t>理；</w:t>
      </w:r>
    </w:p>
    <w:p>
      <w:pPr>
        <w:pStyle w:val="BodyText"/>
        <w:spacing w:before="95"/>
        <w:ind w:left="1000"/>
      </w:pPr>
      <w:r>
        <w:rPr>
          <w:spacing w:val="-1"/>
        </w:rPr>
        <w:t>墙面需要大白、乳胶漆处理；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line="364" w:lineRule="auto"/>
        <w:ind w:left="520" w:right="625" w:firstLine="480"/>
      </w:pPr>
      <w:r>
        <w:rPr>
          <w:spacing w:val="-2"/>
        </w:rPr>
        <w:t>顶棚如安装天花，需要安装可拆卸龙骨天花，保证可以对天花中设备进行</w:t>
      </w:r>
      <w:r>
        <w:rPr>
          <w:spacing w:val="-2"/>
        </w:rPr>
        <w:t>维修及安装，机房建议不进行封顶；</w:t>
      </w:r>
    </w:p>
    <w:p>
      <w:pPr>
        <w:pStyle w:val="Heading2"/>
        <w:spacing w:before="16"/>
        <w:ind w:left="520" w:firstLine="0"/>
      </w:pPr>
      <w:r>
        <w:rPr>
          <w:spacing w:val="-4"/>
        </w:rPr>
        <w:t>说明：</w:t>
      </w:r>
    </w:p>
    <w:p>
      <w:pPr>
        <w:pStyle w:val="BodyText"/>
        <w:spacing w:before="200" w:line="364" w:lineRule="auto"/>
        <w:ind w:left="1000" w:right="242"/>
      </w:pPr>
      <w:r>
        <w:rPr>
          <w:spacing w:val="-2"/>
        </w:rPr>
        <w:t xml:space="preserve">风机间距保证至少 </w:t>
      </w:r>
      <w:r>
        <w:t>1</w:t>
      </w:r>
      <w:r>
        <w:rPr>
          <w:spacing w:val="-5"/>
        </w:rPr>
        <w:t xml:space="preserve"> 米，转换器两边需至少预留一侧完全进入的维修空间；</w:t>
      </w:r>
      <w:r>
        <w:rPr>
          <w:spacing w:val="-3"/>
        </w:rPr>
        <w:t xml:space="preserve">风机距离地面至少 </w:t>
      </w:r>
      <w:r>
        <w:t>0.5</w:t>
      </w:r>
      <w:r>
        <w:rPr>
          <w:spacing w:val="-12"/>
        </w:rPr>
        <w:t xml:space="preserve"> 米距离，保证在管道底侧维修人员能有足够的伸展空</w:t>
      </w:r>
    </w:p>
    <w:p>
      <w:pPr>
        <w:pStyle w:val="BodyText"/>
        <w:spacing w:before="1"/>
        <w:ind w:left="520"/>
      </w:pPr>
      <w:r>
        <w:rPr>
          <w:spacing w:val="-2"/>
        </w:rPr>
        <w:t>间打开前侧维修门。</w:t>
      </w: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133588</wp:posOffset>
            </wp:positionV>
            <wp:extent cx="4234323" cy="318763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4323" cy="31876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4"/>
        </w:rPr>
        <w:sectPr>
          <w:footerReference w:type="default" r:id="rId14"/>
          <w:pgSz w:w="11910" w:h="16840"/>
          <w:pgMar w:top="1480" w:right="1320" w:bottom="1380" w:left="1280" w:header="0" w:footer="1180"/>
          <w:pgNumType w:start="11"/>
          <w:cols w:space="708"/>
        </w:sectPr>
      </w:pPr>
    </w:p>
    <w:p>
      <w:pPr>
        <w:spacing w:before="0" w:line="423" w:lineRule="exact"/>
        <w:ind w:left="520" w:right="0" w:firstLine="0"/>
        <w:jc w:val="left"/>
        <w:rPr>
          <w:rFonts w:ascii="Microsoft JhengHei" w:eastAsia="Microsoft JhengHei"/>
          <w:b/>
          <w:sz w:val="24"/>
        </w:rPr>
      </w:pPr>
      <w:r>
        <w:rPr>
          <w:rFonts w:ascii="Times New Roman" w:eastAsia="Times New Roman"/>
          <w:sz w:val="24"/>
        </w:rPr>
        <w:t>(</w:t>
      </w:r>
      <w:r>
        <w:rPr>
          <w:sz w:val="24"/>
        </w:rPr>
        <w:t>五</w:t>
      </w:r>
      <w:r>
        <w:rPr>
          <w:rFonts w:ascii="Times New Roman" w:eastAsia="Times New Roman"/>
          <w:spacing w:val="20"/>
          <w:sz w:val="24"/>
        </w:rPr>
        <w:t>)</w:t>
      </w:r>
      <w:r>
        <w:rPr>
          <w:rFonts w:ascii="Microsoft JhengHei" w:eastAsia="Microsoft JhengHei"/>
          <w:b/>
          <w:spacing w:val="-2"/>
          <w:sz w:val="24"/>
        </w:rPr>
        <w:t>检修口需求；</w:t>
      </w:r>
    </w:p>
    <w:p>
      <w:pPr>
        <w:pStyle w:val="BodyText"/>
        <w:spacing w:before="1"/>
        <w:rPr>
          <w:rFonts w:ascii="Microsoft JhengHei"/>
          <w:b/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226168</wp:posOffset>
            </wp:positionV>
            <wp:extent cx="5186362" cy="414909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6362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4459078</wp:posOffset>
            </wp:positionV>
            <wp:extent cx="5095475" cy="3706653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5475" cy="3706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6"/>
        <w:rPr>
          <w:rFonts w:ascii="Microsoft JhengHei"/>
          <w:b/>
          <w:sz w:val="5"/>
        </w:rPr>
      </w:pPr>
    </w:p>
    <w:p>
      <w:pPr>
        <w:spacing w:after="0"/>
        <w:rPr>
          <w:rFonts w:ascii="Microsoft JhengHei"/>
          <w:sz w:val="5"/>
        </w:rPr>
        <w:sectPr>
          <w:footerReference w:type="default" r:id="rId17"/>
          <w:pgSz w:w="11910" w:h="16840"/>
          <w:pgMar w:top="1480" w:right="1320" w:bottom="1380" w:left="1280" w:header="0" w:footer="1180"/>
          <w:pgNumType w:start="12"/>
          <w:cols w:space="708"/>
        </w:sectPr>
      </w:pPr>
    </w:p>
    <w:p>
      <w:pPr>
        <w:pStyle w:val="BodyText"/>
        <w:ind w:left="520"/>
        <w:rPr>
          <w:rFonts w:ascii="Microsoft JhengHei"/>
          <w:sz w:val="20"/>
        </w:rPr>
      </w:pPr>
      <w:r>
        <w:rPr>
          <w:rFonts w:ascii="Microsoft JhengHei"/>
          <w:sz w:val="20"/>
        </w:rPr>
        <w:drawing>
          <wp:inline distT="0" distB="0" distL="0" distR="0">
            <wp:extent cx="5044916" cy="4035933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4916" cy="4035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Microsoft JhengHei"/>
          <w:b/>
          <w:sz w:val="3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53339</wp:posOffset>
            </wp:positionV>
            <wp:extent cx="5106675" cy="4083462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6675" cy="4083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3"/>
        </w:rPr>
      </w:pPr>
      <w:r>
        <w:rPr>
          <w:rFonts w:ascii="Microsoft JhengHei"/>
          <w:sz w:val="3"/>
        </w:rPr>
        <w:br/>
      </w:r>
      <w:r>
        <w:rPr>
          <w:rFonts w:ascii="Microsoft JhengHei"/>
          <w:sz w:val="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https://d.book118.com/285342313041011121</w:t>
        </w:r>
      </w:hyperlink>
    </w:p>
    <w:p>
      <w:pPr>
        <w:spacing w:after="0"/>
        <w:rPr>
          <w:rFonts w:ascii="Microsoft JhengHei"/>
          <w:sz w:val="3"/>
        </w:rPr>
      </w:pPr>
    </w:p>
    <w:sectPr>
      <w:footerReference w:type="default" r:id="rId21"/>
      <w:pgSz w:w="11910" w:h="16840"/>
      <w:pgMar w:top="1540" w:right="1320" w:bottom="1380" w:left="1280" w:header="0" w:footer="118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0EDC17C"/>
    <w:multiLevelType w:val="hybridMultilevel"/>
    <w:tmpl w:val="00000000"/>
    <w:lvl w:ilvl="0">
      <w:start w:val="1"/>
      <w:numFmt w:val="decimal"/>
      <w:lvlText w:val="%1)"/>
      <w:lvlJc w:val="left"/>
      <w:pPr>
        <w:ind w:left="940" w:hanging="420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fr-FR" w:eastAsia="en-US" w:bidi="ar-SA"/>
      </w:rPr>
    </w:lvl>
    <w:lvl w:ilvl="1">
      <w:start w:val="0"/>
      <w:numFmt w:val="bullet"/>
      <w:lvlText w:val=""/>
      <w:lvlJc w:val="left"/>
      <w:pPr>
        <w:ind w:left="1360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360" w:hanging="42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353" w:hanging="42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346" w:hanging="42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4339" w:hanging="42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333" w:hanging="42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319" w:hanging="420"/>
      </w:pPr>
      <w:rPr>
        <w:rFonts w:hint="default"/>
        <w:lang w:val="fr-FR" w:eastAsia="en-US" w:bidi="ar-SA"/>
      </w:rPr>
    </w:lvl>
  </w:abstractNum>
  <w:abstractNum w:abstractNumId="1">
    <w:nsid w:val="3CCB77D1"/>
    <w:multiLevelType w:val="hybridMultilevel"/>
    <w:tmpl w:val="00000000"/>
    <w:lvl w:ilvl="0">
      <w:start w:val="1"/>
      <w:numFmt w:val="lowerLetter"/>
      <w:lvlText w:val="%1)"/>
      <w:lvlJc w:val="left"/>
      <w:pPr>
        <w:ind w:left="136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fr-FR" w:eastAsia="en-US" w:bidi="ar-SA"/>
      </w:rPr>
    </w:lvl>
    <w:lvl w:ilvl="1">
      <w:start w:val="0"/>
      <w:numFmt w:val="bullet"/>
      <w:lvlText w:val="•"/>
      <w:lvlJc w:val="left"/>
      <w:pPr>
        <w:ind w:left="2154" w:hanging="42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949" w:hanging="42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743" w:hanging="42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538" w:hanging="42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333" w:hanging="42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127" w:hanging="42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922" w:hanging="42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716" w:hanging="420"/>
      </w:pPr>
      <w:rPr>
        <w:rFonts w:hint="default"/>
        <w:lang w:val="fr-FR" w:eastAsia="en-US" w:bidi="ar-SA"/>
      </w:rPr>
    </w:lvl>
  </w:abstractNum>
  <w:abstractNum w:abstractNumId="2">
    <w:nsid w:val="3F790365"/>
    <w:multiLevelType w:val="hybridMultilevel"/>
    <w:tmpl w:val="00000000"/>
    <w:lvl w:ilvl="0">
      <w:start w:val="1"/>
      <w:numFmt w:val="decimal"/>
      <w:lvlText w:val="%1)"/>
      <w:lvlJc w:val="left"/>
      <w:pPr>
        <w:ind w:left="940" w:hanging="420"/>
        <w:jc w:val="left"/>
      </w:pPr>
      <w:rPr>
        <w:rFonts w:ascii="Microsoft JhengHei" w:eastAsia="Microsoft JhengHei" w:hAnsi="Microsoft JhengHei" w:cs="Microsoft JhengHei" w:hint="default"/>
        <w:b/>
        <w:bCs/>
        <w:i w:val="0"/>
        <w:iCs w:val="0"/>
        <w:w w:val="83"/>
        <w:sz w:val="24"/>
        <w:szCs w:val="24"/>
        <w:lang w:val="fr-FR" w:eastAsia="en-US" w:bidi="ar-SA"/>
      </w:rPr>
    </w:lvl>
    <w:lvl w:ilvl="1">
      <w:start w:val="1"/>
      <w:numFmt w:val="lowerLetter"/>
      <w:lvlText w:val="%2)"/>
      <w:lvlJc w:val="left"/>
      <w:pPr>
        <w:ind w:left="1240" w:hanging="294"/>
        <w:jc w:val="left"/>
      </w:pPr>
      <w:rPr>
        <w:rFonts w:hint="default"/>
        <w:w w:val="86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136" w:hanging="294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032" w:hanging="294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3928" w:hanging="294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4824" w:hanging="294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721" w:hanging="294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617" w:hanging="294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13" w:hanging="294"/>
      </w:pPr>
      <w:rPr>
        <w:rFonts w:hint="default"/>
        <w:lang w:val="fr-FR" w:eastAsia="en-US" w:bidi="ar-SA"/>
      </w:rPr>
    </w:lvl>
  </w:abstractNum>
  <w:abstractNum w:abstractNumId="3">
    <w:nsid w:val="64714559"/>
    <w:multiLevelType w:val="hybridMultilevel"/>
    <w:tmpl w:val="00000000"/>
    <w:lvl w:ilvl="0">
      <w:start w:val="1"/>
      <w:numFmt w:val="lowerLetter"/>
      <w:lvlText w:val="%1)"/>
      <w:lvlJc w:val="left"/>
      <w:pPr>
        <w:ind w:left="940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fr-FR" w:eastAsia="en-US" w:bidi="ar-SA"/>
      </w:rPr>
    </w:lvl>
    <w:lvl w:ilvl="1">
      <w:start w:val="1"/>
      <w:numFmt w:val="lowerLetter"/>
      <w:lvlText w:val="%2)"/>
      <w:lvlJc w:val="left"/>
      <w:pPr>
        <w:ind w:left="1366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4"/>
        <w:szCs w:val="24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242" w:hanging="42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125" w:hanging="42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008" w:hanging="42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4891" w:hanging="42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5774" w:hanging="42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657" w:hanging="42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40" w:hanging="420"/>
      </w:pPr>
      <w:rPr>
        <w:rFonts w:hint="default"/>
        <w:lang w:val="fr-FR" w:eastAsia="en-US" w:bidi="ar-SA"/>
      </w:rPr>
    </w:lvl>
  </w:abstractNum>
  <w:abstractNum w:abstractNumId="4">
    <w:nsid w:val="6FEA771B"/>
    <w:multiLevelType w:val="hybridMultilevel"/>
    <w:tmpl w:val="00000000"/>
    <w:lvl w:ilvl="0">
      <w:start w:val="1"/>
      <w:numFmt w:val="lowerLetter"/>
      <w:lvlText w:val="%1)"/>
      <w:lvlJc w:val="left"/>
      <w:pPr>
        <w:ind w:left="1366" w:hanging="420"/>
        <w:jc w:val="left"/>
      </w:pPr>
      <w:rPr>
        <w:rFonts w:hint="default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2154" w:hanging="42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949" w:hanging="42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743" w:hanging="42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538" w:hanging="42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333" w:hanging="42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127" w:hanging="42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922" w:hanging="42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716" w:hanging="420"/>
      </w:pPr>
      <w:rPr>
        <w:rFonts w:hint="default"/>
        <w:lang w:val="fr-FR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fr-FR" w:eastAsia="en-US" w:bidi="ar-SA"/>
    </w:rPr>
  </w:style>
  <w:style w:type="paragraph" w:styleId="Heading1">
    <w:name w:val="heading 1"/>
    <w:basedOn w:val="Normal"/>
    <w:uiPriority w:val="1"/>
    <w:qFormat/>
    <w:pPr>
      <w:spacing w:before="2"/>
      <w:ind w:left="1205"/>
      <w:outlineLvl w:val="0"/>
    </w:pPr>
    <w:rPr>
      <w:rFonts w:ascii="Microsoft JhengHei" w:eastAsia="Microsoft JhengHei" w:hAnsi="Microsoft JhengHei" w:cs="Microsoft JhengHei"/>
      <w:b/>
      <w:bCs/>
      <w:sz w:val="28"/>
      <w:szCs w:val="28"/>
      <w:lang w:val="fr-FR" w:eastAsia="en-US" w:bidi="ar-SA"/>
    </w:rPr>
  </w:style>
  <w:style w:type="paragraph" w:styleId="Heading2">
    <w:name w:val="heading 2"/>
    <w:basedOn w:val="Normal"/>
    <w:uiPriority w:val="1"/>
    <w:qFormat/>
    <w:pPr>
      <w:ind w:left="940" w:hanging="420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fr-FR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fr-FR" w:eastAsia="en-US" w:bidi="ar-SA"/>
    </w:rPr>
  </w:style>
  <w:style w:type="paragraph" w:styleId="Title">
    <w:name w:val="Title"/>
    <w:basedOn w:val="Normal"/>
    <w:uiPriority w:val="1"/>
    <w:qFormat/>
    <w:pPr>
      <w:spacing w:before="123"/>
      <w:ind w:left="2504" w:right="2465"/>
    </w:pPr>
    <w:rPr>
      <w:rFonts w:ascii="等线" w:eastAsia="等线" w:hAnsi="等线" w:cs="等线"/>
      <w:b/>
      <w:bCs/>
      <w:sz w:val="72"/>
      <w:szCs w:val="72"/>
      <w:lang w:val="fr-FR" w:eastAsia="en-US" w:bidi="ar-SA"/>
    </w:rPr>
  </w:style>
  <w:style w:type="paragraph" w:styleId="ListParagraph">
    <w:name w:val="List Paragraph"/>
    <w:basedOn w:val="Normal"/>
    <w:uiPriority w:val="1"/>
    <w:qFormat/>
    <w:pPr>
      <w:ind w:left="940" w:hanging="420"/>
    </w:pPr>
    <w:rPr>
      <w:rFonts w:ascii="宋体" w:eastAsia="宋体" w:hAnsi="宋体" w:cs="宋体"/>
      <w:lang w:val="fr-FR" w:eastAsia="en-US" w:bidi="ar-SA"/>
    </w:rPr>
  </w:style>
  <w:style w:type="paragraph" w:customStyle="1" w:styleId="TableParagraph">
    <w:name w:val="Table Paragraph"/>
    <w:basedOn w:val="Normal"/>
    <w:uiPriority w:val="1"/>
    <w:qFormat/>
    <w:pPr>
      <w:spacing w:before="147"/>
      <w:ind w:left="352"/>
      <w:jc w:val="center"/>
    </w:pPr>
    <w:rPr>
      <w:rFonts w:ascii="宋体" w:eastAsia="宋体" w:hAnsi="宋体" w:cs="宋体"/>
      <w:lang w:val="fr-FR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image" Target="media/image1.jpeg" /><Relationship Id="rId14" Type="http://schemas.openxmlformats.org/officeDocument/2006/relationships/footer" Target="footer10.xml" /><Relationship Id="rId15" Type="http://schemas.openxmlformats.org/officeDocument/2006/relationships/image" Target="media/image2.jpeg" /><Relationship Id="rId16" Type="http://schemas.openxmlformats.org/officeDocument/2006/relationships/image" Target="media/image3.jpeg" /><Relationship Id="rId17" Type="http://schemas.openxmlformats.org/officeDocument/2006/relationships/footer" Target="footer11.xml" /><Relationship Id="rId18" Type="http://schemas.openxmlformats.org/officeDocument/2006/relationships/image" Target="media/image4.jpeg" /><Relationship Id="rId19" Type="http://schemas.openxmlformats.org/officeDocument/2006/relationships/image" Target="media/image5.jpe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285342313041011121" TargetMode="External" /><Relationship Id="rId21" Type="http://schemas.openxmlformats.org/officeDocument/2006/relationships/footer" Target="footer12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2024-03-04T13:11:31Z</dcterms:created>
  <dcterms:modified xsi:type="dcterms:W3CDTF">2024-03-04T13:11:31Z</dcterms:modified>
</cp:coreProperties>
</file>