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C3CB1" w:rsidP="003C3CB1" w14:paraId="165E1B95" w14:textId="77777777">
      <w:pPr>
        <w:spacing w:before="48" w:beforeLines="20" w:after="360" w:afterLines="150" w:line="360" w:lineRule="auto"/>
        <w:jc w:val="center"/>
        <w:rPr>
          <w:rFonts w:ascii="华文中宋" w:eastAsia="华文中宋" w:hAnsi="华文中宋"/>
          <w:b/>
          <w:sz w:val="30"/>
        </w:rPr>
      </w:pPr>
      <w:r w:rsidRPr="003C3CB1">
        <w:rPr>
          <w:rFonts w:ascii="华文中宋" w:eastAsia="华文中宋" w:hAnsi="华文中宋"/>
          <w:b/>
          <w:sz w:val="30"/>
        </w:rPr>
        <w:t>2024</w:t>
      </w:r>
      <w:r w:rsidRPr="003C3CB1">
        <w:rPr>
          <w:rFonts w:ascii="华文中宋" w:eastAsia="华文中宋" w:hAnsi="华文中宋"/>
          <w:b/>
          <w:sz w:val="30"/>
        </w:rPr>
        <w:t>湖北恩施鹤峰县国有资本投资运营有限公司及下属公司公开招聘工作人员</w:t>
      </w:r>
      <w:r w:rsidRPr="003C3CB1">
        <w:rPr>
          <w:rFonts w:ascii="华文中宋" w:eastAsia="华文中宋" w:hAnsi="华文中宋"/>
          <w:b/>
          <w:sz w:val="30"/>
        </w:rPr>
        <w:t>10</w:t>
      </w:r>
      <w:r w:rsidRPr="003C3CB1">
        <w:rPr>
          <w:rFonts w:ascii="华文中宋" w:eastAsia="华文中宋" w:hAnsi="华文中宋"/>
          <w:b/>
          <w:sz w:val="30"/>
        </w:rPr>
        <w:t>人笔试备考题库及答案解析</w:t>
      </w:r>
    </w:p>
    <w:p w:rsidR="00A77B3E" w14:paraId="3354D9E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938444A" w14:textId="77777777">
      <w:pPr>
        <w:spacing w:after="260" w:line="360" w:lineRule="auto"/>
      </w:pPr>
      <w:r>
        <w:rPr>
          <w:rFonts w:ascii="微软雅黑" w:eastAsia="微软雅黑" w:cs="微软雅黑"/>
        </w:rPr>
        <w:t>一、选择题</w:t>
      </w:r>
    </w:p>
    <w:p w:rsidR="0030475A" w14:paraId="5EA0AEC3"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同一种社会制度总的量变过程中的质变，不改变社会制度的根本性质的现象是</w:t>
      </w:r>
      <w:r w:rsidRPr="0030475A">
        <w:rPr>
          <w:rFonts w:ascii="微软雅黑" w:eastAsia="微软雅黑" w:cs="微软雅黑"/>
          <w:szCs w:val="14"/>
        </w:rPr>
        <w:t>()</w:t>
      </w:r>
      <w:r w:rsidRPr="0030475A">
        <w:rPr>
          <w:rFonts w:ascii="微软雅黑" w:eastAsia="微软雅黑" w:cs="微软雅黑"/>
          <w:szCs w:val="14"/>
        </w:rPr>
        <w:t>。</w:t>
      </w:r>
    </w:p>
    <w:p w:rsidR="0030475A" w14:paraId="555D4D8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、阶级斗争</w:t>
      </w:r>
    </w:p>
    <w:p w:rsidR="0030475A" w14:paraId="7774E47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、社会革命</w:t>
      </w:r>
    </w:p>
    <w:p w:rsidR="0030475A" w14:paraId="5A6DF66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、社会改革</w:t>
      </w:r>
    </w:p>
    <w:p w:rsidR="0030475A" w14:paraId="4791F45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、暴力革命</w:t>
      </w:r>
    </w:p>
    <w:p w:rsidR="0030475A" w14:paraId="4557157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8DFD6C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本题考查的知识点为社会革命和社会改革的区分。社会革命是社会制度的根本质变，是用新的社会形态代替旧的社会形态</w:t>
      </w:r>
      <w:r w:rsidRPr="0030475A">
        <w:rPr>
          <w:rFonts w:ascii="微软雅黑" w:eastAsia="微软雅黑" w:cs="微软雅黑"/>
          <w:szCs w:val="14"/>
        </w:rPr>
        <w:t>;</w:t>
      </w:r>
      <w:r w:rsidRPr="0030475A">
        <w:rPr>
          <w:rFonts w:ascii="微软雅黑" w:eastAsia="微软雅黑" w:cs="微软雅黑"/>
          <w:szCs w:val="14"/>
        </w:rPr>
        <w:t>社会改革是同一社会制度</w:t>
      </w:r>
      <w:r w:rsidRPr="0030475A">
        <w:rPr>
          <w:rFonts w:ascii="微软雅黑" w:eastAsia="微软雅黑" w:cs="微软雅黑"/>
          <w:szCs w:val="14"/>
        </w:rPr>
        <w:t>(</w:t>
      </w:r>
      <w:r w:rsidRPr="0030475A">
        <w:rPr>
          <w:rFonts w:ascii="微软雅黑" w:eastAsia="微软雅黑" w:cs="微软雅黑"/>
          <w:szCs w:val="14"/>
        </w:rPr>
        <w:t>社会形态</w:t>
      </w:r>
      <w:r w:rsidRPr="0030475A">
        <w:rPr>
          <w:rFonts w:ascii="微软雅黑" w:eastAsia="微软雅黑" w:cs="微软雅黑"/>
          <w:szCs w:val="14"/>
        </w:rPr>
        <w:t>)</w:t>
      </w:r>
      <w:r w:rsidRPr="0030475A">
        <w:rPr>
          <w:rFonts w:ascii="微软雅黑" w:eastAsia="微软雅黑" w:cs="微软雅黑"/>
          <w:szCs w:val="14"/>
        </w:rPr>
        <w:t>总的量变过程中的部分质变，不改变社会制度的根本性质。二者的区分在于是否改变社会制度的根本性质。选项</w:t>
      </w: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D</w:t>
      </w:r>
      <w:r w:rsidRPr="0030475A">
        <w:rPr>
          <w:rFonts w:ascii="微软雅黑" w:eastAsia="微软雅黑" w:cs="微软雅黑"/>
          <w:szCs w:val="14"/>
        </w:rPr>
        <w:t>为无关干扰项，应排除。故选</w:t>
      </w:r>
      <w:r w:rsidRPr="0030475A">
        <w:rPr>
          <w:rFonts w:ascii="微软雅黑" w:eastAsia="微软雅黑" w:cs="微软雅黑"/>
          <w:szCs w:val="14"/>
        </w:rPr>
        <w:t>C</w:t>
      </w:r>
      <w:r w:rsidRPr="0030475A">
        <w:rPr>
          <w:rFonts w:ascii="微软雅黑" w:eastAsia="微软雅黑" w:cs="微软雅黑"/>
          <w:szCs w:val="14"/>
        </w:rPr>
        <w:t>。</w:t>
      </w:r>
    </w:p>
    <w:p w:rsidR="0030475A" w14:paraId="7E3FEBAE"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判断一台显示器优劣必须注意的一些问题中，下面的指标不在判断之列的是</w:t>
      </w:r>
      <w:r w:rsidRPr="0030475A">
        <w:rPr>
          <w:rFonts w:ascii="微软雅黑" w:eastAsia="微软雅黑" w:cs="微软雅黑"/>
          <w:szCs w:val="14"/>
        </w:rPr>
        <w:t>()</w:t>
      </w:r>
      <w:r w:rsidRPr="0030475A">
        <w:rPr>
          <w:rFonts w:ascii="微软雅黑" w:eastAsia="微软雅黑" w:cs="微软雅黑"/>
          <w:szCs w:val="14"/>
        </w:rPr>
        <w:t>。</w:t>
      </w:r>
    </w:p>
    <w:p w:rsidR="0030475A" w14:paraId="75416C6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、水波纹</w:t>
      </w:r>
    </w:p>
    <w:p w:rsidR="0030475A" w14:paraId="69E9289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、会聚</w:t>
      </w:r>
    </w:p>
    <w:p w:rsidR="0030475A" w14:paraId="30C76CC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、色彩均匀性</w:t>
      </w:r>
    </w:p>
    <w:p w:rsidR="0030475A" w14:paraId="6DA5813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、手感</w:t>
      </w:r>
    </w:p>
    <w:p w:rsidR="0030475A" w14:paraId="015AC9D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2FCF846"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手感不是判断一台显示器优劣的指标。故选</w:t>
      </w:r>
      <w:r w:rsidRPr="0030475A">
        <w:rPr>
          <w:rFonts w:ascii="微软雅黑" w:eastAsia="微软雅黑" w:cs="微软雅黑"/>
          <w:szCs w:val="14"/>
        </w:rPr>
        <w:t>D</w:t>
      </w:r>
      <w:r w:rsidRPr="0030475A">
        <w:rPr>
          <w:rFonts w:ascii="微软雅黑" w:eastAsia="微软雅黑" w:cs="微软雅黑"/>
          <w:szCs w:val="14"/>
        </w:rPr>
        <w:t>。</w:t>
      </w:r>
    </w:p>
    <w:p w:rsidR="0030475A" w14:paraId="0DCD4264"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保护计算机知识产权的目的是</w:t>
      </w:r>
      <w:r w:rsidRPr="0030475A">
        <w:rPr>
          <w:rFonts w:ascii="微软雅黑" w:eastAsia="微软雅黑" w:cs="微软雅黑"/>
          <w:szCs w:val="14"/>
        </w:rPr>
        <w:t>()</w:t>
      </w:r>
      <w:r w:rsidRPr="0030475A">
        <w:rPr>
          <w:rFonts w:ascii="微软雅黑" w:eastAsia="微软雅黑" w:cs="微软雅黑"/>
          <w:szCs w:val="14"/>
        </w:rPr>
        <w:t>。</w:t>
      </w:r>
    </w:p>
    <w:p w:rsidR="0030475A" w14:paraId="1678B4B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、为了鼓励软件开发和交流</w:t>
      </w:r>
    </w:p>
    <w:p w:rsidR="0030475A" w14:paraId="2FB952B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、促进计算机应用的健康发展</w:t>
      </w:r>
    </w:p>
    <w:p w:rsidR="0030475A" w14:paraId="73A624B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、引起人们和社会的重视</w:t>
      </w:r>
    </w:p>
    <w:p w:rsidR="0030475A" w14:paraId="47DB122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、以上皆是</w:t>
      </w:r>
    </w:p>
    <w:p w:rsidR="0030475A" w14:paraId="3A533A1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5E8E78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以上三项都是计算机知识产权保护的目的。故选</w:t>
      </w:r>
      <w:r w:rsidRPr="0030475A">
        <w:rPr>
          <w:rFonts w:ascii="微软雅黑" w:eastAsia="微软雅黑" w:cs="微软雅黑"/>
          <w:szCs w:val="14"/>
        </w:rPr>
        <w:t>D</w:t>
      </w:r>
      <w:r w:rsidRPr="0030475A">
        <w:rPr>
          <w:rFonts w:ascii="微软雅黑" w:eastAsia="微软雅黑" w:cs="微软雅黑"/>
          <w:szCs w:val="14"/>
        </w:rPr>
        <w:t>。</w:t>
      </w:r>
    </w:p>
    <w:p w:rsidR="0030475A" w14:paraId="730768C7"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为了减少计算机病毒对计算机系统的破坏，应</w:t>
      </w:r>
      <w:r w:rsidRPr="0030475A">
        <w:rPr>
          <w:rFonts w:ascii="微软雅黑" w:eastAsia="微软雅黑" w:cs="微软雅黑"/>
          <w:szCs w:val="14"/>
        </w:rPr>
        <w:t>()</w:t>
      </w:r>
      <w:r w:rsidRPr="0030475A">
        <w:rPr>
          <w:rFonts w:ascii="微软雅黑" w:eastAsia="微软雅黑" w:cs="微软雅黑"/>
          <w:szCs w:val="14"/>
        </w:rPr>
        <w:t>。</w:t>
      </w:r>
    </w:p>
    <w:p w:rsidR="0030475A" w14:paraId="7E4B9DB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、不运行来历不明的软件</w:t>
      </w:r>
    </w:p>
    <w:p w:rsidR="0030475A" w14:paraId="35EE666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、尽可能用软盘启动计算机</w:t>
      </w:r>
    </w:p>
    <w:p w:rsidR="0030475A" w14:paraId="15DB26B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、把用户程序和数据写到系统盘上</w:t>
      </w:r>
    </w:p>
    <w:p w:rsidR="0030475A" w14:paraId="1368A47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、使用来历不明的光盘</w:t>
      </w:r>
    </w:p>
    <w:p w:rsidR="0030475A" w14:paraId="3079C08C"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49DC7C7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不运行来历不明的软件可以减少计算机病毒对计算机系统的破坏。故选</w:t>
      </w:r>
      <w:r w:rsidRPr="0030475A">
        <w:rPr>
          <w:rFonts w:ascii="微软雅黑" w:eastAsia="微软雅黑" w:cs="微软雅黑"/>
          <w:szCs w:val="14"/>
        </w:rPr>
        <w:t>A</w:t>
      </w:r>
      <w:r w:rsidRPr="0030475A">
        <w:rPr>
          <w:rFonts w:ascii="微软雅黑" w:eastAsia="微软雅黑" w:cs="微软雅黑"/>
          <w:szCs w:val="14"/>
        </w:rPr>
        <w:t>。</w:t>
      </w:r>
    </w:p>
    <w:p w:rsidR="0030475A" w14:paraId="2AA0F279"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根据管理的不同层次，可将管理活动划分为</w:t>
      </w:r>
      <w:r w:rsidRPr="0030475A">
        <w:rPr>
          <w:rFonts w:ascii="微软雅黑" w:eastAsia="微软雅黑" w:cs="微软雅黑"/>
          <w:szCs w:val="14"/>
        </w:rPr>
        <w:t>()</w:t>
      </w:r>
      <w:r w:rsidRPr="0030475A">
        <w:rPr>
          <w:rFonts w:ascii="微软雅黑" w:eastAsia="微软雅黑" w:cs="微软雅黑"/>
          <w:szCs w:val="14"/>
        </w:rPr>
        <w:t>。</w:t>
      </w:r>
    </w:p>
    <w:p w:rsidR="0030475A" w14:paraId="7B82D9B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、公共管理和企业管理</w:t>
      </w:r>
    </w:p>
    <w:p w:rsidR="0030475A" w14:paraId="65E7C99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、目标管理、过程管理和结果管理</w:t>
      </w:r>
    </w:p>
    <w:p w:rsidR="0030475A" w14:paraId="082DFDB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、人本管理和非人本管理</w:t>
      </w:r>
    </w:p>
    <w:p w:rsidR="0030475A" w14:paraId="676B87C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、宏观管理和微观管理</w:t>
      </w:r>
    </w:p>
    <w:p w:rsidR="0030475A" w14:paraId="2345F5B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DF0BF2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根据公共领域和非公共领域管理活动可分为公共管理和企业管理</w:t>
      </w:r>
      <w:r w:rsidRPr="0030475A">
        <w:rPr>
          <w:rFonts w:ascii="微软雅黑" w:eastAsia="微软雅黑" w:cs="微软雅黑"/>
          <w:szCs w:val="14"/>
        </w:rPr>
        <w:t>;</w:t>
      </w:r>
      <w:r w:rsidRPr="0030475A">
        <w:rPr>
          <w:rFonts w:ascii="微软雅黑" w:eastAsia="微软雅黑" w:cs="微软雅黑"/>
          <w:szCs w:val="14"/>
        </w:rPr>
        <w:t>根据对管理过程中不同环节的重视和运用管理活动可分为目标管理、过程管理和结果管理</w:t>
      </w:r>
      <w:r w:rsidRPr="0030475A">
        <w:rPr>
          <w:rFonts w:ascii="微软雅黑" w:eastAsia="微软雅黑" w:cs="微软雅黑"/>
          <w:szCs w:val="14"/>
        </w:rPr>
        <w:t>;</w:t>
      </w:r>
      <w:r w:rsidRPr="0030475A">
        <w:rPr>
          <w:rFonts w:ascii="微软雅黑" w:eastAsia="微软雅黑" w:cs="微软雅黑"/>
          <w:szCs w:val="14"/>
        </w:rPr>
        <w:t>根据管理者对被管理者的态度管理活动可分为人本管理和非人本管理</w:t>
      </w:r>
      <w:r w:rsidRPr="0030475A">
        <w:rPr>
          <w:rFonts w:ascii="微软雅黑" w:eastAsia="微软雅黑" w:cs="微软雅黑"/>
          <w:szCs w:val="14"/>
        </w:rPr>
        <w:t>;</w:t>
      </w:r>
      <w:r w:rsidRPr="0030475A">
        <w:rPr>
          <w:rFonts w:ascii="微软雅黑" w:eastAsia="微软雅黑" w:cs="微软雅黑"/>
          <w:szCs w:val="14"/>
        </w:rPr>
        <w:t>根据管理的不同层次管理活动可分为宏观管理和微观管理。故选</w:t>
      </w:r>
      <w:r w:rsidRPr="0030475A">
        <w:rPr>
          <w:rFonts w:ascii="微软雅黑" w:eastAsia="微软雅黑" w:cs="微软雅黑"/>
          <w:szCs w:val="14"/>
        </w:rPr>
        <w:t>D</w:t>
      </w:r>
      <w:r w:rsidRPr="0030475A">
        <w:rPr>
          <w:rFonts w:ascii="微软雅黑" w:eastAsia="微软雅黑" w:cs="微软雅黑"/>
          <w:szCs w:val="14"/>
        </w:rPr>
        <w:t>。</w:t>
      </w:r>
    </w:p>
    <w:p w:rsidR="0030475A" w14:paraId="27E137AC" w14:textId="77777777">
      <w:pPr>
        <w:pStyle w:val="NormalWeb"/>
        <w:widowControl/>
        <w:spacing w:beforeAutospacing="0" w:after="260" w:afterAutospacing="0" w:line="360" w:lineRule="auto"/>
      </w:pPr>
      <w:r w:rsidRPr="0030475A">
        <w:rPr>
          <w:rFonts w:ascii="微软雅黑" w:eastAsia="微软雅黑" w:cs="微软雅黑"/>
          <w:color w:val="0000FF"/>
          <w:szCs w:val="14"/>
        </w:rPr>
        <w:t>6</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构成中国的内聚性的又一重要因素是，存在着一种可追溯到数千年前古老的商朝的书面语。</w:t>
      </w:r>
      <w:r w:rsidRPr="0030475A">
        <w:rPr>
          <w:rFonts w:ascii="微软雅黑" w:eastAsia="微软雅黑" w:cs="微软雅黑"/>
          <w:szCs w:val="14"/>
        </w:rPr>
        <w:t>”“</w:t>
      </w:r>
      <w:r w:rsidRPr="0030475A">
        <w:rPr>
          <w:rFonts w:ascii="微软雅黑" w:eastAsia="微软雅黑" w:cs="微软雅黑"/>
          <w:szCs w:val="14"/>
        </w:rPr>
        <w:t>商朝的书面语</w:t>
      </w:r>
      <w:r w:rsidRPr="0030475A">
        <w:rPr>
          <w:rFonts w:ascii="微软雅黑" w:eastAsia="微软雅黑" w:cs="微软雅黑"/>
          <w:szCs w:val="14"/>
        </w:rPr>
        <w:t>”</w:t>
      </w:r>
      <w:r w:rsidRPr="0030475A">
        <w:rPr>
          <w:rFonts w:ascii="微软雅黑" w:eastAsia="微软雅黑" w:cs="微软雅黑"/>
          <w:szCs w:val="14"/>
        </w:rPr>
        <w:t>指的是</w:t>
      </w:r>
      <w:r w:rsidRPr="0030475A">
        <w:rPr>
          <w:rFonts w:ascii="微软雅黑" w:eastAsia="微软雅黑" w:cs="微软雅黑"/>
          <w:szCs w:val="14"/>
        </w:rPr>
        <w:t>()</w:t>
      </w:r>
      <w:r w:rsidRPr="0030475A">
        <w:rPr>
          <w:rFonts w:ascii="微软雅黑" w:eastAsia="微软雅黑" w:cs="微软雅黑"/>
          <w:szCs w:val="14"/>
        </w:rPr>
        <w:t>。</w:t>
      </w:r>
    </w:p>
    <w:p w:rsidR="0030475A" w14:paraId="06217D6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、甲骨文</w:t>
      </w:r>
    </w:p>
    <w:p w:rsidR="0030475A" w14:paraId="4DD5A46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、金文</w:t>
      </w:r>
    </w:p>
    <w:p w:rsidR="0030475A" w14:paraId="1811BDA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、小篆</w:t>
      </w:r>
    </w:p>
    <w:p w:rsidR="0030475A" w14:paraId="7BA61B5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、隶书</w:t>
      </w:r>
    </w:p>
    <w:p w:rsidR="0030475A" w14:paraId="2E72D63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https://d.book118.com/286004141101010042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rsidP="00683DD2" w14:paraId="45B38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CB1" w14:paraId="1DAD30B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rsidP="00683DD2" w14:paraId="1426712D" w14:textId="149559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C3CB1" w14:paraId="4EF8ADF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14:paraId="1C28D24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CB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rsidP="00683DD2" w14:textId="149559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C3CB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3CB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rsidP="00683DD2" w14:textId="1495592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C3CB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14:paraId="3ABAAA9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14:paraId="5DA2562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14:paraId="1F4BF55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CB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3C3CB1"/>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52BEF52"/>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3C3CB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C3CB1"/>
    <w:rPr>
      <w:sz w:val="18"/>
      <w:szCs w:val="18"/>
    </w:rPr>
  </w:style>
  <w:style w:type="paragraph" w:styleId="Footer">
    <w:name w:val="footer"/>
    <w:basedOn w:val="Normal"/>
    <w:link w:val="a0"/>
    <w:rsid w:val="003C3CB1"/>
    <w:pPr>
      <w:tabs>
        <w:tab w:val="center" w:pos="4153"/>
        <w:tab w:val="right" w:pos="8306"/>
      </w:tabs>
      <w:snapToGrid w:val="0"/>
    </w:pPr>
    <w:rPr>
      <w:sz w:val="18"/>
      <w:szCs w:val="18"/>
    </w:rPr>
  </w:style>
  <w:style w:type="character" w:customStyle="1" w:styleId="a0">
    <w:name w:val="页脚 字符"/>
    <w:basedOn w:val="DefaultParagraphFont"/>
    <w:link w:val="Footer"/>
    <w:rsid w:val="003C3CB1"/>
    <w:rPr>
      <w:sz w:val="18"/>
      <w:szCs w:val="18"/>
    </w:rPr>
  </w:style>
  <w:style w:type="character" w:styleId="PageNumber">
    <w:name w:val="page number"/>
    <w:basedOn w:val="DefaultParagraphFont"/>
    <w:rsid w:val="003C3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86004141101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2977</Words>
  <Characters>16974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