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480" w:lineRule="auto"/>
        <w:ind w:left="540" w:right="-176" w:firstLine="6091" w:leftChars="257" w:rightChars="-84" w:firstLineChars="1269"/>
        <w:rPr>
          <w:rFonts w:hint="eastAsia"/>
          <w:sz w:val="48"/>
        </w:rPr>
      </w:pPr>
      <w:bookmarkStart w:id="0" w:name="_GoBack"/>
      <w:bookmarkEnd w:id="0"/>
      <w:r>
        <w:rPr>
          <w:rFonts w:eastAsia="楷体_GB2312" w:hint="eastAsia"/>
          <w:b/>
          <w:bCs/>
          <w:sz w:val="48"/>
        </w:rPr>
        <w:t>目     录</w:t>
      </w:r>
    </w:p>
    <w:p>
      <w:pPr>
        <w:pStyle w:val="Normal0"/>
        <w:ind w:left="540" w:right="-176" w:leftChars="257" w:rightChars="-84"/>
        <w:rPr>
          <w:rFonts w:hint="eastAsia"/>
          <w:sz w:val="28"/>
        </w:rPr>
      </w:pPr>
      <w:r>
        <w:rPr>
          <w:rFonts w:hint="eastAsia"/>
          <w:sz w:val="28"/>
        </w:rPr>
        <w:t>1．</w:t>
      </w:r>
      <w:r>
        <w:rPr>
          <w:rFonts w:eastAsia="楷体_GB2312" w:hint="eastAsia"/>
          <w:sz w:val="28"/>
          <w:lang w:eastAsia="zh-CN"/>
        </w:rPr>
        <w:t>相关项目</w:t>
      </w:r>
      <w:r>
        <w:rPr>
          <w:rFonts w:eastAsia="楷体_GB2312" w:hint="eastAsia"/>
          <w:sz w:val="28"/>
        </w:rPr>
        <w:t>分析</w:t>
      </w:r>
      <w:r>
        <w:rPr>
          <w:rFonts w:hint="eastAsia"/>
          <w:color w:val="808080"/>
          <w:sz w:val="28"/>
        </w:rPr>
        <w:t>………………………………………………………………………………………………………………………………………………… 2</w:t>
      </w:r>
    </w:p>
    <w:p>
      <w:pPr>
        <w:pStyle w:val="Normal0"/>
        <w:ind w:left="540" w:right="-176" w:firstLine="280" w:leftChars="257" w:rightChars="-84" w:firstLineChars="100"/>
        <w:rPr>
          <w:rFonts w:hint="eastAsia"/>
          <w:color w:val="808080"/>
          <w:sz w:val="28"/>
        </w:rPr>
      </w:pPr>
      <w:r>
        <w:rPr>
          <w:rFonts w:hint="eastAsia"/>
          <w:sz w:val="28"/>
        </w:rPr>
        <w:t xml:space="preserve">1．1 </w:t>
      </w:r>
      <w:r>
        <w:rPr>
          <w:rFonts w:hint="eastAsia"/>
          <w:sz w:val="28"/>
          <w:lang w:eastAsia="zh-CN"/>
        </w:rPr>
        <w:t>相关项目</w:t>
      </w:r>
      <w:r>
        <w:rPr>
          <w:rFonts w:hint="eastAsia"/>
          <w:sz w:val="28"/>
        </w:rPr>
        <w:t>概况</w:t>
      </w:r>
      <w:r>
        <w:rPr>
          <w:rFonts w:hint="eastAsia"/>
          <w:color w:val="808080"/>
          <w:sz w:val="28"/>
        </w:rPr>
        <w:t>…………………………………………………………………………………</w:t>
      </w:r>
      <w:r>
        <w:rPr>
          <w:rFonts w:hint="eastAsia"/>
          <w:color w:val="808080"/>
          <w:spacing w:val="4"/>
          <w:sz w:val="28"/>
          <w:szCs w:val="28"/>
        </w:rPr>
        <w:t>……………………………………………………</w:t>
      </w:r>
      <w:r>
        <w:rPr>
          <w:rFonts w:hint="eastAsia"/>
          <w:color w:val="808080"/>
          <w:sz w:val="28"/>
          <w:szCs w:val="28"/>
        </w:rPr>
        <w:t>……3</w:t>
      </w:r>
    </w:p>
    <w:p>
      <w:pPr>
        <w:pStyle w:val="Normal0"/>
        <w:ind w:left="540" w:right="-176" w:firstLine="280" w:leftChars="257" w:rightChars="-84" w:firstLineChars="100"/>
        <w:rPr>
          <w:rFonts w:hint="eastAsia"/>
          <w:sz w:val="28"/>
        </w:rPr>
      </w:pPr>
      <w:r>
        <w:rPr>
          <w:rFonts w:hint="eastAsia"/>
          <w:sz w:val="28"/>
        </w:rPr>
        <w:t xml:space="preserve">1．2 </w:t>
      </w:r>
      <w:r>
        <w:rPr>
          <w:rFonts w:hint="eastAsia"/>
          <w:sz w:val="28"/>
          <w:lang w:eastAsia="zh-CN"/>
        </w:rPr>
        <w:t>相关项目</w:t>
      </w:r>
      <w:r>
        <w:rPr>
          <w:rFonts w:hint="eastAsia"/>
          <w:sz w:val="28"/>
        </w:rPr>
        <w:t>环境分析</w:t>
      </w:r>
      <w:r>
        <w:rPr>
          <w:rFonts w:hint="eastAsia"/>
          <w:color w:val="808080"/>
          <w:sz w:val="28"/>
        </w:rPr>
        <w:t>……………………………………………………………………………………</w:t>
      </w:r>
      <w:r>
        <w:rPr>
          <w:rFonts w:hint="eastAsia"/>
          <w:color w:val="808080"/>
          <w:spacing w:val="4"/>
          <w:sz w:val="28"/>
          <w:szCs w:val="28"/>
        </w:rPr>
        <w:t>…………………………………………………4</w:t>
      </w:r>
    </w:p>
    <w:p>
      <w:pPr>
        <w:pStyle w:val="Normal0"/>
        <w:tabs>
          <w:tab w:val="left" w:pos="17100"/>
          <w:tab w:val="left" w:pos="17280"/>
        </w:tabs>
        <w:ind w:left="540" w:right="-176" w:firstLine="280" w:leftChars="257" w:rightChars="-84" w:firstLineChars="100"/>
        <w:rPr>
          <w:rFonts w:hint="eastAsia"/>
          <w:sz w:val="28"/>
        </w:rPr>
      </w:pPr>
      <w:r>
        <w:rPr>
          <w:rFonts w:hint="eastAsia"/>
          <w:sz w:val="28"/>
        </w:rPr>
        <w:t xml:space="preserve">1．3 </w:t>
      </w:r>
      <w:r>
        <w:rPr>
          <w:rFonts w:hint="eastAsia"/>
          <w:sz w:val="28"/>
          <w:lang w:eastAsia="zh-CN"/>
        </w:rPr>
        <w:t>相关项目</w:t>
      </w:r>
      <w:r>
        <w:rPr>
          <w:rFonts w:hint="eastAsia"/>
          <w:sz w:val="28"/>
        </w:rPr>
        <w:t>优劣势分析</w:t>
      </w:r>
      <w:r>
        <w:rPr>
          <w:rFonts w:hint="eastAsia"/>
          <w:color w:val="808080"/>
          <w:sz w:val="28"/>
        </w:rPr>
        <w:t>………………………………………………………………………………</w:t>
      </w:r>
      <w:r>
        <w:rPr>
          <w:rFonts w:hint="eastAsia"/>
          <w:color w:val="808080"/>
          <w:spacing w:val="4"/>
          <w:sz w:val="28"/>
          <w:szCs w:val="28"/>
        </w:rPr>
        <w:t>……………………………………………………8</w:t>
      </w:r>
    </w:p>
    <w:p>
      <w:pPr>
        <w:pStyle w:val="Normal0"/>
        <w:ind w:left="540" w:right="-176" w:firstLine="280" w:leftChars="257" w:rightChars="-84" w:firstLineChars="100"/>
        <w:rPr>
          <w:rFonts w:hint="eastAsia"/>
          <w:sz w:val="28"/>
        </w:rPr>
      </w:pPr>
      <w:r>
        <w:rPr>
          <w:rFonts w:hint="eastAsia"/>
          <w:sz w:val="28"/>
        </w:rPr>
        <w:t>1．4 市场定位</w:t>
      </w:r>
      <w:r>
        <w:rPr>
          <w:rFonts w:hint="eastAsia"/>
          <w:color w:val="808080"/>
          <w:sz w:val="28"/>
        </w:rPr>
        <w:t>……………………………………………………………………………………………………………………………………………11</w:t>
      </w:r>
    </w:p>
    <w:p>
      <w:pPr>
        <w:pStyle w:val="Normal0"/>
        <w:ind w:left="540" w:right="-176" w:leftChars="257" w:rightChars="-84"/>
        <w:rPr>
          <w:rFonts w:hint="eastAsia"/>
          <w:sz w:val="28"/>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hint="eastAsia"/>
          <w:sz w:val="28"/>
        </w:rPr>
        <w:t>2．</w:t>
      </w:r>
      <w:r>
        <w:rPr>
          <w:rFonts w:eastAsia="楷体_GB2312" w:hint="eastAsia"/>
          <w:sz w:val="28"/>
        </w:rPr>
        <w:t>推广</w:t>
      </w:r>
      <w:r>
        <w:rPr>
          <w:rFonts w:eastAsia="楷体_GB2312" w:hint="eastAsia"/>
          <w:sz w:val="28"/>
          <w:lang w:eastAsia="zh-CN"/>
        </w:rPr>
        <w:t>合适的方案</w:t>
      </w:r>
    </w:p>
    <w:p>
      <w:pPr>
        <w:pStyle w:val="Normal0"/>
        <w:ind w:left="540" w:right="-176" w:leftChars="257" w:rightChars="-84"/>
        <w:rPr>
          <w:rFonts w:hint="eastAsia"/>
          <w:sz w:val="28"/>
        </w:rPr>
      </w:pPr>
      <w:r>
        <w:rPr>
          <w:rFonts w:hint="eastAsia"/>
          <w:color w:val="808080"/>
          <w:sz w:val="28"/>
        </w:rPr>
        <w:t>…………………………………………………………………………………………………………………………………………………16</w:t>
      </w:r>
    </w:p>
    <w:p>
      <w:pPr>
        <w:pStyle w:val="Normal0"/>
        <w:ind w:left="540" w:right="-176" w:firstLine="280" w:leftChars="257" w:rightChars="-84" w:firstLineChars="100"/>
        <w:rPr>
          <w:rFonts w:hint="eastAsia"/>
          <w:sz w:val="28"/>
        </w:rPr>
      </w:pPr>
      <w:r>
        <w:rPr>
          <w:rFonts w:hint="eastAsia"/>
          <w:sz w:val="28"/>
        </w:rPr>
        <w:t>2．1 核心卖点梳理</w:t>
      </w:r>
      <w:r>
        <w:rPr>
          <w:rFonts w:hint="eastAsia"/>
          <w:color w:val="808080"/>
          <w:sz w:val="28"/>
        </w:rPr>
        <w:t>………………………………………………………………………………………………………………………………………17</w:t>
      </w:r>
    </w:p>
    <w:p>
      <w:pPr>
        <w:pStyle w:val="Normal0"/>
        <w:ind w:left="540" w:right="-176" w:firstLine="280" w:leftChars="257" w:rightChars="-84" w:firstLineChars="100"/>
        <w:rPr>
          <w:rFonts w:hint="eastAsia"/>
          <w:sz w:val="28"/>
        </w:rPr>
      </w:pPr>
      <w:r>
        <w:rPr>
          <w:rFonts w:hint="eastAsia"/>
          <w:sz w:val="28"/>
        </w:rPr>
        <w:t>2．2 案名与LOGO</w:t>
      </w:r>
      <w:r>
        <w:rPr>
          <w:rFonts w:hint="eastAsia"/>
          <w:color w:val="808080"/>
          <w:sz w:val="28"/>
        </w:rPr>
        <w:t>………………………………………………………………………………………………………………………………………19</w:t>
      </w:r>
    </w:p>
    <w:p>
      <w:pPr>
        <w:pStyle w:val="Normal0"/>
        <w:ind w:left="540" w:right="-176" w:firstLine="280" w:leftChars="257" w:rightChars="-84" w:firstLineChars="100"/>
        <w:rPr>
          <w:rFonts w:hint="eastAsia"/>
          <w:sz w:val="28"/>
        </w:rPr>
      </w:pPr>
      <w:r>
        <w:rPr>
          <w:rFonts w:hint="eastAsia"/>
          <w:sz w:val="28"/>
        </w:rPr>
        <w:t>2．3 推广总精神</w:t>
      </w:r>
      <w:r>
        <w:rPr>
          <w:rFonts w:hint="eastAsia"/>
          <w:color w:val="808080"/>
          <w:sz w:val="28"/>
        </w:rPr>
        <w:t>…………………………………………………………………………………………………………………………………………19</w:t>
      </w:r>
    </w:p>
    <w:p>
      <w:pPr>
        <w:pStyle w:val="Normal0"/>
        <w:ind w:left="540" w:right="-176" w:firstLine="280" w:leftChars="257" w:rightChars="-84" w:firstLineChars="100"/>
        <w:rPr>
          <w:rFonts w:hint="eastAsia"/>
          <w:sz w:val="28"/>
        </w:rPr>
      </w:pPr>
      <w:r>
        <w:rPr>
          <w:rFonts w:hint="eastAsia"/>
          <w:sz w:val="28"/>
        </w:rPr>
        <w:t>2．4 媒体通路策略</w:t>
      </w:r>
      <w:r>
        <w:rPr>
          <w:rFonts w:hint="eastAsia"/>
          <w:color w:val="808080"/>
          <w:sz w:val="28"/>
        </w:rPr>
        <w:t>………………………………………………………………………………………………………………………………………20</w:t>
      </w:r>
    </w:p>
    <w:p>
      <w:pPr>
        <w:pStyle w:val="Normal0"/>
        <w:ind w:left="540" w:right="-176" w:firstLine="280" w:leftChars="257" w:rightChars="-84" w:firstLineChars="100"/>
        <w:rPr>
          <w:rFonts w:hint="eastAsia"/>
          <w:color w:val="808080"/>
          <w:sz w:val="28"/>
        </w:rPr>
      </w:pPr>
      <w:r>
        <w:rPr>
          <w:rFonts w:hint="eastAsia"/>
          <w:sz w:val="28"/>
        </w:rPr>
        <w:t>2．5 行销推广策略</w:t>
      </w:r>
      <w:r>
        <w:rPr>
          <w:rFonts w:hint="eastAsia"/>
          <w:color w:val="808080"/>
          <w:sz w:val="28"/>
        </w:rPr>
        <w:t>………………………………………………………………………………………………………………………………………24</w:t>
      </w:r>
    </w:p>
    <w:p>
      <w:pPr>
        <w:pStyle w:val="Normal0"/>
        <w:ind w:left="540" w:right="-176" w:firstLine="280" w:leftChars="257" w:rightChars="-84" w:firstLineChars="100"/>
        <w:rPr>
          <w:rFonts w:hint="eastAsia"/>
          <w:sz w:val="28"/>
        </w:rPr>
      </w:pPr>
      <w:r>
        <w:rPr>
          <w:rFonts w:hint="eastAsia"/>
          <w:sz w:val="28"/>
        </w:rPr>
        <w:t>2．6 SP活动及攻关活动策略</w:t>
      </w:r>
      <w:r>
        <w:rPr>
          <w:rFonts w:hint="eastAsia"/>
          <w:color w:val="808080"/>
          <w:sz w:val="28"/>
        </w:rPr>
        <w:t>………………………………………………………………………………………………………………</w:t>
      </w:r>
      <w:r>
        <w:rPr>
          <w:rFonts w:hint="eastAsia"/>
          <w:color w:val="808080"/>
          <w:spacing w:val="-2"/>
          <w:sz w:val="28"/>
          <w:szCs w:val="28"/>
        </w:rPr>
        <w:t>……………39</w:t>
      </w:r>
    </w:p>
    <w:p>
      <w:pPr>
        <w:pStyle w:val="Normal0"/>
        <w:ind w:left="540" w:right="-176" w:firstLine="280" w:leftChars="257" w:rightChars="-84" w:firstLineChars="100"/>
        <w:rPr>
          <w:rFonts w:hint="eastAsia"/>
          <w:sz w:val="28"/>
        </w:rPr>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r>
        <w:rPr>
          <w:rFonts w:hint="eastAsia"/>
          <w:sz w:val="28"/>
        </w:rPr>
        <w:t>2．7 贵宾租售道具及接待现场包装</w:t>
      </w:r>
      <w:r>
        <w:rPr>
          <w:rFonts w:hint="eastAsia"/>
          <w:sz w:val="28"/>
          <w:lang w:eastAsia="zh-CN"/>
        </w:rPr>
        <w:t>合适的方案</w:t>
      </w:r>
    </w:p>
    <w:p>
      <w:pPr>
        <w:pStyle w:val="Normal0"/>
        <w:ind w:left="540" w:right="-176" w:firstLine="280" w:leftChars="257" w:rightChars="-84" w:firstLineChars="100"/>
        <w:rPr>
          <w:rFonts w:hint="eastAsia"/>
          <w:sz w:val="28"/>
        </w:rPr>
      </w:pPr>
      <w:r>
        <w:rPr>
          <w:rFonts w:hint="eastAsia"/>
          <w:color w:val="808080"/>
          <w:sz w:val="28"/>
        </w:rPr>
        <w:t>………………………………………………………………………………………………………………41</w:t>
      </w:r>
    </w:p>
    <w:p>
      <w:pPr>
        <w:pStyle w:val="Normal0"/>
        <w:ind w:left="540" w:right="-176" w:firstLine="280" w:leftChars="257" w:rightChars="-84" w:firstLineChars="100"/>
        <w:rPr>
          <w:rFonts w:hint="eastAsia"/>
          <w:sz w:val="28"/>
        </w:rPr>
      </w:pPr>
      <w:r>
        <w:rPr>
          <w:rFonts w:hint="eastAsia"/>
          <w:sz w:val="28"/>
        </w:rPr>
        <w:t>2．8 广告与应用识别系统表现</w:t>
      </w:r>
      <w:r>
        <w:rPr>
          <w:rFonts w:hint="eastAsia"/>
          <w:color w:val="808080"/>
          <w:sz w:val="28"/>
        </w:rPr>
        <w:t>…………………………………………………………………………………………………………………………49</w:t>
      </w:r>
    </w:p>
    <w:p>
      <w:pPr>
        <w:pStyle w:val="Normal0"/>
        <w:ind w:left="540" w:right="-176" w:firstLine="280" w:leftChars="257" w:rightChars="-84" w:firstLineChars="100"/>
        <w:rPr>
          <w:rFonts w:hint="eastAsia"/>
          <w:sz w:val="28"/>
        </w:rPr>
      </w:pPr>
      <w:r>
        <w:rPr>
          <w:rFonts w:hint="eastAsia"/>
          <w:sz w:val="28"/>
        </w:rPr>
        <w:t xml:space="preserve">2．9 </w:t>
      </w:r>
      <w:r>
        <w:rPr>
          <w:rFonts w:eastAsia="楷体_GB2312" w:hint="eastAsia"/>
          <w:sz w:val="28"/>
        </w:rPr>
        <w:t>附件</w:t>
      </w:r>
      <w:r>
        <w:rPr>
          <w:rFonts w:hint="eastAsia"/>
          <w:color w:val="808080"/>
          <w:sz w:val="28"/>
        </w:rPr>
        <w:t>…………………………………………………………………………………………………………………………………………………58</w:t>
      </w:r>
    </w:p>
    <w:p>
      <w:pPr>
        <w:pStyle w:val="Normal0"/>
        <w:ind w:left="7379" w:right="-176" w:leftChars="3514" w:rightChars="-84"/>
        <w:rPr>
          <w:rFonts w:hint="eastAsia"/>
          <w:sz w:val="28"/>
        </w:rPr>
      </w:pPr>
    </w:p>
    <w:p>
      <w:pPr>
        <w:pStyle w:val="Normal0"/>
        <w:spacing w:line="480" w:lineRule="auto"/>
        <w:ind w:left="7379" w:right="-176" w:leftChars="3514" w:rightChars="-84"/>
        <w:rPr>
          <w:rFonts w:hint="eastAsia"/>
          <w:sz w:val="28"/>
        </w:rPr>
      </w:pPr>
    </w:p>
    <w:p>
      <w:pPr>
        <w:pStyle w:val="Normal0"/>
        <w:spacing w:line="480" w:lineRule="auto"/>
        <w:ind w:left="7018" w:right="-176" w:leftChars="3342" w:rightChars="-84"/>
        <w:rPr>
          <w:rFonts w:hint="eastAsia"/>
        </w:rPr>
      </w:pPr>
    </w:p>
    <w:p>
      <w:pPr>
        <w:pStyle w:val="Normal0"/>
        <w:spacing w:line="480" w:lineRule="auto"/>
        <w:ind w:left="7018" w:right="-176" w:leftChars="3342" w:rightChars="-84"/>
        <w:rPr>
          <w:rFonts w:hint="eastAsia"/>
        </w:rPr>
      </w:pPr>
    </w:p>
    <w:p>
      <w:pPr>
        <w:pStyle w:val="Normal0"/>
        <w:spacing w:line="480" w:lineRule="auto"/>
        <w:ind w:left="7018" w:right="-176" w:leftChars="3342" w:rightChars="-84"/>
        <w:rPr>
          <w:rFonts w:hint="eastAsia"/>
        </w:rPr>
      </w:pPr>
    </w:p>
    <w:p>
      <w:pPr>
        <w:pStyle w:val="Normal0"/>
        <w:spacing w:line="480" w:lineRule="auto"/>
        <w:ind w:left="7018" w:leftChars="3342"/>
        <w:rPr>
          <w:rFonts w:hint="eastAsia"/>
        </w:rPr>
      </w:pPr>
    </w:p>
    <w:p>
      <w:pPr>
        <w:pStyle w:val="Normal0"/>
        <w:spacing w:line="480" w:lineRule="auto"/>
        <w:ind w:left="7018" w:leftChars="3342"/>
        <w:rPr>
          <w:rFonts w:hint="eastAsia"/>
        </w:rPr>
      </w:pPr>
    </w:p>
    <w:p>
      <w:pPr>
        <w:pStyle w:val="Normal0"/>
        <w:spacing w:line="480" w:lineRule="auto"/>
        <w:ind w:left="7018" w:leftChars="3342"/>
        <w:rPr>
          <w:rFonts w:ascii="黑体" w:eastAsia="黑体" w:hAnsi="宋体" w:hint="eastAsia"/>
          <w:color w:val="808080"/>
          <w:spacing w:val="20"/>
          <w:sz w:val="72"/>
          <w:szCs w:val="52"/>
        </w:r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rPr>
          <w:rFonts w:ascii="黑体" w:eastAsia="黑体" w:hint="eastAsia"/>
          <w:color w:val="808080"/>
          <w:spacing w:val="20"/>
          <w:sz w:val="72"/>
          <w:szCs w:val="52"/>
        </w:rPr>
        <w:pict>
          <v:rect id="_x0000_s1025" o:spid="_x0000_s1025" style="width:18pt;height:18pt;margin-top:15.6pt;margin-left:306pt;mso-height-relative:page;mso-width-relative:page;position:absolute;z-index:251658240" coordsize="21600,21600" filled="t" fillcolor="silver" stroked="t" strokecolor="white"/>
        </w:pict>
      </w:r>
      <w:r>
        <w:rPr>
          <w:rFonts w:ascii="黑体" w:eastAsia="黑体" w:hint="eastAsia"/>
          <w:color w:val="808080"/>
          <w:spacing w:val="20"/>
          <w:sz w:val="72"/>
          <w:szCs w:val="52"/>
          <w:lang w:eastAsia="zh-CN"/>
        </w:rPr>
        <w:t>相关项目</w:t>
      </w:r>
    </w:p>
    <w:p>
      <w:pPr>
        <w:pStyle w:val="Normal0"/>
        <w:spacing w:line="480" w:lineRule="auto"/>
        <w:ind w:left="7018" w:leftChars="3342"/>
        <w:rPr>
          <w:rFonts w:ascii="黑体" w:eastAsia="黑体" w:hAnsi="宋体" w:hint="eastAsia"/>
          <w:color w:val="808080"/>
          <w:spacing w:val="20"/>
          <w:sz w:val="72"/>
          <w:szCs w:val="52"/>
        </w:rPr>
      </w:pPr>
      <w:r>
        <w:rPr>
          <w:rFonts w:ascii="黑体" w:eastAsia="黑体" w:hint="eastAsia"/>
          <w:color w:val="808080"/>
          <w:spacing w:val="20"/>
          <w:sz w:val="72"/>
          <w:szCs w:val="52"/>
        </w:rPr>
        <w:t>分析</w:t>
      </w:r>
    </w:p>
    <w:p>
      <w:pPr>
        <w:pStyle w:val="TOC1"/>
        <w:rPr>
          <w:rFonts w:ascii="宋体" w:hint="eastAsia"/>
        </w:rPr>
      </w:pPr>
      <w:r>
        <w:rPr>
          <w:rFonts w:hint="eastAsia"/>
        </w:rPr>
        <w:pict>
          <v:line id="_x0000_s1026" o:spid="_x0000_s1026" style="mso-height-relative:page;mso-width-relative:page;position:absolute;z-index:251659264" from="306pt,-0.1pt" to="513pt,0" coordsize="21600,21600" stroked="t" strokecolor="gray"/>
        </w:pict>
      </w:r>
    </w:p>
    <w:p>
      <w:pPr>
        <w:pStyle w:val="Normal0"/>
        <w:ind w:left="7018" w:leftChars="3342"/>
        <w:rPr>
          <w:rFonts w:ascii="宋体" w:hAnsi="宋体" w:hint="eastAsia"/>
          <w:b/>
          <w:sz w:val="32"/>
          <w:szCs w:val="32"/>
        </w:rPr>
      </w:pPr>
    </w:p>
    <w:p>
      <w:pPr>
        <w:pStyle w:val="Normal0"/>
        <w:ind w:left="7018" w:leftChars="3342"/>
        <w:rPr>
          <w:rFonts w:ascii="宋体" w:hAnsi="宋体" w:hint="eastAsia"/>
          <w:b/>
          <w:sz w:val="32"/>
          <w:szCs w:val="32"/>
        </w:rPr>
      </w:pPr>
    </w:p>
    <w:p>
      <w:pPr>
        <w:pStyle w:val="Normal0"/>
        <w:ind w:left="7018" w:leftChars="3342"/>
        <w:rPr>
          <w:rFonts w:ascii="宋体" w:hAnsi="宋体" w:hint="eastAsia"/>
          <w:b/>
          <w:sz w:val="32"/>
          <w:szCs w:val="32"/>
        </w:rPr>
      </w:pPr>
    </w:p>
    <w:p>
      <w:pPr>
        <w:pStyle w:val="Normal0"/>
        <w:ind w:left="7018" w:leftChars="3342"/>
        <w:rPr>
          <w:rFonts w:ascii="宋体" w:hAnsi="宋体" w:hint="eastAsia"/>
          <w:b/>
          <w:sz w:val="32"/>
          <w:szCs w:val="32"/>
        </w:rPr>
      </w:pPr>
    </w:p>
    <w:p>
      <w:pPr>
        <w:pStyle w:val="Normal0"/>
        <w:ind w:left="7018" w:leftChars="3342"/>
        <w:rPr>
          <w:rFonts w:ascii="宋体" w:hAnsi="宋体" w:hint="eastAsia"/>
          <w:b/>
          <w:sz w:val="32"/>
          <w:szCs w:val="32"/>
        </w:rPr>
      </w:pPr>
    </w:p>
    <w:p>
      <w:pPr>
        <w:pStyle w:val="Normal0"/>
        <w:ind w:left="7018" w:leftChars="3342"/>
        <w:rPr>
          <w:rFonts w:ascii="宋体" w:hAnsi="宋体" w:hint="eastAsia"/>
          <w:b/>
          <w:sz w:val="32"/>
          <w:szCs w:val="32"/>
        </w:rPr>
      </w:pPr>
    </w:p>
    <w:p>
      <w:pPr>
        <w:pStyle w:val="Normal0"/>
        <w:ind w:left="7018" w:leftChars="3342"/>
        <w:rPr>
          <w:rFonts w:ascii="宋体" w:hAnsi="宋体" w:hint="eastAsia"/>
          <w:b/>
          <w:sz w:val="32"/>
          <w:szCs w:val="32"/>
        </w:rPr>
      </w:pPr>
    </w:p>
    <w:p>
      <w:pPr>
        <w:pStyle w:val="Normal0"/>
        <w:ind w:left="7018" w:leftChars="3342"/>
        <w:rPr>
          <w:rFonts w:ascii="宋体" w:hAnsi="宋体" w:hint="eastAsia"/>
          <w:b/>
          <w:sz w:val="32"/>
          <w:szCs w:val="32"/>
        </w:rPr>
      </w:pPr>
    </w:p>
    <w:p>
      <w:pPr>
        <w:pStyle w:val="Normal0"/>
        <w:ind w:left="7018" w:leftChars="3342"/>
        <w:rPr>
          <w:rFonts w:ascii="宋体" w:hAnsi="宋体" w:hint="eastAsia"/>
          <w:b/>
          <w:sz w:val="32"/>
          <w:szCs w:val="32"/>
        </w:rPr>
      </w:pPr>
    </w:p>
    <w:p>
      <w:pPr>
        <w:pStyle w:val="Heading2"/>
        <w:numPr>
          <w:ilvl w:val="1"/>
          <w:numId w:val="1"/>
        </w:numPr>
        <w:tabs>
          <w:tab w:val="left" w:pos="720"/>
          <w:tab w:val="clear" w:pos="992"/>
        </w:tabs>
        <w:ind w:left="-178" w:firstLine="0" w:leftChars="-85"/>
        <w:rPr>
          <w:rFonts w:hint="eastAsia"/>
          <w:b w:val="0"/>
          <w:bCs/>
          <w:sz w:val="44"/>
        </w:rPr>
      </w:pPr>
      <w:bookmarkStart w:id="1" w:name="_Toc74967881"/>
      <w:r>
        <w:rPr>
          <w:rFonts w:hint="eastAsia"/>
          <w:b w:val="0"/>
          <w:bCs/>
          <w:sz w:val="44"/>
          <w:lang w:eastAsia="zh-CN"/>
        </w:rPr>
        <w:t>相关项目</w:t>
      </w:r>
      <w:r>
        <w:rPr>
          <w:rFonts w:hint="eastAsia"/>
          <w:b w:val="0"/>
          <w:bCs/>
          <w:sz w:val="44"/>
        </w:rPr>
        <w:t>概况</w:t>
      </w:r>
      <w:bookmarkEnd w:id="1"/>
    </w:p>
    <w:p>
      <w:pPr>
        <w:pStyle w:val="Normal0"/>
        <w:ind w:left="5580" w:leftChars="2657"/>
        <w:rPr>
          <w:rFonts w:ascii="宋体" w:hAnsi="宋体" w:hint="eastAsia"/>
          <w:b/>
          <w:sz w:val="32"/>
          <w:szCs w:val="32"/>
        </w:rPr>
      </w:pPr>
    </w:p>
    <w:p>
      <w:pPr>
        <w:pStyle w:val="Normal0"/>
        <w:ind w:left="899" w:firstLine="560" w:leftChars="428" w:firstLineChars="200"/>
        <w:rPr>
          <w:rFonts w:hint="eastAsia"/>
          <w:sz w:val="28"/>
        </w:rPr>
      </w:pPr>
      <w:r>
        <w:rPr>
          <w:rFonts w:hint="eastAsia"/>
          <w:sz w:val="28"/>
        </w:rPr>
        <w:t>本案地处大连最繁华的青泥洼中心商业区，与人民路商务中心、中山广场金融中心、天津街商业区毗邻。城市主动脉中山路使青泥洼成为大连交通枢纽。由此，至本市各主要城区畅通便捷。拥有绝佳的商业氛围，商业与商务间自由取舍，左右逢源。</w:t>
      </w:r>
    </w:p>
    <w:p>
      <w:pPr>
        <w:pStyle w:val="Normal0"/>
        <w:ind w:left="899" w:leftChars="428"/>
        <w:rPr>
          <w:rFonts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hint="eastAsia"/>
          <w:sz w:val="28"/>
        </w:rPr>
        <w:t xml:space="preserve">            </w:t>
      </w:r>
    </w:p>
    <w:p>
      <w:pPr>
        <w:pStyle w:val="Normal0"/>
        <w:ind w:left="899" w:leftChars="428"/>
        <w:rPr>
          <w:rFonts w:hint="eastAsia"/>
          <w:sz w:val="28"/>
        </w:rPr>
      </w:pPr>
    </w:p>
    <w:p>
      <w:pPr>
        <w:pStyle w:val="Normal0"/>
        <w:ind w:left="899" w:firstLine="5096" w:leftChars="428" w:firstLineChars="1820"/>
        <w:rPr>
          <w:rFonts w:eastAsia="黑体" w:hint="eastAsia"/>
          <w:sz w:val="28"/>
        </w:rPr>
      </w:pPr>
      <w:r>
        <w:rPr>
          <w:rFonts w:eastAsia="黑体" w:hint="eastAsia"/>
          <w:sz w:val="28"/>
        </w:rPr>
        <w:t>本案相关经济指标：</w:t>
      </w:r>
    </w:p>
    <w:p>
      <w:pPr>
        <w:pStyle w:val="Normal0"/>
        <w:spacing w:line="480" w:lineRule="auto"/>
        <w:ind w:left="899" w:firstLine="3643" w:leftChars="428" w:firstLineChars="1301"/>
        <w:rPr>
          <w:rFonts w:hint="eastAsia"/>
          <w:sz w:val="28"/>
        </w:rPr>
      </w:pPr>
      <w:r>
        <w:rPr>
          <w:rFonts w:hint="eastAsia"/>
          <w:sz w:val="28"/>
        </w:rPr>
        <w:t>楼层：55层（包括地下3层，地上52层）；</w:t>
      </w:r>
    </w:p>
    <w:p>
      <w:pPr>
        <w:pStyle w:val="Normal0"/>
        <w:spacing w:line="480" w:lineRule="auto"/>
        <w:ind w:left="899" w:firstLine="3640" w:leftChars="428" w:firstLineChars="1300"/>
        <w:rPr>
          <w:rFonts w:hint="eastAsia"/>
          <w:color w:val="333333"/>
          <w:sz w:val="28"/>
        </w:rPr>
      </w:pPr>
      <w:r>
        <w:rPr>
          <w:rFonts w:hint="eastAsia"/>
          <w:color w:val="333333"/>
          <w:sz w:val="28"/>
        </w:rPr>
        <w:t>物业总面积：77344平方米</w:t>
      </w:r>
    </w:p>
    <w:p>
      <w:pPr>
        <w:pStyle w:val="Normal0"/>
        <w:spacing w:line="480" w:lineRule="auto"/>
        <w:ind w:left="899" w:firstLine="3643" w:leftChars="428" w:firstLineChars="1301"/>
        <w:rPr>
          <w:rFonts w:hint="eastAsia"/>
          <w:sz w:val="28"/>
        </w:rPr>
      </w:pPr>
      <w:r>
        <w:rPr>
          <w:rFonts w:hint="eastAsia"/>
          <w:color w:val="333333"/>
          <w:sz w:val="28"/>
        </w:rPr>
        <w:t>可租售总面积：40000平方米</w:t>
      </w:r>
    </w:p>
    <w:p>
      <w:pPr>
        <w:pStyle w:val="Normal0"/>
        <w:spacing w:line="480" w:lineRule="auto"/>
        <w:ind w:left="899" w:leftChars="428"/>
        <w:rPr>
          <w:rFonts w:hint="eastAsia"/>
          <w:sz w:val="28"/>
        </w:rPr>
      </w:pPr>
      <w:r>
        <w:rPr>
          <w:rFonts w:hint="eastAsia"/>
          <w:sz w:val="28"/>
        </w:rPr>
        <w:t xml:space="preserve">            </w:t>
      </w:r>
    </w:p>
    <w:p>
      <w:pPr>
        <w:pStyle w:val="Normal0"/>
        <w:spacing w:line="480" w:lineRule="auto"/>
        <w:ind w:left="899" w:firstLine="3640" w:leftChars="428" w:firstLineChars="1300"/>
        <w:rPr>
          <w:rFonts w:hint="eastAsia"/>
          <w:sz w:val="28"/>
        </w:rPr>
      </w:pPr>
      <w:r>
        <w:rPr>
          <w:rFonts w:hint="eastAsia"/>
          <w:sz w:val="28"/>
        </w:rPr>
        <w:t>目前楼层分配：</w:t>
      </w:r>
    </w:p>
    <w:p>
      <w:pPr>
        <w:pStyle w:val="Normal0"/>
        <w:spacing w:line="480" w:lineRule="auto"/>
        <w:ind w:left="899" w:firstLine="3640" w:leftChars="428" w:firstLineChars="1300"/>
        <w:rPr>
          <w:rFonts w:hint="eastAsia"/>
          <w:color w:val="000000"/>
          <w:sz w:val="28"/>
        </w:rPr>
      </w:pPr>
      <w:r>
        <w:rPr>
          <w:rFonts w:hint="eastAsia"/>
          <w:color w:val="000000"/>
          <w:sz w:val="28"/>
        </w:rPr>
        <w:t>1－13层：</w:t>
      </w:r>
      <w:r>
        <w:rPr>
          <w:rFonts w:hint="eastAsia"/>
          <w:color w:val="808080"/>
          <w:sz w:val="28"/>
        </w:rPr>
        <w:t>———————————————————————————————————</w:t>
      </w:r>
      <w:r>
        <w:rPr>
          <w:rFonts w:hint="eastAsia"/>
          <w:color w:val="000000"/>
          <w:sz w:val="28"/>
        </w:rPr>
        <w:t xml:space="preserve"> 大连商业银行；</w:t>
      </w:r>
    </w:p>
    <w:p>
      <w:pPr>
        <w:pStyle w:val="Normal0"/>
        <w:spacing w:line="480" w:lineRule="auto"/>
        <w:ind w:left="899" w:firstLine="3640" w:leftChars="428" w:firstLineChars="1300"/>
        <w:rPr>
          <w:rFonts w:hint="eastAsia"/>
          <w:color w:val="000000"/>
          <w:sz w:val="28"/>
        </w:rPr>
      </w:pPr>
      <w:r>
        <w:rPr>
          <w:rFonts w:hint="eastAsia"/>
          <w:color w:val="000000"/>
          <w:sz w:val="28"/>
        </w:rPr>
        <w:t>15层(原14层)，31层：</w:t>
      </w:r>
      <w:r>
        <w:rPr>
          <w:rFonts w:hint="eastAsia"/>
          <w:color w:val="808080"/>
          <w:sz w:val="28"/>
        </w:rPr>
        <w:t>—————————————————————————————</w:t>
      </w:r>
      <w:r>
        <w:rPr>
          <w:rFonts w:hint="eastAsia"/>
          <w:color w:val="000000"/>
          <w:sz w:val="28"/>
        </w:rPr>
        <w:t xml:space="preserve"> 小户型办公房；</w:t>
      </w:r>
    </w:p>
    <w:p>
      <w:pPr>
        <w:pStyle w:val="Normal0"/>
        <w:spacing w:line="480" w:lineRule="auto"/>
        <w:ind w:left="899" w:firstLine="3640" w:leftChars="428" w:firstLineChars="1300"/>
        <w:rPr>
          <w:rFonts w:hint="eastAsia"/>
          <w:color w:val="000000"/>
          <w:sz w:val="28"/>
        </w:rPr>
      </w:pPr>
      <w:r>
        <w:rPr>
          <w:rFonts w:hint="eastAsia"/>
          <w:color w:val="000000"/>
          <w:sz w:val="28"/>
        </w:rPr>
        <w:t>M层，30层，46(原45层)：</w:t>
      </w:r>
      <w:r>
        <w:rPr>
          <w:rFonts w:hint="eastAsia"/>
          <w:color w:val="808080"/>
          <w:sz w:val="28"/>
        </w:rPr>
        <w:t>———————</w:t>
      </w:r>
      <w:r>
        <w:rPr>
          <w:rFonts w:hint="eastAsia"/>
          <w:color w:val="808080"/>
          <w:spacing w:val="2"/>
          <w:sz w:val="28"/>
        </w:rPr>
        <w:t>—————</w:t>
      </w:r>
      <w:r>
        <w:rPr>
          <w:rFonts w:hint="eastAsia"/>
          <w:color w:val="808080"/>
          <w:sz w:val="28"/>
        </w:rPr>
        <w:t>——————————————————</w:t>
      </w:r>
      <w:r>
        <w:rPr>
          <w:rFonts w:hint="eastAsia"/>
          <w:color w:val="000000"/>
          <w:spacing w:val="2"/>
          <w:sz w:val="28"/>
        </w:rPr>
        <w:t xml:space="preserve"> 避难层；</w:t>
      </w:r>
    </w:p>
    <w:p>
      <w:pPr>
        <w:pStyle w:val="Normal0"/>
        <w:spacing w:line="480" w:lineRule="auto"/>
        <w:ind w:left="899" w:firstLine="3640" w:leftChars="428" w:firstLineChars="1300"/>
        <w:rPr>
          <w:rFonts w:hint="eastAsia"/>
          <w:color w:val="000000"/>
          <w:sz w:val="28"/>
        </w:rPr>
      </w:pPr>
      <w:r>
        <w:rPr>
          <w:rFonts w:hint="eastAsia"/>
          <w:color w:val="000000"/>
          <w:sz w:val="28"/>
        </w:rPr>
        <w:t>16－29层，32－46层(44层没有)，47－52层：</w:t>
      </w:r>
      <w:r>
        <w:rPr>
          <w:rFonts w:hint="eastAsia"/>
          <w:color w:val="808080"/>
          <w:sz w:val="28"/>
        </w:rPr>
        <w:t xml:space="preserve">—————————————————————— </w:t>
      </w:r>
      <w:r>
        <w:rPr>
          <w:rFonts w:hint="eastAsia"/>
          <w:color w:val="000000"/>
          <w:sz w:val="28"/>
        </w:rPr>
        <w:t>标准层。</w:t>
      </w:r>
    </w:p>
    <w:p>
      <w:pPr>
        <w:pStyle w:val="Normal0"/>
        <w:spacing w:line="480" w:lineRule="auto"/>
        <w:ind w:left="899" w:leftChars="428"/>
        <w:rPr>
          <w:rFonts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hint="eastAsia"/>
          <w:sz w:val="28"/>
        </w:rPr>
        <w:t xml:space="preserve">        </w:t>
      </w:r>
    </w:p>
    <w:p>
      <w:pPr>
        <w:pStyle w:val="Heading2"/>
        <w:numPr>
          <w:ilvl w:val="1"/>
          <w:numId w:val="1"/>
        </w:numPr>
        <w:tabs>
          <w:tab w:val="left" w:pos="720"/>
          <w:tab w:val="clear" w:pos="992"/>
        </w:tabs>
        <w:ind w:left="-178" w:firstLine="0" w:leftChars="-85"/>
        <w:rPr>
          <w:rFonts w:hint="eastAsia"/>
          <w:b w:val="0"/>
          <w:bCs/>
          <w:sz w:val="44"/>
        </w:rPr>
      </w:pPr>
      <w:r>
        <w:rPr>
          <w:rFonts w:hint="eastAsia"/>
          <w:b w:val="0"/>
          <w:bCs/>
          <w:sz w:val="44"/>
          <w:lang w:eastAsia="zh-CN"/>
        </w:rPr>
        <w:t>相关项目</w:t>
      </w:r>
      <w:r>
        <w:rPr>
          <w:rFonts w:hint="eastAsia"/>
          <w:b w:val="0"/>
          <w:bCs/>
          <w:sz w:val="44"/>
        </w:rPr>
        <w:t>环境分析</w:t>
      </w:r>
    </w:p>
    <w:p>
      <w:pPr>
        <w:pStyle w:val="Normal0"/>
        <w:ind w:firstLine="2"/>
        <w:rPr>
          <w:rFonts w:eastAsia="黑体" w:hint="eastAsia"/>
          <w:sz w:val="36"/>
        </w:rPr>
      </w:pPr>
      <w:r>
        <w:rPr>
          <w:rFonts w:eastAsia="黑体" w:hint="eastAsia"/>
          <w:sz w:val="36"/>
        </w:rPr>
        <w:t>1.2. 1区域环境分析</w:t>
      </w:r>
    </w:p>
    <w:p>
      <w:pPr>
        <w:pStyle w:val="Normal0"/>
        <w:ind w:firstLine="2"/>
        <w:rPr>
          <w:rFonts w:eastAsia="黑体" w:hint="eastAsia"/>
          <w:sz w:val="32"/>
        </w:rPr>
      </w:pPr>
      <w:r>
        <w:rPr>
          <w:rFonts w:eastAsia="黑体" w:hint="eastAsia"/>
          <w:sz w:val="32"/>
        </w:rPr>
        <w:t>1.2. 1. 1大环境分析</w:t>
      </w:r>
    </w:p>
    <w:p>
      <w:pPr>
        <w:pStyle w:val="Normal0"/>
        <w:ind w:firstLine="1"/>
        <w:rPr>
          <w:rFonts w:ascii="黑体" w:eastAsia="黑体" w:hAnsi="宋体" w:hint="eastAsia"/>
          <w:spacing w:val="8"/>
          <w:sz w:val="32"/>
          <w:szCs w:val="18"/>
        </w:rPr>
      </w:pPr>
      <w:r>
        <w:rPr>
          <w:rFonts w:ascii="黑体" w:eastAsia="黑体" w:hAnsi="宋体" w:hint="eastAsia"/>
          <w:spacing w:val="8"/>
          <w:sz w:val="32"/>
          <w:szCs w:val="18"/>
        </w:rPr>
        <w:t>政策导向</w:t>
      </w:r>
    </w:p>
    <w:p>
      <w:pPr>
        <w:pStyle w:val="Normal0"/>
        <w:rPr>
          <w:rFonts w:ascii="宋体" w:hAnsi="宋体" w:hint="eastAsia"/>
          <w:sz w:val="28"/>
        </w:rPr>
      </w:pPr>
      <w:r>
        <w:rPr>
          <w:rFonts w:ascii="宋体" w:hAnsi="宋体" w:hint="eastAsia"/>
          <w:sz w:val="28"/>
        </w:rPr>
        <w:t>1）东北大开发的国家战略背景及</w:t>
      </w:r>
      <w:r>
        <w:rPr>
          <w:color w:val="000000"/>
          <w:sz w:val="28"/>
        </w:rPr>
        <w:t>东北老工业基地振兴的契机</w:t>
      </w:r>
      <w:r>
        <w:rPr>
          <w:rFonts w:ascii="宋体" w:hAnsi="宋体" w:hint="eastAsia"/>
          <w:sz w:val="28"/>
        </w:rPr>
        <w:t>给商业物业的稳步需求带来利好的软环境。</w:t>
      </w:r>
    </w:p>
    <w:p>
      <w:pPr>
        <w:pStyle w:val="Normal0"/>
        <w:rPr>
          <w:rFonts w:ascii="宋体" w:hAnsi="宋体" w:hint="eastAsia"/>
          <w:sz w:val="28"/>
        </w:rPr>
      </w:pPr>
      <w:r>
        <w:rPr>
          <w:rFonts w:ascii="宋体" w:hAnsi="宋体" w:hint="eastAsia"/>
          <w:sz w:val="28"/>
        </w:rPr>
        <w:t>2）城市亮点工程，本</w:t>
      </w:r>
      <w:r>
        <w:rPr>
          <w:rFonts w:ascii="宋体" w:hAnsi="宋体" w:hint="eastAsia"/>
          <w:sz w:val="28"/>
          <w:lang w:eastAsia="zh-CN"/>
        </w:rPr>
        <w:t>相关项目</w:t>
      </w:r>
      <w:r>
        <w:rPr>
          <w:rFonts w:ascii="宋体" w:hAnsi="宋体" w:hint="eastAsia"/>
          <w:sz w:val="28"/>
        </w:rPr>
        <w:t>备受关注。</w:t>
      </w:r>
    </w:p>
    <w:p>
      <w:pPr>
        <w:pStyle w:val="Normal0"/>
        <w:tabs>
          <w:tab w:val="left" w:pos="360"/>
        </w:tabs>
        <w:rPr>
          <w:rFonts w:ascii="宋体" w:hAnsi="宋体" w:hint="eastAsia"/>
          <w:sz w:val="28"/>
        </w:rPr>
      </w:pPr>
      <w:r>
        <w:rPr>
          <w:rFonts w:ascii="宋体" w:hAnsi="宋体" w:hint="eastAsia"/>
          <w:sz w:val="28"/>
        </w:rPr>
        <w:t>3）大规模招商引资促进大连市整体产业升级。</w:t>
      </w:r>
    </w:p>
    <w:p>
      <w:pPr>
        <w:pStyle w:val="Normal0"/>
        <w:tabs>
          <w:tab w:val="left" w:pos="360"/>
        </w:tabs>
        <w:ind w:firstLine="1"/>
        <w:rPr>
          <w:rFonts w:ascii="宋体" w:hAnsi="宋体" w:hint="eastAsia"/>
          <w:spacing w:val="8"/>
          <w:sz w:val="28"/>
          <w:szCs w:val="18"/>
        </w:rPr>
      </w:pPr>
      <w:r>
        <w:rPr>
          <w:rFonts w:ascii="宋体" w:hAnsi="宋体" w:hint="eastAsia"/>
          <w:sz w:val="28"/>
        </w:rPr>
        <w:t>市政府加大了整个大连市的开发力度。市政配套日渐成熟。逐渐形成具有国际化影响的商务商业氛围。</w:t>
      </w:r>
      <w:r>
        <w:rPr>
          <w:rFonts w:ascii="宋体" w:hAnsi="宋体" w:hint="eastAsia"/>
          <w:spacing w:val="8"/>
          <w:sz w:val="28"/>
          <w:szCs w:val="18"/>
        </w:rPr>
        <w:t>招商引资取得新突破。催生大量外资企业入驻大连。</w:t>
      </w:r>
    </w:p>
    <w:p>
      <w:pPr>
        <w:pStyle w:val="Normal0"/>
        <w:tabs>
          <w:tab w:val="left" w:pos="360"/>
        </w:tabs>
        <w:ind w:left="280" w:hanging="280" w:hangingChars="100"/>
        <w:rPr>
          <w:rFonts w:ascii="宋体" w:hAnsi="宋体" w:hint="eastAsia"/>
          <w:spacing w:val="8"/>
          <w:sz w:val="28"/>
          <w:szCs w:val="18"/>
        </w:rPr>
      </w:pPr>
      <w:r>
        <w:rPr>
          <w:rFonts w:ascii="宋体" w:hAnsi="宋体" w:hint="eastAsia"/>
          <w:spacing w:val="8"/>
          <w:sz w:val="28"/>
          <w:szCs w:val="18"/>
        </w:rPr>
        <w:t>4）大量的国际级赛事及展览，迅速提升大连的整体城市地位，逐步形成产业亮点。历届成功举办“软交会”给大连市软件产业的飞速发展奠定良好的基础。</w:t>
      </w:r>
    </w:p>
    <w:p>
      <w:pPr>
        <w:pStyle w:val="Normal0"/>
        <w:tabs>
          <w:tab w:val="left" w:pos="360"/>
        </w:tabs>
        <w:rPr>
          <w:rFonts w:ascii="宋体" w:hAnsi="宋体" w:hint="eastAsia"/>
          <w:sz w:val="28"/>
        </w:rPr>
      </w:pPr>
      <w:r>
        <w:rPr>
          <w:rFonts w:ascii="宋体" w:hAnsi="宋体" w:hint="eastAsia"/>
          <w:sz w:val="28"/>
        </w:rPr>
        <w:t>5）低廉的产业成本结构，促进资本的洼地效应产生。</w:t>
      </w:r>
    </w:p>
    <w:p>
      <w:pPr>
        <w:pStyle w:val="Normal0"/>
        <w:tabs>
          <w:tab w:val="left" w:pos="360"/>
        </w:tabs>
        <w:rPr>
          <w:rFonts w:ascii="宋体" w:hAnsi="宋体" w:hint="eastAsia"/>
          <w:sz w:val="28"/>
        </w:rPr>
      </w:pPr>
      <w:r>
        <w:rPr>
          <w:rFonts w:ascii="宋体" w:hAnsi="宋体" w:hint="eastAsia"/>
          <w:sz w:val="28"/>
        </w:rPr>
        <w:t>6）大量的商务投资热情促进物业的有效需求。</w:t>
      </w:r>
    </w:p>
    <w:p>
      <w:pPr>
        <w:pStyle w:val="Normal0"/>
        <w:tabs>
          <w:tab w:val="left" w:pos="360"/>
        </w:tabs>
        <w:ind w:firstLine="1"/>
        <w:rPr>
          <w:rFonts w:ascii="宋体" w:hAnsi="宋体" w:hint="eastAsia"/>
          <w:sz w:val="28"/>
        </w:rPr>
      </w:pPr>
      <w:r>
        <w:rPr>
          <w:rFonts w:ascii="宋体" w:hAnsi="宋体" w:hint="eastAsia"/>
          <w:sz w:val="28"/>
        </w:rPr>
        <w:t>7）目前，国家加大对房地产及金融政策的宏观调控，使消费信心深受影响，加重了民众持币观望的心态。</w:t>
      </w:r>
    </w:p>
    <w:p>
      <w:pPr>
        <w:pStyle w:val="Normal0"/>
        <w:ind w:firstLine="1"/>
        <w:rPr>
          <w:rFonts w:eastAsia="黑体" w:hint="eastAsia"/>
          <w:sz w:val="28"/>
        </w:rPr>
      </w:pPr>
      <w:r>
        <w:rPr>
          <w:rFonts w:ascii="宋体" w:hAnsi="宋体" w:hint="eastAsia"/>
          <w:sz w:val="28"/>
        </w:rPr>
        <w:t>8）高端物业的使用需求放缓，投资者信心将受到影响。</w:t>
      </w:r>
    </w:p>
    <w:p>
      <w:pPr>
        <w:pStyle w:val="Normal0"/>
        <w:rPr>
          <w:rFonts w:eastAsia="黑体"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宋体" w:hAnsi="宋体" w:hint="eastAsia"/>
          <w:sz w:val="28"/>
        </w:rPr>
        <w:t>9）目前央行已停止对商业物业的按揭贷款，遏制了大量投资客户购买本案物业。</w:t>
      </w:r>
    </w:p>
    <w:p>
      <w:pPr>
        <w:pStyle w:val="Normal0"/>
        <w:ind w:firstLine="560" w:firstLineChars="200"/>
        <w:rPr>
          <w:rFonts w:eastAsia="黑体" w:hint="eastAsia"/>
          <w:sz w:val="28"/>
        </w:rPr>
      </w:pPr>
    </w:p>
    <w:p>
      <w:pPr>
        <w:pStyle w:val="Normal0"/>
        <w:tabs>
          <w:tab w:val="left" w:pos="360"/>
        </w:tabs>
        <w:rPr>
          <w:rFonts w:eastAsia="黑体" w:hint="eastAsia"/>
          <w:sz w:val="32"/>
        </w:rPr>
      </w:pPr>
      <w:r>
        <w:rPr>
          <w:rFonts w:eastAsia="黑体" w:hint="eastAsia"/>
          <w:sz w:val="32"/>
        </w:rPr>
        <w:t>城市地位</w:t>
      </w:r>
    </w:p>
    <w:p>
      <w:pPr>
        <w:pStyle w:val="Normal0"/>
        <w:rPr>
          <w:rFonts w:hint="eastAsia"/>
          <w:sz w:val="28"/>
        </w:rPr>
      </w:pPr>
      <w:r>
        <w:rPr>
          <w:rFonts w:hint="eastAsia"/>
          <w:sz w:val="28"/>
        </w:rPr>
        <w:t>1）大连的城市基础定位和大开发桥头堡地位使甲级物业面临良好的机遇。</w:t>
      </w:r>
    </w:p>
    <w:p>
      <w:pPr>
        <w:pStyle w:val="Normal0"/>
        <w:rPr>
          <w:rFonts w:hint="eastAsia"/>
          <w:sz w:val="28"/>
        </w:rPr>
      </w:pPr>
      <w:r>
        <w:rPr>
          <w:rFonts w:hint="eastAsia"/>
          <w:sz w:val="28"/>
        </w:rPr>
        <w:t>2）滨海花园城市。</w:t>
      </w:r>
    </w:p>
    <w:p>
      <w:pPr>
        <w:pStyle w:val="Normal0"/>
        <w:rPr>
          <w:rFonts w:hint="eastAsia"/>
          <w:sz w:val="28"/>
        </w:rPr>
      </w:pPr>
      <w:r>
        <w:rPr>
          <w:rFonts w:hint="eastAsia"/>
          <w:sz w:val="28"/>
        </w:rPr>
        <w:t>3）港口城市（国际航运中心），打造</w:t>
      </w:r>
      <w:r>
        <w:rPr>
          <w:color w:val="000000"/>
          <w:sz w:val="28"/>
          <w:szCs w:val="27"/>
        </w:rPr>
        <w:t>一体化国际物流港</w:t>
      </w:r>
      <w:r>
        <w:rPr>
          <w:rFonts w:hint="eastAsia"/>
          <w:color w:val="000000"/>
          <w:sz w:val="28"/>
          <w:szCs w:val="27"/>
        </w:rPr>
        <w:t>。</w:t>
      </w:r>
    </w:p>
    <w:p>
      <w:pPr>
        <w:pStyle w:val="Normal0"/>
        <w:rPr>
          <w:rFonts w:hint="eastAsia"/>
          <w:sz w:val="28"/>
        </w:rPr>
      </w:pPr>
      <w:r>
        <w:rPr>
          <w:rFonts w:hint="eastAsia"/>
          <w:sz w:val="28"/>
        </w:rPr>
        <w:t>4）大规模的城市建设和旧城改造。</w:t>
      </w:r>
    </w:p>
    <w:p>
      <w:pPr>
        <w:pStyle w:val="Normal0"/>
        <w:rPr>
          <w:rFonts w:hint="eastAsia"/>
          <w:sz w:val="28"/>
        </w:rPr>
      </w:pPr>
      <w:r>
        <w:rPr>
          <w:rFonts w:hint="eastAsia"/>
          <w:sz w:val="28"/>
        </w:rPr>
        <w:t>5）新的投资热点地区，以IT软件产业为特征的投资群聚效应产生。</w:t>
      </w:r>
    </w:p>
    <w:p>
      <w:pPr>
        <w:pStyle w:val="Normal0"/>
        <w:rPr>
          <w:rFonts w:hint="eastAsia"/>
          <w:sz w:val="28"/>
        </w:rPr>
      </w:pPr>
      <w:r>
        <w:rPr>
          <w:rFonts w:hint="eastAsia"/>
          <w:sz w:val="28"/>
        </w:rPr>
        <w:t>6）典型的展览型城市，对带动相关资讯服务行业创造良好机遇。</w:t>
      </w:r>
    </w:p>
    <w:p>
      <w:pPr>
        <w:pStyle w:val="Normal0"/>
        <w:rPr>
          <w:rFonts w:hint="eastAsia"/>
          <w:sz w:val="28"/>
        </w:rPr>
      </w:pPr>
    </w:p>
    <w:p>
      <w:pPr>
        <w:pStyle w:val="Normal0"/>
        <w:rPr>
          <w:rFonts w:eastAsia="黑体" w:hint="eastAsia"/>
          <w:sz w:val="32"/>
        </w:rPr>
      </w:pPr>
      <w:r>
        <w:rPr>
          <w:rFonts w:eastAsia="黑体" w:hint="eastAsia"/>
          <w:sz w:val="32"/>
        </w:rPr>
        <w:t>产业格局</w:t>
      </w:r>
    </w:p>
    <w:p>
      <w:pPr>
        <w:pStyle w:val="Normal0"/>
        <w:rPr>
          <w:rFonts w:hint="eastAsia"/>
          <w:sz w:val="28"/>
        </w:rPr>
      </w:pPr>
      <w:r>
        <w:rPr>
          <w:rFonts w:hint="eastAsia"/>
          <w:sz w:val="28"/>
        </w:rPr>
        <w:t>CBD：中央商务区。聚集城市商务、金融、贸易、资讯和人才资源。</w:t>
      </w:r>
    </w:p>
    <w:p>
      <w:pPr>
        <w:pStyle w:val="Normal0"/>
        <w:rPr>
          <w:rFonts w:hint="eastAsia"/>
          <w:sz w:val="28"/>
        </w:rPr>
      </w:pPr>
      <w:r>
        <w:rPr>
          <w:rFonts w:hint="eastAsia"/>
          <w:sz w:val="28"/>
        </w:rPr>
        <w:t>CED：中央休闲娱乐区。要求紧邻CBD，处于CBD核心区域的辐射范围内。体现最大商务成本。</w:t>
      </w:r>
    </w:p>
    <w:p>
      <w:pPr>
        <w:pStyle w:val="Normal0"/>
        <w:ind w:left="840" w:hanging="840" w:hangingChars="300"/>
        <w:rPr>
          <w:rFonts w:hint="eastAsia"/>
          <w:sz w:val="28"/>
        </w:rPr>
      </w:pPr>
      <w:r>
        <w:rPr>
          <w:rFonts w:hint="eastAsia"/>
          <w:sz w:val="28"/>
        </w:rPr>
        <w:t>CLD：中央居住区。CBD邻近区域范围，交通经营成本低廉；星海新区中心，规模配套；同质高素质社区，CBD群类聚集领地，CBD生活形态领域；居住为主兼顾商务功能。</w:t>
      </w:r>
    </w:p>
    <w:p>
      <w:pPr>
        <w:pStyle w:val="Normal0"/>
        <w:ind w:left="840" w:hanging="840" w:hangingChars="300"/>
        <w:rPr>
          <w:rFonts w:hint="eastAsia"/>
          <w:color w:val="000000"/>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hint="eastAsia"/>
          <w:color w:val="000000"/>
          <w:sz w:val="28"/>
          <w:szCs w:val="19"/>
        </w:rPr>
        <w:t>另外</w:t>
      </w:r>
      <w:r>
        <w:rPr>
          <w:color w:val="000000"/>
          <w:sz w:val="28"/>
          <w:szCs w:val="19"/>
        </w:rPr>
        <w:t>四大专业园区</w:t>
      </w:r>
      <w:r>
        <w:rPr>
          <w:rFonts w:hint="eastAsia"/>
          <w:color w:val="000000"/>
          <w:sz w:val="28"/>
          <w:szCs w:val="19"/>
        </w:rPr>
        <w:t>的建设，为本案的入市提供良好的契机，即</w:t>
      </w:r>
      <w:r>
        <w:rPr>
          <w:color w:val="000000"/>
          <w:sz w:val="28"/>
          <w:szCs w:val="19"/>
        </w:rPr>
        <w:t>双岛湾石化园、旅顺南路软件园、大窑湾国际物流园、星海湾期货中心等</w:t>
      </w:r>
      <w:r>
        <w:rPr>
          <w:rFonts w:hint="eastAsia"/>
          <w:color w:val="000000"/>
          <w:sz w:val="28"/>
          <w:szCs w:val="19"/>
          <w:lang w:eastAsia="zh-CN"/>
        </w:rPr>
        <w:t>相关项目</w:t>
      </w:r>
      <w:r>
        <w:rPr>
          <w:color w:val="000000"/>
          <w:sz w:val="28"/>
          <w:szCs w:val="19"/>
        </w:rPr>
        <w:t>，其中起主导作用的是国际物流园；把大孤山半岛进行全面规划，作为保税国际物流园的基地，国际物流</w:t>
      </w:r>
      <w:r>
        <w:rPr>
          <w:rFonts w:hint="eastAsia"/>
          <w:color w:val="000000"/>
          <w:sz w:val="28"/>
          <w:szCs w:val="19"/>
        </w:rPr>
        <w:t>成为</w:t>
      </w:r>
    </w:p>
    <w:p>
      <w:pPr>
        <w:pStyle w:val="Normal0"/>
        <w:ind w:left="840" w:hanging="840" w:hangingChars="300"/>
        <w:rPr>
          <w:rFonts w:hint="eastAsia"/>
          <w:color w:val="000000"/>
          <w:sz w:val="28"/>
        </w:rPr>
      </w:pPr>
      <w:r>
        <w:rPr>
          <w:color w:val="000000"/>
          <w:sz w:val="28"/>
          <w:szCs w:val="19"/>
        </w:rPr>
        <w:t>为主要功能</w:t>
      </w:r>
      <w:r>
        <w:rPr>
          <w:rFonts w:hint="eastAsia"/>
          <w:color w:val="000000"/>
          <w:sz w:val="28"/>
          <w:szCs w:val="19"/>
        </w:rPr>
        <w:t>，</w:t>
      </w:r>
      <w:r>
        <w:rPr>
          <w:color w:val="000000"/>
          <w:sz w:val="28"/>
          <w:szCs w:val="19"/>
        </w:rPr>
        <w:t>建立起大连港基础设施建设平台和运作体系，最大限度地发挥港口资源</w:t>
      </w:r>
      <w:r>
        <w:rPr>
          <w:rFonts w:hint="eastAsia"/>
          <w:color w:val="000000"/>
          <w:sz w:val="28"/>
          <w:szCs w:val="19"/>
        </w:rPr>
        <w:t>。</w:t>
      </w:r>
    </w:p>
    <w:p>
      <w:pPr>
        <w:pStyle w:val="Normal0"/>
        <w:ind w:left="3419" w:leftChars="1628"/>
        <w:rPr>
          <w:rFonts w:eastAsia="黑体" w:hint="eastAsia"/>
          <w:sz w:val="32"/>
        </w:rPr>
      </w:pPr>
    </w:p>
    <w:p>
      <w:pPr>
        <w:pStyle w:val="Normal0"/>
        <w:rPr>
          <w:rFonts w:eastAsia="黑体" w:hint="eastAsia"/>
          <w:sz w:val="30"/>
        </w:rPr>
      </w:pPr>
      <w:r>
        <w:rPr>
          <w:rFonts w:eastAsia="黑体" w:hint="eastAsia"/>
          <w:sz w:val="32"/>
        </w:rPr>
        <w:t>1.2. 1. 2小环境分析</w:t>
      </w:r>
    </w:p>
    <w:p>
      <w:pPr>
        <w:pStyle w:val="Normal0"/>
        <w:rPr>
          <w:rFonts w:ascii="黑体" w:eastAsia="黑体" w:hint="eastAsia"/>
          <w:sz w:val="32"/>
        </w:rPr>
      </w:pPr>
      <w:r>
        <w:rPr>
          <w:rFonts w:ascii="黑体" w:eastAsia="黑体" w:hint="eastAsia"/>
          <w:sz w:val="32"/>
        </w:rPr>
        <w:t>1）态（外在竞争环境分析）</w:t>
      </w:r>
    </w:p>
    <w:p>
      <w:pPr>
        <w:pStyle w:val="Normal0"/>
        <w:rPr>
          <w:rFonts w:eastAsia="黑体" w:hint="eastAsia"/>
          <w:sz w:val="28"/>
        </w:rPr>
      </w:pPr>
      <w:r>
        <w:rPr>
          <w:rFonts w:eastAsia="黑体" w:hint="eastAsia"/>
          <w:sz w:val="28"/>
        </w:rPr>
        <w:t>中山广场与友好广场：</w:t>
      </w:r>
    </w:p>
    <w:p>
      <w:pPr>
        <w:pStyle w:val="Normal0"/>
        <w:ind w:firstLine="560" w:firstLineChars="200"/>
        <w:rPr>
          <w:rFonts w:hint="eastAsia"/>
          <w:color w:val="FF0000"/>
          <w:sz w:val="28"/>
        </w:rPr>
      </w:pPr>
      <w:r>
        <w:rPr>
          <w:rFonts w:ascii="宋体" w:hAnsi="宋体" w:hint="eastAsia"/>
          <w:sz w:val="28"/>
        </w:rPr>
        <w:t>大连市中山广场以东约一公里半径范围为真正意义上的商务区，友好广场以西至希望广场为商业中心，现大连市商务区西扩，中山广场至友好广场商务氛围已初步形成，本</w:t>
      </w:r>
      <w:r>
        <w:rPr>
          <w:rFonts w:ascii="宋体" w:hAnsi="宋体" w:hint="eastAsia"/>
          <w:sz w:val="28"/>
          <w:lang w:eastAsia="zh-CN"/>
        </w:rPr>
        <w:t>相关项目</w:t>
      </w:r>
      <w:r>
        <w:rPr>
          <w:rFonts w:ascii="宋体" w:hAnsi="宋体" w:hint="eastAsia"/>
          <w:sz w:val="28"/>
        </w:rPr>
        <w:t>位于友好广场以西约200－300米，西侧及南侧均为繁华商业区，东侧则迎向商务区西扩的边缘，</w:t>
      </w:r>
      <w:r>
        <w:rPr>
          <w:rFonts w:ascii="宋体" w:hAnsi="宋体" w:hint="eastAsia"/>
          <w:color w:val="333333"/>
          <w:sz w:val="28"/>
        </w:rPr>
        <w:t>在地理位置上，更接近传统商业区。</w:t>
      </w:r>
    </w:p>
    <w:p>
      <w:pPr>
        <w:pStyle w:val="Normal0"/>
        <w:rPr>
          <w:rFonts w:eastAsia="黑体" w:hint="eastAsia"/>
          <w:sz w:val="28"/>
        </w:rPr>
      </w:pPr>
      <w:r>
        <w:rPr>
          <w:rFonts w:eastAsia="黑体" w:hint="eastAsia"/>
          <w:sz w:val="28"/>
        </w:rPr>
        <w:t>青泥洼：</w:t>
      </w:r>
    </w:p>
    <w:p>
      <w:pPr>
        <w:pStyle w:val="Normal0"/>
        <w:ind w:firstLine="560" w:firstLineChars="200"/>
        <w:rPr>
          <w:rFonts w:hint="eastAsia"/>
          <w:sz w:val="28"/>
        </w:rPr>
      </w:pPr>
      <w:r>
        <w:rPr>
          <w:rFonts w:hint="eastAsia"/>
          <w:sz w:val="28"/>
        </w:rPr>
        <w:t>大连现有商业繁华区域，典型的商业中心CED（市场先机，人气导入，效应显著，政策保障，发展大势，投资信心，大连市人民公认CED）</w:t>
      </w:r>
    </w:p>
    <w:p>
      <w:pPr>
        <w:pStyle w:val="Normal0"/>
        <w:rPr>
          <w:rFonts w:eastAsia="黑体" w:hint="eastAsia"/>
          <w:color w:val="000000"/>
          <w:sz w:val="28"/>
        </w:rPr>
      </w:pPr>
      <w:r>
        <w:rPr>
          <w:rFonts w:eastAsia="黑体"/>
          <w:color w:val="000000"/>
          <w:sz w:val="28"/>
          <w:szCs w:val="19"/>
        </w:rPr>
        <w:t>旅顺南路软件园</w:t>
      </w:r>
      <w:r>
        <w:rPr>
          <w:rFonts w:eastAsia="黑体" w:hint="eastAsia"/>
          <w:color w:val="000000"/>
          <w:sz w:val="28"/>
        </w:rPr>
        <w:t>：</w:t>
      </w:r>
    </w:p>
    <w:p>
      <w:pPr>
        <w:pStyle w:val="Normal0"/>
        <w:ind w:firstLine="560" w:firstLineChars="200"/>
        <w:rPr>
          <w:rFonts w:hint="eastAsia"/>
          <w:color w:val="000000"/>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color w:val="000000"/>
          <w:sz w:val="28"/>
        </w:rPr>
        <w:t>大连旅顺南路软件产业带的规划适逢其时，东北老工业基地振兴的契机，国家的信息化战略都将对大连发展软件和信息服务业起到巨大的推动作用，大连将有望成为东三省的软件和信息服务业中心，并且成为东北三省服务于全球软件和信息服务业的窗口</w:t>
      </w:r>
      <w:r>
        <w:rPr>
          <w:rFonts w:hint="eastAsia"/>
          <w:color w:val="000000"/>
          <w:sz w:val="28"/>
        </w:rPr>
        <w:t>，因此大连的软件企业将进驻大连，为本案的成功招商提供绝佳的机会。</w:t>
      </w:r>
    </w:p>
    <w:p>
      <w:pPr>
        <w:pStyle w:val="Normal0"/>
        <w:rPr>
          <w:rFonts w:hint="eastAsia"/>
          <w:color w:val="000000"/>
          <w:sz w:val="28"/>
        </w:rPr>
      </w:pPr>
    </w:p>
    <w:p>
      <w:pPr>
        <w:pStyle w:val="Normal0"/>
        <w:rPr>
          <w:rFonts w:ascii="黑体" w:eastAsia="黑体" w:hint="eastAsia"/>
          <w:sz w:val="30"/>
        </w:rPr>
      </w:pPr>
      <w:r>
        <w:rPr>
          <w:rFonts w:ascii="黑体" w:eastAsia="黑体" w:hint="eastAsia"/>
          <w:sz w:val="30"/>
        </w:rPr>
        <w:t>2）势（内在资源环境分析）</w:t>
      </w:r>
    </w:p>
    <w:p>
      <w:pPr>
        <w:pStyle w:val="Normal0"/>
        <w:rPr>
          <w:rFonts w:ascii="黑体" w:eastAsia="黑体" w:hint="eastAsia"/>
          <w:sz w:val="28"/>
        </w:rPr>
      </w:pPr>
      <w:r>
        <w:rPr>
          <w:rFonts w:ascii="黑体" w:eastAsia="黑体" w:hint="eastAsia"/>
          <w:sz w:val="28"/>
        </w:rPr>
        <w:t>构筑大连第一地标形象：</w:t>
      </w:r>
    </w:p>
    <w:p>
      <w:pPr>
        <w:pStyle w:val="Normal0"/>
        <w:ind w:firstLine="560" w:firstLineChars="200"/>
        <w:rPr>
          <w:rFonts w:hint="eastAsia"/>
          <w:sz w:val="28"/>
        </w:rPr>
      </w:pPr>
      <w:r>
        <w:rPr>
          <w:rFonts w:hint="eastAsia"/>
          <w:sz w:val="28"/>
        </w:rPr>
        <w:t>占据成熟的商业与商务两大利好，给本案成功招商奠定坚实的基础。亮丽高贵的物业形象，让本案成为东北闪耀的明珠。</w:t>
      </w:r>
    </w:p>
    <w:p>
      <w:pPr>
        <w:pStyle w:val="Normal0"/>
        <w:rPr>
          <w:rFonts w:ascii="黑体" w:eastAsia="黑体" w:hint="eastAsia"/>
          <w:sz w:val="28"/>
        </w:rPr>
      </w:pPr>
      <w:r>
        <w:rPr>
          <w:rFonts w:ascii="黑体" w:eastAsia="黑体" w:hint="eastAsia"/>
          <w:sz w:val="28"/>
        </w:rPr>
        <w:t>同时拥有CBD&amp;CED双重优势：</w:t>
      </w:r>
    </w:p>
    <w:p>
      <w:pPr>
        <w:pStyle w:val="Normal0"/>
        <w:ind w:firstLine="1"/>
        <w:rPr>
          <w:rFonts w:hint="eastAsia"/>
          <w:sz w:val="28"/>
        </w:rPr>
      </w:pPr>
      <w:r>
        <w:rPr>
          <w:rFonts w:hint="eastAsia"/>
          <w:sz w:val="28"/>
        </w:rPr>
        <w:t xml:space="preserve">    </w:t>
      </w:r>
    </w:p>
    <w:p>
      <w:pPr>
        <w:pStyle w:val="Normal0"/>
        <w:ind w:firstLine="560" w:firstLineChars="200"/>
        <w:rPr>
          <w:rFonts w:hint="eastAsia"/>
          <w:sz w:val="28"/>
        </w:rPr>
      </w:pPr>
      <w:r>
        <w:rPr>
          <w:rFonts w:hint="eastAsia"/>
          <w:sz w:val="28"/>
        </w:rPr>
        <w:t>靠近青泥洼商业核心区与中山路商务区，拥有成熟的商网，商业价值明显，无间断的顺延城市历史、人文积淀。经济商务成本低廉，CBD近郊，强大的CBD辐射影响＋拥有优越的景观（多维海景与劳动公园景观）品质。</w:t>
      </w:r>
    </w:p>
    <w:p>
      <w:pPr>
        <w:pStyle w:val="Normal0"/>
        <w:ind w:firstLine="1"/>
        <w:rPr>
          <w:rFonts w:hint="eastAsia"/>
          <w:sz w:val="28"/>
        </w:rPr>
      </w:pPr>
    </w:p>
    <w:p>
      <w:pPr>
        <w:pStyle w:val="Normal0"/>
        <w:rPr>
          <w:rFonts w:ascii="黑体" w:eastAsia="黑体" w:hint="eastAsia"/>
          <w:sz w:val="36"/>
        </w:rPr>
      </w:pPr>
      <w:r>
        <w:rPr>
          <w:rFonts w:ascii="黑体" w:eastAsia="黑体" w:hint="eastAsia"/>
          <w:sz w:val="36"/>
        </w:rPr>
        <w:t>1.2.2消费环境分析</w:t>
      </w:r>
    </w:p>
    <w:p>
      <w:pPr>
        <w:pStyle w:val="Normal0"/>
        <w:rPr>
          <w:rFonts w:eastAsia="黑体" w:hint="eastAsia"/>
          <w:sz w:val="32"/>
        </w:rPr>
      </w:pPr>
      <w:r>
        <w:rPr>
          <w:rFonts w:ascii="黑体" w:eastAsia="黑体" w:hint="eastAsia"/>
          <w:sz w:val="32"/>
        </w:rPr>
        <w:t>1．2．2．1</w:t>
      </w:r>
      <w:r>
        <w:rPr>
          <w:rFonts w:eastAsia="黑体" w:hint="eastAsia"/>
          <w:sz w:val="32"/>
        </w:rPr>
        <w:t>供给环境分析</w:t>
      </w:r>
    </w:p>
    <w:p>
      <w:pPr>
        <w:pStyle w:val="Normal0"/>
        <w:ind w:firstLine="1"/>
        <w:rPr>
          <w:rFonts w:ascii="宋体" w:hAnsi="宋体" w:hint="eastAsia"/>
          <w:sz w:val="28"/>
        </w:rPr>
      </w:pPr>
      <w:r>
        <w:rPr>
          <w:rFonts w:ascii="宋体" w:hAnsi="宋体" w:hint="eastAsia"/>
          <w:sz w:val="28"/>
        </w:rPr>
        <w:t>1）大量中高端商务物业的面世分流了大量客户。</w:t>
      </w:r>
    </w:p>
    <w:p>
      <w:pPr>
        <w:pStyle w:val="Normal0"/>
        <w:ind w:firstLine="1"/>
        <w:rPr>
          <w:rFonts w:ascii="黑体" w:eastAsia="黑体" w:hint="eastAsia"/>
          <w:sz w:val="30"/>
        </w:rPr>
      </w:pPr>
      <w:r>
        <w:rPr>
          <w:rFonts w:ascii="宋体" w:hAnsi="宋体" w:hint="eastAsia"/>
          <w:sz w:val="28"/>
        </w:rPr>
        <w:t>2）高端的类似本案的物业，与本案竞争激烈。</w:t>
      </w:r>
    </w:p>
    <w:p>
      <w:pPr>
        <w:pStyle w:val="Normal0"/>
        <w:rPr>
          <w:rFonts w:eastAsia="黑体" w:hint="eastAsia"/>
          <w:sz w:val="32"/>
        </w:rPr>
      </w:pPr>
      <w:r>
        <w:rPr>
          <w:rFonts w:ascii="黑体" w:eastAsia="黑体" w:hint="eastAsia"/>
          <w:sz w:val="32"/>
        </w:rPr>
        <w:t>1．2．2．2</w:t>
      </w:r>
      <w:r>
        <w:rPr>
          <w:rFonts w:eastAsia="黑体" w:hint="eastAsia"/>
          <w:sz w:val="32"/>
        </w:rPr>
        <w:t>需求环境分析</w:t>
      </w:r>
    </w:p>
    <w:p>
      <w:pPr>
        <w:pStyle w:val="Normal0"/>
        <w:tabs>
          <w:tab w:val="left" w:pos="360"/>
        </w:tabs>
        <w:rPr>
          <w:rFonts w:hint="eastAsia"/>
          <w:sz w:val="28"/>
        </w:rPr>
      </w:pPr>
      <w:r>
        <w:rPr>
          <w:rFonts w:hint="eastAsia"/>
          <w:sz w:val="28"/>
        </w:rPr>
        <w:t>1）大连市整体经济发展迅速，持续涌入的产业客户为本案提供有效的高端客户。</w:t>
      </w:r>
    </w:p>
    <w:p>
      <w:pPr>
        <w:pStyle w:val="Normal0"/>
        <w:tabs>
          <w:tab w:val="left" w:pos="360"/>
        </w:tabs>
        <w:rPr>
          <w:rFonts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hint="eastAsia"/>
          <w:sz w:val="28"/>
        </w:rPr>
        <w:t>2）</w:t>
      </w:r>
      <w:r>
        <w:rPr>
          <w:rFonts w:hint="eastAsia"/>
          <w:spacing w:val="-4"/>
          <w:sz w:val="28"/>
        </w:rPr>
        <w:t>企业的进一步良性发展更为注重品牌形象和实力的机构客户转租为买提供动力。</w:t>
      </w:r>
    </w:p>
    <w:p>
      <w:pPr>
        <w:pStyle w:val="Normal0"/>
        <w:tabs>
          <w:tab w:val="left" w:pos="360"/>
        </w:tabs>
        <w:rPr>
          <w:rFonts w:hint="eastAsia"/>
          <w:sz w:val="28"/>
        </w:rPr>
      </w:pPr>
      <w:r>
        <w:rPr>
          <w:rFonts w:hint="eastAsia"/>
          <w:sz w:val="28"/>
        </w:rPr>
        <w:t>3）商务客户的高标准办公需求为本案提供了良好的投资环境。</w:t>
      </w:r>
    </w:p>
    <w:p>
      <w:pPr>
        <w:pStyle w:val="Normal0"/>
        <w:tabs>
          <w:tab w:val="left" w:pos="360"/>
        </w:tabs>
        <w:rPr>
          <w:rFonts w:ascii="ˎ̥" w:hAnsi="ˎ̥" w:cs="Arial" w:hint="eastAsia"/>
          <w:color w:val="000000"/>
          <w:kern w:val="0"/>
          <w:sz w:val="28"/>
          <w:szCs w:val="18"/>
        </w:rPr>
      </w:pPr>
      <w:r>
        <w:rPr>
          <w:rFonts w:hint="eastAsia"/>
          <w:sz w:val="28"/>
        </w:rPr>
        <w:t>4）以软件为特征的产业效应产生，以智力为主营的行业逐渐显现，如广告，律师事务所，投资咨询等</w:t>
      </w:r>
      <w:r>
        <w:rPr>
          <w:rFonts w:ascii="ˎ̥" w:hAnsi="ˎ̥" w:cs="Arial"/>
          <w:color w:val="000000"/>
          <w:kern w:val="0"/>
          <w:sz w:val="28"/>
          <w:szCs w:val="18"/>
        </w:rPr>
        <w:t>为企业提供策划、咨询、调研、论证等智力支持，市场对智力型企业的发展提出了空前迫切的要求，</w:t>
      </w:r>
      <w:r>
        <w:rPr>
          <w:rFonts w:ascii="ˎ̥" w:hAnsi="ˎ̥" w:cs="Arial" w:hint="eastAsia"/>
          <w:color w:val="000000"/>
          <w:kern w:val="0"/>
          <w:sz w:val="28"/>
          <w:szCs w:val="18"/>
        </w:rPr>
        <w:t>他们的有效发展为本案提供了历史空前的契机。</w:t>
      </w:r>
    </w:p>
    <w:p>
      <w:pPr>
        <w:pStyle w:val="Normal0"/>
        <w:tabs>
          <w:tab w:val="left" w:pos="360"/>
        </w:tabs>
        <w:rPr>
          <w:rFonts w:ascii="ˎ̥" w:hAnsi="ˎ̥" w:cs="Arial" w:hint="eastAsia"/>
          <w:color w:val="000000"/>
          <w:kern w:val="0"/>
          <w:sz w:val="28"/>
          <w:szCs w:val="18"/>
        </w:rPr>
      </w:pPr>
    </w:p>
    <w:p>
      <w:pPr>
        <w:pStyle w:val="Normal0"/>
        <w:tabs>
          <w:tab w:val="left" w:pos="360"/>
        </w:tabs>
        <w:rPr>
          <w:rFonts w:ascii="ˎ̥" w:hAnsi="ˎ̥" w:cs="Arial" w:hint="eastAsia"/>
          <w:color w:val="000000"/>
          <w:kern w:val="0"/>
          <w:sz w:val="28"/>
          <w:szCs w:val="18"/>
        </w:rPr>
      </w:pPr>
    </w:p>
    <w:p>
      <w:pPr>
        <w:pStyle w:val="Heading2"/>
        <w:numPr>
          <w:ilvl w:val="1"/>
          <w:numId w:val="1"/>
        </w:numPr>
        <w:tabs>
          <w:tab w:val="left" w:pos="900"/>
          <w:tab w:val="clear" w:pos="992"/>
        </w:tabs>
        <w:ind w:left="0" w:firstLine="0"/>
        <w:rPr>
          <w:rFonts w:hint="eastAsia"/>
          <w:b w:val="0"/>
          <w:bCs/>
          <w:sz w:val="44"/>
        </w:rPr>
      </w:pPr>
      <w:bookmarkStart w:id="2" w:name="_Toc74967882"/>
      <w:r>
        <w:rPr>
          <w:rFonts w:hint="eastAsia"/>
          <w:b w:val="0"/>
          <w:bCs/>
          <w:sz w:val="44"/>
          <w:lang w:eastAsia="zh-CN"/>
        </w:rPr>
        <w:t>相关项目</w:t>
      </w:r>
      <w:r>
        <w:rPr>
          <w:rFonts w:hint="eastAsia"/>
          <w:b w:val="0"/>
          <w:bCs/>
          <w:sz w:val="44"/>
        </w:rPr>
        <w:t>优劣势分析</w:t>
      </w:r>
      <w:bookmarkEnd w:id="2"/>
    </w:p>
    <w:p>
      <w:pPr>
        <w:pStyle w:val="Normal0"/>
        <w:rPr>
          <w:rFonts w:eastAsia="黑体" w:hint="eastAsia"/>
          <w:sz w:val="32"/>
        </w:rPr>
      </w:pPr>
    </w:p>
    <w:p>
      <w:pPr>
        <w:pStyle w:val="Normal0"/>
        <w:rPr>
          <w:rFonts w:eastAsia="黑体" w:hint="eastAsia"/>
          <w:sz w:val="32"/>
        </w:rPr>
      </w:pPr>
      <w:r>
        <w:rPr>
          <w:rFonts w:eastAsia="黑体" w:hint="eastAsia"/>
          <w:sz w:val="32"/>
        </w:rPr>
        <w:t>1.3.1</w:t>
      </w:r>
      <w:r>
        <w:rPr>
          <w:rFonts w:eastAsia="黑体" w:hint="eastAsia"/>
          <w:sz w:val="32"/>
          <w:lang w:eastAsia="zh-CN"/>
        </w:rPr>
        <w:t>相关项目</w:t>
      </w:r>
      <w:r>
        <w:rPr>
          <w:rFonts w:eastAsia="黑体" w:hint="eastAsia"/>
          <w:sz w:val="32"/>
        </w:rPr>
        <w:t>核心优势</w:t>
      </w:r>
    </w:p>
    <w:p>
      <w:pPr>
        <w:pStyle w:val="Normal0"/>
        <w:rPr>
          <w:rFonts w:ascii="宋体" w:hAnsi="宋体" w:hint="eastAsia"/>
          <w:sz w:val="28"/>
        </w:rPr>
      </w:pPr>
      <w:r>
        <w:rPr>
          <w:rFonts w:ascii="宋体" w:hAnsi="宋体" w:hint="eastAsia"/>
          <w:sz w:val="28"/>
        </w:rPr>
        <w:t>1）</w:t>
      </w:r>
      <w:r>
        <w:rPr>
          <w:rFonts w:ascii="黑体" w:eastAsia="黑体" w:hAnsi="宋体" w:hint="eastAsia"/>
          <w:color w:val="333333"/>
          <w:sz w:val="28"/>
        </w:rPr>
        <w:t>东北第一高楼：</w:t>
      </w:r>
      <w:r>
        <w:rPr>
          <w:rFonts w:ascii="宋体" w:hAnsi="宋体" w:hint="eastAsia"/>
          <w:sz w:val="28"/>
        </w:rPr>
        <w:t>本案为东北目前最高的写字楼。</w:t>
      </w:r>
    </w:p>
    <w:p>
      <w:pPr>
        <w:pStyle w:val="Normal0"/>
        <w:ind w:left="280" w:hanging="280" w:hangingChars="100"/>
        <w:rPr>
          <w:rFonts w:ascii="宋体" w:hAnsi="宋体" w:hint="eastAsia"/>
          <w:sz w:val="28"/>
        </w:rPr>
      </w:pPr>
      <w:r>
        <w:rPr>
          <w:rFonts w:ascii="宋体" w:hAnsi="宋体" w:hint="eastAsia"/>
          <w:sz w:val="28"/>
        </w:rPr>
        <w:t>2）</w:t>
      </w:r>
      <w:r>
        <w:rPr>
          <w:rFonts w:ascii="黑体" w:eastAsia="黑体" w:hAnsi="宋体" w:hint="eastAsia"/>
          <w:color w:val="333333"/>
          <w:sz w:val="28"/>
        </w:rPr>
        <w:t>天安集团品牌：</w:t>
      </w:r>
      <w:r>
        <w:rPr>
          <w:rFonts w:ascii="宋体" w:hAnsi="宋体" w:hint="eastAsia"/>
          <w:color w:val="333333"/>
          <w:sz w:val="28"/>
        </w:rPr>
        <w:t>在中国</w:t>
      </w:r>
      <w:r>
        <w:rPr>
          <w:rFonts w:ascii="宋体" w:hAnsi="宋体" w:hint="eastAsia"/>
          <w:sz w:val="28"/>
        </w:rPr>
        <w:t>大陆拥有各类物业成功开发经验，开发产品多为顶级豪宅及写字楼，在业界被称颂品质的象征。</w:t>
      </w:r>
    </w:p>
    <w:p>
      <w:pPr>
        <w:pStyle w:val="Normal0"/>
        <w:rPr>
          <w:rFonts w:ascii="宋体" w:hAnsi="宋体" w:hint="eastAsia"/>
          <w:sz w:val="28"/>
        </w:rPr>
      </w:pPr>
      <w:r>
        <w:rPr>
          <w:rFonts w:ascii="宋体" w:hAnsi="宋体" w:hint="eastAsia"/>
          <w:sz w:val="28"/>
        </w:rPr>
        <w:t>3）</w:t>
      </w:r>
      <w:r>
        <w:rPr>
          <w:rFonts w:ascii="黑体" w:eastAsia="黑体" w:hAnsi="宋体" w:hint="eastAsia"/>
          <w:color w:val="333333"/>
          <w:sz w:val="28"/>
        </w:rPr>
        <w:t>钻石地段，无可替代：</w:t>
      </w:r>
      <w:r>
        <w:rPr>
          <w:rFonts w:ascii="宋体" w:hAnsi="宋体" w:hint="eastAsia"/>
          <w:color w:val="333333"/>
          <w:sz w:val="28"/>
        </w:rPr>
        <w:t>作为</w:t>
      </w:r>
      <w:r>
        <w:rPr>
          <w:rFonts w:ascii="宋体" w:hAnsi="宋体" w:hint="eastAsia"/>
          <w:bCs/>
          <w:sz w:val="28"/>
        </w:rPr>
        <w:t>国际航运中心的大连，而本案又地处</w:t>
      </w:r>
      <w:r>
        <w:rPr>
          <w:rFonts w:ascii="宋体" w:hAnsi="宋体" w:hint="eastAsia"/>
          <w:sz w:val="28"/>
        </w:rPr>
        <w:t>繁华区域，拥有完善的配</w:t>
      </w:r>
    </w:p>
    <w:p>
      <w:pPr>
        <w:pStyle w:val="Normal0"/>
        <w:ind w:firstLine="280" w:firstLineChars="100"/>
        <w:rPr>
          <w:rFonts w:ascii="宋体" w:hAnsi="宋体" w:hint="eastAsia"/>
          <w:sz w:val="28"/>
        </w:rPr>
      </w:pPr>
      <w:r>
        <w:rPr>
          <w:rFonts w:ascii="宋体" w:hAnsi="宋体" w:hint="eastAsia"/>
          <w:sz w:val="28"/>
        </w:rPr>
        <w:t>套，地域处于高速增长阶段。在商务与商业间自由取舍，左右逢源。</w:t>
      </w:r>
    </w:p>
    <w:p>
      <w:pPr>
        <w:pStyle w:val="Normal0"/>
        <w:rPr>
          <w:rFonts w:ascii="宋体" w:hAnsi="宋体" w:hint="eastAsia"/>
          <w:sz w:val="28"/>
          <w:szCs w:val="21"/>
        </w:rPr>
      </w:pPr>
      <w:r>
        <w:rPr>
          <w:rFonts w:ascii="宋体" w:hAnsi="宋体" w:hint="eastAsia"/>
          <w:sz w:val="28"/>
        </w:rPr>
        <w:t>4）</w:t>
      </w:r>
      <w:r>
        <w:rPr>
          <w:rFonts w:ascii="黑体" w:eastAsia="黑体" w:hAnsi="宋体" w:hint="eastAsia"/>
          <w:color w:val="333333"/>
          <w:sz w:val="28"/>
        </w:rPr>
        <w:t>交通便捷</w:t>
      </w:r>
      <w:r>
        <w:rPr>
          <w:rFonts w:ascii="宋体" w:hAnsi="宋体" w:hint="eastAsia"/>
          <w:sz w:val="28"/>
        </w:rPr>
        <w:t>：</w:t>
      </w:r>
      <w:r>
        <w:rPr>
          <w:rStyle w:val="wenzhang1"/>
          <w:rFonts w:ascii="宋体" w:hAnsi="宋体" w:hint="eastAsia"/>
          <w:color w:val="000000"/>
          <w:sz w:val="28"/>
        </w:rPr>
        <w:t>海陆空立体交通网络</w:t>
      </w:r>
      <w:r>
        <w:rPr>
          <w:rFonts w:ascii="宋体" w:hAnsi="宋体" w:hint="eastAsia"/>
          <w:color w:val="000000"/>
          <w:sz w:val="28"/>
          <w:szCs w:val="21"/>
        </w:rPr>
        <w:t>，</w:t>
      </w:r>
      <w:r>
        <w:rPr>
          <w:rFonts w:ascii="宋体" w:hAnsi="宋体" w:hint="eastAsia"/>
          <w:bCs/>
          <w:sz w:val="28"/>
        </w:rPr>
        <w:t>国际航运中心。</w:t>
      </w:r>
    </w:p>
    <w:p>
      <w:pPr>
        <w:pStyle w:val="Normal0"/>
        <w:rPr>
          <w:rFonts w:ascii="宋体" w:hAnsi="宋体" w:hint="eastAsia"/>
          <w:sz w:val="28"/>
        </w:rPr>
      </w:pPr>
      <w:r>
        <w:rPr>
          <w:rFonts w:ascii="宋体" w:hAnsi="宋体" w:hint="eastAsia"/>
          <w:sz w:val="28"/>
        </w:rPr>
        <w:t>5）</w:t>
      </w:r>
      <w:r>
        <w:rPr>
          <w:rFonts w:ascii="宋体" w:eastAsia="黑体" w:hAnsi="宋体" w:hint="eastAsia"/>
          <w:color w:val="333333"/>
          <w:sz w:val="28"/>
        </w:rPr>
        <w:t>极品的</w:t>
      </w:r>
      <w:r>
        <w:rPr>
          <w:rFonts w:ascii="黑体" w:eastAsia="黑体" w:hAnsi="宋体" w:hint="eastAsia"/>
          <w:color w:val="333333"/>
          <w:sz w:val="28"/>
        </w:rPr>
        <w:t>建筑品质：</w:t>
      </w:r>
    </w:p>
    <w:p>
      <w:pPr>
        <w:pStyle w:val="Normal0"/>
        <w:ind w:firstLine="1"/>
        <w:rPr>
          <w:rFonts w:ascii="宋体" w:hAnsi="宋体" w:hint="eastAsia"/>
          <w:color w:val="808080"/>
          <w:sz w:val="28"/>
        </w:rPr>
      </w:pPr>
      <w:r>
        <w:rPr>
          <w:rFonts w:ascii="宋体" w:hAnsi="宋体" w:hint="eastAsia"/>
          <w:color w:val="808080"/>
          <w:sz w:val="28"/>
        </w:rPr>
        <w:t>■</w:t>
      </w:r>
      <w:r>
        <w:rPr>
          <w:rFonts w:ascii="宋体" w:hAnsi="宋体" w:hint="eastAsia"/>
          <w:color w:val="000000"/>
          <w:sz w:val="28"/>
        </w:rPr>
        <w:t>夜景灯光工程:大连首家，塑造东北高级商务物业明珠形象；</w:t>
      </w:r>
    </w:p>
    <w:p>
      <w:pPr>
        <w:pStyle w:val="Normal0"/>
        <w:ind w:firstLine="1"/>
        <w:rPr>
          <w:rFonts w:ascii="宋体" w:hAnsi="宋体" w:hint="eastAsia"/>
          <w:sz w:val="28"/>
        </w:rPr>
      </w:pPr>
      <w:r>
        <w:rPr>
          <w:rFonts w:ascii="宋体" w:hAnsi="宋体" w:hint="eastAsia"/>
          <w:color w:val="808080"/>
          <w:sz w:val="28"/>
        </w:rPr>
        <w:t>■</w:t>
      </w:r>
      <w:r>
        <w:rPr>
          <w:rFonts w:ascii="宋体" w:hAnsi="宋体" w:hint="eastAsia"/>
          <w:color w:val="000000"/>
          <w:sz w:val="28"/>
        </w:rPr>
        <w:t>双新风空调系统；室内“恒温恒湿</w:t>
      </w:r>
      <w:r>
        <w:rPr>
          <w:rFonts w:ascii="宋体" w:hAnsi="宋体"/>
          <w:color w:val="000000"/>
          <w:sz w:val="28"/>
        </w:rPr>
        <w:t>”</w:t>
      </w:r>
      <w:r>
        <w:rPr>
          <w:rFonts w:ascii="宋体" w:hAnsi="宋体" w:hint="eastAsia"/>
          <w:color w:val="000000"/>
          <w:sz w:val="28"/>
        </w:rPr>
        <w:t>办公环境；</w:t>
      </w:r>
    </w:p>
    <w:p>
      <w:pPr>
        <w:pStyle w:val="Normal0"/>
        <w:ind w:firstLine="1"/>
        <w:rPr>
          <w:rFonts w:ascii="宋体" w:hAnsi="宋体"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宋体" w:hAnsi="宋体" w:hint="eastAsia"/>
          <w:color w:val="808080"/>
          <w:sz w:val="28"/>
        </w:rPr>
        <w:t>■</w:t>
      </w:r>
      <w:r>
        <w:rPr>
          <w:rFonts w:ascii="宋体" w:hAnsi="宋体" w:hint="eastAsia"/>
          <w:color w:val="000000"/>
          <w:sz w:val="28"/>
        </w:rPr>
        <w:t>高速电梯：底层直达顶层只需32秒，速度达到6M/秒；</w:t>
      </w:r>
    </w:p>
    <w:p>
      <w:pPr>
        <w:pStyle w:val="Normal0"/>
        <w:ind w:left="280" w:hanging="280" w:hangingChars="100"/>
        <w:rPr>
          <w:rFonts w:ascii="宋体" w:hAnsi="宋体" w:hint="eastAsia"/>
          <w:sz w:val="28"/>
        </w:rPr>
      </w:pPr>
      <w:r>
        <w:rPr>
          <w:rFonts w:ascii="宋体" w:hAnsi="宋体" w:hint="eastAsia"/>
          <w:color w:val="808080"/>
          <w:sz w:val="28"/>
        </w:rPr>
        <w:t>■</w:t>
      </w:r>
      <w:r>
        <w:rPr>
          <w:rFonts w:ascii="宋体" w:hAnsi="宋体" w:hint="eastAsia"/>
          <w:color w:val="000000"/>
          <w:sz w:val="28"/>
        </w:rPr>
        <w:t>景观开阔：</w:t>
      </w:r>
      <w:r>
        <w:rPr>
          <w:rFonts w:hint="eastAsia"/>
          <w:color w:val="000000"/>
          <w:sz w:val="28"/>
        </w:rPr>
        <w:t>8M大开间无柱阳光视野</w:t>
      </w:r>
      <w:r>
        <w:rPr>
          <w:rFonts w:ascii="宋体" w:hAnsi="宋体" w:hint="eastAsia"/>
          <w:color w:val="000000"/>
          <w:sz w:val="28"/>
          <w:szCs w:val="21"/>
        </w:rPr>
        <w:t>，高层V形开窗，室内外立体绿化，可以从容品鉴自然、</w:t>
      </w:r>
      <w:r>
        <w:rPr>
          <w:rFonts w:ascii="宋体" w:hAnsi="宋体" w:hint="eastAsia"/>
          <w:color w:val="000000"/>
          <w:sz w:val="28"/>
        </w:rPr>
        <w:t>云天、</w:t>
      </w:r>
      <w:r>
        <w:rPr>
          <w:rFonts w:ascii="宋体" w:hAnsi="宋体" w:hint="eastAsia"/>
          <w:color w:val="000000"/>
          <w:sz w:val="28"/>
          <w:szCs w:val="21"/>
        </w:rPr>
        <w:t>大海、绿地与都市的繁华。</w:t>
      </w:r>
    </w:p>
    <w:p>
      <w:pPr>
        <w:pStyle w:val="Normal0"/>
        <w:ind w:left="280" w:hanging="280" w:hangingChars="100"/>
        <w:rPr>
          <w:rFonts w:ascii="宋体" w:hAnsi="宋体" w:hint="eastAsia"/>
          <w:sz w:val="28"/>
        </w:rPr>
      </w:pPr>
      <w:r>
        <w:rPr>
          <w:rFonts w:ascii="宋体" w:hAnsi="宋体" w:hint="eastAsia"/>
          <w:color w:val="808080"/>
          <w:sz w:val="28"/>
        </w:rPr>
        <w:t>■</w:t>
      </w:r>
      <w:r>
        <w:rPr>
          <w:rFonts w:ascii="宋体" w:hAnsi="宋体" w:hint="eastAsia"/>
          <w:sz w:val="28"/>
        </w:rPr>
        <w:t>5A高智能化现代写字楼：拥有“六类综合布线系统、超5A智能系统”，“最高速的电梯组群、最完善的配套功能、最优秀的物业</w:t>
      </w:r>
      <w:r>
        <w:rPr>
          <w:rFonts w:ascii="宋体" w:hAnsi="宋体" w:hint="eastAsia"/>
          <w:sz w:val="28"/>
          <w:lang w:eastAsia="zh-CN"/>
        </w:rPr>
        <w:t>管理管控</w:t>
      </w:r>
      <w:r>
        <w:rPr>
          <w:rFonts w:ascii="宋体" w:hAnsi="宋体" w:hint="eastAsia"/>
          <w:sz w:val="28"/>
        </w:rPr>
        <w:t>”等优势，打造出真正意义上的“全球化商务平台”。</w:t>
      </w:r>
    </w:p>
    <w:p>
      <w:pPr>
        <w:pStyle w:val="Normal0"/>
        <w:ind w:left="280" w:hanging="280" w:hangingChars="100"/>
        <w:rPr>
          <w:rFonts w:ascii="宋体" w:hAnsi="宋体" w:hint="eastAsia"/>
          <w:sz w:val="28"/>
        </w:rPr>
      </w:pPr>
    </w:p>
    <w:p>
      <w:pPr>
        <w:pStyle w:val="Normal0"/>
        <w:spacing w:line="240" w:lineRule="atLeast"/>
        <w:rPr>
          <w:rFonts w:ascii="黑体" w:eastAsia="黑体" w:hint="eastAsia"/>
          <w:sz w:val="32"/>
        </w:rPr>
      </w:pPr>
    </w:p>
    <w:p>
      <w:pPr>
        <w:pStyle w:val="Normal0"/>
        <w:spacing w:line="240" w:lineRule="atLeast"/>
        <w:rPr>
          <w:rFonts w:ascii="黑体" w:eastAsia="黑体" w:hint="eastAsia"/>
          <w:sz w:val="32"/>
        </w:rPr>
      </w:pPr>
    </w:p>
    <w:p>
      <w:pPr>
        <w:pStyle w:val="Normal0"/>
        <w:spacing w:line="240" w:lineRule="atLeast"/>
        <w:rPr>
          <w:rFonts w:ascii="黑体" w:eastAsia="黑体" w:hAnsi="宋体" w:hint="eastAsia"/>
          <w:sz w:val="32"/>
        </w:rPr>
      </w:pPr>
      <w:r>
        <w:rPr>
          <w:rFonts w:ascii="黑体" w:eastAsia="黑体" w:hint="eastAsia"/>
          <w:sz w:val="32"/>
        </w:rPr>
        <w:t>1.3.2</w:t>
      </w:r>
      <w:r>
        <w:rPr>
          <w:rFonts w:ascii="黑体" w:eastAsia="黑体" w:hAnsi="宋体" w:hint="eastAsia"/>
          <w:sz w:val="32"/>
          <w:lang w:eastAsia="zh-CN"/>
        </w:rPr>
        <w:t>相关项目</w:t>
      </w:r>
      <w:r>
        <w:rPr>
          <w:rFonts w:ascii="黑体" w:eastAsia="黑体" w:hAnsi="宋体" w:hint="eastAsia"/>
          <w:sz w:val="32"/>
        </w:rPr>
        <w:t>劣势分析</w:t>
      </w:r>
    </w:p>
    <w:p>
      <w:pPr>
        <w:pStyle w:val="Normal0"/>
        <w:rPr>
          <w:rFonts w:ascii="黑体" w:eastAsia="黑体" w:hAnsi="宋体" w:hint="eastAsia"/>
          <w:sz w:val="28"/>
        </w:rPr>
      </w:pPr>
      <w:r>
        <w:rPr>
          <w:rFonts w:ascii="黑体" w:eastAsia="黑体" w:hAnsi="宋体" w:hint="eastAsia"/>
          <w:sz w:val="28"/>
        </w:rPr>
        <w:t>1）劣势之一</w:t>
      </w:r>
    </w:p>
    <w:p>
      <w:pPr>
        <w:pStyle w:val="Normal0"/>
        <w:ind w:firstLine="1"/>
        <w:rPr>
          <w:rFonts w:ascii="宋体" w:hAnsi="宋体" w:hint="eastAsia"/>
          <w:b/>
          <w:bCs/>
          <w:sz w:val="28"/>
        </w:rPr>
      </w:pPr>
      <w:r>
        <w:rPr>
          <w:rFonts w:ascii="宋体" w:hAnsi="宋体" w:hint="eastAsia"/>
          <w:b/>
          <w:bCs/>
          <w:color w:val="5F5F5F"/>
          <w:sz w:val="28"/>
        </w:rPr>
        <w:t>价格高</w:t>
      </w:r>
      <w:r>
        <w:rPr>
          <w:rFonts w:ascii="宋体" w:hAnsi="宋体" w:hint="eastAsia"/>
          <w:color w:val="5F5F5F"/>
          <w:sz w:val="28"/>
        </w:rPr>
        <w:t>〖相对于当地当前市场价格而言〗</w:t>
      </w:r>
    </w:p>
    <w:p>
      <w:pPr>
        <w:pStyle w:val="Normal0"/>
        <w:ind w:firstLine="2"/>
        <w:rPr>
          <w:rFonts w:ascii="黑体" w:eastAsia="黑体" w:hAnsi="宋体" w:hint="eastAsia"/>
          <w:sz w:val="28"/>
        </w:rPr>
      </w:pPr>
      <w:r>
        <w:rPr>
          <w:rFonts w:ascii="黑体" w:eastAsia="黑体" w:hAnsi="宋体" w:hint="eastAsia"/>
          <w:sz w:val="28"/>
        </w:rPr>
        <w:t>2）劣势之二</w:t>
      </w:r>
    </w:p>
    <w:p>
      <w:pPr>
        <w:pStyle w:val="Normal0"/>
        <w:rPr>
          <w:rFonts w:ascii="宋体" w:hAnsi="宋体" w:hint="eastAsia"/>
          <w:sz w:val="28"/>
        </w:rPr>
      </w:pPr>
      <w:r>
        <w:rPr>
          <w:rFonts w:ascii="宋体" w:hAnsi="宋体" w:hint="eastAsia"/>
          <w:b/>
          <w:bCs/>
          <w:color w:val="5F5F5F"/>
          <w:sz w:val="28"/>
        </w:rPr>
        <w:t>已经立项待建的大连国贸中心大厦高78层，不久的将来将取代本案“第一高楼”的称号</w:t>
      </w:r>
    </w:p>
    <w:p>
      <w:pPr>
        <w:pStyle w:val="Normal0"/>
        <w:tabs>
          <w:tab w:val="left" w:pos="7380"/>
        </w:tabs>
        <w:ind w:firstLine="1"/>
        <w:rPr>
          <w:rFonts w:ascii="黑体" w:eastAsia="黑体" w:hAnsi="宋体" w:hint="eastAsia"/>
          <w:sz w:val="28"/>
        </w:rPr>
      </w:pPr>
      <w:r>
        <w:rPr>
          <w:rFonts w:ascii="黑体" w:eastAsia="黑体" w:hAnsi="宋体" w:hint="eastAsia"/>
          <w:sz w:val="28"/>
        </w:rPr>
        <w:t>3）劣势之三</w:t>
      </w:r>
    </w:p>
    <w:p>
      <w:pPr>
        <w:pStyle w:val="Normal0"/>
        <w:tabs>
          <w:tab w:val="left" w:pos="7380"/>
        </w:tabs>
        <w:ind w:firstLine="2"/>
        <w:rPr>
          <w:rFonts w:ascii="宋体" w:hAnsi="宋体" w:hint="eastAsia"/>
          <w:b/>
          <w:bCs/>
          <w:color w:val="FF6600"/>
          <w:sz w:val="28"/>
        </w:rPr>
      </w:pPr>
      <w:r>
        <w:rPr>
          <w:rFonts w:ascii="宋体" w:hAnsi="宋体" w:hint="eastAsia"/>
          <w:b/>
          <w:bCs/>
          <w:color w:val="5F5F5F"/>
          <w:sz w:val="28"/>
        </w:rPr>
        <w:t>已上市的世贸，中银，森茂，虹源等大楼对本案形成较大的威胁，因为他们与本案的品质及软硬件配备比较接近。分流本案客源。</w:t>
      </w:r>
    </w:p>
    <w:p>
      <w:pPr>
        <w:pStyle w:val="Normal0"/>
        <w:rPr>
          <w:rFonts w:ascii="黑体" w:eastAsia="黑体" w:hAnsi="宋体" w:hint="eastAsia"/>
          <w:sz w:val="28"/>
        </w:rPr>
      </w:pPr>
      <w:r>
        <w:rPr>
          <w:rFonts w:ascii="黑体" w:eastAsia="黑体" w:hAnsi="宋体" w:hint="eastAsia"/>
          <w:sz w:val="28"/>
        </w:rPr>
        <w:t>4）劣势之四</w:t>
      </w:r>
    </w:p>
    <w:p>
      <w:pPr>
        <w:pStyle w:val="Normal0"/>
        <w:rPr>
          <w:rFonts w:ascii="宋体" w:hAnsi="宋体" w:hint="eastAsia"/>
          <w:b/>
          <w:bCs/>
          <w:color w:val="5F5F5F"/>
          <w:sz w:val="28"/>
        </w:rPr>
      </w:pPr>
      <w:r>
        <w:rPr>
          <w:rFonts w:ascii="宋体" w:hAnsi="宋体" w:hint="eastAsia"/>
          <w:b/>
          <w:bCs/>
          <w:color w:val="5F5F5F"/>
          <w:sz w:val="28"/>
        </w:rPr>
        <w:t>车位有限。</w:t>
      </w:r>
    </w:p>
    <w:p>
      <w:pPr>
        <w:pStyle w:val="Normal0"/>
        <w:rPr>
          <w:rFonts w:ascii="宋体" w:hAnsi="宋体"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宋体" w:hAnsi="宋体" w:hint="eastAsia"/>
          <w:sz w:val="28"/>
        </w:rPr>
        <w:t>车位有限将会直接影响到本案的品质及客户实际使用，从而影响本案的形象。</w:t>
      </w:r>
    </w:p>
    <w:p>
      <w:pPr>
        <w:pStyle w:val="Normal0"/>
        <w:rPr>
          <w:rFonts w:ascii="黑体" w:eastAsia="黑体" w:hAnsi="宋体" w:hint="eastAsia"/>
          <w:sz w:val="28"/>
        </w:rPr>
      </w:pPr>
      <w:r>
        <w:rPr>
          <w:rFonts w:ascii="黑体" w:eastAsia="黑体" w:hAnsi="宋体" w:hint="eastAsia"/>
          <w:sz w:val="28"/>
        </w:rPr>
        <w:t>6）劣势之五</w:t>
      </w:r>
    </w:p>
    <w:p>
      <w:pPr>
        <w:pStyle w:val="Normal0"/>
        <w:ind w:firstLine="2"/>
        <w:rPr>
          <w:rFonts w:ascii="宋体" w:hAnsi="宋体" w:hint="eastAsia"/>
          <w:b/>
          <w:bCs/>
          <w:color w:val="5F5F5F"/>
          <w:sz w:val="28"/>
        </w:rPr>
      </w:pPr>
      <w:r>
        <w:rPr>
          <w:rFonts w:ascii="宋体" w:hAnsi="宋体" w:hint="eastAsia"/>
          <w:b/>
          <w:bCs/>
          <w:color w:val="5F5F5F"/>
          <w:sz w:val="28"/>
        </w:rPr>
        <w:t>十年的工程施工期，土地使用年限只剩31年，直接缩短了本案使用年限。</w:t>
      </w:r>
    </w:p>
    <w:p>
      <w:pPr>
        <w:pStyle w:val="Normal0"/>
        <w:rPr>
          <w:rFonts w:ascii="黑体" w:eastAsia="黑体" w:hAnsi="宋体" w:hint="eastAsia"/>
          <w:sz w:val="28"/>
        </w:rPr>
      </w:pPr>
      <w:bookmarkStart w:id="3" w:name="_Hlt72297026"/>
      <w:bookmarkEnd w:id="3"/>
      <w:r>
        <w:rPr>
          <w:rFonts w:ascii="黑体" w:eastAsia="黑体" w:hAnsi="宋体" w:hint="eastAsia"/>
          <w:color w:val="333333"/>
          <w:sz w:val="28"/>
        </w:rPr>
        <w:t>7）</w:t>
      </w:r>
      <w:r>
        <w:rPr>
          <w:rFonts w:ascii="黑体" w:eastAsia="黑体" w:hAnsi="宋体" w:hint="eastAsia"/>
          <w:sz w:val="28"/>
        </w:rPr>
        <w:t>劣势之六</w:t>
      </w:r>
    </w:p>
    <w:p>
      <w:pPr>
        <w:pStyle w:val="Normal0"/>
        <w:rPr>
          <w:rFonts w:ascii="宋体" w:hAnsi="宋体" w:hint="eastAsia"/>
          <w:b/>
          <w:bCs/>
          <w:color w:val="5F5F5F"/>
          <w:sz w:val="28"/>
        </w:rPr>
      </w:pPr>
      <w:r>
        <w:rPr>
          <w:rFonts w:ascii="宋体" w:hAnsi="宋体" w:hint="eastAsia"/>
          <w:b/>
          <w:bCs/>
          <w:color w:val="5F5F5F"/>
          <w:sz w:val="28"/>
        </w:rPr>
        <w:t>本案入口旁为公交车终点站。给本案使用制造不便。</w:t>
      </w:r>
    </w:p>
    <w:p>
      <w:pPr>
        <w:pStyle w:val="Normal0"/>
        <w:rPr>
          <w:rFonts w:ascii="宋体" w:hAnsi="宋体" w:hint="eastAsia"/>
          <w:b/>
          <w:bCs/>
          <w:color w:val="5F5F5F"/>
          <w:sz w:val="28"/>
        </w:rPr>
      </w:pPr>
    </w:p>
    <w:p>
      <w:pPr>
        <w:pStyle w:val="Normal0"/>
        <w:ind w:left="8278" w:leftChars="3942"/>
        <w:rPr>
          <w:rFonts w:ascii="宋体" w:hint="eastAsia"/>
          <w:color w:val="000000"/>
          <w:sz w:val="28"/>
          <w:szCs w:val="28"/>
        </w:rPr>
      </w:pPr>
    </w:p>
    <w:p>
      <w:pPr>
        <w:pStyle w:val="Normal0"/>
        <w:rPr>
          <w:rFonts w:ascii="黑体" w:eastAsia="黑体" w:hint="eastAsia"/>
          <w:sz w:val="32"/>
        </w:rPr>
      </w:pPr>
    </w:p>
    <w:p>
      <w:pPr>
        <w:pStyle w:val="Normal0"/>
        <w:rPr>
          <w:rFonts w:ascii="黑体" w:eastAsia="黑体" w:hint="eastAsia"/>
          <w:sz w:val="32"/>
        </w:rPr>
      </w:pPr>
      <w:r>
        <w:rPr>
          <w:rFonts w:ascii="黑体" w:eastAsia="黑体" w:hint="eastAsia"/>
          <w:sz w:val="32"/>
        </w:rPr>
        <w:t xml:space="preserve">1.2.3 </w:t>
      </w:r>
      <w:r>
        <w:rPr>
          <w:rFonts w:ascii="黑体" w:eastAsia="黑体" w:hAnsi="宋体" w:hint="eastAsia"/>
          <w:sz w:val="32"/>
          <w:lang w:eastAsia="zh-CN"/>
        </w:rPr>
        <w:t>相关项目</w:t>
      </w:r>
      <w:r>
        <w:rPr>
          <w:rFonts w:ascii="黑体" w:eastAsia="黑体" w:hAnsi="宋体" w:hint="eastAsia"/>
          <w:sz w:val="32"/>
        </w:rPr>
        <w:t>威胁点</w:t>
      </w:r>
    </w:p>
    <w:p>
      <w:pPr>
        <w:pStyle w:val="Normal0"/>
        <w:rPr>
          <w:rFonts w:ascii="宋体" w:hAnsi="宋体" w:hint="eastAsia"/>
          <w:b/>
          <w:bCs/>
          <w:color w:val="5F5F5F"/>
          <w:sz w:val="28"/>
        </w:rPr>
      </w:pPr>
      <w:r>
        <w:rPr>
          <w:rFonts w:ascii="宋体" w:hAnsi="宋体" w:hint="eastAsia"/>
          <w:b/>
          <w:bCs/>
          <w:color w:val="5F5F5F"/>
          <w:sz w:val="28"/>
        </w:rPr>
        <w:t>1）目前大连市写字楼整体的租售率处在55％－70％之间，高档写字楼的租售率则更低，且租金水平呈下降趋势。</w:t>
      </w:r>
    </w:p>
    <w:p>
      <w:pPr>
        <w:pStyle w:val="Normal0"/>
        <w:rPr>
          <w:rFonts w:ascii="宋体" w:hAnsi="宋体" w:hint="eastAsia"/>
          <w:b/>
          <w:bCs/>
          <w:color w:val="5F5F5F"/>
          <w:sz w:val="28"/>
        </w:rPr>
      </w:pPr>
      <w:r>
        <w:rPr>
          <w:rFonts w:ascii="宋体" w:hAnsi="宋体" w:hint="eastAsia"/>
          <w:b/>
          <w:bCs/>
          <w:color w:val="5F5F5F"/>
          <w:sz w:val="28"/>
        </w:rPr>
        <w:t>2）目前央行已停止对商业物业的按揭贷款，遏制了大量投资客户购买本案物业。</w:t>
      </w:r>
    </w:p>
    <w:p>
      <w:pPr>
        <w:pStyle w:val="Normal0"/>
        <w:ind w:left="1120" w:hanging="1120" w:hangingChars="400"/>
        <w:rPr>
          <w:rFonts w:ascii="楷体_GB2312" w:eastAsia="楷体_GB2312" w:hint="eastAsia"/>
          <w:b/>
          <w:bCs/>
          <w:sz w:val="28"/>
          <w:szCs w:val="28"/>
        </w:rPr>
      </w:pPr>
    </w:p>
    <w:p>
      <w:pPr>
        <w:pStyle w:val="Normal0"/>
        <w:ind w:left="893" w:hanging="893" w:hangingChars="319"/>
        <w:rPr>
          <w:rFonts w:ascii="楷体_GB2312" w:eastAsia="楷体_GB2312" w:hint="eastAsia"/>
          <w:sz w:val="28"/>
          <w:szCs w:val="28"/>
        </w:rPr>
      </w:pPr>
      <w:r>
        <w:rPr>
          <w:rFonts w:ascii="楷体_GB2312" w:eastAsia="楷体_GB2312" w:hint="eastAsia"/>
          <w:b/>
          <w:bCs/>
          <w:sz w:val="28"/>
          <w:szCs w:val="28"/>
        </w:rPr>
        <w:t>结论：</w:t>
      </w:r>
      <w:r>
        <w:rPr>
          <w:rFonts w:ascii="楷体_GB2312" w:eastAsia="楷体_GB2312" w:hint="eastAsia"/>
          <w:sz w:val="28"/>
          <w:szCs w:val="28"/>
        </w:rPr>
        <w:t>综合上述种种优劣势分析，权衡本案重点竞争个案，</w:t>
      </w:r>
      <w:r>
        <w:rPr>
          <w:rFonts w:ascii="楷体_GB2312" w:eastAsia="楷体_GB2312" w:hint="eastAsia"/>
          <w:color w:val="000000"/>
          <w:sz w:val="28"/>
          <w:szCs w:val="28"/>
        </w:rPr>
        <w:t>诸多硬件设施，显然本案基于其他重点竞争个案，没有明显优势，</w:t>
      </w:r>
      <w:r>
        <w:rPr>
          <w:rFonts w:ascii="楷体_GB2312" w:eastAsia="楷体_GB2312" w:hint="eastAsia"/>
          <w:sz w:val="28"/>
          <w:szCs w:val="28"/>
        </w:rPr>
        <w:t>如何解决上述不利，成为本案近期攻坚的重点。</w:t>
      </w:r>
    </w:p>
    <w:p>
      <w:pPr>
        <w:pStyle w:val="Normal0"/>
        <w:ind w:left="899" w:leftChars="428"/>
        <w:rPr>
          <w:rFonts w:ascii="楷体_GB2312" w:eastAsia="楷体_GB2312" w:hint="eastAsia"/>
          <w:sz w:val="28"/>
          <w:szCs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黑体" w:eastAsia="黑体" w:hint="eastAsia"/>
          <w:color w:val="333333"/>
          <w:sz w:val="28"/>
          <w:szCs w:val="28"/>
        </w:rPr>
        <w:t>形象塑造：</w:t>
      </w:r>
    </w:p>
    <w:p>
      <w:pPr>
        <w:pStyle w:val="Normal0"/>
        <w:ind w:left="899" w:leftChars="428"/>
        <w:rPr>
          <w:rFonts w:ascii="楷体_GB2312" w:eastAsia="楷体_GB2312" w:hint="eastAsia"/>
          <w:sz w:val="28"/>
          <w:szCs w:val="28"/>
        </w:rPr>
      </w:pPr>
      <w:r>
        <w:rPr>
          <w:rFonts w:ascii="楷体_GB2312" w:eastAsia="楷体_GB2312" w:hint="eastAsia"/>
          <w:sz w:val="28"/>
          <w:szCs w:val="28"/>
        </w:rPr>
        <w:t>通过整体灯光工程形象渲染，重新塑造本案的高贵品牌形象，重点扩大大连以外的楼盘形象，塑立起东北高端写字楼形象，从而辐射全国，利于东北亚邻国大型在连投资企业的注意。用最短的时间内塑造起本案尊贵，现代，大气，国际化的整体形象。</w:t>
      </w:r>
    </w:p>
    <w:p>
      <w:pPr>
        <w:pStyle w:val="Normal0"/>
        <w:ind w:left="899" w:leftChars="428"/>
        <w:rPr>
          <w:rFonts w:ascii="楷体_GB2312" w:eastAsia="楷体_GB2312" w:hint="eastAsia"/>
          <w:sz w:val="28"/>
          <w:szCs w:val="28"/>
        </w:rPr>
      </w:pPr>
      <w:r>
        <w:rPr>
          <w:rFonts w:ascii="黑体" w:eastAsia="黑体" w:hint="eastAsia"/>
          <w:color w:val="333333"/>
          <w:sz w:val="28"/>
          <w:szCs w:val="28"/>
        </w:rPr>
        <w:t>租售策略：</w:t>
      </w:r>
      <w:r>
        <w:rPr>
          <w:rFonts w:ascii="楷体_GB2312" w:eastAsia="楷体_GB2312" w:hint="eastAsia"/>
          <w:color w:val="333333"/>
          <w:sz w:val="28"/>
          <w:szCs w:val="28"/>
        </w:rPr>
        <w:t>由于本案必须经历人气聚集，财富聚集两个阶段，之后才有可能名利双收。由此，</w:t>
      </w:r>
      <w:r>
        <w:rPr>
          <w:rFonts w:ascii="楷体_GB2312" w:eastAsia="楷体_GB2312" w:hint="eastAsia"/>
          <w:sz w:val="28"/>
          <w:szCs w:val="28"/>
        </w:rPr>
        <w:t>本</w:t>
      </w:r>
      <w:r>
        <w:rPr>
          <w:rFonts w:ascii="楷体_GB2312" w:eastAsia="楷体_GB2312" w:hint="eastAsia"/>
          <w:sz w:val="28"/>
          <w:szCs w:val="28"/>
          <w:lang w:eastAsia="zh-CN"/>
        </w:rPr>
        <w:t>相关项目</w:t>
      </w:r>
      <w:r>
        <w:rPr>
          <w:rFonts w:ascii="楷体_GB2312" w:eastAsia="楷体_GB2312" w:hint="eastAsia"/>
          <w:sz w:val="28"/>
          <w:szCs w:val="28"/>
        </w:rPr>
        <w:t>适宜</w:t>
      </w:r>
      <w:r>
        <w:rPr>
          <w:rFonts w:ascii="宋体" w:hint="eastAsia"/>
          <w:b/>
          <w:bCs/>
          <w:color w:val="333333"/>
          <w:sz w:val="28"/>
          <w:szCs w:val="28"/>
          <w:u w:val="single"/>
        </w:rPr>
        <w:t>租赁先行，租售并举</w:t>
      </w:r>
      <w:r>
        <w:rPr>
          <w:rFonts w:ascii="楷体_GB2312" w:eastAsia="楷体_GB2312" w:hint="eastAsia"/>
          <w:sz w:val="28"/>
          <w:szCs w:val="28"/>
        </w:rPr>
        <w:t>的行销策略。</w:t>
      </w:r>
    </w:p>
    <w:p>
      <w:pPr>
        <w:pStyle w:val="Normal0"/>
        <w:ind w:left="7018" w:leftChars="3342"/>
        <w:rPr>
          <w:rFonts w:ascii="黑体" w:eastAsia="黑体" w:hint="eastAsia"/>
          <w:color w:val="333333"/>
          <w:sz w:val="28"/>
          <w:szCs w:val="28"/>
        </w:rPr>
      </w:pPr>
    </w:p>
    <w:p>
      <w:pPr>
        <w:pStyle w:val="Normal0"/>
        <w:ind w:left="7018" w:leftChars="3342"/>
        <w:rPr>
          <w:rFonts w:ascii="黑体" w:eastAsia="黑体" w:hint="eastAsia"/>
          <w:color w:val="333333"/>
          <w:sz w:val="28"/>
          <w:szCs w:val="28"/>
        </w:rPr>
      </w:pPr>
    </w:p>
    <w:p>
      <w:pPr>
        <w:pStyle w:val="Normal0"/>
        <w:ind w:left="7018" w:leftChars="3342"/>
        <w:rPr>
          <w:rFonts w:ascii="黑体" w:eastAsia="黑体" w:hint="eastAsia"/>
          <w:color w:val="333333"/>
          <w:sz w:val="28"/>
          <w:szCs w:val="28"/>
        </w:rPr>
      </w:pPr>
    </w:p>
    <w:p>
      <w:pPr>
        <w:pStyle w:val="Normal0"/>
        <w:ind w:left="7018" w:leftChars="3342"/>
        <w:rPr>
          <w:rFonts w:ascii="黑体" w:eastAsia="黑体" w:hint="eastAsia"/>
          <w:color w:val="333333"/>
          <w:sz w:val="28"/>
          <w:szCs w:val="28"/>
        </w:rPr>
      </w:pPr>
    </w:p>
    <w:p>
      <w:pPr>
        <w:pStyle w:val="Normal0"/>
        <w:ind w:left="7018" w:leftChars="3342"/>
        <w:rPr>
          <w:rFonts w:ascii="黑体" w:eastAsia="黑体" w:hint="eastAsia"/>
          <w:color w:val="333333"/>
          <w:sz w:val="28"/>
          <w:szCs w:val="28"/>
        </w:rPr>
      </w:pPr>
    </w:p>
    <w:p>
      <w:pPr>
        <w:pStyle w:val="Normal0"/>
        <w:ind w:left="7018" w:leftChars="3342"/>
        <w:rPr>
          <w:rFonts w:ascii="黑体" w:eastAsia="黑体" w:hint="eastAsia"/>
          <w:color w:val="333333"/>
          <w:sz w:val="28"/>
          <w:szCs w:val="28"/>
        </w:rPr>
      </w:pPr>
    </w:p>
    <w:p>
      <w:pPr>
        <w:pStyle w:val="Normal0"/>
        <w:ind w:left="7018" w:leftChars="3342"/>
        <w:rPr>
          <w:rFonts w:ascii="黑体" w:eastAsia="黑体" w:hint="eastAsia"/>
          <w:color w:val="333333"/>
          <w:sz w:val="28"/>
          <w:szCs w:val="28"/>
        </w:rPr>
      </w:pPr>
    </w:p>
    <w:p>
      <w:pPr>
        <w:pStyle w:val="Normal0"/>
        <w:ind w:left="7018" w:leftChars="3342"/>
        <w:rPr>
          <w:rFonts w:ascii="黑体" w:eastAsia="黑体" w:hint="eastAsia"/>
          <w:color w:val="333333"/>
          <w:sz w:val="28"/>
          <w:szCs w:val="28"/>
        </w:rPr>
      </w:pPr>
    </w:p>
    <w:p>
      <w:pPr>
        <w:pStyle w:val="Normal0"/>
        <w:rPr>
          <w:rFonts w:ascii="黑体" w:eastAsia="黑体" w:hint="eastAsia"/>
          <w:sz w:val="44"/>
          <w:szCs w:val="28"/>
        </w:rPr>
      </w:pPr>
      <w:r>
        <w:rPr>
          <w:rFonts w:ascii="黑体" w:eastAsia="黑体" w:hint="eastAsia"/>
          <w:sz w:val="44"/>
        </w:rPr>
        <w:t>1.4 市场定位</w:t>
      </w:r>
    </w:p>
    <w:p>
      <w:pPr>
        <w:pStyle w:val="Normal0"/>
        <w:rPr>
          <w:rFonts w:ascii="黑体" w:eastAsia="黑体" w:hint="eastAsia"/>
          <w:sz w:val="32"/>
        </w:rPr>
      </w:pPr>
      <w:r>
        <w:rPr>
          <w:rFonts w:ascii="黑体" w:eastAsia="黑体" w:hint="eastAsia"/>
          <w:sz w:val="32"/>
        </w:rPr>
        <w:t>1.4.1 产品形象定位</w:t>
      </w:r>
    </w:p>
    <w:p>
      <w:pPr>
        <w:pStyle w:val="Normal0"/>
        <w:spacing w:line="240" w:lineRule="exact"/>
        <w:rPr>
          <w:rFonts w:ascii="黑体" w:eastAsia="黑体" w:hint="eastAsia"/>
          <w:sz w:val="28"/>
          <w:szCs w:val="28"/>
        </w:rPr>
      </w:pPr>
    </w:p>
    <w:p>
      <w:pPr>
        <w:pStyle w:val="Normal0"/>
        <w:rPr>
          <w:rFonts w:ascii="黑体" w:eastAsia="黑体" w:hAnsi="宋体" w:hint="eastAsia"/>
          <w:bCs/>
          <w:shadow/>
          <w:color w:val="333333"/>
          <w:sz w:val="52"/>
        </w:rPr>
      </w:pPr>
      <w:r>
        <w:rPr>
          <w:rFonts w:ascii="楷体_GB2312" w:eastAsia="楷体_GB2312" w:hAnsi="宋体" w:hint="eastAsia"/>
          <w:b/>
          <w:shadow/>
          <w:color w:val="333333"/>
          <w:sz w:val="52"/>
          <w:u w:val="single"/>
        </w:rPr>
        <w:t>领袖商务·天安国际</w:t>
      </w:r>
      <w:r>
        <w:rPr>
          <w:rFonts w:ascii="黑体" w:eastAsia="黑体" w:hAnsi="宋体" w:hint="eastAsia"/>
          <w:bCs/>
          <w:shadow/>
          <w:color w:val="333333"/>
          <w:sz w:val="52"/>
        </w:rPr>
        <w:t>。</w:t>
      </w:r>
    </w:p>
    <w:p>
      <w:pPr>
        <w:pStyle w:val="Normal0"/>
        <w:rPr>
          <w:rFonts w:ascii="黑体" w:eastAsia="黑体" w:hAnsi="宋体" w:hint="eastAsia"/>
          <w:bCs/>
          <w:shadow/>
          <w:color w:val="333333"/>
          <w:sz w:val="44"/>
          <w:u w:val="single"/>
        </w:rPr>
      </w:pPr>
      <w:r>
        <w:rPr>
          <w:rFonts w:ascii="楷体_GB2312" w:eastAsia="楷体_GB2312" w:hAnsi="宋体" w:hint="eastAsia"/>
          <w:b/>
          <w:bCs/>
          <w:shadow/>
          <w:color w:val="333333"/>
          <w:sz w:val="52"/>
          <w:u w:val="single"/>
        </w:rPr>
        <w:t>首席[CEO]，领袖商务天地。</w:t>
      </w:r>
    </w:p>
    <w:p>
      <w:pPr>
        <w:pStyle w:val="Normal0"/>
        <w:rPr>
          <w:rFonts w:ascii="宋体" w:hAnsi="宋体" w:hint="eastAsia"/>
          <w:bCs/>
          <w:shadow/>
          <w:color w:val="5F5F5F"/>
          <w:sz w:val="28"/>
        </w:rPr>
      </w:pPr>
      <w:r>
        <w:rPr>
          <w:rFonts w:ascii="黑体" w:eastAsia="黑体" w:hAnsi="宋体" w:hint="eastAsia"/>
          <w:bCs/>
          <w:shadow/>
          <w:color w:val="333333"/>
          <w:sz w:val="28"/>
        </w:rPr>
        <w:t>注：</w:t>
      </w:r>
      <w:r>
        <w:rPr>
          <w:rFonts w:ascii="宋体" w:hAnsi="宋体" w:hint="eastAsia"/>
          <w:bCs/>
          <w:shadow/>
          <w:color w:val="5F5F5F"/>
          <w:sz w:val="28"/>
        </w:rPr>
        <w:t>本案为层峰级企业之首选，是财富，实力，品牌，智慧，地位的象征。</w:t>
      </w:r>
    </w:p>
    <w:p>
      <w:pPr>
        <w:pStyle w:val="Normal0"/>
        <w:rPr>
          <w:rFonts w:ascii="黑体" w:eastAsia="黑体" w:hAnsi="宋体" w:hint="eastAsia"/>
          <w:bCs/>
          <w:shadow/>
          <w:color w:val="5F5F5F"/>
          <w:sz w:val="28"/>
        </w:rPr>
      </w:pPr>
    </w:p>
    <w:p>
      <w:pPr>
        <w:pStyle w:val="Normal0"/>
        <w:rPr>
          <w:rFonts w:ascii="黑体" w:eastAsia="黑体" w:hint="eastAsia"/>
          <w:sz w:val="32"/>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黑体" w:eastAsia="黑体" w:hint="eastAsia"/>
          <w:sz w:val="32"/>
        </w:rPr>
        <w:t>1.4.2 目标客户定位</w:t>
      </w:r>
    </w:p>
    <w:p>
      <w:pPr>
        <w:pStyle w:val="Normal0"/>
        <w:ind w:firstLine="2"/>
        <w:rPr>
          <w:rFonts w:ascii="黑体" w:eastAsia="黑体" w:hAnsi="宋体" w:hint="eastAsia"/>
          <w:bCs/>
          <w:sz w:val="32"/>
        </w:rPr>
      </w:pPr>
      <w:r>
        <w:rPr>
          <w:rFonts w:ascii="黑体" w:eastAsia="黑体" w:hAnsi="宋体" w:hint="eastAsia"/>
          <w:bCs/>
          <w:sz w:val="32"/>
        </w:rPr>
        <w:t>1.4.2.1 目标客户锁定</w:t>
      </w:r>
    </w:p>
    <w:p>
      <w:pPr>
        <w:pStyle w:val="Normal0"/>
        <w:rPr>
          <w:rFonts w:ascii="黑体" w:eastAsia="黑体" w:hAnsi="宋体" w:hint="eastAsia"/>
          <w:bCs/>
          <w:color w:val="333333"/>
          <w:sz w:val="30"/>
        </w:rPr>
      </w:pPr>
      <w:r>
        <w:rPr>
          <w:rFonts w:ascii="MingLiU" w:eastAsia="MingLiU" w:hAnsi="MingLiU" w:hint="eastAsia"/>
          <w:bCs/>
          <w:color w:val="808080"/>
          <w:sz w:val="30"/>
        </w:rPr>
        <w:t xml:space="preserve">▓ </w:t>
      </w:r>
      <w:r>
        <w:rPr>
          <w:rFonts w:ascii="黑体" w:eastAsia="黑体" w:hAnsi="宋体" w:hint="eastAsia"/>
          <w:bCs/>
          <w:sz w:val="30"/>
        </w:rPr>
        <w:t>区域客户</w:t>
      </w:r>
    </w:p>
    <w:p>
      <w:pPr>
        <w:pStyle w:val="Normal0"/>
        <w:ind w:firstLine="2"/>
        <w:rPr>
          <w:rFonts w:ascii="黑体" w:eastAsia="黑体" w:hAnsi="宋体" w:hint="eastAsia"/>
          <w:bCs/>
          <w:color w:val="333333"/>
          <w:sz w:val="24"/>
        </w:rPr>
      </w:pPr>
      <w:r>
        <w:rPr>
          <w:rFonts w:ascii="黑体" w:eastAsia="黑体" w:hAnsi="宋体" w:hint="eastAsia"/>
          <w:bCs/>
          <w:color w:val="333333"/>
          <w:sz w:val="24"/>
        </w:rPr>
        <w:t>1）大连各大型知名企业</w:t>
      </w:r>
    </w:p>
    <w:p>
      <w:pPr>
        <w:pStyle w:val="Normal0"/>
        <w:ind w:firstLine="2"/>
        <w:rPr>
          <w:rFonts w:ascii="黑体" w:eastAsia="黑体" w:hAnsi="宋体" w:hint="eastAsia"/>
          <w:bCs/>
          <w:color w:val="333333"/>
          <w:sz w:val="24"/>
        </w:rPr>
      </w:pPr>
      <w:r>
        <w:rPr>
          <w:rFonts w:ascii="黑体" w:eastAsia="黑体" w:hAnsi="宋体" w:hint="eastAsia"/>
          <w:bCs/>
          <w:color w:val="333333"/>
          <w:sz w:val="24"/>
        </w:rPr>
        <w:t>2）大连事业壮大型客户</w:t>
      </w:r>
    </w:p>
    <w:p>
      <w:pPr>
        <w:pStyle w:val="Normal0"/>
        <w:ind w:firstLine="2"/>
        <w:rPr>
          <w:rFonts w:ascii="黑体" w:eastAsia="黑体" w:hAnsi="宋体" w:hint="eastAsia"/>
          <w:bCs/>
          <w:sz w:val="32"/>
        </w:rPr>
      </w:pPr>
      <w:r>
        <w:rPr>
          <w:rFonts w:ascii="黑体" w:eastAsia="黑体" w:hAnsi="宋体" w:hint="eastAsia"/>
          <w:bCs/>
          <w:color w:val="333333"/>
          <w:sz w:val="24"/>
        </w:rPr>
        <w:t>3）大连投资型客户</w:t>
      </w:r>
    </w:p>
    <w:p>
      <w:pPr>
        <w:pStyle w:val="Normal0"/>
        <w:rPr>
          <w:rFonts w:ascii="黑体" w:eastAsia="黑体" w:hAnsi="宋体" w:hint="eastAsia"/>
          <w:bCs/>
          <w:sz w:val="32"/>
        </w:rPr>
      </w:pPr>
      <w:r>
        <w:rPr>
          <w:rFonts w:ascii="MingLiU" w:eastAsia="MingLiU" w:hAnsi="MingLiU" w:hint="eastAsia"/>
          <w:bCs/>
          <w:color w:val="808080"/>
          <w:sz w:val="30"/>
        </w:rPr>
        <w:t xml:space="preserve">▓ </w:t>
      </w:r>
      <w:r>
        <w:rPr>
          <w:rFonts w:ascii="黑体" w:eastAsia="黑体" w:hAnsi="宋体" w:hint="eastAsia"/>
          <w:bCs/>
          <w:sz w:val="32"/>
        </w:rPr>
        <w:t>跨区域客户</w:t>
      </w:r>
    </w:p>
    <w:p>
      <w:pPr>
        <w:pStyle w:val="Normal0"/>
        <w:ind w:firstLine="2"/>
        <w:rPr>
          <w:rFonts w:ascii="黑体" w:eastAsia="黑体" w:hAnsi="宋体" w:hint="eastAsia"/>
          <w:bCs/>
          <w:color w:val="333333"/>
          <w:sz w:val="24"/>
        </w:rPr>
      </w:pPr>
      <w:r>
        <w:rPr>
          <w:rFonts w:ascii="黑体" w:eastAsia="黑体" w:hAnsi="宋体" w:hint="eastAsia"/>
          <w:bCs/>
          <w:color w:val="333333"/>
          <w:sz w:val="24"/>
        </w:rPr>
        <w:t>1）国内500强企业</w:t>
      </w:r>
    </w:p>
    <w:p>
      <w:pPr>
        <w:pStyle w:val="Normal0"/>
        <w:ind w:firstLine="2"/>
        <w:rPr>
          <w:rFonts w:ascii="黑体" w:eastAsia="黑体" w:hAnsi="宋体" w:hint="eastAsia"/>
          <w:bCs/>
          <w:color w:val="333333"/>
          <w:sz w:val="24"/>
        </w:rPr>
      </w:pPr>
      <w:r>
        <w:rPr>
          <w:rFonts w:ascii="黑体" w:eastAsia="黑体" w:hAnsi="宋体" w:hint="eastAsia"/>
          <w:bCs/>
          <w:color w:val="333333"/>
          <w:sz w:val="24"/>
        </w:rPr>
        <w:t>2）世界500强企业</w:t>
      </w:r>
    </w:p>
    <w:p>
      <w:pPr>
        <w:pStyle w:val="Normal0"/>
        <w:rPr>
          <w:rFonts w:ascii="黑体" w:eastAsia="黑体" w:hAnsi="宋体" w:hint="eastAsia"/>
          <w:bCs/>
          <w:color w:val="333333"/>
          <w:sz w:val="24"/>
        </w:rPr>
      </w:pPr>
    </w:p>
    <w:p>
      <w:pPr>
        <w:pStyle w:val="Normal0"/>
        <w:rPr>
          <w:rFonts w:ascii="宋体" w:hAnsi="宋体" w:hint="eastAsia"/>
          <w:sz w:val="28"/>
        </w:rPr>
      </w:pPr>
      <w:r>
        <w:rPr>
          <w:rFonts w:ascii="黑体" w:eastAsia="黑体" w:hAnsi="宋体" w:hint="eastAsia"/>
          <w:bCs/>
          <w:sz w:val="32"/>
        </w:rPr>
        <w:t>1.4.2.2客户细分</w:t>
      </w:r>
    </w:p>
    <w:p>
      <w:pPr>
        <w:pStyle w:val="Normal0"/>
        <w:rPr>
          <w:rFonts w:ascii="黑体" w:eastAsia="黑体" w:hAnsi="宋体" w:hint="eastAsia"/>
          <w:sz w:val="28"/>
        </w:rPr>
      </w:pPr>
      <w:r>
        <w:rPr>
          <w:rFonts w:ascii="黑体" w:eastAsia="黑体" w:hAnsi="宋体" w:hint="eastAsia"/>
          <w:sz w:val="28"/>
        </w:rPr>
        <w:t>1) 按区域分</w:t>
      </w:r>
    </w:p>
    <w:p>
      <w:pPr>
        <w:pStyle w:val="Normal0"/>
        <w:ind w:left="1680" w:hanging="1680" w:hangingChars="600"/>
        <w:rPr>
          <w:rFonts w:ascii="宋体" w:hAnsi="宋体" w:hint="eastAsia"/>
          <w:sz w:val="28"/>
        </w:rPr>
      </w:pPr>
      <w:r>
        <w:rPr>
          <w:rFonts w:ascii="宋体" w:hAnsi="宋体" w:hint="eastAsia"/>
          <w:color w:val="808080"/>
          <w:sz w:val="28"/>
        </w:rPr>
        <w:t xml:space="preserve">■ </w:t>
      </w:r>
      <w:r>
        <w:rPr>
          <w:rFonts w:ascii="宋体" w:hAnsi="宋体" w:hint="eastAsia"/>
          <w:b/>
          <w:bCs/>
          <w:sz w:val="28"/>
        </w:rPr>
        <w:t>本地客户：</w:t>
      </w:r>
      <w:r>
        <w:rPr>
          <w:rFonts w:ascii="宋体" w:hAnsi="宋体" w:hint="eastAsia"/>
          <w:sz w:val="28"/>
        </w:rPr>
        <w:t>主要为本地较知名且处于高增长企业与本地投资者。</w:t>
      </w:r>
    </w:p>
    <w:p>
      <w:pPr>
        <w:pStyle w:val="Normal0"/>
        <w:ind w:left="840" w:hanging="840" w:hangingChars="300"/>
        <w:rPr>
          <w:rFonts w:ascii="宋体" w:hAnsi="宋体" w:hint="eastAsia"/>
          <w:sz w:val="28"/>
        </w:rPr>
      </w:pPr>
      <w:r>
        <w:rPr>
          <w:rFonts w:ascii="宋体" w:hAnsi="宋体" w:hint="eastAsia"/>
          <w:b/>
          <w:bCs/>
          <w:sz w:val="28"/>
        </w:rPr>
        <w:t>分析</w:t>
      </w:r>
      <w:r>
        <w:rPr>
          <w:rFonts w:ascii="宋体" w:hAnsi="宋体" w:hint="eastAsia"/>
          <w:sz w:val="28"/>
        </w:rPr>
        <w:t>：针对大连本市较知名的，正处在高速发展状态下的当地企业，由于事业的壮大，企业规模不断发展的需要，让一部分企业必须依托一个优等的发展平台，成为其发展壮大的跳板。</w:t>
      </w:r>
    </w:p>
    <w:p>
      <w:pPr>
        <w:pStyle w:val="Normal0"/>
        <w:ind w:left="1120" w:hanging="1120" w:hangingChars="400"/>
        <w:rPr>
          <w:rFonts w:ascii="宋体" w:hAnsi="宋体" w:hint="eastAsia"/>
          <w:sz w:val="28"/>
        </w:rPr>
      </w:pPr>
      <w:r>
        <w:rPr>
          <w:rFonts w:ascii="宋体" w:hAnsi="宋体" w:hint="eastAsia"/>
          <w:color w:val="808080"/>
          <w:sz w:val="28"/>
        </w:rPr>
        <w:t xml:space="preserve">■ </w:t>
      </w:r>
      <w:r>
        <w:rPr>
          <w:rFonts w:ascii="宋体" w:hAnsi="宋体" w:hint="eastAsia"/>
          <w:b/>
          <w:bCs/>
          <w:sz w:val="28"/>
        </w:rPr>
        <w:t>国内客户</w:t>
      </w:r>
      <w:r>
        <w:rPr>
          <w:rFonts w:ascii="宋体" w:hAnsi="宋体" w:hint="eastAsia"/>
          <w:sz w:val="28"/>
        </w:rPr>
        <w:t>：主要指国内较知名的企业在战略扩张时选择大连作为分支机构的“事业拓展型”企业及“港、澳、台、沪、京、津、江、浙、粤”等地的 “投资型”客户。</w:t>
      </w:r>
    </w:p>
    <w:p>
      <w:pPr>
        <w:pStyle w:val="Normal0"/>
        <w:ind w:left="759" w:hanging="759" w:hangingChars="271"/>
        <w:rPr>
          <w:rFonts w:ascii="宋体" w:hAnsi="宋体"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宋体" w:hAnsi="宋体" w:hint="eastAsia"/>
          <w:b/>
          <w:bCs/>
          <w:sz w:val="28"/>
        </w:rPr>
        <w:t>分析：</w:t>
      </w:r>
      <w:r>
        <w:rPr>
          <w:rFonts w:ascii="宋体" w:hAnsi="宋体" w:hint="eastAsia"/>
          <w:sz w:val="28"/>
        </w:rPr>
        <w:t>由于大连的利好条件吸引了一大批国内外知名企业至大连投资置业，上述各地的知名企业由于在大连或是整个华北地区已有较长远的投资</w:t>
      </w:r>
      <w:r>
        <w:rPr>
          <w:rFonts w:ascii="宋体" w:hAnsi="宋体" w:hint="eastAsia"/>
          <w:sz w:val="28"/>
          <w:lang w:eastAsia="zh-CN"/>
        </w:rPr>
        <w:t>相关计划</w:t>
      </w:r>
    </w:p>
    <w:p>
      <w:pPr>
        <w:pStyle w:val="Normal0"/>
        <w:ind w:left="759" w:hanging="759" w:hangingChars="271"/>
        <w:rPr>
          <w:rFonts w:ascii="宋体" w:hAnsi="宋体" w:hint="eastAsia"/>
          <w:sz w:val="28"/>
        </w:rPr>
      </w:pPr>
      <w:r>
        <w:rPr>
          <w:rFonts w:ascii="宋体" w:hAnsi="宋体" w:hint="eastAsia"/>
          <w:sz w:val="28"/>
        </w:rPr>
        <w:t>，欲在大连设立的分支机构的办公场所，他们有相当一部分企业选择租赁方式，有的选择购买的方式，在发展状态上看，他们有一定的经济能力且发展迅速，并急需优越的发展平台，我们能否为其提供这么一个商务或置业的饕餮盛宴成为关键。</w:t>
      </w:r>
    </w:p>
    <w:p>
      <w:pPr>
        <w:pStyle w:val="Normal0"/>
        <w:rPr>
          <w:rFonts w:ascii="宋体" w:hAnsi="宋体" w:hint="eastAsia"/>
          <w:sz w:val="28"/>
        </w:rPr>
      </w:pPr>
      <w:r>
        <w:rPr>
          <w:rFonts w:ascii="宋体" w:hAnsi="宋体" w:hint="eastAsia"/>
          <w:color w:val="808080"/>
          <w:sz w:val="28"/>
        </w:rPr>
        <w:t xml:space="preserve">■ </w:t>
      </w:r>
      <w:r>
        <w:rPr>
          <w:rFonts w:ascii="宋体" w:hAnsi="宋体" w:hint="eastAsia"/>
          <w:b/>
          <w:bCs/>
          <w:sz w:val="28"/>
        </w:rPr>
        <w:t>国际品牌客户</w:t>
      </w:r>
      <w:r>
        <w:rPr>
          <w:rFonts w:ascii="宋体" w:hAnsi="宋体" w:hint="eastAsia"/>
          <w:sz w:val="28"/>
        </w:rPr>
        <w:t>：各类跨国公司在大连的分支机构。</w:t>
      </w:r>
    </w:p>
    <w:p>
      <w:pPr>
        <w:pStyle w:val="Normal0"/>
        <w:numPr>
          <w:ilvl w:val="3"/>
          <w:numId w:val="0"/>
        </w:numPr>
        <w:rPr>
          <w:rFonts w:ascii="黑体" w:eastAsia="黑体" w:hAnsi="宋体" w:hint="eastAsia"/>
          <w:sz w:val="28"/>
        </w:rPr>
      </w:pPr>
      <w:r>
        <w:rPr>
          <w:rFonts w:ascii="黑体" w:eastAsia="黑体" w:hAnsi="宋体" w:hint="eastAsia"/>
          <w:sz w:val="28"/>
        </w:rPr>
        <w:t>2) 按产业分</w:t>
      </w:r>
    </w:p>
    <w:p>
      <w:pPr>
        <w:pStyle w:val="Normal0"/>
        <w:ind w:hanging="1"/>
        <w:rPr>
          <w:rFonts w:ascii="宋体" w:hAnsi="宋体" w:hint="eastAsia"/>
          <w:sz w:val="28"/>
        </w:rPr>
      </w:pPr>
      <w:r>
        <w:rPr>
          <w:rFonts w:ascii="宋体" w:hAnsi="宋体" w:hint="eastAsia"/>
          <w:color w:val="808080"/>
          <w:sz w:val="28"/>
        </w:rPr>
        <w:t xml:space="preserve">■ </w:t>
      </w:r>
      <w:r>
        <w:rPr>
          <w:rFonts w:ascii="宋体" w:hAnsi="宋体" w:hint="eastAsia"/>
          <w:b/>
          <w:bCs/>
          <w:sz w:val="28"/>
        </w:rPr>
        <w:t>传统支柱性产业</w:t>
      </w:r>
      <w:r>
        <w:rPr>
          <w:rFonts w:ascii="宋体" w:hAnsi="宋体" w:hint="eastAsia"/>
          <w:sz w:val="28"/>
        </w:rPr>
        <w:t>：如传统的“品牌制造业、石油化工业、电子通讯业。</w:t>
      </w:r>
    </w:p>
    <w:p>
      <w:pPr>
        <w:pStyle w:val="Normal0"/>
        <w:ind w:left="1470" w:hanging="1470" w:hangingChars="525"/>
        <w:rPr>
          <w:rFonts w:ascii="宋体" w:hAnsi="宋体" w:hint="eastAsia"/>
          <w:sz w:val="28"/>
        </w:rPr>
      </w:pPr>
      <w:r>
        <w:rPr>
          <w:rFonts w:ascii="宋体" w:hAnsi="宋体" w:hint="eastAsia"/>
          <w:color w:val="808080"/>
          <w:sz w:val="28"/>
        </w:rPr>
        <w:t>■</w:t>
      </w:r>
      <w:r>
        <w:rPr>
          <w:rFonts w:ascii="宋体" w:hAnsi="宋体" w:hint="eastAsia"/>
          <w:b/>
          <w:bCs/>
          <w:sz w:val="28"/>
        </w:rPr>
        <w:t>“临港、临海” 优势产业</w:t>
      </w:r>
      <w:r>
        <w:rPr>
          <w:rFonts w:ascii="宋体" w:hAnsi="宋体" w:hint="eastAsia"/>
          <w:sz w:val="28"/>
        </w:rPr>
        <w:t>：如</w:t>
      </w:r>
      <w:r>
        <w:rPr>
          <w:rFonts w:ascii="宋体" w:hAnsi="宋体"/>
          <w:sz w:val="28"/>
        </w:rPr>
        <w:t>航运</w:t>
      </w:r>
      <w:r>
        <w:rPr>
          <w:rFonts w:ascii="宋体" w:hAnsi="宋体" w:hint="eastAsia"/>
          <w:sz w:val="28"/>
        </w:rPr>
        <w:t>、</w:t>
      </w:r>
      <w:r>
        <w:rPr>
          <w:rFonts w:ascii="宋体" w:hAnsi="宋体"/>
          <w:sz w:val="28"/>
        </w:rPr>
        <w:t>仓储、</w:t>
      </w:r>
      <w:r>
        <w:rPr>
          <w:rFonts w:ascii="宋体" w:hAnsi="宋体" w:hint="eastAsia"/>
          <w:sz w:val="28"/>
        </w:rPr>
        <w:t>进出口</w:t>
      </w:r>
      <w:r>
        <w:rPr>
          <w:rFonts w:ascii="宋体" w:hAnsi="宋体"/>
          <w:sz w:val="28"/>
        </w:rPr>
        <w:t>贸易、</w:t>
      </w:r>
      <w:r>
        <w:rPr>
          <w:rFonts w:ascii="宋体" w:hAnsi="宋体" w:hint="eastAsia"/>
          <w:sz w:val="28"/>
        </w:rPr>
        <w:t>海洋化工、</w:t>
      </w:r>
      <w:r>
        <w:rPr>
          <w:rFonts w:ascii="宋体" w:hAnsi="宋体"/>
          <w:sz w:val="28"/>
        </w:rPr>
        <w:t>劳务合作和口岸服务</w:t>
      </w:r>
      <w:r>
        <w:rPr>
          <w:rFonts w:ascii="宋体" w:hAnsi="宋体" w:hint="eastAsia"/>
          <w:sz w:val="28"/>
        </w:rPr>
        <w:t>的临港产业体系和海产养殖捕捞、海产品加工、海滨休闲及相关服务的临海产业体系。</w:t>
      </w:r>
    </w:p>
    <w:p>
      <w:pPr>
        <w:pStyle w:val="Normal0"/>
        <w:ind w:firstLine="1"/>
        <w:rPr>
          <w:rFonts w:ascii="宋体" w:hAnsi="宋体" w:hint="eastAsia"/>
          <w:sz w:val="28"/>
        </w:rPr>
      </w:pPr>
      <w:r>
        <w:rPr>
          <w:rFonts w:ascii="宋体" w:hAnsi="宋体" w:hint="eastAsia"/>
          <w:color w:val="808080"/>
          <w:sz w:val="28"/>
        </w:rPr>
        <w:t xml:space="preserve">■ </w:t>
      </w:r>
      <w:r>
        <w:rPr>
          <w:rFonts w:ascii="宋体" w:hAnsi="宋体" w:hint="eastAsia"/>
          <w:b/>
          <w:bCs/>
          <w:sz w:val="28"/>
        </w:rPr>
        <w:t>金融业</w:t>
      </w:r>
      <w:r>
        <w:rPr>
          <w:rFonts w:ascii="宋体" w:hAnsi="宋体" w:hint="eastAsia"/>
          <w:sz w:val="28"/>
        </w:rPr>
        <w:t xml:space="preserve">：国际、国内等金融机构，如银行、证卷、保险、信托、 期货等企业。 </w:t>
      </w:r>
    </w:p>
    <w:p>
      <w:pPr>
        <w:pStyle w:val="Normal0"/>
        <w:rPr>
          <w:rFonts w:ascii="宋体" w:hAnsi="宋体" w:hint="eastAsia"/>
          <w:sz w:val="28"/>
        </w:rPr>
      </w:pPr>
      <w:r>
        <w:rPr>
          <w:rFonts w:ascii="宋体" w:hAnsi="宋体" w:hint="eastAsia"/>
          <w:color w:val="808080"/>
          <w:sz w:val="28"/>
        </w:rPr>
        <w:t xml:space="preserve">■ </w:t>
      </w:r>
      <w:r>
        <w:rPr>
          <w:rFonts w:ascii="宋体" w:hAnsi="宋体" w:hint="eastAsia"/>
          <w:b/>
          <w:bCs/>
          <w:sz w:val="28"/>
        </w:rPr>
        <w:t>新兴高科技产业</w:t>
      </w:r>
      <w:r>
        <w:rPr>
          <w:rFonts w:ascii="宋体" w:hAnsi="宋体" w:hint="eastAsia"/>
          <w:sz w:val="28"/>
        </w:rPr>
        <w:t>：如软件业、信息产业、生物工程、新材料应用、节能环保等。</w:t>
      </w:r>
    </w:p>
    <w:p>
      <w:pPr>
        <w:pStyle w:val="Normal0"/>
        <w:numPr>
          <w:ilvl w:val="0"/>
          <w:numId w:val="2"/>
        </w:numPr>
        <w:rPr>
          <w:rFonts w:hint="eastAsia"/>
          <w:sz w:val="28"/>
        </w:rPr>
      </w:pPr>
      <w:r>
        <w:rPr>
          <w:rFonts w:hint="eastAsia"/>
          <w:b/>
          <w:bCs/>
          <w:sz w:val="28"/>
        </w:rPr>
        <w:t>综合性配套服务产业：</w:t>
      </w:r>
      <w:r>
        <w:rPr>
          <w:rFonts w:hint="eastAsia"/>
          <w:sz w:val="28"/>
        </w:rPr>
        <w:t>指服务于现代化经济体制下的“人流、物流、资金流、信息流”的中介代理机构如“律师、会计师事务所、保险经济有限公司、国际品牌咨询</w:t>
      </w:r>
      <w:r>
        <w:rPr>
          <w:rFonts w:hint="eastAsia"/>
          <w:sz w:val="28"/>
          <w:lang w:eastAsia="zh-CN"/>
        </w:rPr>
        <w:t>管理管控</w:t>
      </w:r>
      <w:r>
        <w:rPr>
          <w:rFonts w:hint="eastAsia"/>
          <w:sz w:val="28"/>
        </w:rPr>
        <w:t>机构”等等；</w:t>
      </w:r>
    </w:p>
    <w:p>
      <w:pPr>
        <w:pStyle w:val="Normal0"/>
        <w:numPr>
          <w:ilvl w:val="0"/>
          <w:numId w:val="2"/>
        </w:numPr>
        <w:rPr>
          <w:rFonts w:hint="eastAsia"/>
          <w:sz w:val="28"/>
        </w:rPr>
      </w:pPr>
    </w:p>
    <w:p>
      <w:pPr>
        <w:pStyle w:val="Normal0"/>
        <w:rPr>
          <w:rFonts w:ascii="宋体" w:hAnsi="宋体" w:hint="eastAsia"/>
          <w:b/>
          <w:sz w:val="24"/>
          <w:szCs w:val="32"/>
        </w:rPr>
      </w:pPr>
      <w:r>
        <w:rPr>
          <w:rFonts w:ascii="黑体" w:eastAsia="黑体" w:hAnsi="宋体" w:hint="eastAsia"/>
          <w:bCs/>
          <w:sz w:val="32"/>
        </w:rPr>
        <w:t>1.4.2.3目标客户需求分析</w:t>
      </w:r>
    </w:p>
    <w:p>
      <w:pPr>
        <w:pStyle w:val="Normal0"/>
        <w:ind w:firstLine="560" w:firstLineChars="200"/>
        <w:rPr>
          <w:rFonts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pStyle w:val="Normal0"/>
        <w:ind w:firstLine="560" w:firstLineChars="200"/>
        <w:rPr>
          <w:rFonts w:hint="eastAsia"/>
          <w:sz w:val="28"/>
        </w:rPr>
      </w:pPr>
      <w:r>
        <w:rPr>
          <w:rFonts w:hint="eastAsia"/>
          <w:sz w:val="28"/>
        </w:rPr>
        <w:t>从需要办公场所的单个企业的角度出发，价格承受能力、办公物业所处的地段氛围、对面积的需求、对配套设施服务功能的要求、企业形象的要求等是选择的办公场所的基本因素。不同行业、不同规模、不同实力的企业在选择办公场所时，各种因素所占的权重是不同的，简单举例如：小型企业，尤其是处于创业期的企业，最看重的因素是租金水平，因为资金的运用效率是该类企业发展的关键所在，因此绝大部分该类企业会选择商住两用、比较实惠的中低档商务公寓；一些规模较小的公关公司的客户主要是大型的知名企业，更看重显示公司实力、方便接待客户等因素，因此为了企业形象就会考虑将办公场所设在甲级高级写字楼。</w:t>
      </w:r>
    </w:p>
    <w:p>
      <w:pPr>
        <w:pStyle w:val="Normal0"/>
        <w:rPr>
          <w:rFonts w:ascii="黑体" w:eastAsia="黑体" w:hAnsi="宋体" w:hint="eastAsia"/>
          <w:sz w:val="28"/>
        </w:rPr>
      </w:pPr>
      <w:r>
        <w:rPr>
          <w:rFonts w:ascii="黑体" w:eastAsia="黑体" w:hAnsi="宋体"/>
          <w:sz w:val="28"/>
        </w:rPr>
        <w:t>1.</w:t>
      </w:r>
      <w:r>
        <w:rPr>
          <w:rFonts w:ascii="黑体" w:eastAsia="黑体" w:hAnsi="宋体" w:hint="eastAsia"/>
          <w:sz w:val="28"/>
        </w:rPr>
        <w:t>目标客户行业景气分析：</w:t>
      </w:r>
    </w:p>
    <w:p>
      <w:pPr>
        <w:pStyle w:val="Normal0"/>
        <w:ind w:firstLine="560" w:firstLineChars="200"/>
        <w:rPr>
          <w:rFonts w:ascii="宋体" w:hAnsi="宋体" w:hint="eastAsia"/>
          <w:sz w:val="28"/>
        </w:rPr>
      </w:pPr>
      <w:r>
        <w:rPr>
          <w:rFonts w:ascii="宋体" w:hAnsi="宋体" w:hint="eastAsia"/>
          <w:sz w:val="28"/>
        </w:rPr>
        <w:t>写字楼物业价格和租金不菲，月供及利息</w:t>
      </w:r>
      <w:r>
        <w:rPr>
          <w:rFonts w:ascii="宋体" w:hAnsi="宋体"/>
          <w:sz w:val="28"/>
        </w:rPr>
        <w:t>/</w:t>
      </w:r>
      <w:r>
        <w:rPr>
          <w:rFonts w:ascii="宋体" w:hAnsi="宋体" w:hint="eastAsia"/>
          <w:sz w:val="28"/>
        </w:rPr>
        <w:t>租金在企业的费用中占有较大的比重，企业对写字楼的购买能力以及租赁能力很大程度上取决于行业的景气程度，行业景气程度分为两个层次：第一，是不同行业之间的景气程度；第二，是同一行业之内不同企业景气程度。行业及企业的景气程度决定了企业对写字楼市场的需求强度和需求能力，尤其是表现在对价格承受能力，以及对高档次物业的需求。</w:t>
      </w:r>
    </w:p>
    <w:p>
      <w:pPr>
        <w:pStyle w:val="Normal0"/>
        <w:ind w:firstLine="560" w:firstLineChars="200"/>
        <w:rPr>
          <w:rFonts w:hint="eastAsia"/>
          <w:sz w:val="28"/>
        </w:rPr>
      </w:pPr>
      <w:r>
        <w:rPr>
          <w:rFonts w:hint="eastAsia"/>
          <w:sz w:val="28"/>
        </w:rPr>
        <w:t>从大连经济发展情况来看，总体经济景气指数持续上扬，从行业来看，房地产、汽车贸易、制造、外贸、服务、信息等行业景气指数较好，这些行业的企业对高档次物业的需求相对较大。</w:t>
      </w:r>
    </w:p>
    <w:p>
      <w:pPr>
        <w:pStyle w:val="Normal0"/>
        <w:rPr>
          <w:rFonts w:ascii="黑体" w:eastAsia="黑体" w:hAnsi="宋体" w:hint="eastAsia"/>
          <w:sz w:val="28"/>
        </w:rPr>
      </w:pPr>
      <w:r>
        <w:rPr>
          <w:rFonts w:ascii="黑体" w:eastAsia="黑体" w:hAnsi="宋体"/>
          <w:sz w:val="28"/>
        </w:rPr>
        <w:t>2.</w:t>
      </w:r>
      <w:r>
        <w:rPr>
          <w:rFonts w:ascii="黑体" w:eastAsia="黑体" w:hAnsi="宋体" w:hint="eastAsia"/>
          <w:sz w:val="28"/>
        </w:rPr>
        <w:t>公司人数规模及组织架构：</w:t>
      </w:r>
    </w:p>
    <w:p>
      <w:pPr>
        <w:pStyle w:val="Normal0"/>
        <w:ind w:firstLine="560" w:firstLineChars="200"/>
        <w:rPr>
          <w:rFonts w:ascii="宋体" w:hAnsi="宋体"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宋体" w:hAnsi="宋体" w:hint="eastAsia"/>
          <w:sz w:val="28"/>
        </w:rPr>
        <w:t>人员规模与办公面积息息相关。当然，不同行业性质的人均办公面积需求存在较大的差别，同一行业当中不同规模和等级的公司其人均办公面积也会存在较大的差异；在这里需要指出的是，不同组织结构及</w:t>
      </w:r>
      <w:r>
        <w:rPr>
          <w:rFonts w:ascii="宋体" w:hAnsi="宋体" w:hint="eastAsia"/>
          <w:sz w:val="28"/>
          <w:lang w:eastAsia="zh-CN"/>
        </w:rPr>
        <w:t>管理管控</w:t>
      </w:r>
    </w:p>
    <w:p>
      <w:pPr>
        <w:pStyle w:val="Normal0"/>
        <w:ind w:firstLine="560" w:firstLineChars="200"/>
        <w:rPr>
          <w:rFonts w:ascii="宋体" w:hAnsi="宋体" w:hint="eastAsia"/>
          <w:sz w:val="28"/>
        </w:rPr>
      </w:pPr>
      <w:r>
        <w:rPr>
          <w:rFonts w:ascii="宋体" w:hAnsi="宋体" w:hint="eastAsia"/>
          <w:sz w:val="28"/>
        </w:rPr>
        <w:t>层次的公司对于办公面积的需求也存在较大的差异，一般而言，</w:t>
      </w:r>
      <w:r>
        <w:rPr>
          <w:rFonts w:ascii="宋体" w:hAnsi="宋体" w:hint="eastAsia"/>
          <w:sz w:val="28"/>
          <w:lang w:eastAsia="zh-CN"/>
        </w:rPr>
        <w:t>管理管控</w:t>
      </w:r>
      <w:r>
        <w:rPr>
          <w:rFonts w:ascii="宋体" w:hAnsi="宋体" w:hint="eastAsia"/>
          <w:sz w:val="28"/>
        </w:rPr>
        <w:t>者的人均办公面积会大于普通员工的办公面积，比如经理通常有独立的办公间，在一定范围内，雇员等级高低与办公面积呈正比例关系。</w:t>
      </w:r>
    </w:p>
    <w:p>
      <w:pPr>
        <w:pStyle w:val="Normal0"/>
        <w:ind w:firstLine="560" w:firstLineChars="200"/>
        <w:rPr>
          <w:rFonts w:ascii="宋体" w:hAnsi="宋体"/>
          <w:sz w:val="28"/>
        </w:rPr>
      </w:pPr>
      <w:r>
        <w:rPr>
          <w:rFonts w:ascii="宋体" w:hAnsi="宋体" w:hint="eastAsia"/>
          <w:sz w:val="28"/>
        </w:rPr>
        <w:t>①当行业或者企业的景气指数上升时，企业通常会做出如下举动：</w:t>
      </w:r>
      <w:r>
        <w:rPr>
          <w:rFonts w:ascii="宋体" w:hAnsi="宋体"/>
          <w:sz w:val="28"/>
        </w:rPr>
        <w:t xml:space="preserve"> </w:t>
      </w:r>
    </w:p>
    <w:p>
      <w:pPr>
        <w:pStyle w:val="Normal0"/>
        <w:ind w:firstLine="560" w:firstLineChars="200"/>
        <w:rPr>
          <w:rFonts w:ascii="宋体" w:hAnsi="宋体"/>
          <w:sz w:val="28"/>
        </w:rPr>
      </w:pPr>
      <w:r>
        <w:rPr>
          <w:rFonts w:ascii="宋体" w:hAnsi="宋体" w:hint="eastAsia"/>
          <w:sz w:val="28"/>
        </w:rPr>
        <w:t>→扩充目前的办公场所；</w:t>
      </w:r>
      <w:r>
        <w:rPr>
          <w:rFonts w:ascii="宋体" w:hAnsi="宋体"/>
          <w:sz w:val="28"/>
        </w:rPr>
        <w:t xml:space="preserve"> </w:t>
      </w:r>
      <w:r>
        <w:rPr>
          <w:rFonts w:ascii="宋体" w:hAnsi="宋体" w:hint="eastAsia"/>
          <w:sz w:val="28"/>
        </w:rPr>
        <w:t>→选择更高级的办公场所；</w:t>
      </w:r>
      <w:r>
        <w:rPr>
          <w:rFonts w:ascii="宋体" w:hAnsi="宋体"/>
          <w:sz w:val="28"/>
        </w:rPr>
        <w:t xml:space="preserve"> </w:t>
      </w:r>
      <w:r>
        <w:rPr>
          <w:rFonts w:ascii="宋体" w:hAnsi="宋体" w:hint="eastAsia"/>
          <w:sz w:val="28"/>
        </w:rPr>
        <w:t>→招募更多的员工；→或者联合采取以上的行动。</w:t>
      </w:r>
      <w:r>
        <w:rPr>
          <w:rFonts w:ascii="宋体" w:hAnsi="宋体"/>
          <w:sz w:val="28"/>
        </w:rPr>
        <w:t xml:space="preserve"> </w:t>
      </w:r>
    </w:p>
    <w:p>
      <w:pPr>
        <w:pStyle w:val="Normal0"/>
        <w:ind w:firstLine="560" w:firstLineChars="200"/>
        <w:rPr>
          <w:rFonts w:ascii="宋体" w:hAnsi="宋体"/>
          <w:sz w:val="28"/>
        </w:rPr>
      </w:pPr>
      <w:r>
        <w:rPr>
          <w:rFonts w:ascii="宋体" w:hAnsi="宋体" w:hint="eastAsia"/>
          <w:sz w:val="28"/>
        </w:rPr>
        <w:t>②当行业或者企业的景气指数下降时，企业通常相应会有如下反应：</w:t>
      </w:r>
      <w:r>
        <w:rPr>
          <w:rFonts w:ascii="宋体" w:hAnsi="宋体"/>
          <w:sz w:val="28"/>
        </w:rPr>
        <w:t xml:space="preserve"> </w:t>
      </w:r>
    </w:p>
    <w:p>
      <w:pPr>
        <w:pStyle w:val="Normal0"/>
        <w:ind w:firstLine="560" w:firstLineChars="200"/>
        <w:rPr>
          <w:rFonts w:ascii="宋体" w:hAnsi="宋体"/>
          <w:sz w:val="28"/>
        </w:rPr>
      </w:pPr>
      <w:r>
        <w:rPr>
          <w:rFonts w:ascii="宋体" w:hAnsi="宋体" w:hint="eastAsia"/>
          <w:sz w:val="28"/>
        </w:rPr>
        <w:t>→缩减目前的办公场所；</w:t>
      </w:r>
      <w:r>
        <w:rPr>
          <w:rFonts w:ascii="宋体" w:hAnsi="宋体"/>
          <w:sz w:val="28"/>
        </w:rPr>
        <w:t xml:space="preserve"> </w:t>
      </w:r>
      <w:r>
        <w:rPr>
          <w:rFonts w:ascii="宋体" w:hAnsi="宋体" w:hint="eastAsia"/>
          <w:sz w:val="28"/>
        </w:rPr>
        <w:t>→选择低档次的办公场所；→裁员；→或者联合采取以上的行动。</w:t>
      </w:r>
      <w:r>
        <w:rPr>
          <w:rFonts w:ascii="宋体" w:hAnsi="宋体"/>
          <w:sz w:val="28"/>
        </w:rPr>
        <w:t xml:space="preserve"> </w:t>
      </w:r>
    </w:p>
    <w:p>
      <w:pPr>
        <w:pStyle w:val="Normal0"/>
        <w:rPr>
          <w:rFonts w:ascii="宋体" w:hAnsi="宋体" w:hint="eastAsia"/>
          <w:sz w:val="28"/>
        </w:rPr>
      </w:pPr>
      <w:r>
        <w:rPr>
          <w:rFonts w:ascii="宋体" w:hAnsi="宋体" w:hint="eastAsia"/>
          <w:sz w:val="28"/>
        </w:rPr>
        <w:t xml:space="preserve">   由于大连目前处于的经济快速发展阶段，以中小型规模、组织结构比较简单的企业数量居多，因此较小面积的办公场所具有更多的潜在客户。而且较小面积的房间去化较快，可以多间小面积房间合成一个大面积房间，小面积的房型组合进行销售，对本案比较有利。</w:t>
      </w:r>
    </w:p>
    <w:p>
      <w:pPr>
        <w:pStyle w:val="Normal0"/>
        <w:rPr>
          <w:rFonts w:ascii="黑体" w:eastAsia="黑体" w:hAnsi="宋体" w:hint="eastAsia"/>
          <w:sz w:val="28"/>
        </w:rPr>
      </w:pPr>
      <w:r>
        <w:rPr>
          <w:rFonts w:ascii="黑体" w:eastAsia="黑体" w:hAnsi="宋体" w:hint="eastAsia"/>
          <w:sz w:val="28"/>
        </w:rPr>
        <w:t>3.对客户及下游资源供应商的依赖程度：</w:t>
      </w:r>
    </w:p>
    <w:p>
      <w:pPr>
        <w:pStyle w:val="Normal0"/>
        <w:ind w:firstLine="560" w:firstLineChars="200"/>
        <w:rPr>
          <w:rFonts w:ascii="宋体" w:hAnsi="宋体" w:hint="eastAsia"/>
          <w:sz w:val="28"/>
        </w:rPr>
      </w:pPr>
      <w:r>
        <w:rPr>
          <w:rFonts w:ascii="宋体" w:hAnsi="宋体" w:hint="eastAsia"/>
          <w:sz w:val="28"/>
        </w:rPr>
        <w:t>写字楼的目标用户绝大部分属于智力服务行业，服务行业比较看重的一点就是和客户沟通的方便程度以及沟通的成本，比如某个咨询公司的主要客户都在</w:t>
      </w:r>
      <w:r>
        <w:rPr>
          <w:rFonts w:ascii="宋体" w:hAnsi="宋体"/>
          <w:sz w:val="28"/>
        </w:rPr>
        <w:t>CBD</w:t>
      </w:r>
      <w:r>
        <w:rPr>
          <w:rFonts w:ascii="宋体" w:hAnsi="宋体" w:hint="eastAsia"/>
          <w:sz w:val="28"/>
        </w:rPr>
        <w:t>办公，那么该企业迟早会搬进</w:t>
      </w:r>
      <w:r>
        <w:rPr>
          <w:rFonts w:ascii="宋体" w:hAnsi="宋体"/>
          <w:sz w:val="28"/>
        </w:rPr>
        <w:t>CBD</w:t>
      </w:r>
      <w:r>
        <w:rPr>
          <w:rFonts w:ascii="宋体" w:hAnsi="宋体" w:hint="eastAsia"/>
          <w:sz w:val="28"/>
        </w:rPr>
        <w:t>或者选择周边的物业。</w:t>
      </w:r>
    </w:p>
    <w:p>
      <w:pPr>
        <w:pStyle w:val="Normal0"/>
        <w:rPr>
          <w:rFonts w:ascii="宋体" w:hAnsi="宋体"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宋体" w:hAnsi="宋体" w:hint="eastAsia"/>
          <w:sz w:val="28"/>
        </w:rPr>
        <w:tab/>
      </w:r>
      <w:r>
        <w:rPr>
          <w:rFonts w:ascii="宋体" w:hAnsi="宋体" w:hint="eastAsia"/>
          <w:sz w:val="28"/>
        </w:rPr>
        <w:t xml:space="preserve"> 由于本</w:t>
      </w:r>
      <w:r>
        <w:rPr>
          <w:rFonts w:ascii="宋体" w:hAnsi="宋体" w:hint="eastAsia"/>
          <w:sz w:val="28"/>
          <w:lang w:eastAsia="zh-CN"/>
        </w:rPr>
        <w:t>相关项目</w:t>
      </w:r>
    </w:p>
    <w:p>
      <w:pPr>
        <w:pStyle w:val="Normal0"/>
        <w:rPr>
          <w:rFonts w:ascii="宋体" w:hAnsi="宋体" w:hint="eastAsia"/>
          <w:sz w:val="28"/>
        </w:rPr>
      </w:pPr>
      <w:r>
        <w:rPr>
          <w:rFonts w:ascii="宋体" w:hAnsi="宋体" w:hint="eastAsia"/>
          <w:sz w:val="28"/>
        </w:rPr>
        <w:t>所处区域占据了青泥洼商务区CED与中山路中央商务区CBD之间，取其二者利好同时拥有CED与CBD的双重优势，因此本</w:t>
      </w:r>
      <w:r>
        <w:rPr>
          <w:rFonts w:ascii="宋体" w:hAnsi="宋体" w:hint="eastAsia"/>
          <w:sz w:val="28"/>
          <w:lang w:eastAsia="zh-CN"/>
        </w:rPr>
        <w:t>相关项目</w:t>
      </w:r>
      <w:r>
        <w:rPr>
          <w:rFonts w:ascii="宋体" w:hAnsi="宋体" w:hint="eastAsia"/>
          <w:sz w:val="28"/>
        </w:rPr>
        <w:t>是比较适合服务行业，比如说咨询、设计，以及贸易等行业的企业。</w:t>
      </w:r>
    </w:p>
    <w:p>
      <w:pPr>
        <w:pStyle w:val="Normal0"/>
        <w:rPr>
          <w:rFonts w:ascii="黑体" w:eastAsia="黑体" w:hAnsi="宋体" w:hint="eastAsia"/>
          <w:sz w:val="28"/>
        </w:rPr>
      </w:pPr>
      <w:r>
        <w:rPr>
          <w:rFonts w:ascii="黑体" w:eastAsia="黑体" w:hAnsi="宋体" w:hint="eastAsia"/>
          <w:sz w:val="28"/>
        </w:rPr>
        <w:t>4.形象要求：</w:t>
      </w:r>
    </w:p>
    <w:p>
      <w:pPr>
        <w:pStyle w:val="Normal0"/>
        <w:ind w:firstLine="560" w:firstLineChars="200"/>
        <w:rPr>
          <w:rFonts w:ascii="宋体" w:hAnsi="宋体" w:hint="eastAsia"/>
          <w:b/>
          <w:bCs/>
          <w:color w:val="5F5F5F"/>
          <w:sz w:val="28"/>
        </w:rPr>
      </w:pPr>
      <w:r>
        <w:rPr>
          <w:rFonts w:ascii="宋体" w:hAnsi="宋体" w:hint="eastAsia"/>
          <w:b/>
          <w:bCs/>
          <w:color w:val="5F5F5F"/>
          <w:sz w:val="28"/>
        </w:rPr>
        <w:t>区域形象：</w:t>
      </w:r>
    </w:p>
    <w:p>
      <w:pPr>
        <w:pStyle w:val="Normal0"/>
        <w:ind w:firstLine="560" w:firstLineChars="200"/>
        <w:rPr>
          <w:rFonts w:ascii="宋体" w:hAnsi="宋体"/>
          <w:sz w:val="28"/>
        </w:rPr>
      </w:pPr>
      <w:r>
        <w:rPr>
          <w:rFonts w:ascii="宋体" w:hAnsi="宋体" w:hint="eastAsia"/>
          <w:sz w:val="28"/>
        </w:rPr>
        <w:t>这里的区域形象是指在某个城市内存在若干个写字楼热点区域，比如北京的</w:t>
      </w:r>
      <w:r>
        <w:rPr>
          <w:rFonts w:ascii="宋体" w:hAnsi="宋体"/>
          <w:sz w:val="28"/>
        </w:rPr>
        <w:t>CBD</w:t>
      </w:r>
      <w:r>
        <w:rPr>
          <w:rFonts w:ascii="宋体" w:hAnsi="宋体" w:hint="eastAsia"/>
          <w:sz w:val="28"/>
        </w:rPr>
        <w:t>、金融街、中关村；一般来讲，存在若干个区域的城市，不同区域之间特点和形象存在巨大差异，企业在选择办公地点时，首先会考虑区域形象，国际性跨国公司对区域形象尤为重视；</w:t>
      </w:r>
      <w:r>
        <w:rPr>
          <w:rFonts w:ascii="宋体" w:hAnsi="宋体"/>
          <w:sz w:val="28"/>
        </w:rPr>
        <w:t xml:space="preserve"> </w:t>
      </w:r>
    </w:p>
    <w:p>
      <w:pPr>
        <w:pStyle w:val="Normal0"/>
        <w:ind w:firstLine="560" w:firstLineChars="200"/>
        <w:rPr>
          <w:rFonts w:ascii="宋体" w:hAnsi="宋体" w:hint="eastAsia"/>
          <w:b/>
          <w:bCs/>
          <w:color w:val="5F5F5F"/>
          <w:sz w:val="28"/>
        </w:rPr>
      </w:pPr>
      <w:r>
        <w:rPr>
          <w:rFonts w:ascii="宋体" w:hAnsi="宋体" w:hint="eastAsia"/>
          <w:b/>
          <w:bCs/>
          <w:color w:val="5F5F5F"/>
          <w:sz w:val="28"/>
        </w:rPr>
        <w:t>→物业自身形象：</w:t>
      </w:r>
    </w:p>
    <w:p>
      <w:pPr>
        <w:pStyle w:val="Normal0"/>
        <w:ind w:firstLine="560" w:firstLineChars="200"/>
        <w:rPr>
          <w:rFonts w:ascii="宋体" w:hAnsi="宋体"/>
          <w:sz w:val="28"/>
        </w:rPr>
      </w:pPr>
      <w:r>
        <w:rPr>
          <w:rFonts w:ascii="宋体" w:hAnsi="宋体" w:hint="eastAsia"/>
          <w:sz w:val="28"/>
        </w:rPr>
        <w:t>不同物业自身的形象对于写字楼用户选择</w:t>
      </w:r>
      <w:r>
        <w:rPr>
          <w:rFonts w:ascii="宋体" w:hAnsi="宋体" w:hint="eastAsia"/>
          <w:sz w:val="28"/>
          <w:lang w:eastAsia="zh-CN"/>
        </w:rPr>
        <w:t>相关项目</w:t>
      </w:r>
      <w:r>
        <w:rPr>
          <w:rFonts w:ascii="宋体" w:hAnsi="宋体" w:hint="eastAsia"/>
          <w:sz w:val="28"/>
        </w:rPr>
        <w:t>的影响程度也非常大，同时区域形象最终由具体的物业</w:t>
      </w:r>
      <w:r>
        <w:rPr>
          <w:rFonts w:ascii="宋体" w:hAnsi="宋体" w:hint="eastAsia"/>
          <w:sz w:val="28"/>
          <w:lang w:eastAsia="zh-CN"/>
        </w:rPr>
        <w:t>相关项目</w:t>
      </w:r>
      <w:r>
        <w:rPr>
          <w:rFonts w:ascii="宋体" w:hAnsi="宋体" w:hint="eastAsia"/>
          <w:sz w:val="28"/>
        </w:rPr>
        <w:t>来体现；</w:t>
      </w:r>
      <w:r>
        <w:rPr>
          <w:rFonts w:ascii="宋体" w:hAnsi="宋体"/>
          <w:sz w:val="28"/>
        </w:rPr>
        <w:t xml:space="preserve"> </w:t>
      </w:r>
    </w:p>
    <w:p>
      <w:pPr>
        <w:pStyle w:val="Normal0"/>
        <w:ind w:firstLine="560" w:firstLineChars="200"/>
        <w:rPr>
          <w:rFonts w:ascii="宋体" w:hAnsi="宋体" w:hint="eastAsia"/>
          <w:sz w:val="28"/>
        </w:rPr>
      </w:pPr>
      <w:r>
        <w:rPr>
          <w:rFonts w:ascii="宋体" w:hAnsi="宋体" w:hint="eastAsia"/>
          <w:b/>
          <w:bCs/>
          <w:color w:val="5F5F5F"/>
          <w:sz w:val="28"/>
        </w:rPr>
        <w:t>→物业内部其他公司形象：</w:t>
      </w:r>
    </w:p>
    <w:p>
      <w:pPr>
        <w:pStyle w:val="Normal0"/>
        <w:ind w:firstLine="560" w:firstLineChars="200"/>
        <w:rPr>
          <w:rFonts w:ascii="宋体" w:hAnsi="宋体" w:hint="eastAsia"/>
          <w:sz w:val="28"/>
        </w:rPr>
      </w:pPr>
      <w:r>
        <w:rPr>
          <w:rFonts w:ascii="宋体" w:hAnsi="宋体"/>
          <w:sz w:val="28"/>
        </w:rPr>
        <w:t>“</w:t>
      </w:r>
      <w:r>
        <w:rPr>
          <w:rFonts w:ascii="宋体" w:hAnsi="宋体" w:hint="eastAsia"/>
          <w:sz w:val="28"/>
        </w:rPr>
        <w:t>群聚效应</w:t>
      </w:r>
      <w:r>
        <w:rPr>
          <w:rFonts w:ascii="宋体" w:hAnsi="宋体"/>
          <w:sz w:val="28"/>
        </w:rPr>
        <w:t>”</w:t>
      </w:r>
      <w:r>
        <w:rPr>
          <w:rFonts w:ascii="宋体" w:hAnsi="宋体" w:hint="eastAsia"/>
          <w:sz w:val="28"/>
        </w:rPr>
        <w:t>就象许多人在买房时，经常会关注同住一个社区的都是什么人一样，同一物业的用户其实存在一定的相似性，许多公司同样希望和自己层次、规模、知名度相当的公司一起办公。</w:t>
      </w:r>
    </w:p>
    <w:p>
      <w:pPr>
        <w:pStyle w:val="Normal0"/>
        <w:ind w:firstLine="1"/>
        <w:rPr>
          <w:rFonts w:ascii="宋体" w:hAnsi="宋体" w:hint="eastAsia"/>
          <w:sz w:val="28"/>
        </w:rPr>
      </w:pPr>
      <w:r>
        <w:rPr>
          <w:rFonts w:ascii="宋体" w:hAnsi="宋体" w:hint="eastAsia"/>
          <w:sz w:val="28"/>
        </w:rPr>
        <w:tab/>
      </w:r>
      <w:r>
        <w:rPr>
          <w:rFonts w:ascii="宋体" w:hAnsi="宋体" w:hint="eastAsia"/>
          <w:sz w:val="28"/>
        </w:rPr>
        <w:t xml:space="preserve">  由于中山路商务区为成熟商务区，大量国内外知名企业入驻，本</w:t>
      </w:r>
      <w:r>
        <w:rPr>
          <w:rFonts w:ascii="宋体" w:hAnsi="宋体" w:hint="eastAsia"/>
          <w:sz w:val="28"/>
          <w:lang w:eastAsia="zh-CN"/>
        </w:rPr>
        <w:t>相关项目</w:t>
      </w:r>
      <w:r>
        <w:rPr>
          <w:rFonts w:ascii="宋体" w:hAnsi="宋体" w:hint="eastAsia"/>
          <w:sz w:val="28"/>
        </w:rPr>
        <w:t>紧邻中山路中央商务区，具有较高的档次，同时本</w:t>
      </w:r>
      <w:r>
        <w:rPr>
          <w:rFonts w:ascii="宋体" w:hAnsi="宋体" w:hint="eastAsia"/>
          <w:sz w:val="28"/>
          <w:lang w:eastAsia="zh-CN"/>
        </w:rPr>
        <w:t>相关项目</w:t>
      </w:r>
      <w:r>
        <w:rPr>
          <w:rFonts w:ascii="宋体" w:hAnsi="宋体" w:hint="eastAsia"/>
          <w:sz w:val="28"/>
        </w:rPr>
        <w:t>所针对的最终客户也必须具备一定的实力如IBM，一来本</w:t>
      </w:r>
      <w:r>
        <w:rPr>
          <w:rFonts w:ascii="宋体" w:hAnsi="宋体" w:hint="eastAsia"/>
          <w:sz w:val="28"/>
          <w:lang w:eastAsia="zh-CN"/>
        </w:rPr>
        <w:t>相关项目</w:t>
      </w:r>
      <w:r>
        <w:rPr>
          <w:rFonts w:ascii="宋体" w:hAnsi="宋体" w:hint="eastAsia"/>
          <w:sz w:val="28"/>
        </w:rPr>
        <w:t>可以在维护、提升企业形象方面达到预定的要</w:t>
      </w:r>
      <w:bookmarkStart w:id="4" w:name="_Hlt74561393"/>
      <w:bookmarkEnd w:id="4"/>
      <w:r>
        <w:rPr>
          <w:rFonts w:ascii="宋体" w:hAnsi="宋体" w:hint="eastAsia"/>
          <w:sz w:val="28"/>
        </w:rPr>
        <w:t>求，另一方面也要求企业自身具备一定的承受能力。</w:t>
      </w:r>
    </w:p>
    <w:p>
      <w:pPr>
        <w:pStyle w:val="Normal0"/>
        <w:ind w:firstLine="1"/>
        <w:rPr>
          <w:rFonts w:ascii="宋体" w:hAnsi="宋体"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pStyle w:val="Normal0"/>
        <w:rPr>
          <w:rFonts w:ascii="宋体" w:hAnsi="宋体" w:hint="eastAsia"/>
          <w:b/>
          <w:sz w:val="24"/>
          <w:szCs w:val="32"/>
        </w:rPr>
      </w:pPr>
      <w:r>
        <w:rPr>
          <w:rFonts w:ascii="黑体" w:eastAsia="黑体" w:hAnsi="宋体" w:hint="eastAsia"/>
          <w:bCs/>
          <w:sz w:val="32"/>
        </w:rPr>
        <w:t>1.4.2.4目标客户消费特征分析</w:t>
      </w:r>
    </w:p>
    <w:p>
      <w:pPr>
        <w:pStyle w:val="Normal0"/>
        <w:ind w:firstLine="1120" w:firstLineChars="400"/>
        <w:rPr>
          <w:rFonts w:ascii="宋体" w:hAnsi="宋体" w:hint="eastAsia"/>
          <w:sz w:val="28"/>
        </w:rPr>
      </w:pPr>
      <w:r>
        <w:rPr>
          <w:rFonts w:ascii="宋体" w:hAnsi="宋体" w:hint="eastAsia"/>
          <w:sz w:val="28"/>
        </w:rPr>
        <w:t>1）投资选择，地段要求强烈</w:t>
      </w:r>
    </w:p>
    <w:p>
      <w:pPr>
        <w:pStyle w:val="Normal0"/>
        <w:ind w:firstLine="1120" w:firstLineChars="400"/>
        <w:rPr>
          <w:rFonts w:ascii="宋体" w:hAnsi="宋体" w:hint="eastAsia"/>
          <w:sz w:val="28"/>
        </w:rPr>
      </w:pPr>
      <w:r>
        <w:rPr>
          <w:rFonts w:ascii="宋体" w:hAnsi="宋体" w:hint="eastAsia"/>
          <w:sz w:val="28"/>
        </w:rPr>
        <w:t>2）CBD中央核心领域，商务中心</w:t>
      </w:r>
    </w:p>
    <w:p>
      <w:pPr>
        <w:pStyle w:val="Normal0"/>
        <w:ind w:firstLine="1120" w:firstLineChars="400"/>
        <w:rPr>
          <w:rFonts w:ascii="宋体" w:hAnsi="宋体" w:hint="eastAsia"/>
          <w:sz w:val="28"/>
        </w:rPr>
      </w:pPr>
      <w:r>
        <w:rPr>
          <w:rFonts w:ascii="宋体" w:hAnsi="宋体" w:hint="eastAsia"/>
          <w:sz w:val="28"/>
        </w:rPr>
        <w:t>3）城市最繁华，都市资源中心</w:t>
      </w:r>
    </w:p>
    <w:p>
      <w:pPr>
        <w:pStyle w:val="Normal0"/>
        <w:ind w:firstLine="1120" w:firstLineChars="400"/>
        <w:rPr>
          <w:rFonts w:ascii="宋体" w:hAnsi="宋体" w:hint="eastAsia"/>
          <w:sz w:val="28"/>
        </w:rPr>
      </w:pPr>
      <w:r>
        <w:rPr>
          <w:rFonts w:ascii="宋体" w:hAnsi="宋体" w:hint="eastAsia"/>
          <w:sz w:val="28"/>
        </w:rPr>
        <w:t>4）最优质工作、办公品质优越</w:t>
      </w:r>
    </w:p>
    <w:p>
      <w:pPr>
        <w:pStyle w:val="Normal0"/>
        <w:ind w:firstLine="1120" w:firstLineChars="400"/>
        <w:rPr>
          <w:rFonts w:ascii="宋体" w:hAnsi="宋体" w:hint="eastAsia"/>
          <w:sz w:val="28"/>
        </w:rPr>
      </w:pPr>
      <w:r>
        <w:rPr>
          <w:rFonts w:ascii="宋体" w:hAnsi="宋体" w:hint="eastAsia"/>
          <w:sz w:val="28"/>
        </w:rPr>
        <w:t>5）最大化的办公效率、成本</w:t>
      </w:r>
    </w:p>
    <w:p>
      <w:pPr>
        <w:pStyle w:val="Normal0"/>
        <w:ind w:firstLine="1120" w:firstLineChars="400"/>
        <w:rPr>
          <w:rFonts w:ascii="宋体" w:hAnsi="宋体" w:hint="eastAsia"/>
          <w:sz w:val="28"/>
        </w:rPr>
      </w:pPr>
      <w:r>
        <w:rPr>
          <w:rFonts w:ascii="宋体" w:hAnsi="宋体" w:hint="eastAsia"/>
          <w:sz w:val="28"/>
        </w:rPr>
        <w:t>6）最高效发展效益（CBD＋CED体现）</w:t>
      </w:r>
    </w:p>
    <w:p>
      <w:pPr>
        <w:pStyle w:val="Normal0"/>
        <w:ind w:firstLine="1120" w:firstLineChars="400"/>
        <w:rPr>
          <w:rFonts w:ascii="宋体" w:hAnsi="宋体" w:hint="eastAsia"/>
          <w:b/>
          <w:sz w:val="28"/>
          <w:szCs w:val="32"/>
        </w:rPr>
      </w:pPr>
      <w:r>
        <w:rPr>
          <w:rFonts w:ascii="宋体" w:hAnsi="宋体" w:hint="eastAsia"/>
          <w:sz w:val="28"/>
        </w:rPr>
        <w:t>7）最人性化服务（港力物业品牌</w:t>
      </w:r>
      <w:r>
        <w:rPr>
          <w:rFonts w:ascii="宋体" w:hAnsi="宋体" w:hint="eastAsia"/>
          <w:sz w:val="28"/>
          <w:lang w:eastAsia="zh-CN"/>
        </w:rPr>
        <w:t>管理管控</w:t>
      </w:r>
      <w:r>
        <w:rPr>
          <w:rFonts w:ascii="宋体" w:hAnsi="宋体" w:hint="eastAsia"/>
          <w:sz w:val="28"/>
        </w:rPr>
        <w:t>）</w:t>
      </w:r>
    </w:p>
    <w:p>
      <w:pPr>
        <w:pStyle w:val="Normal0"/>
        <w:ind w:left="7018" w:leftChars="3342"/>
        <w:rPr>
          <w:rFonts w:ascii="宋体" w:hAnsi="宋体" w:hint="eastAsia"/>
          <w:b/>
          <w:sz w:val="24"/>
        </w:rPr>
      </w:pPr>
    </w:p>
    <w:p>
      <w:pPr>
        <w:pStyle w:val="Normal0"/>
        <w:ind w:left="7018" w:leftChars="3342"/>
        <w:rPr>
          <w:rFonts w:ascii="宋体" w:hAnsi="宋体" w:hint="eastAsia"/>
          <w:b/>
          <w:sz w:val="24"/>
        </w:rPr>
      </w:pPr>
    </w:p>
    <w:p>
      <w:pPr>
        <w:pStyle w:val="Normal0"/>
        <w:spacing w:line="480" w:lineRule="auto"/>
        <w:ind w:left="7018" w:leftChars="3342"/>
        <w:rPr>
          <w:rFonts w:hint="eastAsia"/>
        </w:rPr>
      </w:pPr>
    </w:p>
    <w:p>
      <w:pPr>
        <w:pStyle w:val="Normal0"/>
        <w:spacing w:line="480" w:lineRule="auto"/>
        <w:ind w:left="7018" w:leftChars="3342"/>
        <w:rPr>
          <w:rFonts w:hint="eastAsia"/>
        </w:rPr>
      </w:pPr>
    </w:p>
    <w:p>
      <w:pPr>
        <w:pStyle w:val="Normal0"/>
        <w:spacing w:line="480" w:lineRule="auto"/>
        <w:ind w:left="7018" w:leftChars="3342"/>
        <w:rPr>
          <w:rFonts w:hint="eastAsia"/>
        </w:rPr>
      </w:pPr>
    </w:p>
    <w:p>
      <w:pPr>
        <w:pStyle w:val="Normal0"/>
        <w:spacing w:line="480" w:lineRule="auto"/>
        <w:ind w:left="7018" w:leftChars="3342"/>
        <w:rPr>
          <w:rFonts w:hint="eastAsia"/>
        </w:rPr>
      </w:pPr>
    </w:p>
    <w:p>
      <w:pPr>
        <w:pStyle w:val="Normal0"/>
        <w:spacing w:line="480" w:lineRule="auto"/>
        <w:ind w:left="7018" w:leftChars="3342"/>
        <w:rPr>
          <w:rFonts w:hint="eastAsia"/>
        </w:rPr>
      </w:pPr>
    </w:p>
    <w:p>
      <w:pPr>
        <w:pStyle w:val="Normal0"/>
        <w:spacing w:line="480" w:lineRule="auto"/>
        <w:ind w:left="7018" w:leftChars="3342"/>
        <w:rPr>
          <w:rFonts w:ascii="黑体" w:eastAsia="黑体" w:hAnsi="宋体" w:hint="eastAsia"/>
          <w:color w:val="808080"/>
          <w:spacing w:val="20"/>
          <w:sz w:val="72"/>
          <w:szCs w:val="52"/>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黑体" w:eastAsia="黑体" w:hint="eastAsia"/>
          <w:color w:val="808080"/>
          <w:spacing w:val="20"/>
          <w:sz w:val="72"/>
          <w:szCs w:val="52"/>
        </w:rPr>
        <w:pict>
          <v:rect id="_x0000_s1027" o:spid="_x0000_s1027" style="width:18pt;height:18pt;margin-top:15.6pt;margin-left:306pt;mso-height-relative:page;mso-width-relative:page;position:absolute;z-index:251660288" coordsize="21600,21600" filled="t" fillcolor="silver" stroked="t" strokecolor="white"/>
        </w:pict>
      </w:r>
      <w:r>
        <w:rPr>
          <w:rFonts w:ascii="黑体" w:eastAsia="黑体" w:hint="eastAsia"/>
          <w:color w:val="808080"/>
          <w:spacing w:val="20"/>
          <w:sz w:val="72"/>
          <w:szCs w:val="52"/>
        </w:rPr>
        <w:t>推广</w:t>
      </w:r>
    </w:p>
    <w:p>
      <w:pPr>
        <w:pStyle w:val="Normal0"/>
        <w:spacing w:line="480" w:lineRule="auto"/>
        <w:ind w:left="7018" w:leftChars="3342"/>
        <w:rPr>
          <w:rFonts w:ascii="黑体" w:eastAsia="黑体" w:hAnsi="宋体" w:hint="eastAsia"/>
          <w:color w:val="808080"/>
          <w:spacing w:val="20"/>
          <w:sz w:val="72"/>
          <w:szCs w:val="52"/>
        </w:rPr>
      </w:pPr>
      <w:r>
        <w:rPr>
          <w:rFonts w:ascii="黑体" w:eastAsia="黑体" w:hint="eastAsia"/>
          <w:color w:val="808080"/>
          <w:spacing w:val="20"/>
          <w:sz w:val="72"/>
          <w:szCs w:val="52"/>
          <w:lang w:eastAsia="zh-CN"/>
        </w:rPr>
        <w:t>合适的方案</w:t>
      </w:r>
    </w:p>
    <w:p>
      <w:pPr>
        <w:pStyle w:val="TOC1"/>
        <w:rPr>
          <w:rFonts w:ascii="宋体" w:hint="eastAsia"/>
        </w:rPr>
      </w:pPr>
      <w:r>
        <w:rPr>
          <w:rFonts w:hint="eastAsia"/>
        </w:rPr>
        <w:pict>
          <v:line id="_x0000_s1028" o:spid="_x0000_s1028" style="mso-height-relative:page;mso-width-relative:page;position:absolute;z-index:251661312" from="306pt,-0.1pt" to="531pt,0" coordsize="21600,21600" stroked="t" strokecolor="gray"/>
        </w:pict>
      </w:r>
    </w:p>
    <w:p>
      <w:pPr>
        <w:pStyle w:val="Normal0"/>
        <w:ind w:left="7018" w:leftChars="3342"/>
        <w:rPr>
          <w:rFonts w:ascii="宋体" w:hAnsi="宋体" w:hint="eastAsia"/>
          <w:b/>
          <w:sz w:val="24"/>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ind w:left="7018" w:leftChars="3342"/>
        <w:rPr>
          <w:rFonts w:ascii="宋体" w:hAnsi="宋体" w:hint="eastAsia"/>
        </w:rPr>
      </w:pPr>
    </w:p>
    <w:p>
      <w:pPr>
        <w:pStyle w:val="Normal0"/>
        <w:rPr>
          <w:rFonts w:ascii="黑体" w:eastAsia="黑体" w:hAnsi="宋体" w:hint="eastAsia"/>
          <w:b/>
          <w:sz w:val="44"/>
        </w:rPr>
      </w:pPr>
      <w:r>
        <w:rPr>
          <w:rFonts w:ascii="黑体" w:eastAsia="黑体" w:hAnsi="宋体" w:hint="eastAsia"/>
          <w:b/>
          <w:sz w:val="44"/>
        </w:rPr>
        <w:t>2．1 基本卖点梳理</w:t>
      </w:r>
    </w:p>
    <w:p>
      <w:pPr>
        <w:pStyle w:val="Normal0"/>
        <w:ind w:firstLine="2"/>
        <w:rPr>
          <w:rFonts w:ascii="宋体" w:hAnsi="宋体" w:hint="eastAsia"/>
          <w:b/>
          <w:bCs/>
          <w:sz w:val="28"/>
        </w:rPr>
      </w:pPr>
    </w:p>
    <w:p>
      <w:pPr>
        <w:pStyle w:val="Normal0"/>
        <w:ind w:firstLine="2"/>
        <w:rPr>
          <w:rFonts w:ascii="宋体" w:hAnsi="宋体" w:hint="eastAsia"/>
          <w:spacing w:val="22"/>
          <w:sz w:val="28"/>
        </w:rPr>
      </w:pPr>
      <w:r>
        <w:rPr>
          <w:rFonts w:ascii="宋体" w:hAnsi="宋体" w:hint="eastAsia"/>
          <w:b/>
          <w:bCs/>
          <w:sz w:val="28"/>
        </w:rPr>
        <w:t>核心卖点</w:t>
      </w:r>
      <w:r>
        <w:rPr>
          <w:rFonts w:ascii="宋体" w:hAnsi="宋体" w:hint="eastAsia"/>
          <w:spacing w:val="22"/>
          <w:sz w:val="28"/>
        </w:rPr>
        <w:t xml:space="preserve">/ 3NO.1             </w:t>
      </w:r>
      <w:r>
        <w:rPr>
          <w:rFonts w:ascii="黑体" w:eastAsia="黑体" w:hAnsi="宋体" w:hint="eastAsia"/>
          <w:color w:val="333333"/>
          <w:spacing w:val="22"/>
          <w:sz w:val="30"/>
        </w:rPr>
        <w:t>◇</w:t>
      </w:r>
      <w:r>
        <w:rPr>
          <w:rFonts w:ascii="黑体" w:eastAsia="黑体" w:hAnsi="宋体" w:hint="eastAsia"/>
          <w:spacing w:val="22"/>
          <w:sz w:val="30"/>
        </w:rPr>
        <w:t xml:space="preserve">第一高度        </w:t>
      </w:r>
      <w:r>
        <w:rPr>
          <w:rFonts w:ascii="黑体" w:eastAsia="黑体" w:hAnsi="宋体" w:hint="eastAsia"/>
          <w:color w:val="333333"/>
          <w:spacing w:val="22"/>
          <w:sz w:val="30"/>
        </w:rPr>
        <w:t>◇第一品牌力        ◇</w:t>
      </w:r>
      <w:r>
        <w:rPr>
          <w:rFonts w:ascii="黑体" w:eastAsia="黑体" w:hAnsi="宋体" w:hint="eastAsia"/>
          <w:spacing w:val="22"/>
          <w:sz w:val="30"/>
        </w:rPr>
        <w:t>第一品质</w:t>
      </w:r>
    </w:p>
    <w:p>
      <w:pPr>
        <w:pStyle w:val="Normal0"/>
        <w:numPr>
          <w:ilvl w:val="0"/>
          <w:numId w:val="3"/>
        </w:numPr>
        <w:tabs>
          <w:tab w:val="left" w:pos="1857"/>
          <w:tab w:val="left" w:pos="2880"/>
          <w:tab w:val="left" w:pos="6300"/>
          <w:tab w:val="left" w:pos="6480"/>
        </w:tabs>
        <w:ind w:left="0" w:firstLine="0"/>
        <w:rPr>
          <w:rFonts w:ascii="黑体" w:eastAsia="黑体" w:hAnsi="宋体" w:hint="eastAsia"/>
          <w:color w:val="333333"/>
          <w:spacing w:val="22"/>
          <w:sz w:val="28"/>
        </w:rPr>
      </w:pPr>
      <w:r>
        <w:rPr>
          <w:rFonts w:ascii="黑体" w:eastAsia="黑体" w:hAnsi="宋体" w:hint="eastAsia"/>
          <w:sz w:val="28"/>
        </w:rPr>
        <w:t>第一高度：</w:t>
      </w:r>
    </w:p>
    <w:p>
      <w:pPr>
        <w:pStyle w:val="Normal0"/>
        <w:tabs>
          <w:tab w:val="left" w:pos="3240"/>
          <w:tab w:val="left" w:pos="6120"/>
          <w:tab w:val="left" w:pos="6300"/>
        </w:tabs>
        <w:rPr>
          <w:rFonts w:ascii="黑体" w:eastAsia="黑体" w:hAnsi="宋体" w:hint="eastAsia"/>
          <w:sz w:val="28"/>
        </w:rPr>
      </w:pPr>
      <w:r>
        <w:rPr>
          <w:rFonts w:ascii="黑体" w:eastAsia="黑体" w:hAnsi="宋体" w:hint="eastAsia"/>
          <w:color w:val="333333"/>
          <w:spacing w:val="22"/>
          <w:sz w:val="28"/>
        </w:rPr>
        <w:t>◇</w:t>
      </w:r>
      <w:r>
        <w:rPr>
          <w:rFonts w:ascii="黑体" w:eastAsia="黑体" w:hAnsi="宋体" w:hint="eastAsia"/>
          <w:sz w:val="28"/>
        </w:rPr>
        <w:t>建筑高度铸就城市地标：</w:t>
      </w:r>
    </w:p>
    <w:p>
      <w:pPr>
        <w:pStyle w:val="Normal0"/>
        <w:tabs>
          <w:tab w:val="left" w:pos="4680"/>
          <w:tab w:val="left" w:pos="6120"/>
          <w:tab w:val="left" w:pos="6300"/>
        </w:tabs>
        <w:ind w:left="359" w:firstLine="1" w:leftChars="171"/>
        <w:rPr>
          <w:rFonts w:ascii="宋体" w:hAnsi="宋体"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宋体" w:hAnsi="宋体" w:hint="eastAsia"/>
          <w:sz w:val="28"/>
        </w:rPr>
        <w:t>建筑本身的高度就是一个地标，目前是东北当之无愧的第一高楼，从高度就可以折射出本案的综合实力，从而引申出不仅是单一建筑的高度，更是</w:t>
      </w:r>
    </w:p>
    <w:p>
      <w:pPr>
        <w:pStyle w:val="Normal0"/>
        <w:tabs>
          <w:tab w:val="left" w:pos="4680"/>
          <w:tab w:val="left" w:pos="6120"/>
          <w:tab w:val="left" w:pos="6300"/>
        </w:tabs>
        <w:ind w:left="359" w:firstLine="1" w:leftChars="171"/>
        <w:rPr>
          <w:rFonts w:ascii="宋体" w:hAnsi="宋体" w:hint="eastAsia"/>
          <w:sz w:val="28"/>
        </w:rPr>
      </w:pPr>
      <w:r>
        <w:rPr>
          <w:rFonts w:ascii="宋体" w:hAnsi="宋体" w:hint="eastAsia"/>
          <w:b/>
          <w:bCs/>
          <w:color w:val="333333"/>
          <w:sz w:val="28"/>
        </w:rPr>
        <w:t>品质的高度，品牌的高度，实力的高度，服务的高度，影响力的高度，升值与发展潜力的高度</w:t>
      </w:r>
      <w:r>
        <w:rPr>
          <w:rFonts w:ascii="宋体" w:hAnsi="宋体" w:hint="eastAsia"/>
          <w:sz w:val="28"/>
        </w:rPr>
        <w:t>等等。</w:t>
      </w:r>
    </w:p>
    <w:p>
      <w:pPr>
        <w:pStyle w:val="Normal0"/>
        <w:tabs>
          <w:tab w:val="left" w:pos="4680"/>
          <w:tab w:val="left" w:pos="6120"/>
          <w:tab w:val="left" w:pos="6300"/>
        </w:tabs>
        <w:rPr>
          <w:rFonts w:ascii="黑体" w:eastAsia="黑体" w:hAnsi="宋体" w:hint="eastAsia"/>
          <w:sz w:val="24"/>
        </w:rPr>
      </w:pPr>
      <w:r>
        <w:rPr>
          <w:rFonts w:ascii="黑体" w:eastAsia="黑体" w:hAnsi="宋体" w:hint="eastAsia"/>
          <w:color w:val="333333"/>
          <w:spacing w:val="22"/>
          <w:sz w:val="28"/>
        </w:rPr>
        <w:t>◇</w:t>
      </w:r>
      <w:r>
        <w:rPr>
          <w:rFonts w:ascii="黑体" w:eastAsia="黑体" w:hAnsi="宋体" w:hint="eastAsia"/>
          <w:sz w:val="28"/>
        </w:rPr>
        <w:t>建筑特质铸就城市地标</w:t>
      </w:r>
      <w:r>
        <w:rPr>
          <w:rFonts w:ascii="黑体" w:eastAsia="黑体" w:hAnsi="宋体" w:hint="eastAsia"/>
          <w:sz w:val="24"/>
        </w:rPr>
        <w:t>：</w:t>
      </w:r>
    </w:p>
    <w:p>
      <w:pPr>
        <w:pStyle w:val="Normal0"/>
        <w:tabs>
          <w:tab w:val="left" w:pos="4680"/>
          <w:tab w:val="left" w:pos="6120"/>
          <w:tab w:val="left" w:pos="6300"/>
        </w:tabs>
        <w:ind w:firstLine="420" w:firstLineChars="150"/>
        <w:rPr>
          <w:rFonts w:ascii="宋体" w:hAnsi="宋体" w:hint="eastAsia"/>
          <w:sz w:val="28"/>
        </w:rPr>
      </w:pPr>
      <w:r>
        <w:rPr>
          <w:rFonts w:ascii="宋体" w:hAnsi="宋体" w:hint="eastAsia"/>
          <w:sz w:val="28"/>
        </w:rPr>
        <w:t>天安国际大厦夜景灯光工程，成为大连亮点工程，展现大连城市地标第一形象风采。</w:t>
      </w:r>
    </w:p>
    <w:p>
      <w:pPr>
        <w:pStyle w:val="Normal0"/>
        <w:tabs>
          <w:tab w:val="left" w:pos="0"/>
          <w:tab w:val="left" w:pos="6300"/>
          <w:tab w:val="left" w:pos="6480"/>
        </w:tabs>
        <w:rPr>
          <w:rFonts w:ascii="黑体" w:eastAsia="黑体" w:hAnsi="宋体" w:hint="eastAsia"/>
          <w:color w:val="000000"/>
          <w:sz w:val="24"/>
        </w:rPr>
      </w:pPr>
      <w:r>
        <w:rPr>
          <w:rFonts w:ascii="黑体" w:eastAsia="黑体" w:hAnsi="宋体" w:hint="eastAsia"/>
          <w:color w:val="333333"/>
          <w:spacing w:val="22"/>
          <w:sz w:val="28"/>
        </w:rPr>
        <w:t>◇</w:t>
      </w:r>
      <w:r>
        <w:rPr>
          <w:rFonts w:ascii="黑体" w:eastAsia="黑体" w:hAnsi="宋体" w:hint="eastAsia"/>
          <w:color w:val="000000"/>
          <w:sz w:val="28"/>
        </w:rPr>
        <w:t>第一地段成就第一地标</w:t>
      </w:r>
      <w:r>
        <w:rPr>
          <w:rFonts w:ascii="黑体" w:eastAsia="黑体" w:hAnsi="宋体" w:hint="eastAsia"/>
          <w:color w:val="000000"/>
          <w:sz w:val="24"/>
        </w:rPr>
        <w:t>：</w:t>
      </w:r>
    </w:p>
    <w:p>
      <w:pPr>
        <w:pStyle w:val="Normal0"/>
        <w:ind w:left="359" w:firstLine="1" w:leftChars="171"/>
        <w:rPr>
          <w:rFonts w:ascii="宋体" w:hAnsi="宋体" w:hint="eastAsia"/>
          <w:sz w:val="28"/>
        </w:rPr>
      </w:pPr>
      <w:r>
        <w:rPr>
          <w:rFonts w:ascii="宋体" w:hAnsi="宋体" w:hint="eastAsia"/>
          <w:sz w:val="28"/>
        </w:rPr>
        <w:t>就地段而言，本案处于商业集中区，与商务集中区尚有距离，众所周知，商业网之所以被称为商业网，因为消费的繁忙一度将交通等一系列重要因素弥盖于繁忙的商业活动之下，一定程度上影响了交通的便捷程度。而商务恰恰相反，对交通的要求将远远超过商业对交通的要求。另外，本案处于火车站附近，在灯光夜景工程完成之后，本案将成为大连市最耀眼的繁华区域。</w:t>
      </w:r>
    </w:p>
    <w:p>
      <w:pPr>
        <w:pStyle w:val="Normal0"/>
        <w:tabs>
          <w:tab w:val="left" w:pos="8640"/>
        </w:tabs>
        <w:ind w:firstLine="420" w:firstLineChars="150"/>
        <w:rPr>
          <w:rFonts w:ascii="宋体" w:hAnsi="宋体" w:hint="eastAsia"/>
          <w:color w:val="000000"/>
          <w:sz w:val="28"/>
        </w:rPr>
      </w:pPr>
      <w:r>
        <w:rPr>
          <w:rFonts w:ascii="宋体" w:hAnsi="宋体" w:hint="eastAsia"/>
          <w:color w:val="000000"/>
          <w:sz w:val="28"/>
        </w:rPr>
        <w:t>在推广过程中，将采取从侧面对本案进行阐述：</w:t>
      </w:r>
    </w:p>
    <w:p>
      <w:pPr>
        <w:pStyle w:val="Normal0"/>
        <w:tabs>
          <w:tab w:val="left" w:pos="8640"/>
        </w:tabs>
        <w:ind w:left="1759" w:hanging="1400" w:leftChars="171" w:hangingChars="500"/>
        <w:rPr>
          <w:rFonts w:ascii="宋体" w:hAnsi="宋体" w:hint="eastAsia"/>
          <w:sz w:val="28"/>
        </w:rPr>
      </w:pPr>
      <w:r>
        <w:rPr>
          <w:rFonts w:ascii="黑体" w:eastAsia="黑体" w:hAnsi="宋体" w:hint="eastAsia"/>
          <w:b/>
          <w:bCs/>
          <w:sz w:val="28"/>
        </w:rPr>
        <w:t>广义地段</w:t>
      </w:r>
      <w:r>
        <w:rPr>
          <w:rFonts w:ascii="宋体" w:hAnsi="宋体" w:hint="eastAsia"/>
          <w:sz w:val="28"/>
        </w:rPr>
        <w:t>：对于一家正考虑在某地进行投资，设立一个分支机构的境外跨国集团来讲，他们更关心的也许不是当前的交通情况，而是本地段将来的发展潜力和发展前景，因此他们最关心的就是“城市的核心”。</w:t>
      </w:r>
    </w:p>
    <w:p>
      <w:pPr>
        <w:pStyle w:val="Normal0"/>
        <w:tabs>
          <w:tab w:val="left" w:pos="8640"/>
        </w:tabs>
        <w:ind w:left="1759" w:hanging="1400" w:leftChars="171" w:hangingChars="500"/>
        <w:rPr>
          <w:rFonts w:ascii="宋体" w:hAnsi="宋体" w:hint="eastAsia"/>
          <w:sz w:val="28"/>
        </w:rPr>
      </w:pPr>
      <w:r>
        <w:rPr>
          <w:rFonts w:ascii="黑体" w:eastAsia="黑体" w:hAnsi="宋体" w:hint="eastAsia"/>
          <w:b/>
          <w:bCs/>
          <w:sz w:val="28"/>
        </w:rPr>
        <w:t>狭义地段</w:t>
      </w:r>
      <w:r>
        <w:rPr>
          <w:rFonts w:ascii="黑体" w:eastAsia="黑体" w:hAnsi="宋体" w:hint="eastAsia"/>
          <w:sz w:val="28"/>
        </w:rPr>
        <w:t>：</w:t>
      </w:r>
      <w:r>
        <w:rPr>
          <w:rFonts w:ascii="宋体" w:hAnsi="宋体" w:hint="eastAsia"/>
          <w:sz w:val="28"/>
        </w:rPr>
        <w:t>依照大连辖区版图可知，本案处于市中心几个最繁华的商业商务版图的核心，在集中商业商务于一体，左右逢源。</w:t>
      </w:r>
    </w:p>
    <w:p>
      <w:pPr>
        <w:pStyle w:val="Normal0"/>
        <w:numPr>
          <w:ilvl w:val="0"/>
          <w:numId w:val="3"/>
        </w:numPr>
        <w:tabs>
          <w:tab w:val="left" w:pos="1857"/>
          <w:tab w:val="left" w:pos="2700"/>
        </w:tabs>
        <w:ind w:left="0" w:firstLine="0"/>
        <w:rPr>
          <w:rFonts w:ascii="黑体" w:eastAsia="黑体" w:hAnsi="宋体" w:hint="eastAsia"/>
          <w:sz w:val="28"/>
        </w:rPr>
      </w:pPr>
      <w:r>
        <w:rPr>
          <w:rFonts w:ascii="黑体" w:eastAsia="黑体" w:hAnsi="宋体" w:hint="eastAsia"/>
          <w:sz w:val="28"/>
        </w:rPr>
        <w:t>第一品牌力</w:t>
      </w:r>
    </w:p>
    <w:p>
      <w:pPr>
        <w:pStyle w:val="Normal0"/>
        <w:ind w:left="359" w:firstLine="1" w:leftChars="171"/>
        <w:rPr>
          <w:sz w:val="24"/>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宋体" w:hAnsi="宋体" w:hint="eastAsia"/>
          <w:sz w:val="28"/>
        </w:rPr>
        <w:t>天安集团的前身为</w:t>
      </w:r>
      <w:r>
        <w:rPr>
          <w:rFonts w:ascii="宋体" w:hAnsi="宋体" w:hint="eastAsia"/>
          <w:color w:val="000000"/>
          <w:sz w:val="28"/>
        </w:rPr>
        <w:t>香港新鸿基公司中国</w:t>
      </w:r>
      <w:r>
        <w:rPr>
          <w:rFonts w:ascii="宋体" w:hAnsi="宋体" w:hint="eastAsia"/>
          <w:sz w:val="28"/>
        </w:rPr>
        <w:t>部，专为1％的成功人士</w:t>
      </w:r>
      <w:r>
        <w:rPr>
          <w:rFonts w:ascii="宋体" w:hAnsi="宋体" w:hint="eastAsia"/>
          <w:color w:val="000000"/>
          <w:sz w:val="28"/>
        </w:rPr>
        <w:t>量</w:t>
      </w:r>
    </w:p>
    <w:p>
      <w:pPr>
        <w:pStyle w:val="Normal0"/>
        <w:ind w:left="359" w:firstLine="1" w:leftChars="171"/>
        <w:rPr>
          <w:sz w:val="24"/>
        </w:rPr>
      </w:pPr>
      <w:r>
        <w:rPr>
          <w:rFonts w:ascii="宋体" w:hAnsi="宋体" w:hint="eastAsia"/>
          <w:sz w:val="28"/>
        </w:rPr>
        <w:t>身打造的顶级物业，拥有各类物业成功开发经营经验，在业内拥有很好的口碑。投资开发</w:t>
      </w:r>
      <w:r>
        <w:rPr>
          <w:rFonts w:ascii="宋体" w:hAnsi="宋体" w:hint="eastAsia"/>
          <w:sz w:val="28"/>
          <w:lang w:eastAsia="zh-CN"/>
        </w:rPr>
        <w:t>相关项目</w:t>
      </w:r>
      <w:r>
        <w:rPr>
          <w:rFonts w:hint="eastAsia"/>
          <w:sz w:val="28"/>
        </w:rPr>
        <w:t>遍布上海、北京、大连、广州、深圳及国内其它重点城市。目前，投资总额达六十亿港元，加上470万平方米的土地储备，为兴建优质楼宇奠定了稳健的基础，为集团未来的盈利发展，创造更大的效益。作为一家主要投资国内房地产的香港上市公司，在开发住宅、办公楼等房地产</w:t>
      </w:r>
      <w:r>
        <w:rPr>
          <w:rFonts w:hint="eastAsia"/>
          <w:sz w:val="28"/>
          <w:lang w:eastAsia="zh-CN"/>
        </w:rPr>
        <w:t>相关项目</w:t>
      </w:r>
      <w:r>
        <w:rPr>
          <w:rFonts w:hint="eastAsia"/>
          <w:sz w:val="28"/>
        </w:rPr>
        <w:t>方面具有丰富经验，如上海的河滨豪园、天安花园、明苑别墅等均是上海的顶尖楼盘，在办公楼方面，大连天安国际大厦、深圳天安国际大厦、数码时代大厦、天津国际大厦、南京天安国际中心等等，均是当地的标志性建筑物之一</w:t>
      </w:r>
      <w:r>
        <w:rPr>
          <w:rFonts w:hint="eastAsia"/>
          <w:sz w:val="24"/>
        </w:rPr>
        <w:t>。</w:t>
      </w:r>
    </w:p>
    <w:p>
      <w:pPr>
        <w:pStyle w:val="Normal0"/>
        <w:numPr>
          <w:ilvl w:val="0"/>
          <w:numId w:val="3"/>
        </w:numPr>
        <w:tabs>
          <w:tab w:val="left" w:pos="540"/>
          <w:tab w:val="left" w:pos="3420"/>
        </w:tabs>
        <w:ind w:left="0" w:firstLine="0"/>
        <w:rPr>
          <w:rFonts w:ascii="黑体" w:eastAsia="黑体" w:hAnsi="宋体" w:hint="eastAsia"/>
          <w:sz w:val="28"/>
        </w:rPr>
      </w:pPr>
      <w:r>
        <w:rPr>
          <w:rFonts w:ascii="黑体" w:eastAsia="黑体" w:hAnsi="宋体" w:hint="eastAsia"/>
          <w:sz w:val="28"/>
        </w:rPr>
        <w:t>第一品质：</w:t>
      </w:r>
    </w:p>
    <w:p>
      <w:pPr>
        <w:pStyle w:val="Normal0"/>
        <w:tabs>
          <w:tab w:val="left" w:pos="8640"/>
        </w:tabs>
        <w:ind w:left="359" w:leftChars="171"/>
        <w:rPr>
          <w:rFonts w:ascii="宋体" w:hAnsi="宋体" w:hint="eastAsia"/>
          <w:sz w:val="28"/>
        </w:rPr>
      </w:pPr>
      <w:r>
        <w:rPr>
          <w:rFonts w:ascii="黑体" w:eastAsia="黑体" w:hAnsi="宋体" w:hint="eastAsia"/>
          <w:sz w:val="28"/>
        </w:rPr>
        <w:t>电梯运营：</w:t>
      </w:r>
      <w:r>
        <w:rPr>
          <w:sz w:val="28"/>
        </w:rPr>
        <w:t>6</w:t>
      </w:r>
      <w:r>
        <w:rPr>
          <w:rFonts w:hint="eastAsia"/>
          <w:sz w:val="28"/>
        </w:rPr>
        <w:t>米</w:t>
      </w:r>
      <w:r>
        <w:rPr>
          <w:sz w:val="28"/>
        </w:rPr>
        <w:t>/</w:t>
      </w:r>
      <w:r>
        <w:rPr>
          <w:rFonts w:hint="eastAsia"/>
          <w:sz w:val="28"/>
        </w:rPr>
        <w:t>秒的三菱电梯，</w:t>
      </w:r>
      <w:r>
        <w:rPr>
          <w:rFonts w:ascii="宋体" w:hAnsi="宋体" w:hint="eastAsia"/>
          <w:sz w:val="28"/>
        </w:rPr>
        <w:t>底层直达顶层只需32秒。</w:t>
      </w:r>
    </w:p>
    <w:p>
      <w:pPr>
        <w:pStyle w:val="Normal0"/>
        <w:ind w:left="2319" w:hanging="1960" w:leftChars="171" w:hangingChars="700"/>
        <w:rPr>
          <w:rFonts w:hint="eastAsia"/>
          <w:color w:val="333333"/>
          <w:sz w:val="28"/>
          <w:szCs w:val="20"/>
        </w:rPr>
      </w:pPr>
      <w:r>
        <w:rPr>
          <w:rFonts w:ascii="黑体" w:eastAsia="黑体" w:hAnsi="宋体" w:hint="eastAsia"/>
          <w:sz w:val="28"/>
        </w:rPr>
        <w:t>健康办公环境：</w:t>
      </w:r>
      <w:r>
        <w:rPr>
          <w:rFonts w:ascii="宋体" w:hAnsi="宋体" w:hint="eastAsia"/>
          <w:color w:val="333333"/>
          <w:sz w:val="28"/>
        </w:rPr>
        <w:t>双新风系统空调，</w:t>
      </w:r>
      <w:r>
        <w:rPr>
          <w:rFonts w:ascii="宋体" w:hAnsi="宋体" w:hint="eastAsia"/>
          <w:sz w:val="28"/>
          <w:szCs w:val="21"/>
        </w:rPr>
        <w:t>全智能化自然风互流，无残留废气，采用国际先进技术，</w:t>
      </w:r>
      <w:r>
        <w:rPr>
          <w:rFonts w:hint="eastAsia"/>
          <w:sz w:val="28"/>
        </w:rPr>
        <w:t>并</w:t>
      </w:r>
      <w:r>
        <w:rPr>
          <w:rFonts w:ascii="宋体" w:hAnsi="宋体" w:hint="eastAsia"/>
          <w:sz w:val="28"/>
          <w:szCs w:val="21"/>
        </w:rPr>
        <w:t>以每分钟27立方米的新风置换系统，100平方米的办公空间不到三分钟就可以呼吸到自然的气息；</w:t>
      </w:r>
      <w:r>
        <w:rPr>
          <w:color w:val="333333"/>
          <w:sz w:val="28"/>
          <w:szCs w:val="20"/>
        </w:rPr>
        <w:t>对外开放的全景玻璃</w:t>
      </w:r>
      <w:r>
        <w:rPr>
          <w:rFonts w:hint="eastAsia"/>
          <w:color w:val="333333"/>
          <w:sz w:val="28"/>
          <w:szCs w:val="20"/>
        </w:rPr>
        <w:t>V</w:t>
      </w:r>
      <w:r>
        <w:rPr>
          <w:color w:val="333333"/>
          <w:sz w:val="28"/>
          <w:szCs w:val="20"/>
        </w:rPr>
        <w:t>窗, 开窗率高于国家标准</w:t>
      </w:r>
      <w:r>
        <w:rPr>
          <w:rFonts w:hint="eastAsia"/>
          <w:color w:val="333333"/>
          <w:sz w:val="28"/>
          <w:szCs w:val="20"/>
        </w:rPr>
        <w:t>，</w:t>
      </w:r>
      <w:r>
        <w:rPr>
          <w:color w:val="333333"/>
          <w:sz w:val="28"/>
          <w:szCs w:val="20"/>
        </w:rPr>
        <w:t>更好地解决了集中办公通风、采光的问题</w:t>
      </w:r>
      <w:r>
        <w:rPr>
          <w:rFonts w:hint="eastAsia"/>
          <w:color w:val="333333"/>
          <w:sz w:val="28"/>
          <w:szCs w:val="20"/>
        </w:rPr>
        <w:t>。</w:t>
      </w:r>
    </w:p>
    <w:p>
      <w:pPr>
        <w:pStyle w:val="Normal0"/>
        <w:ind w:left="359" w:firstLine="1" w:leftChars="171"/>
        <w:rPr>
          <w:rFonts w:ascii="宋体" w:hAnsi="宋体"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黑体" w:eastAsia="黑体" w:hAnsi="宋体" w:hint="eastAsia"/>
          <w:sz w:val="28"/>
        </w:rPr>
        <w:t>5A智能化系统：</w:t>
      </w:r>
      <w:r>
        <w:rPr>
          <w:rFonts w:ascii="宋体" w:hAnsi="宋体" w:hint="eastAsia"/>
          <w:spacing w:val="-10"/>
          <w:sz w:val="28"/>
        </w:rPr>
        <w:t>六类综合布线系统、5A智能系统，即楼宇自动化系统，办公自动化系统，通讯自动化系统，防火监控自动化系统，保安自动化系统。</w:t>
      </w:r>
    </w:p>
    <w:p>
      <w:pPr>
        <w:pStyle w:val="Normal0"/>
        <w:ind w:left="359" w:firstLine="1" w:leftChars="171"/>
        <w:rPr>
          <w:rFonts w:ascii="宋体" w:hAnsi="宋体" w:hint="eastAsia"/>
          <w:sz w:val="28"/>
        </w:rPr>
      </w:pPr>
      <w:r>
        <w:rPr>
          <w:rFonts w:ascii="黑体" w:eastAsia="黑体" w:hAnsi="宋体" w:hint="eastAsia"/>
          <w:sz w:val="28"/>
        </w:rPr>
        <w:t>全息景观资源：</w:t>
      </w:r>
      <w:r>
        <w:rPr>
          <w:rFonts w:ascii="宋体" w:hAnsi="宋体" w:hint="eastAsia"/>
          <w:sz w:val="28"/>
        </w:rPr>
        <w:t>全方位海景、绿地（劳动公园）、城市的繁华在本大厦一览无遗。</w:t>
      </w:r>
    </w:p>
    <w:p>
      <w:pPr>
        <w:pStyle w:val="Normal0"/>
        <w:ind w:left="359" w:firstLine="1" w:leftChars="171"/>
        <w:rPr>
          <w:rFonts w:ascii="宋体" w:hAnsi="宋体" w:hint="eastAsia"/>
          <w:sz w:val="28"/>
        </w:rPr>
      </w:pPr>
      <w:r>
        <w:rPr>
          <w:rFonts w:ascii="黑体" w:eastAsia="黑体" w:hAnsi="宋体" w:hint="eastAsia"/>
          <w:sz w:val="28"/>
        </w:rPr>
        <w:t>双重供电系统</w:t>
      </w:r>
      <w:r>
        <w:rPr>
          <w:rFonts w:ascii="宋体" w:hAnsi="宋体" w:hint="eastAsia"/>
          <w:sz w:val="28"/>
        </w:rPr>
        <w:t>：全力保证公司24小时运营所需，为现代商务活动提供坚实的双重保障。</w:t>
      </w:r>
    </w:p>
    <w:p>
      <w:pPr>
        <w:pStyle w:val="Normal0"/>
        <w:ind w:left="359" w:firstLine="1" w:leftChars="171"/>
        <w:rPr>
          <w:rFonts w:ascii="宋体" w:hAnsi="宋体" w:hint="eastAsia"/>
          <w:sz w:val="28"/>
        </w:rPr>
      </w:pPr>
      <w:r>
        <w:rPr>
          <w:rFonts w:ascii="黑体" w:eastAsia="黑体" w:hAnsi="宋体" w:hint="eastAsia"/>
          <w:sz w:val="28"/>
        </w:rPr>
        <w:t>“六星级”荣耀大堂</w:t>
      </w:r>
      <w:r>
        <w:rPr>
          <w:rFonts w:ascii="宋体" w:hAnsi="宋体" w:hint="eastAsia"/>
          <w:sz w:val="28"/>
        </w:rPr>
        <w:t>：开阔的大堂，充分展示入驻企业的实力与品牌形象象征。</w:t>
      </w:r>
    </w:p>
    <w:p>
      <w:pPr>
        <w:pStyle w:val="Normal0"/>
        <w:ind w:left="359" w:firstLine="1" w:leftChars="171"/>
        <w:rPr>
          <w:rFonts w:ascii="宋体" w:hAnsi="宋体" w:hint="eastAsia"/>
          <w:sz w:val="28"/>
        </w:rPr>
      </w:pPr>
      <w:r>
        <w:rPr>
          <w:rFonts w:ascii="黑体" w:eastAsia="黑体" w:hAnsi="宋体" w:hint="eastAsia"/>
          <w:sz w:val="28"/>
        </w:rPr>
        <w:t>最优秀的物业</w:t>
      </w:r>
      <w:r>
        <w:rPr>
          <w:rFonts w:ascii="黑体" w:eastAsia="黑体" w:hAnsi="宋体" w:hint="eastAsia"/>
          <w:sz w:val="28"/>
          <w:lang w:eastAsia="zh-CN"/>
        </w:rPr>
        <w:t>管理管控</w:t>
      </w:r>
      <w:r>
        <w:rPr>
          <w:rFonts w:ascii="黑体" w:eastAsia="黑体" w:hAnsi="宋体" w:hint="eastAsia"/>
          <w:sz w:val="28"/>
        </w:rPr>
        <w:t>公司担纲</w:t>
      </w:r>
      <w:r>
        <w:rPr>
          <w:rFonts w:ascii="宋体" w:hAnsi="宋体" w:hint="eastAsia"/>
          <w:sz w:val="28"/>
        </w:rPr>
        <w:t>：大厦聘请香港著名的物业</w:t>
      </w:r>
      <w:r>
        <w:rPr>
          <w:rFonts w:ascii="宋体" w:hAnsi="宋体" w:hint="eastAsia"/>
          <w:sz w:val="28"/>
          <w:lang w:eastAsia="zh-CN"/>
        </w:rPr>
        <w:t>管理管控</w:t>
      </w:r>
      <w:r>
        <w:rPr>
          <w:rFonts w:ascii="宋体" w:hAnsi="宋体" w:hint="eastAsia"/>
          <w:sz w:val="28"/>
        </w:rPr>
        <w:t>公司——香港港力物业公司担纲，保障大厦的服务品质。</w:t>
      </w:r>
    </w:p>
    <w:p>
      <w:pPr>
        <w:pStyle w:val="Normal0"/>
        <w:tabs>
          <w:tab w:val="left" w:pos="8640"/>
        </w:tabs>
        <w:ind w:left="5580" w:leftChars="2657"/>
        <w:rPr>
          <w:rFonts w:ascii="宋体" w:hAnsi="宋体" w:hint="eastAsia"/>
          <w:sz w:val="28"/>
        </w:rPr>
      </w:pPr>
    </w:p>
    <w:p>
      <w:pPr>
        <w:pStyle w:val="TOC1"/>
        <w:rPr>
          <w:rFonts w:hint="eastAsia"/>
        </w:rPr>
      </w:pPr>
      <w:r>
        <w:rPr>
          <w:rFonts w:hint="eastAsia"/>
        </w:rPr>
        <w:t>2．2 案名与LOGO</w:t>
      </w:r>
    </w:p>
    <w:p>
      <w:pPr>
        <w:pStyle w:val="Normal0"/>
        <w:ind w:left="4139" w:leftChars="1971"/>
        <w:rPr>
          <w:rFonts w:hint="eastAsia"/>
        </w:rPr>
      </w:pPr>
      <w:r>
        <w:rPr>
          <w:sz w:val="20"/>
        </w:rPr>
        <w:pict>
          <v:shapetype id="_x0000_t202" coordsize="21600,21600" o:spt="202" path="m,l,21600r21600,l21600,xe">
            <v:stroke joinstyle="miter"/>
            <v:path gradientshapeok="t" o:connecttype="rect"/>
          </v:shapetype>
          <v:shape id="_x0000_s1029" o:spid="_x0000_s1029" type="#_x0000_t202" style="width:333pt;height:171.6pt;margin-top:58.2pt;margin-left:486pt;mso-height-relative:page;mso-width-relative:page;position:absolute;z-index:251662336" coordsize="21600,21600" stroked="t" strokecolor="white">
            <v:stroke joinstyle="miter"/>
            <v:textbox>
              <w:txbxContent>
                <w:p>
                  <w:pPr>
                    <w:pStyle w:val="Normal0"/>
                    <w:spacing w:line="240" w:lineRule="atLeast"/>
                    <w:rPr>
                      <w:rFonts w:ascii="宋体" w:hint="eastAsia"/>
                      <w:color w:val="000000"/>
                      <w:sz w:val="28"/>
                    </w:rPr>
                  </w:pPr>
                  <w:r>
                    <w:rPr>
                      <w:rFonts w:ascii="黑体" w:eastAsia="黑体" w:hint="eastAsia"/>
                      <w:b/>
                      <w:bCs/>
                      <w:sz w:val="28"/>
                    </w:rPr>
                    <w:t>LOGO</w:t>
                  </w:r>
                  <w:r>
                    <w:rPr>
                      <w:rFonts w:ascii="黑体" w:eastAsia="黑体" w:hint="eastAsia"/>
                      <w:sz w:val="28"/>
                    </w:rPr>
                    <w:t>创意诠释：</w:t>
                  </w:r>
                  <w:r>
                    <w:rPr>
                      <w:rFonts w:ascii="黑体" w:eastAsia="黑体" w:hint="eastAsia"/>
                      <w:color w:val="5F5F5F"/>
                      <w:sz w:val="28"/>
                    </w:rPr>
                    <w:t>现代，沉稳，高雅，国际化。</w:t>
                  </w:r>
                </w:p>
                <w:p>
                  <w:pPr>
                    <w:pStyle w:val="Normal0"/>
                    <w:spacing w:line="240" w:lineRule="atLeast"/>
                    <w:ind w:left="359" w:firstLine="280" w:leftChars="171" w:firstLineChars="100"/>
                    <w:rPr>
                      <w:rFonts w:hint="eastAsia"/>
                      <w:sz w:val="28"/>
                    </w:rPr>
                  </w:pPr>
                  <w:r>
                    <w:rPr>
                      <w:rFonts w:ascii="黑体" w:eastAsia="黑体" w:hint="eastAsia"/>
                      <w:b/>
                      <w:bCs/>
                      <w:color w:val="5F5F5F"/>
                      <w:sz w:val="28"/>
                    </w:rPr>
                    <w:t>1）</w:t>
                  </w:r>
                  <w:r>
                    <w:rPr>
                      <w:rFonts w:ascii="黑体" w:eastAsia="黑体" w:hint="eastAsia"/>
                      <w:color w:val="5F5F5F"/>
                      <w:sz w:val="28"/>
                    </w:rPr>
                    <w:t>颜色</w:t>
                  </w:r>
                  <w:r>
                    <w:rPr>
                      <w:rFonts w:ascii="黑体" w:eastAsia="黑体" w:hint="eastAsia"/>
                      <w:b/>
                      <w:bCs/>
                      <w:color w:val="5F5F5F"/>
                      <w:sz w:val="28"/>
                    </w:rPr>
                    <w:t>：</w:t>
                  </w:r>
                  <w:r>
                    <w:rPr>
                      <w:rFonts w:hint="eastAsia"/>
                      <w:sz w:val="28"/>
                    </w:rPr>
                    <w:t>深红色，尊贵稳健高雅。</w:t>
                  </w:r>
                </w:p>
                <w:p>
                  <w:pPr>
                    <w:pStyle w:val="Normal0"/>
                    <w:spacing w:line="240" w:lineRule="atLeast"/>
                    <w:ind w:left="670" w:leftChars="319"/>
                    <w:rPr>
                      <w:rFonts w:hint="eastAsia"/>
                      <w:color w:val="000000"/>
                      <w:sz w:val="28"/>
                    </w:rPr>
                  </w:pPr>
                  <w:r>
                    <w:rPr>
                      <w:rFonts w:ascii="黑体" w:eastAsia="黑体" w:hint="eastAsia"/>
                      <w:b/>
                      <w:bCs/>
                      <w:color w:val="5F5F5F"/>
                      <w:sz w:val="28"/>
                    </w:rPr>
                    <w:t>2）</w:t>
                  </w:r>
                  <w:r>
                    <w:rPr>
                      <w:rFonts w:ascii="黑体" w:eastAsia="黑体" w:hint="eastAsia"/>
                      <w:color w:val="5F5F5F"/>
                      <w:sz w:val="28"/>
                    </w:rPr>
                    <w:t>组合</w:t>
                  </w:r>
                  <w:r>
                    <w:rPr>
                      <w:rFonts w:ascii="黑体" w:eastAsia="黑体" w:hint="eastAsia"/>
                      <w:b/>
                      <w:bCs/>
                      <w:color w:val="5F5F5F"/>
                      <w:sz w:val="28"/>
                    </w:rPr>
                    <w:t>：</w:t>
                  </w:r>
                  <w:r>
                    <w:rPr>
                      <w:rFonts w:ascii="黑体" w:eastAsia="黑体" w:hint="eastAsia"/>
                      <w:color w:val="5F5F5F"/>
                      <w:sz w:val="28"/>
                    </w:rPr>
                    <w:t>以“</w:t>
                  </w:r>
                  <w:r>
                    <w:rPr>
                      <w:rFonts w:hint="eastAsia"/>
                      <w:sz w:val="28"/>
                    </w:rPr>
                    <w:t>天安”的天字为依托，通过简练的图案体现大厦现代与国际化，</w:t>
                  </w:r>
                  <w:r>
                    <w:rPr>
                      <w:rFonts w:hint="eastAsia"/>
                      <w:color w:val="000000"/>
                      <w:sz w:val="28"/>
                    </w:rPr>
                    <w:t>与世界同步。</w:t>
                  </w:r>
                </w:p>
              </w:txbxContent>
            </v:textbox>
          </v:shape>
        </w:pict>
      </w:r>
    </w:p>
    <w:p>
      <w:pPr>
        <w:pStyle w:val="Normal0"/>
        <w:ind w:left="4139" w:leftChars="1971"/>
        <w:rPr>
          <w:rFonts w:hint="eastAsia"/>
        </w:rPr>
      </w:pPr>
    </w:p>
    <w:p>
      <w:pPr>
        <w:pStyle w:val="Normal0"/>
        <w:ind w:left="4139" w:leftChars="1971"/>
        <w:rPr>
          <w:rFonts w:hint="eastAsia"/>
        </w:rPr>
      </w:pPr>
    </w:p>
    <w:p>
      <w:pPr>
        <w:pStyle w:val="Normal0"/>
        <w:ind w:left="4139" w:leftChars="1971"/>
        <w:rPr>
          <w:rFonts w:hint="eastAsia"/>
        </w:rPr>
      </w:pPr>
    </w:p>
    <w:p>
      <w:pPr>
        <w:pStyle w:val="Normal0"/>
        <w:ind w:left="4139" w:leftChars="1971"/>
        <w:rPr>
          <w:rFonts w:hint="eastAsia"/>
        </w:rPr>
      </w:pPr>
    </w:p>
    <w:p>
      <w:pPr>
        <w:pStyle w:val="Normal0"/>
        <w:ind w:left="4139" w:leftChars="1971"/>
        <w:rPr>
          <w:rFonts w:hint="eastAsia"/>
        </w:rPr>
      </w:pPr>
    </w:p>
    <w:p>
      <w:pPr>
        <w:pStyle w:val="Normal0"/>
        <w:ind w:left="4139" w:leftChars="1971"/>
        <w:rPr>
          <w:rFonts w:hint="eastAsia"/>
        </w:rPr>
      </w:pPr>
    </w:p>
    <w:p>
      <w:pPr>
        <w:pStyle w:val="Normal0"/>
        <w:rPr>
          <w:rFonts w:ascii="黑体" w:eastAsia="黑体" w:hint="eastAsia"/>
          <w:b/>
          <w:bCs/>
          <w:sz w:val="44"/>
        </w:rPr>
      </w:pPr>
      <w:r>
        <w:rPr>
          <w:rFonts w:ascii="黑体" w:eastAsia="黑体" w:hint="eastAsia"/>
          <w:b/>
          <w:bCs/>
          <w:sz w:val="44"/>
        </w:rPr>
        <w:t>2．3 推广总精神</w:t>
      </w:r>
    </w:p>
    <w:p>
      <w:pPr>
        <w:pStyle w:val="Normal0"/>
        <w:ind w:left="4498" w:leftChars="2142"/>
        <w:rPr>
          <w:rFonts w:hint="eastAsia"/>
        </w:rPr>
      </w:pPr>
    </w:p>
    <w:p>
      <w:pPr>
        <w:pStyle w:val="Normal0"/>
        <w:ind w:left="4498" w:leftChars="2142"/>
        <w:rPr>
          <w:rFonts w:ascii="宋体" w:hAnsi="宋体" w:hint="eastAsia"/>
          <w:sz w:val="28"/>
        </w:rPr>
      </w:pPr>
      <w:bookmarkStart w:id="5" w:name="_Hlt72910264"/>
      <w:r>
        <w:rPr>
          <w:rFonts w:ascii="宋体" w:hAnsi="宋体" w:hint="eastAsia"/>
          <w:b/>
          <w:bCs/>
          <w:sz w:val="28"/>
        </w:rPr>
        <w:t>核心述求</w:t>
      </w:r>
      <w:r>
        <w:rPr>
          <w:rFonts w:ascii="宋体" w:hAnsi="宋体" w:hint="eastAsia"/>
          <w:spacing w:val="22"/>
          <w:sz w:val="28"/>
        </w:rPr>
        <w:t>/</w:t>
      </w:r>
      <w:r>
        <w:rPr>
          <w:rFonts w:ascii="宋体" w:hAnsi="宋体" w:hint="eastAsia"/>
          <w:sz w:val="28"/>
        </w:rPr>
        <w:t xml:space="preserve"> </w:t>
      </w:r>
    </w:p>
    <w:p>
      <w:pPr>
        <w:pStyle w:val="Normal0"/>
        <w:ind w:left="4498" w:firstLine="1253" w:leftChars="2142" w:firstLineChars="241"/>
        <w:rPr>
          <w:rFonts w:ascii="宋体" w:hAnsi="宋体" w:hint="eastAsia"/>
          <w:b/>
          <w:bCs/>
          <w:shadow/>
          <w:color w:val="333333"/>
          <w:sz w:val="52"/>
        </w:rPr>
      </w:pPr>
      <w:r>
        <w:rPr>
          <w:rFonts w:ascii="楷体_GB2312" w:eastAsia="楷体_GB2312" w:hAnsi="宋体" w:hint="eastAsia"/>
          <w:b/>
          <w:bCs/>
          <w:shadow/>
          <w:color w:val="333333"/>
          <w:sz w:val="52"/>
          <w:u w:val="single"/>
        </w:rPr>
        <w:t>领袖商务·天安国际</w:t>
      </w:r>
      <w:r>
        <w:rPr>
          <w:rFonts w:ascii="宋体" w:hAnsi="宋体" w:hint="eastAsia"/>
          <w:b/>
          <w:bCs/>
          <w:shadow/>
          <w:color w:val="333333"/>
          <w:sz w:val="52"/>
        </w:rPr>
        <w:t>。</w:t>
      </w:r>
    </w:p>
    <w:bookmarkEnd w:id="5"/>
    <w:p>
      <w:pPr>
        <w:pStyle w:val="Normal0"/>
        <w:spacing w:line="240" w:lineRule="atLeast"/>
        <w:ind w:left="4498" w:firstLine="675" w:leftChars="2142" w:firstLineChars="241"/>
        <w:rPr>
          <w:rFonts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pStyle w:val="Normal0"/>
        <w:spacing w:line="240" w:lineRule="atLeast"/>
        <w:ind w:left="4498" w:firstLine="1253" w:leftChars="2142" w:firstLineChars="241"/>
        <w:rPr>
          <w:rFonts w:hint="eastAsia"/>
          <w:sz w:val="28"/>
        </w:rPr>
      </w:pPr>
      <w:r>
        <w:rPr>
          <w:rFonts w:ascii="楷体_GB2312" w:eastAsia="楷体_GB2312" w:hAnsi="宋体" w:hint="eastAsia"/>
          <w:b/>
          <w:bCs/>
          <w:shadow/>
          <w:color w:val="333333"/>
          <w:sz w:val="52"/>
          <w:u w:val="single"/>
        </w:rPr>
        <w:t>首席[CEO]，领袖商务天地</w:t>
      </w:r>
      <w:r>
        <w:rPr>
          <w:rFonts w:ascii="宋体" w:hAnsi="宋体" w:hint="eastAsia"/>
          <w:b/>
          <w:bCs/>
          <w:shadow/>
          <w:color w:val="333333"/>
          <w:sz w:val="52"/>
        </w:rPr>
        <w:t>。</w:t>
      </w:r>
    </w:p>
    <w:p>
      <w:pPr>
        <w:pStyle w:val="Normal0"/>
        <w:spacing w:line="240" w:lineRule="atLeast"/>
        <w:ind w:left="4498" w:firstLine="560" w:leftChars="2142" w:firstLineChars="200"/>
        <w:rPr>
          <w:rFonts w:hint="eastAsia"/>
          <w:sz w:val="28"/>
        </w:rPr>
      </w:pPr>
    </w:p>
    <w:p>
      <w:pPr>
        <w:pStyle w:val="Normal0"/>
        <w:ind w:firstLine="1"/>
        <w:rPr>
          <w:rFonts w:hint="eastAsia"/>
          <w:color w:val="FF0000"/>
          <w:sz w:val="28"/>
        </w:rPr>
      </w:pPr>
      <w:r>
        <w:rPr>
          <w:rFonts w:hint="eastAsia"/>
          <w:b/>
          <w:bCs/>
          <w:color w:val="333333"/>
          <w:sz w:val="28"/>
        </w:rPr>
        <w:t>领袖商务简析</w:t>
      </w:r>
      <w:r>
        <w:rPr>
          <w:rFonts w:hint="eastAsia"/>
          <w:sz w:val="28"/>
        </w:rPr>
        <w:t>：领袖，无双。天安豪气，媲美世界，平视天下。驻足天安，如巨人肩上创富。</w:t>
      </w:r>
    </w:p>
    <w:p>
      <w:pPr>
        <w:pStyle w:val="Normal0"/>
        <w:ind w:left="1800" w:leftChars="857"/>
        <w:rPr>
          <w:rFonts w:hint="eastAsia"/>
          <w:sz w:val="28"/>
        </w:rPr>
      </w:pPr>
      <w:r>
        <w:rPr>
          <w:rFonts w:hint="eastAsia"/>
          <w:b/>
          <w:bCs/>
          <w:color w:val="333333"/>
          <w:sz w:val="28"/>
        </w:rPr>
        <w:t>地位体现</w:t>
      </w:r>
      <w:r>
        <w:rPr>
          <w:rFonts w:hint="eastAsia"/>
          <w:sz w:val="28"/>
        </w:rPr>
        <w:t>，独一无二，绝无仅有位居权上。即体现了本案尊贵的领导地位。</w:t>
      </w:r>
    </w:p>
    <w:p>
      <w:pPr>
        <w:pStyle w:val="Normal0"/>
        <w:ind w:left="1800" w:leftChars="857"/>
        <w:rPr>
          <w:rFonts w:hint="eastAsia"/>
          <w:sz w:val="28"/>
        </w:rPr>
      </w:pPr>
      <w:r>
        <w:rPr>
          <w:rFonts w:hint="eastAsia"/>
          <w:b/>
          <w:bCs/>
          <w:color w:val="333333"/>
          <w:sz w:val="28"/>
        </w:rPr>
        <w:t>品质体现</w:t>
      </w:r>
      <w:r>
        <w:rPr>
          <w:rFonts w:hint="eastAsia"/>
          <w:sz w:val="28"/>
        </w:rPr>
        <w:t>，即本案软硬件配备独到及优质的人性服务的体现，让业主体会至高无上的荣耀，惟我独尊。</w:t>
      </w:r>
    </w:p>
    <w:p>
      <w:pPr>
        <w:pStyle w:val="Normal0"/>
        <w:ind w:left="1800" w:leftChars="857"/>
        <w:rPr>
          <w:rFonts w:hint="eastAsia"/>
          <w:sz w:val="28"/>
        </w:rPr>
      </w:pPr>
      <w:r>
        <w:rPr>
          <w:rFonts w:hint="eastAsia"/>
          <w:b/>
          <w:bCs/>
          <w:color w:val="333333"/>
          <w:sz w:val="28"/>
        </w:rPr>
        <w:t>受众体现</w:t>
      </w:r>
      <w:r>
        <w:rPr>
          <w:rFonts w:hint="eastAsia"/>
          <w:sz w:val="28"/>
        </w:rPr>
        <w:t>，豪气万丈，磅礴沉稳，令人神往。</w:t>
      </w:r>
    </w:p>
    <w:p>
      <w:pPr>
        <w:pStyle w:val="Normal0"/>
        <w:ind w:left="1817" w:hanging="17" w:leftChars="857" w:hangingChars="6"/>
        <w:rPr>
          <w:rFonts w:hint="eastAsia"/>
          <w:sz w:val="28"/>
        </w:rPr>
      </w:pPr>
      <w:r>
        <w:rPr>
          <w:rFonts w:hint="eastAsia"/>
          <w:b/>
          <w:bCs/>
          <w:color w:val="333333"/>
          <w:sz w:val="28"/>
        </w:rPr>
        <w:t>地域体现</w:t>
      </w:r>
      <w:r>
        <w:rPr>
          <w:rFonts w:hint="eastAsia"/>
          <w:sz w:val="28"/>
        </w:rPr>
        <w:t>，相对东北商务而谈领袖，立于东北，领导东北，辐射东北。不过分张扬，亦不缺霸气。</w:t>
      </w:r>
    </w:p>
    <w:p>
      <w:pPr>
        <w:pStyle w:val="Normal0"/>
        <w:ind w:left="5580" w:leftChars="2657"/>
        <w:rPr>
          <w:rFonts w:hint="eastAsia"/>
        </w:rPr>
      </w:pPr>
    </w:p>
    <w:p>
      <w:pPr>
        <w:pStyle w:val="Heading2"/>
        <w:rPr>
          <w:rFonts w:hAnsi="宋体" w:hint="eastAsia"/>
          <w:b w:val="0"/>
          <w:bCs/>
          <w:sz w:val="30"/>
        </w:rPr>
      </w:pPr>
      <w:r>
        <w:rPr>
          <w:rFonts w:hint="eastAsia"/>
          <w:b w:val="0"/>
          <w:bCs/>
        </w:rPr>
        <w:t>2．4 媒体通路策略</w:t>
      </w:r>
    </w:p>
    <w:p>
      <w:pPr>
        <w:pStyle w:val="Normal0"/>
        <w:rPr>
          <w:rFonts w:ascii="宋体" w:hAnsi="宋体" w:hint="eastAsia"/>
          <w:sz w:val="28"/>
        </w:rPr>
      </w:pPr>
      <w:r>
        <w:rPr>
          <w:rFonts w:ascii="黑体" w:eastAsia="黑体" w:hAnsi="宋体" w:hint="eastAsia"/>
          <w:sz w:val="32"/>
        </w:rPr>
        <w:t>1) 户外广告</w:t>
      </w:r>
      <w:r>
        <w:rPr>
          <w:rFonts w:ascii="宋体" w:hAnsi="宋体" w:hint="eastAsia"/>
          <w:sz w:val="28"/>
        </w:rPr>
        <w:t>（选择机场，高速公路针对性强的户外媒体投放）</w:t>
      </w:r>
    </w:p>
    <w:p>
      <w:pPr>
        <w:pStyle w:val="Normal0"/>
        <w:ind w:firstLine="560" w:firstLineChars="200"/>
        <w:rPr>
          <w:rFonts w:ascii="宋体" w:hAnsi="宋体" w:hint="eastAsia"/>
          <w:sz w:val="28"/>
        </w:rPr>
      </w:pPr>
      <w:r>
        <w:rPr>
          <w:rFonts w:ascii="黑体" w:eastAsia="黑体" w:hAnsi="宋体" w:hint="eastAsia"/>
          <w:sz w:val="28"/>
        </w:rPr>
        <w:t>广告选址</w:t>
      </w:r>
      <w:r>
        <w:rPr>
          <w:rFonts w:ascii="宋体" w:hAnsi="宋体" w:hint="eastAsia"/>
          <w:sz w:val="28"/>
        </w:rPr>
        <w:t>：机场、高速公路出入口。</w:t>
      </w:r>
    </w:p>
    <w:p>
      <w:pPr>
        <w:pStyle w:val="Normal0"/>
        <w:ind w:left="2519" w:hanging="1960" w:leftChars="266" w:hangingChars="700"/>
        <w:rPr>
          <w:rFonts w:ascii="黑体" w:eastAsia="黑体" w:hAnsi="宋体" w:hint="eastAsia"/>
          <w:sz w:val="32"/>
        </w:rPr>
      </w:pPr>
      <w:r>
        <w:rPr>
          <w:rFonts w:ascii="黑体" w:eastAsia="黑体" w:hAnsi="宋体" w:hint="eastAsia"/>
          <w:sz w:val="28"/>
        </w:rPr>
        <w:t>户外广告特性</w:t>
      </w:r>
      <w:r>
        <w:rPr>
          <w:rFonts w:ascii="黑体" w:eastAsia="黑体" w:hAnsi="宋体" w:hint="eastAsia"/>
          <w:sz w:val="32"/>
        </w:rPr>
        <w:t>：</w:t>
      </w:r>
      <w:r>
        <w:rPr>
          <w:rFonts w:ascii="宋体" w:hAnsi="宋体" w:hint="eastAsia"/>
          <w:sz w:val="28"/>
        </w:rPr>
        <w:t>户外媒体的时效性较长，且容易识别，受众面广，让观众记忆深刻。对广告述求要求简练，明了，响亮。对企业或是产品的品牌树立起到推波助澜的作用，效果标新立异。</w:t>
      </w:r>
    </w:p>
    <w:p>
      <w:pPr>
        <w:pStyle w:val="Normal0"/>
        <w:ind w:firstLine="1"/>
        <w:rPr>
          <w:rFonts w:ascii="黑体" w:eastAsia="黑体" w:hAnsi="宋体" w:hint="eastAsia"/>
          <w:sz w:val="32"/>
        </w:rPr>
      </w:pPr>
      <w:r>
        <w:rPr>
          <w:rFonts w:ascii="黑体" w:eastAsia="黑体" w:hAnsi="宋体" w:hint="eastAsia"/>
          <w:sz w:val="32"/>
        </w:rPr>
        <w:t>2) 报纸媒体</w:t>
      </w:r>
    </w:p>
    <w:p>
      <w:pPr>
        <w:pStyle w:val="Normal0"/>
        <w:ind w:firstLine="560" w:firstLineChars="200"/>
        <w:rPr>
          <w:rFonts w:ascii="宋体" w:hAnsi="宋体"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pStyle w:val="Normal0"/>
        <w:ind w:firstLine="560" w:firstLineChars="200"/>
        <w:rPr>
          <w:rFonts w:ascii="宋体" w:hAnsi="宋体" w:hint="eastAsia"/>
          <w:sz w:val="28"/>
        </w:rPr>
      </w:pPr>
      <w:r>
        <w:rPr>
          <w:rFonts w:ascii="宋体" w:hAnsi="宋体" w:hint="eastAsia"/>
          <w:sz w:val="28"/>
        </w:rPr>
        <w:t>传统的媒体方式，已经被广大市民及专业人士所接受。首选为投资型专业资讯类报刊，其次有针对、有选择的投放大众报刊媒体。</w:t>
      </w:r>
    </w:p>
    <w:p>
      <w:pPr>
        <w:pStyle w:val="Normal0"/>
        <w:ind w:left="563" w:leftChars="268"/>
        <w:rPr>
          <w:rFonts w:ascii="宋体" w:hAnsi="宋体" w:hint="eastAsia"/>
          <w:color w:val="000000"/>
          <w:sz w:val="28"/>
        </w:rPr>
      </w:pPr>
      <w:r>
        <w:rPr>
          <w:rFonts w:ascii="黑体" w:eastAsia="黑体" w:hAnsi="宋体" w:hint="eastAsia"/>
          <w:sz w:val="28"/>
        </w:rPr>
        <w:t>报纸类媒体选择</w:t>
      </w:r>
      <w:r>
        <w:rPr>
          <w:rFonts w:ascii="宋体" w:hAnsi="宋体" w:hint="eastAsia"/>
          <w:b/>
          <w:bCs/>
          <w:sz w:val="28"/>
        </w:rPr>
        <w:t>：</w:t>
      </w:r>
      <w:r>
        <w:rPr>
          <w:rFonts w:ascii="宋体" w:hAnsi="宋体" w:hint="eastAsia"/>
          <w:color w:val="000000"/>
          <w:sz w:val="28"/>
        </w:rPr>
        <w:t>大连及辽宁省公众报媒《半岛晨报》、《大连日报》、《辽宁日报》。基于上述媒体均属于当地炙手可热的媒体，很受大众喜爱。包含当地政府最新动态，市场动向，因此大众媒体必然会吸引目标客户的关注。因此本案可根据市场需求有选择的重点投放。</w:t>
      </w:r>
    </w:p>
    <w:p>
      <w:pPr>
        <w:pStyle w:val="Normal0"/>
        <w:ind w:firstLine="560" w:firstLineChars="200"/>
        <w:rPr>
          <w:rFonts w:ascii="黑体" w:eastAsia="黑体" w:hAnsi="宋体" w:hint="eastAsia"/>
          <w:color w:val="333333"/>
          <w:sz w:val="28"/>
        </w:rPr>
      </w:pPr>
      <w:r>
        <w:rPr>
          <w:rFonts w:ascii="黑体" w:eastAsia="黑体" w:hAnsi="宋体" w:hint="eastAsia"/>
          <w:color w:val="333333"/>
          <w:sz w:val="28"/>
        </w:rPr>
        <w:t>广告投放方式：《大连日报》广告共计2篇，分别为：日景与夜景广告。</w:t>
      </w:r>
      <w:r>
        <w:rPr>
          <w:rFonts w:ascii="宋体" w:hAnsi="宋体" w:hint="eastAsia"/>
          <w:color w:val="333333"/>
          <w:sz w:val="28"/>
        </w:rPr>
        <w:t>[广告投放实施详见附表]</w:t>
      </w:r>
    </w:p>
    <w:p>
      <w:pPr>
        <w:pStyle w:val="Normal0"/>
        <w:rPr>
          <w:rFonts w:ascii="宋体" w:hAnsi="宋体" w:hint="eastAsia"/>
          <w:sz w:val="28"/>
        </w:rPr>
      </w:pPr>
    </w:p>
    <w:p>
      <w:pPr>
        <w:pStyle w:val="Normal0"/>
        <w:rPr>
          <w:rFonts w:ascii="宋体" w:hAnsi="宋体" w:hint="eastAsia"/>
          <w:sz w:val="28"/>
        </w:rPr>
      </w:pPr>
      <w:r>
        <w:rPr>
          <w:rFonts w:ascii="黑体" w:eastAsia="黑体" w:hAnsi="宋体" w:hint="eastAsia"/>
          <w:sz w:val="32"/>
        </w:rPr>
        <w:t>3) 平面资讯手册</w:t>
      </w:r>
      <w:r>
        <w:rPr>
          <w:rFonts w:ascii="宋体" w:hAnsi="宋体" w:hint="eastAsia"/>
          <w:sz w:val="28"/>
        </w:rPr>
        <w:t>（制作精致的楼书往高级酒店，甲级写字楼专项投递）</w:t>
      </w:r>
    </w:p>
    <w:p>
      <w:pPr>
        <w:pStyle w:val="Normal0"/>
        <w:ind w:firstLine="640" w:firstLineChars="200"/>
        <w:rPr>
          <w:rFonts w:ascii="宋体" w:hAnsi="宋体" w:hint="eastAsia"/>
          <w:sz w:val="28"/>
        </w:rPr>
      </w:pPr>
      <w:r>
        <w:rPr>
          <w:rFonts w:ascii="黑体" w:eastAsia="黑体" w:hAnsi="宋体" w:hint="eastAsia"/>
          <w:sz w:val="32"/>
        </w:rPr>
        <w:t>形式</w:t>
      </w:r>
      <w:r>
        <w:rPr>
          <w:rFonts w:ascii="宋体" w:hAnsi="宋体" w:hint="eastAsia"/>
          <w:sz w:val="28"/>
        </w:rPr>
        <w:t>：精装书籍或杂志式宣传册（见附图）。</w:t>
      </w:r>
    </w:p>
    <w:p>
      <w:pPr>
        <w:pStyle w:val="Normal0"/>
        <w:ind w:firstLine="640" w:firstLineChars="200"/>
        <w:rPr>
          <w:rFonts w:ascii="宋体" w:hAnsi="宋体" w:hint="eastAsia"/>
          <w:sz w:val="28"/>
        </w:rPr>
      </w:pPr>
      <w:r>
        <w:rPr>
          <w:rFonts w:ascii="黑体" w:eastAsia="黑体" w:hAnsi="宋体" w:hint="eastAsia"/>
          <w:sz w:val="32"/>
        </w:rPr>
        <w:t>性质</w:t>
      </w:r>
      <w:r>
        <w:rPr>
          <w:rFonts w:ascii="宋体" w:hAnsi="宋体" w:hint="eastAsia"/>
          <w:sz w:val="28"/>
        </w:rPr>
        <w:t>：可读性强，高雅，实用性趣味性并存，让读者爱不释手，同时起到推广本案的效果。</w:t>
      </w:r>
    </w:p>
    <w:p>
      <w:pPr>
        <w:pStyle w:val="Normal0"/>
        <w:ind w:firstLine="640" w:firstLineChars="200"/>
        <w:rPr>
          <w:rFonts w:ascii="宋体" w:hAnsi="宋体" w:hint="eastAsia"/>
          <w:sz w:val="28"/>
        </w:rPr>
      </w:pPr>
      <w:r>
        <w:rPr>
          <w:rFonts w:ascii="黑体" w:eastAsia="黑体" w:hAnsi="宋体" w:hint="eastAsia"/>
          <w:sz w:val="32"/>
          <w:lang w:eastAsia="zh-CN"/>
        </w:rPr>
        <w:t>合适的内容</w:t>
      </w:r>
      <w:r>
        <w:rPr>
          <w:rFonts w:ascii="宋体" w:hAnsi="宋体" w:hint="eastAsia"/>
          <w:sz w:val="28"/>
        </w:rPr>
        <w:t>：集</w:t>
      </w:r>
      <w:r>
        <w:rPr>
          <w:rFonts w:ascii="宋体" w:hAnsi="宋体" w:hint="eastAsia"/>
          <w:spacing w:val="-8"/>
          <w:sz w:val="28"/>
        </w:rPr>
        <w:t>天安国际大厦详细资料，行业相关专业资讯，生活知识，旅游知识，投资理财等</w:t>
      </w:r>
      <w:r>
        <w:rPr>
          <w:rFonts w:ascii="宋体" w:hAnsi="宋体" w:hint="eastAsia"/>
          <w:spacing w:val="-8"/>
          <w:sz w:val="28"/>
          <w:lang w:eastAsia="zh-CN"/>
        </w:rPr>
        <w:t>合适的内容</w:t>
      </w:r>
      <w:r>
        <w:rPr>
          <w:rFonts w:ascii="宋体" w:hAnsi="宋体" w:hint="eastAsia"/>
          <w:spacing w:val="-8"/>
          <w:sz w:val="28"/>
        </w:rPr>
        <w:t>。</w:t>
      </w:r>
    </w:p>
    <w:p>
      <w:pPr>
        <w:pStyle w:val="Normal0"/>
        <w:ind w:left="1959" w:hanging="1400" w:leftChars="266" w:hangingChars="700"/>
        <w:rPr>
          <w:rFonts w:ascii="宋体" w:hAnsi="宋体" w:hint="eastAsia"/>
          <w:sz w:val="28"/>
        </w:rPr>
      </w:pPr>
      <w:r>
        <w:rPr>
          <w:rFonts w:ascii="黑体" w:eastAsia="黑体" w:hAnsi="宋体"/>
          <w:sz w:val="20"/>
        </w:rPr>
        <w:pict>
          <v:shape id="_x0000_s1030" o:spid="_x0000_s1030" type="#_x0000_t202" style="width:27pt;height:124.8pt;margin-top:23.4pt;margin-left:828pt;mso-height-relative:page;mso-width-relative:page;position:absolute;z-index:251663360" coordsize="21600,21600" filled="t" stroked="t" strokecolor="white">
            <v:stroke joinstyle="miter"/>
            <v:textbox>
              <w:txbxContent>
                <w:p>
                  <w:pPr>
                    <w:pStyle w:val="Normal0"/>
                    <w:spacing w:line="240" w:lineRule="atLeast"/>
                    <w:rPr>
                      <w:rFonts w:hint="eastAsia"/>
                      <w:color w:val="333333"/>
                    </w:rPr>
                  </w:pPr>
                  <w:r>
                    <w:rPr>
                      <w:rFonts w:hint="eastAsia"/>
                      <w:color w:val="333333"/>
                    </w:rPr>
                    <w:t>资讯手册示意图</w:t>
                  </w:r>
                </w:p>
              </w:txbxContent>
            </v:textbox>
          </v:shape>
        </w:pict>
      </w:r>
      <w:r>
        <w:rPr>
          <w:rFonts w:ascii="黑体" w:eastAsia="黑体" w:hAnsi="宋体" w:hint="eastAsia"/>
          <w:sz w:val="32"/>
        </w:rPr>
        <w:t>投放推广方式</w:t>
      </w:r>
      <w:r>
        <w:rPr>
          <w:rFonts w:ascii="宋体" w:hAnsi="宋体" w:hint="eastAsia"/>
          <w:sz w:val="28"/>
        </w:rPr>
        <w:t>：与星级酒店捆绑赠阅（与客房服务手册放置在一起）。针对有需求的客户</w:t>
      </w:r>
    </w:p>
    <w:p>
      <w:pPr>
        <w:pStyle w:val="Normal0"/>
        <w:ind w:left="2520" w:firstLine="280" w:leftChars="1200" w:firstLineChars="100"/>
        <w:rPr>
          <w:rFonts w:ascii="宋体" w:hAnsi="宋体" w:hint="eastAsia"/>
          <w:sz w:val="28"/>
        </w:rPr>
      </w:pPr>
      <w:r>
        <w:rPr>
          <w:rFonts w:ascii="宋体" w:hAnsi="宋体" w:hint="eastAsia"/>
          <w:sz w:val="28"/>
        </w:rPr>
        <w:t>制</w:t>
      </w:r>
      <w:r>
        <w:rPr>
          <w:rFonts w:ascii="宋体" w:hAnsi="宋体" w:hint="eastAsia"/>
          <w:spacing w:val="-6"/>
          <w:sz w:val="28"/>
        </w:rPr>
        <w:t>作精美的宣传资料手册（如楼书、卡片、导购手册等）往高级酒店、高级</w:t>
      </w:r>
    </w:p>
    <w:p>
      <w:pPr>
        <w:pStyle w:val="Normal0"/>
        <w:ind w:left="2520" w:firstLine="280" w:leftChars="1200" w:firstLineChars="100"/>
        <w:rPr>
          <w:rFonts w:ascii="宋体" w:hAnsi="宋体"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宋体" w:hAnsi="宋体" w:hint="eastAsia"/>
          <w:sz w:val="28"/>
        </w:rPr>
        <w:t>写</w:t>
      </w:r>
    </w:p>
    <w:p>
      <w:pPr>
        <w:pStyle w:val="Normal0"/>
        <w:ind w:left="2520" w:firstLine="280" w:leftChars="1200" w:firstLineChars="100"/>
        <w:rPr>
          <w:rFonts w:ascii="宋体" w:hAnsi="宋体" w:hint="eastAsia"/>
          <w:sz w:val="28"/>
        </w:rPr>
      </w:pPr>
      <w:r>
        <w:rPr>
          <w:rFonts w:ascii="宋体" w:hAnsi="宋体" w:hint="eastAsia"/>
          <w:spacing w:val="-8"/>
          <w:sz w:val="28"/>
        </w:rPr>
        <w:t>字楼或高级消费场所投递。让正在寻觅的驻连机构人员获得信息，制造视觉</w:t>
      </w:r>
    </w:p>
    <w:p>
      <w:pPr>
        <w:pStyle w:val="Normal0"/>
        <w:ind w:left="2520" w:firstLine="280" w:leftChars="1200" w:firstLineChars="100"/>
        <w:rPr>
          <w:rFonts w:ascii="宋体" w:hAnsi="宋体" w:hint="eastAsia"/>
          <w:sz w:val="28"/>
        </w:rPr>
      </w:pPr>
      <w:r>
        <w:rPr>
          <w:rFonts w:ascii="宋体" w:hAnsi="宋体" w:hint="eastAsia"/>
          <w:sz w:val="28"/>
        </w:rPr>
        <w:t>冲击，且手册可读性强，能让读者爱不释手。</w:t>
      </w:r>
    </w:p>
    <w:p>
      <w:pPr>
        <w:pStyle w:val="Normal0"/>
        <w:ind w:firstLine="2"/>
        <w:rPr>
          <w:rFonts w:ascii="宋体" w:hAnsi="宋体" w:hint="eastAsia"/>
          <w:sz w:val="28"/>
        </w:rPr>
      </w:pPr>
      <w:r>
        <w:rPr>
          <w:rFonts w:ascii="黑体" w:eastAsia="黑体" w:hAnsi="宋体" w:hint="eastAsia"/>
          <w:sz w:val="32"/>
        </w:rPr>
        <w:t>4) 航空杂志</w:t>
      </w:r>
      <w:r>
        <w:rPr>
          <w:rFonts w:ascii="宋体" w:hAnsi="宋体" w:hint="eastAsia"/>
          <w:sz w:val="28"/>
        </w:rPr>
        <w:t>（针对华东，华北以及东北亚等航线的专线投放）</w:t>
      </w:r>
    </w:p>
    <w:p>
      <w:pPr>
        <w:pStyle w:val="Normal0"/>
        <w:ind w:left="540" w:leftChars="257"/>
        <w:rPr>
          <w:rFonts w:ascii="宋体" w:hAnsi="宋体" w:hint="eastAsia"/>
          <w:sz w:val="28"/>
        </w:rPr>
      </w:pPr>
      <w:r>
        <w:rPr>
          <w:rFonts w:ascii="宋体" w:hAnsi="宋体" w:hint="eastAsia"/>
          <w:sz w:val="28"/>
        </w:rPr>
        <w:t>航空杂志是近年的新兴产物，集多种消费品资讯于一体，可看性强，印刷精美，信息量大，时尚，针对性强，受众均为高级商务人士与企业主。</w:t>
      </w:r>
    </w:p>
    <w:p>
      <w:pPr>
        <w:pStyle w:val="Normal0"/>
        <w:ind w:firstLine="538" w:firstLineChars="168"/>
        <w:rPr>
          <w:rFonts w:ascii="黑体" w:eastAsia="黑体" w:hAnsi="宋体" w:hint="eastAsia"/>
          <w:sz w:val="32"/>
        </w:rPr>
      </w:pPr>
      <w:r>
        <w:rPr>
          <w:rFonts w:ascii="黑体" w:eastAsia="黑体" w:hAnsi="宋体" w:hint="eastAsia"/>
          <w:sz w:val="32"/>
        </w:rPr>
        <w:t>广告投放方式：</w:t>
      </w:r>
      <w:r>
        <w:rPr>
          <w:rFonts w:ascii="黑体" w:eastAsia="黑体" w:hAnsi="宋体" w:hint="eastAsia"/>
          <w:sz w:val="28"/>
        </w:rPr>
        <w:t>整版投放，前阶段连续刊登。以塑造本案稳健，高雅，尊贵的顶级写字楼物业形象。</w:t>
      </w:r>
    </w:p>
    <w:p>
      <w:pPr>
        <w:pStyle w:val="Normal0"/>
        <w:ind w:firstLine="538" w:firstLineChars="168"/>
        <w:rPr>
          <w:rFonts w:ascii="黑体" w:eastAsia="黑体" w:hAnsi="宋体" w:hint="eastAsia"/>
          <w:sz w:val="32"/>
        </w:rPr>
      </w:pPr>
      <w:r>
        <w:rPr>
          <w:rFonts w:ascii="黑体" w:eastAsia="黑体" w:hAnsi="宋体" w:hint="eastAsia"/>
          <w:sz w:val="32"/>
        </w:rPr>
        <w:t>版式：</w:t>
      </w:r>
      <w:r>
        <w:rPr>
          <w:rFonts w:ascii="黑体" w:eastAsia="黑体" w:hAnsi="宋体" w:hint="eastAsia"/>
          <w:sz w:val="28"/>
        </w:rPr>
        <w:t>整版或半版。</w:t>
      </w:r>
    </w:p>
    <w:p>
      <w:pPr>
        <w:pStyle w:val="Normal0"/>
        <w:ind w:firstLine="538" w:firstLineChars="168"/>
        <w:rPr>
          <w:rFonts w:ascii="黑体" w:eastAsia="黑体" w:hAnsi="宋体" w:hint="eastAsia"/>
          <w:sz w:val="32"/>
        </w:rPr>
      </w:pPr>
      <w:r>
        <w:rPr>
          <w:rFonts w:ascii="黑体" w:eastAsia="黑体" w:hAnsi="宋体" w:hint="eastAsia"/>
          <w:sz w:val="32"/>
        </w:rPr>
        <w:t>主要目标渠道：</w:t>
      </w:r>
    </w:p>
    <w:p>
      <w:pPr>
        <w:pStyle w:val="Normal0"/>
        <w:ind w:left="2159" w:leftChars="1028"/>
        <w:rPr>
          <w:rFonts w:ascii="宋体" w:hAnsi="宋体" w:hint="eastAsia"/>
          <w:sz w:val="28"/>
        </w:rPr>
      </w:pPr>
      <w:r>
        <w:rPr>
          <w:rFonts w:ascii="宋体" w:hAnsi="宋体" w:hint="eastAsia"/>
          <w:sz w:val="28"/>
        </w:rPr>
        <w:t>◎大连往返华东，华南的以及内陆各主要城市的航线航班</w:t>
      </w:r>
    </w:p>
    <w:p>
      <w:pPr>
        <w:pStyle w:val="Normal0"/>
        <w:ind w:left="7018" w:firstLine="1" w:leftChars="3342"/>
        <w:rPr>
          <w:rFonts w:ascii="宋体" w:hAnsi="宋体" w:hint="eastAsia"/>
          <w:sz w:val="28"/>
        </w:rPr>
      </w:pPr>
      <w:r>
        <w:rPr>
          <w:rFonts w:ascii="宋体" w:hAnsi="宋体"/>
          <w:b/>
          <w:bCs/>
          <w:sz w:val="20"/>
        </w:rPr>
        <w:pict>
          <v:line id="_x0000_s1031" o:spid="_x0000_s1031" style="flip:x y;mso-height-relative:page;mso-width-relative:page;position:absolute;z-index:251694080" from="735.3pt,10.5pt" to="738pt,13.2pt" coordsize="21600,21600"/>
        </w:pict>
      </w:r>
      <w:r>
        <w:rPr>
          <w:rFonts w:ascii="宋体" w:hAnsi="宋体"/>
          <w:b/>
          <w:bCs/>
          <w:sz w:val="20"/>
        </w:rPr>
        <w:pict>
          <v:line id="_x0000_s1032" o:spid="_x0000_s1032" style="mso-height-relative:page;mso-width-relative:page;position:absolute;z-index:251693056" from="727.5pt,13.2pt" to="738pt,13.2pt" coordsize="21600,21600"/>
        </w:pict>
      </w:r>
      <w:r>
        <w:rPr>
          <w:rFonts w:ascii="宋体" w:hAnsi="宋体"/>
          <w:b/>
          <w:bCs/>
          <w:sz w:val="20"/>
        </w:rPr>
        <w:pict>
          <v:line id="_x0000_s1033" o:spid="_x0000_s1033" style="mso-height-relative:page;mso-width-relative:page;position:absolute;z-index:251696128" from="727.5pt,17.25pt" to="730.6pt,19.4pt" coordsize="21600,21600"/>
        </w:pict>
      </w:r>
      <w:r>
        <w:rPr>
          <w:rFonts w:ascii="宋体" w:hAnsi="宋体"/>
          <w:b/>
          <w:bCs/>
          <w:sz w:val="20"/>
        </w:rPr>
        <w:pict>
          <v:line id="_x0000_s1034" o:spid="_x0000_s1034" style="mso-height-relative:page;mso-width-relative:page;position:absolute;z-index:251695104" from="727.5pt,17.25pt" to="738pt,17.25pt" coordsize="21600,21600"/>
        </w:pict>
      </w:r>
      <w:r>
        <w:rPr>
          <w:rFonts w:ascii="宋体" w:hAnsi="宋体"/>
          <w:b/>
          <w:bCs/>
          <w:sz w:val="20"/>
        </w:rPr>
        <w:pict>
          <v:line id="_x0000_s1035" o:spid="_x0000_s1035" style="mso-height-relative:page;mso-width-relative:page;position:absolute;z-index:251691008" from="636.4pt,17.85pt" to="646.9pt,17.85pt" coordsize="21600,21600"/>
        </w:pict>
      </w:r>
      <w:r>
        <w:rPr>
          <w:rFonts w:ascii="宋体" w:hAnsi="宋体"/>
          <w:b/>
          <w:bCs/>
          <w:sz w:val="20"/>
        </w:rPr>
        <w:pict>
          <v:line id="_x0000_s1036" o:spid="_x0000_s1036" style="flip:x y;mso-height-relative:page;mso-width-relative:page;position:absolute;z-index:251689984" from="644.2pt,11.1pt" to="646.9pt,13.8pt" coordsize="21600,21600"/>
        </w:pict>
      </w:r>
      <w:r>
        <w:rPr>
          <w:rFonts w:ascii="宋体" w:hAnsi="宋体"/>
          <w:b/>
          <w:bCs/>
          <w:sz w:val="20"/>
        </w:rPr>
        <w:pict>
          <v:line id="_x0000_s1037" o:spid="_x0000_s1037" style="mso-height-relative:page;mso-width-relative:page;position:absolute;z-index:251688960" from="636.4pt,13.8pt" to="646.9pt,13.8pt" coordsize="21600,21600"/>
        </w:pict>
      </w:r>
      <w:r>
        <w:rPr>
          <w:rFonts w:ascii="宋体" w:hAnsi="宋体"/>
          <w:b/>
          <w:bCs/>
          <w:sz w:val="20"/>
        </w:rPr>
        <w:pict>
          <v:line id="_x0000_s1038" o:spid="_x0000_s1038" style="mso-height-relative:page;mso-width-relative:page;position:absolute;z-index:251692032" from="636.4pt,17.85pt" to="639.5pt,20pt" coordsize="21600,21600"/>
        </w:pict>
      </w:r>
      <w:r>
        <w:rPr>
          <w:rFonts w:ascii="宋体" w:hAnsi="宋体"/>
          <w:b/>
          <w:bCs/>
          <w:sz w:val="20"/>
        </w:rPr>
        <w:pict>
          <v:line id="_x0000_s1039" o:spid="_x0000_s1039" style="mso-height-relative:page;mso-width-relative:page;position:absolute;z-index:251678720" from="541.75pt,17.55pt" to="552.25pt,17.55pt" coordsize="21600,21600"/>
        </w:pict>
      </w:r>
      <w:r>
        <w:rPr>
          <w:rFonts w:ascii="宋体" w:hAnsi="宋体"/>
          <w:b/>
          <w:bCs/>
          <w:sz w:val="20"/>
        </w:rPr>
        <w:pict>
          <v:line id="_x0000_s1040" o:spid="_x0000_s1040" style="flip:x y;mso-height-relative:page;mso-width-relative:page;position:absolute;z-index:251677696" from="549.55pt,10.8pt" to="552.25pt,13.5pt" coordsize="21600,21600"/>
        </w:pict>
      </w:r>
      <w:r>
        <w:rPr>
          <w:rFonts w:ascii="宋体" w:hAnsi="宋体"/>
          <w:b/>
          <w:bCs/>
          <w:sz w:val="20"/>
        </w:rPr>
        <w:pict>
          <v:line id="_x0000_s1041" o:spid="_x0000_s1041" style="mso-height-relative:page;mso-width-relative:page;position:absolute;z-index:251676672" from="541.75pt,13.5pt" to="552.25pt,13.5pt" coordsize="21600,21600"/>
        </w:pict>
      </w:r>
      <w:r>
        <w:rPr>
          <w:rFonts w:ascii="宋体" w:hAnsi="宋体"/>
          <w:b/>
          <w:bCs/>
          <w:sz w:val="20"/>
        </w:rPr>
        <w:pict>
          <v:line id="_x0000_s1042" o:spid="_x0000_s1042" style="mso-height-relative:page;mso-width-relative:page;position:absolute;z-index:251679744" from="541.75pt,17.55pt" to="544.85pt,19.7pt" coordsize="21600,21600"/>
        </w:pict>
      </w:r>
      <w:r>
        <w:rPr>
          <w:rFonts w:ascii="宋体" w:hAnsi="宋体"/>
          <w:b/>
          <w:bCs/>
          <w:sz w:val="28"/>
        </w:rPr>
        <w:pict>
          <v:line id="_x0000_s1043" o:spid="_x0000_s1043" style="flip:x y;mso-height-relative:page;mso-width-relative:page;position:absolute;z-index:251665408" from="453.05pt,11.1pt" to="455.75pt,13.8pt" coordsize="21600,21600"/>
        </w:pict>
      </w:r>
      <w:r>
        <w:rPr>
          <w:rFonts w:ascii="宋体" w:hAnsi="宋体"/>
          <w:b/>
          <w:bCs/>
          <w:sz w:val="28"/>
        </w:rPr>
        <w:pict>
          <v:line id="_x0000_s1044" o:spid="_x0000_s1044" style="mso-height-relative:page;mso-width-relative:page;position:absolute;z-index:251664384" from="445.25pt,13.8pt" to="455.75pt,13.8pt" coordsize="21600,21600"/>
        </w:pict>
      </w:r>
      <w:r>
        <w:rPr>
          <w:rFonts w:ascii="宋体" w:hAnsi="宋体"/>
          <w:b/>
          <w:bCs/>
          <w:sz w:val="28"/>
        </w:rPr>
        <w:pict>
          <v:line id="_x0000_s1045" o:spid="_x0000_s1045" style="mso-height-relative:page;mso-width-relative:page;position:absolute;z-index:251667456" from="445.25pt,17.85pt" to="448.35pt,20pt" coordsize="21600,21600"/>
        </w:pict>
      </w:r>
      <w:r>
        <w:rPr>
          <w:rFonts w:ascii="宋体" w:hAnsi="宋体"/>
          <w:b/>
          <w:bCs/>
          <w:sz w:val="28"/>
        </w:rPr>
        <w:pict>
          <v:line id="_x0000_s1046" o:spid="_x0000_s1046" style="mso-height-relative:page;mso-width-relative:page;position:absolute;z-index:251666432" from="445.25pt,17.85pt" to="455.75pt,17.85pt" coordsize="21600,21600"/>
        </w:pict>
      </w:r>
      <w:r>
        <w:rPr>
          <w:rFonts w:ascii="宋体" w:hAnsi="宋体" w:hint="eastAsia"/>
          <w:sz w:val="28"/>
        </w:rPr>
        <w:t>航线如：大连    上海，大连    北京，大连   南京，大连   温州，</w:t>
      </w:r>
    </w:p>
    <w:p>
      <w:pPr>
        <w:pStyle w:val="Normal0"/>
        <w:ind w:left="7018" w:firstLine="1" w:leftChars="3342"/>
        <w:rPr>
          <w:rFonts w:ascii="宋体" w:hAnsi="宋体"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r>
        <w:rPr>
          <w:rFonts w:ascii="宋体" w:hAnsi="宋体"/>
          <w:b/>
          <w:bCs/>
          <w:sz w:val="20"/>
        </w:rPr>
        <w:pict>
          <v:line id="_x0000_s1047" o:spid="_x0000_s1047" style="flip:x y;mso-height-relative:page;mso-width-relative:page;position:absolute;z-index:251685888" from="664.15pt,10.15pt" to="666.85pt,12.85pt" coordsize="21600,21600"/>
        </w:pict>
      </w:r>
      <w:r>
        <w:rPr>
          <w:rFonts w:ascii="宋体" w:hAnsi="宋体"/>
          <w:b/>
          <w:bCs/>
          <w:sz w:val="20"/>
        </w:rPr>
        <w:pict>
          <v:line id="_x0000_s1048" o:spid="_x0000_s1048" style="mso-height-relative:page;mso-width-relative:page;position:absolute;z-index:251684864" from="656.35pt,12.85pt" to="666.85pt,12.85pt" coordsize="21600,21600"/>
        </w:pict>
      </w:r>
      <w:r>
        <w:rPr>
          <w:rFonts w:ascii="宋体" w:hAnsi="宋体"/>
          <w:b/>
          <w:bCs/>
          <w:sz w:val="20"/>
        </w:rPr>
        <w:pict>
          <v:line id="_x0000_s1049" o:spid="_x0000_s1049" style="mso-height-relative:page;mso-width-relative:page;position:absolute;z-index:251687936" from="656.35pt,16.9pt" to="659.45pt,19.05pt" coordsize="21600,21600"/>
        </w:pict>
      </w:r>
      <w:r>
        <w:rPr>
          <w:rFonts w:ascii="宋体" w:hAnsi="宋体"/>
          <w:b/>
          <w:bCs/>
          <w:sz w:val="20"/>
        </w:rPr>
        <w:pict>
          <v:line id="_x0000_s1050" o:spid="_x0000_s1050" style="mso-height-relative:page;mso-width-relative:page;position:absolute;z-index:251686912" from="656.35pt,16.9pt" to="666.85pt,16.9pt" coordsize="21600,21600"/>
        </w:pict>
      </w:r>
      <w:r>
        <w:rPr>
          <w:rFonts w:ascii="宋体" w:hAnsi="宋体"/>
          <w:b/>
          <w:bCs/>
          <w:sz w:val="20"/>
        </w:rPr>
        <w:pict>
          <v:line id="_x0000_s1051" o:spid="_x0000_s1051" style="mso-height-relative:page;mso-width-relative:page;position:absolute;z-index:251682816" from="565.85pt,17.5pt" to="576.35pt,17.5pt" coordsize="21600,21600"/>
        </w:pict>
      </w:r>
      <w:r>
        <w:rPr>
          <w:rFonts w:ascii="宋体" w:hAnsi="宋体"/>
          <w:b/>
          <w:bCs/>
          <w:sz w:val="20"/>
        </w:rPr>
        <w:pict>
          <v:line id="_x0000_s1052" o:spid="_x0000_s1052" style="flip:x y;mso-height-relative:page;mso-width-relative:page;position:absolute;z-index:251681792" from="573.65pt,10.75pt" to="576.35pt,13.45pt" coordsize="21600,21600"/>
        </w:pict>
      </w:r>
      <w:r>
        <w:rPr>
          <w:rFonts w:ascii="宋体" w:hAnsi="宋体"/>
          <w:b/>
          <w:bCs/>
          <w:sz w:val="20"/>
        </w:rPr>
        <w:pict>
          <v:line id="_x0000_s1053" o:spid="_x0000_s1053" style="mso-height-relative:page;mso-width-relative:page;position:absolute;z-index:251680768" from="565.85pt,13.45pt" to="576.35pt,13.45pt" coordsize="21600,21600"/>
        </w:pict>
      </w:r>
      <w:r>
        <w:rPr>
          <w:rFonts w:ascii="宋体" w:hAnsi="宋体"/>
          <w:b/>
          <w:bCs/>
          <w:sz w:val="20"/>
        </w:rPr>
        <w:pict>
          <v:line id="_x0000_s1054" o:spid="_x0000_s1054" style="mso-height-relative:page;mso-width-relative:page;position:absolute;z-index:251683840" from="565.85pt,17.5pt" to="568.95pt,19.65pt" coordsize="21600,21600"/>
        </w:pict>
      </w:r>
      <w:r>
        <w:rPr>
          <w:rFonts w:ascii="宋体" w:hAnsi="宋体"/>
          <w:b/>
          <w:bCs/>
          <w:sz w:val="20"/>
        </w:rPr>
        <w:pict>
          <v:line id="_x0000_s1055" o:spid="_x0000_s1055" style="flip:x y;mso-height-relative:page;mso-width-relative:page;position:absolute;z-index:251673600" from="482.85pt,10.15pt" to="485.55pt,12.85pt" coordsize="21600,21600"/>
        </w:pict>
      </w:r>
      <w:r>
        <w:rPr>
          <w:rFonts w:ascii="宋体" w:hAnsi="宋体"/>
          <w:b/>
          <w:bCs/>
          <w:sz w:val="20"/>
        </w:rPr>
        <w:pict>
          <v:line id="_x0000_s1056" o:spid="_x0000_s1056" style="mso-height-relative:page;mso-width-relative:page;position:absolute;z-index:251672576" from="475.05pt,12.85pt" to="485.55pt,12.85pt" coordsize="21600,21600"/>
        </w:pict>
      </w:r>
      <w:r>
        <w:rPr>
          <w:rFonts w:ascii="宋体" w:hAnsi="宋体"/>
          <w:b/>
          <w:bCs/>
          <w:sz w:val="20"/>
        </w:rPr>
        <w:pict>
          <v:line id="_x0000_s1057" o:spid="_x0000_s1057" style="mso-height-relative:page;mso-width-relative:page;position:absolute;z-index:251675648" from="475.05pt,16.9pt" to="478.15pt,19.05pt" coordsize="21600,21600"/>
        </w:pict>
      </w:r>
      <w:r>
        <w:rPr>
          <w:rFonts w:ascii="宋体" w:hAnsi="宋体"/>
          <w:b/>
          <w:bCs/>
          <w:sz w:val="20"/>
        </w:rPr>
        <w:pict>
          <v:line id="_x0000_s1058" o:spid="_x0000_s1058" style="mso-height-relative:page;mso-width-relative:page;position:absolute;z-index:251674624" from="475.05pt,16.9pt" to="485.55pt,16.9pt" coordsize="21600,21600"/>
        </w:pict>
      </w:r>
      <w:r>
        <w:rPr>
          <w:rFonts w:ascii="宋体" w:hAnsi="宋体"/>
          <w:b/>
          <w:bCs/>
          <w:sz w:val="20"/>
        </w:rPr>
        <w:pict>
          <v:line id="_x0000_s1059" o:spid="_x0000_s1059" style="mso-height-relative:page;mso-width-relative:page;position:absolute;z-index:251670528" from="382.45pt,17.5pt" to="392.95pt,17.5pt" coordsize="21600,21600"/>
        </w:pict>
      </w:r>
      <w:r>
        <w:rPr>
          <w:rFonts w:ascii="宋体" w:hAnsi="宋体"/>
          <w:b/>
          <w:bCs/>
          <w:sz w:val="20"/>
        </w:rPr>
        <w:pict>
          <v:line id="_x0000_s1060" o:spid="_x0000_s1060" style="flip:x y;mso-height-relative:page;mso-width-relative:page;position:absolute;z-index:251669504" from="390.25pt,10.75pt" to="392.95pt,13.45pt" coordsize="21600,21600"/>
        </w:pict>
      </w:r>
      <w:r>
        <w:rPr>
          <w:rFonts w:ascii="宋体" w:hAnsi="宋体"/>
          <w:b/>
          <w:bCs/>
          <w:sz w:val="20"/>
        </w:rPr>
        <w:pict>
          <v:line id="_x0000_s1061" o:spid="_x0000_s1061" style="mso-height-relative:page;mso-width-relative:page;position:absolute;z-index:251668480" from="382.45pt,13.45pt" to="392.95pt,13.45pt" coordsize="21600,21600"/>
        </w:pict>
      </w:r>
      <w:r>
        <w:rPr>
          <w:rFonts w:ascii="宋体" w:hAnsi="宋体"/>
          <w:b/>
          <w:bCs/>
          <w:sz w:val="20"/>
        </w:rPr>
        <w:pict>
          <v:line id="_x0000_s1062" o:spid="_x0000_s1062" style="mso-height-relative:page;mso-width-relative:page;position:absolute;z-index:251671552" from="382.45pt,17.5pt" to="385.55pt,19.65pt" coordsize="21600,21600"/>
        </w:pict>
      </w:r>
      <w:r>
        <w:rPr>
          <w:rFonts w:ascii="宋体" w:hAnsi="宋体" w:hint="eastAsia"/>
          <w:sz w:val="28"/>
        </w:rPr>
        <w:t>大连</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厦门，大连</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深圳，大连</w:t>
      </w:r>
      <w:r>
        <w:rPr>
          <w:rFonts w:ascii="宋体" w:hAnsi="宋体" w:hint="eastAsia"/>
          <w:sz w:val="28"/>
        </w:rPr>
        <w:t xml:space="preserve"> </w:t>
      </w:r>
      <w:r>
        <w:rPr>
          <w:rFonts w:ascii="宋体" w:hAnsi="宋体" w:hint="eastAsia"/>
          <w:sz w:val="28"/>
        </w:rPr>
        <w:t xml:space="preserve"> </w:t>
      </w:r>
    </w:p>
    <w:p>
      <w:pPr>
        <w:pStyle w:val="Normal0"/>
        <w:ind w:left="7018" w:firstLine="1" w:leftChars="3342"/>
        <w:rPr>
          <w:rFonts w:ascii="宋体" w:hAnsi="宋体" w:hint="eastAsia"/>
          <w:sz w:val="28"/>
        </w:rPr>
      </w:pPr>
      <w:r>
        <w:rPr>
          <w:rFonts w:ascii="宋体" w:hAnsi="宋体" w:hint="eastAsia"/>
          <w:sz w:val="28"/>
        </w:rPr>
        <w:t xml:space="preserve"> 广州，大连</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海口等。</w:t>
      </w:r>
    </w:p>
    <w:p>
      <w:pPr>
        <w:pStyle w:val="Normal0"/>
        <w:ind w:left="7018" w:firstLine="1" w:leftChars="3342"/>
        <w:rPr>
          <w:rFonts w:ascii="宋体" w:hAnsi="宋体" w:hint="eastAsia"/>
          <w:sz w:val="28"/>
        </w:rPr>
      </w:pPr>
    </w:p>
    <w:p>
      <w:pPr>
        <w:pStyle w:val="Normal0"/>
        <w:ind w:left="7018" w:firstLine="1" w:leftChars="3342"/>
        <w:rPr>
          <w:rFonts w:ascii="宋体" w:hAnsi="宋体" w:hint="eastAsia"/>
          <w:sz w:val="28"/>
        </w:rPr>
      </w:pPr>
    </w:p>
    <w:p>
      <w:pPr>
        <w:pStyle w:val="Normal0"/>
        <w:ind w:left="2159" w:firstLine="1" w:leftChars="1028"/>
        <w:rPr>
          <w:rFonts w:ascii="黑体" w:eastAsia="黑体" w:hAnsi="宋体" w:hint="eastAsia"/>
          <w:sz w:val="32"/>
        </w:rPr>
      </w:pPr>
      <w:r>
        <w:rPr>
          <w:rFonts w:ascii="黑体" w:eastAsia="黑体" w:hAnsi="宋体" w:hint="eastAsia"/>
          <w:sz w:val="32"/>
        </w:rPr>
        <w:t>航线航空杂志如：</w:t>
      </w:r>
    </w:p>
    <w:p>
      <w:pPr>
        <w:pStyle w:val="Normal0"/>
        <w:ind w:left="4139" w:firstLine="1" w:leftChars="1971"/>
        <w:rPr>
          <w:rFonts w:ascii="楷体_GB2312" w:eastAsia="楷体_GB2312" w:hAnsi="宋体" w:hint="eastAsia"/>
          <w:sz w:val="28"/>
        </w:rPr>
      </w:pPr>
      <w:r>
        <w:rPr>
          <w:rFonts w:ascii="楷体_GB2312" w:eastAsia="楷体_GB2312" w:hAnsi="宋体" w:hint="eastAsia"/>
          <w:sz w:val="28"/>
        </w:rPr>
        <w:t>《东方航空》：</w:t>
      </w:r>
    </w:p>
    <w:p>
      <w:pPr>
        <w:pStyle w:val="Normal0"/>
        <w:ind w:left="4139" w:firstLine="1" w:leftChars="1971"/>
        <w:rPr>
          <w:rFonts w:ascii="宋体" w:hAnsi="宋体" w:hint="eastAsia"/>
          <w:sz w:val="28"/>
        </w:rPr>
      </w:pPr>
      <w:r>
        <w:rPr>
          <w:rFonts w:ascii="宋体" w:hAnsi="宋体" w:hint="eastAsia"/>
          <w:sz w:val="28"/>
        </w:rPr>
        <w:t xml:space="preserve">     发行量：15万份以上</w:t>
      </w:r>
    </w:p>
    <w:p>
      <w:pPr>
        <w:pStyle w:val="Normal0"/>
        <w:ind w:left="4139" w:firstLine="720" w:leftChars="1971" w:firstLineChars="257"/>
        <w:rPr>
          <w:rFonts w:ascii="宋体" w:hAnsi="宋体" w:hint="eastAsia"/>
          <w:sz w:val="28"/>
        </w:rPr>
      </w:pPr>
      <w:r>
        <w:rPr>
          <w:rFonts w:ascii="宋体" w:hAnsi="宋体" w:hint="eastAsia"/>
          <w:sz w:val="28"/>
        </w:rPr>
        <w:t>发行日期：</w:t>
      </w:r>
      <w:r>
        <w:rPr>
          <w:rFonts w:hint="eastAsia"/>
          <w:sz w:val="28"/>
        </w:rPr>
        <w:t>每月月初出版</w:t>
      </w:r>
      <w:r>
        <w:rPr>
          <w:rFonts w:ascii="宋体" w:hAnsi="宋体" w:hint="eastAsia"/>
          <w:sz w:val="28"/>
        </w:rPr>
        <w:t>。</w:t>
      </w:r>
    </w:p>
    <w:p>
      <w:pPr>
        <w:pStyle w:val="Normal0"/>
        <w:ind w:left="4139" w:firstLine="1" w:leftChars="1971"/>
        <w:rPr>
          <w:rFonts w:ascii="宋体" w:hAnsi="宋体" w:hint="eastAsia"/>
          <w:sz w:val="28"/>
        </w:rPr>
      </w:pPr>
      <w:r>
        <w:rPr>
          <w:rFonts w:ascii="宋体" w:hAnsi="宋体" w:hint="eastAsia"/>
          <w:sz w:val="28"/>
        </w:rPr>
        <w:t xml:space="preserve">     发行途径：</w:t>
      </w:r>
      <w:r>
        <w:rPr>
          <w:rFonts w:hint="eastAsia"/>
          <w:sz w:val="28"/>
        </w:rPr>
        <w:t>在中国东方航空国际、地区与国内航班上公开发行的航机杂志</w:t>
      </w:r>
      <w:r>
        <w:rPr>
          <w:rFonts w:ascii="宋体" w:hAnsi="宋体" w:hint="eastAsia"/>
          <w:sz w:val="28"/>
        </w:rPr>
        <w:t>。</w:t>
      </w:r>
    </w:p>
    <w:p>
      <w:pPr>
        <w:pStyle w:val="Normal0"/>
        <w:ind w:left="4139" w:firstLine="1" w:leftChars="1971"/>
        <w:rPr>
          <w:rFonts w:ascii="宋体" w:hAnsi="宋体" w:hint="eastAsia"/>
          <w:sz w:val="28"/>
        </w:rPr>
      </w:pPr>
      <w:r>
        <w:rPr>
          <w:rFonts w:ascii="宋体" w:hAnsi="宋体" w:hint="eastAsia"/>
          <w:sz w:val="28"/>
        </w:rPr>
        <w:t xml:space="preserve">     出版单位：上海东方航空公司。</w:t>
      </w:r>
    </w:p>
    <w:p>
      <w:pPr>
        <w:pStyle w:val="Normal0"/>
        <w:ind w:left="4859" w:leftChars="2314"/>
        <w:rPr>
          <w:rFonts w:ascii="宋体" w:hAnsi="宋体" w:hint="eastAsia"/>
          <w:b/>
          <w:sz w:val="28"/>
        </w:rPr>
      </w:pPr>
      <w:r>
        <w:rPr>
          <w:rFonts w:ascii="宋体" w:hAnsi="宋体" w:hint="eastAsia"/>
          <w:sz w:val="28"/>
        </w:rPr>
        <w:t>乘客比例分析：政府官员、企业负责人占26％；商界精英占18％；旅游人士占30％港、澳、台和国外的企业家21％；其他占5％。</w:t>
      </w:r>
    </w:p>
    <w:p>
      <w:pPr>
        <w:pStyle w:val="Normal0"/>
        <w:ind w:left="4139" w:firstLine="720" w:leftChars="1971" w:firstLineChars="257"/>
        <w:rPr>
          <w:rFonts w:ascii="宋体" w:hAnsi="宋体" w:hint="eastAsia"/>
          <w:sz w:val="28"/>
        </w:rPr>
      </w:pPr>
    </w:p>
    <w:p>
      <w:pPr>
        <w:pStyle w:val="Normal0"/>
        <w:ind w:left="4139" w:leftChars="1971"/>
        <w:rPr>
          <w:rFonts w:ascii="楷体_GB2312" w:eastAsia="楷体_GB2312" w:hAnsi="宋体" w:hint="eastAsia"/>
          <w:sz w:val="28"/>
        </w:rPr>
      </w:pPr>
      <w:r>
        <w:rPr>
          <w:rFonts w:ascii="楷体_GB2312" w:eastAsia="楷体_GB2312" w:hAnsi="宋体" w:hint="eastAsia"/>
          <w:sz w:val="28"/>
        </w:rPr>
        <w:t>《上海航空》：</w:t>
      </w:r>
    </w:p>
    <w:p>
      <w:pPr>
        <w:pStyle w:val="Normal0"/>
        <w:ind w:left="4139" w:firstLine="1" w:leftChars="1971"/>
        <w:rPr>
          <w:rFonts w:ascii="宋体" w:hAnsi="宋体"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r>
        <w:rPr>
          <w:rFonts w:ascii="宋体" w:hAnsi="宋体" w:hint="eastAsia"/>
          <w:sz w:val="28"/>
        </w:rPr>
        <w:t xml:space="preserve">     发行量：15万份。</w:t>
      </w:r>
    </w:p>
    <w:p>
      <w:pPr>
        <w:pStyle w:val="Normal0"/>
        <w:ind w:left="4139" w:firstLine="1" w:leftChars="1971"/>
        <w:rPr>
          <w:rFonts w:ascii="宋体" w:hAnsi="宋体" w:hint="eastAsia"/>
          <w:sz w:val="28"/>
        </w:rPr>
      </w:pPr>
      <w:r>
        <w:rPr>
          <w:rFonts w:ascii="宋体" w:hAnsi="宋体" w:hint="eastAsia"/>
          <w:sz w:val="28"/>
        </w:rPr>
        <w:t xml:space="preserve">     发行日期：</w:t>
      </w:r>
      <w:r>
        <w:rPr>
          <w:rFonts w:hint="eastAsia"/>
          <w:sz w:val="28"/>
        </w:rPr>
        <w:t>每月月初第一周出版</w:t>
      </w:r>
      <w:r>
        <w:rPr>
          <w:rFonts w:ascii="宋体" w:hAnsi="宋体" w:hint="eastAsia"/>
          <w:sz w:val="28"/>
        </w:rPr>
        <w:t>。</w:t>
      </w:r>
    </w:p>
    <w:p>
      <w:pPr>
        <w:pStyle w:val="Normal0"/>
        <w:ind w:left="4139" w:firstLine="1" w:leftChars="1971"/>
        <w:rPr>
          <w:rFonts w:ascii="宋体" w:hAnsi="宋体" w:hint="eastAsia"/>
          <w:sz w:val="28"/>
        </w:rPr>
      </w:pPr>
      <w:r>
        <w:rPr>
          <w:rFonts w:ascii="宋体" w:hAnsi="宋体" w:hint="eastAsia"/>
          <w:sz w:val="28"/>
        </w:rPr>
        <w:t xml:space="preserve">     发行途径：</w:t>
      </w:r>
      <w:r>
        <w:rPr>
          <w:rFonts w:hint="eastAsia"/>
          <w:sz w:val="28"/>
        </w:rPr>
        <w:t>在上海航空国际、地区与国内航班上公开发行的航机杂志</w:t>
      </w:r>
      <w:r>
        <w:rPr>
          <w:rFonts w:ascii="宋体" w:hAnsi="宋体" w:hint="eastAsia"/>
          <w:sz w:val="28"/>
        </w:rPr>
        <w:t>。</w:t>
      </w:r>
    </w:p>
    <w:p>
      <w:pPr>
        <w:pStyle w:val="Normal0"/>
        <w:ind w:left="4139" w:firstLine="1" w:leftChars="1971"/>
        <w:rPr>
          <w:rFonts w:ascii="宋体" w:hAnsi="宋体" w:hint="eastAsia"/>
          <w:sz w:val="28"/>
        </w:rPr>
      </w:pPr>
      <w:r>
        <w:rPr>
          <w:rFonts w:ascii="宋体" w:hAnsi="宋体" w:hint="eastAsia"/>
          <w:sz w:val="28"/>
        </w:rPr>
        <w:t xml:space="preserve">     出版单位：上海航空公司。</w:t>
      </w:r>
    </w:p>
    <w:p>
      <w:pPr>
        <w:pStyle w:val="Normal0"/>
        <w:ind w:left="4139" w:firstLine="1" w:leftChars="1971"/>
        <w:rPr>
          <w:rFonts w:ascii="宋体" w:hAnsi="宋体" w:hint="eastAsia"/>
          <w:sz w:val="28"/>
        </w:rPr>
      </w:pPr>
    </w:p>
    <w:p>
      <w:pPr>
        <w:pStyle w:val="Normal0"/>
        <w:ind w:left="4139" w:firstLine="1" w:leftChars="1971"/>
        <w:rPr>
          <w:rFonts w:ascii="宋体" w:hAnsi="宋体" w:hint="eastAsia"/>
          <w:sz w:val="28"/>
        </w:rPr>
      </w:pPr>
    </w:p>
    <w:p>
      <w:pPr>
        <w:pStyle w:val="Normal0"/>
        <w:ind w:left="4139" w:firstLine="1" w:leftChars="1971"/>
        <w:rPr>
          <w:rFonts w:ascii="宋体" w:hAnsi="宋体" w:hint="eastAsia"/>
          <w:sz w:val="28"/>
        </w:rPr>
      </w:pPr>
    </w:p>
    <w:p>
      <w:pPr>
        <w:pStyle w:val="Normal0"/>
        <w:ind w:left="4139" w:leftChars="1971"/>
        <w:rPr>
          <w:rFonts w:ascii="楷体_GB2312" w:eastAsia="楷体_GB2312" w:hAnsi="宋体" w:hint="eastAsia"/>
          <w:sz w:val="28"/>
        </w:rPr>
      </w:pPr>
      <w:r>
        <w:rPr>
          <w:rFonts w:ascii="楷体_GB2312" w:eastAsia="楷体_GB2312" w:hAnsi="宋体" w:hint="eastAsia"/>
          <w:sz w:val="28"/>
        </w:rPr>
        <w:t>《南方航空》：</w:t>
      </w:r>
    </w:p>
    <w:p>
      <w:pPr>
        <w:pStyle w:val="Normal0"/>
        <w:ind w:left="4139" w:firstLine="1" w:leftChars="1971"/>
        <w:rPr>
          <w:rFonts w:ascii="宋体" w:hAnsi="宋体" w:hint="eastAsia"/>
          <w:sz w:val="28"/>
        </w:rPr>
      </w:pPr>
      <w:r>
        <w:rPr>
          <w:rFonts w:ascii="宋体" w:hAnsi="宋体" w:hint="eastAsia"/>
          <w:sz w:val="28"/>
        </w:rPr>
        <w:t xml:space="preserve">     发行量：14万份。            </w:t>
      </w:r>
      <w:r>
        <w:rPr>
          <w:rFonts w:ascii="宋体" w:hAnsi="宋体" w:hint="eastAsia"/>
          <w:bCs/>
          <w:sz w:val="28"/>
        </w:rPr>
        <w:t xml:space="preserve">出版： 每月一期。    </w:t>
      </w:r>
      <w:r>
        <w:rPr>
          <w:rFonts w:ascii="宋体" w:hAnsi="宋体" w:hint="eastAsia"/>
          <w:sz w:val="28"/>
        </w:rPr>
        <w:t xml:space="preserve">     发行日期：每月第一周出版。</w:t>
      </w:r>
    </w:p>
    <w:p>
      <w:pPr>
        <w:pStyle w:val="Normal0"/>
        <w:ind w:left="4139" w:firstLine="720" w:leftChars="1971" w:firstLineChars="257"/>
        <w:rPr>
          <w:rFonts w:ascii="宋体" w:hAnsi="宋体" w:hint="eastAsia"/>
          <w:sz w:val="28"/>
        </w:rPr>
      </w:pPr>
      <w:r>
        <w:rPr>
          <w:rFonts w:ascii="宋体" w:hAnsi="宋体" w:hint="eastAsia"/>
          <w:sz w:val="28"/>
        </w:rPr>
        <w:t>发行途径：该公司各主要航线航班及主要成员单位，如旅行社，金融单位，高级商业区与高级住宅区等。</w:t>
      </w:r>
    </w:p>
    <w:p>
      <w:pPr>
        <w:pStyle w:val="Normal0"/>
        <w:ind w:left="4859" w:leftChars="2314"/>
        <w:rPr>
          <w:rFonts w:ascii="宋体" w:hAnsi="宋体" w:hint="eastAsia"/>
          <w:sz w:val="28"/>
        </w:rPr>
      </w:pPr>
      <w:r>
        <w:rPr>
          <w:rFonts w:ascii="宋体" w:hAnsi="宋体" w:hint="eastAsia"/>
          <w:sz w:val="28"/>
        </w:rPr>
        <w:t>出版单位：中国南方航空集团公司。</w:t>
      </w:r>
    </w:p>
    <w:p>
      <w:pPr>
        <w:pStyle w:val="Normal0"/>
        <w:ind w:left="4859" w:leftChars="2314"/>
        <w:rPr>
          <w:rFonts w:ascii="宋体" w:hAnsi="宋体" w:hint="eastAsia"/>
          <w:bCs/>
          <w:sz w:val="28"/>
        </w:rPr>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pPr>
      <w:r>
        <w:rPr>
          <w:rFonts w:ascii="宋体" w:hAnsi="宋体" w:hint="eastAsia"/>
          <w:bCs/>
          <w:sz w:val="28"/>
        </w:rPr>
        <w:t>旅客来源：大陆93%; 国外4%;港澳2%;台湾1%;</w:t>
      </w:r>
    </w:p>
    <w:p>
      <w:pPr>
        <w:pStyle w:val="Normal0"/>
        <w:ind w:left="4859" w:leftChars="2314"/>
        <w:rPr>
          <w:rFonts w:ascii="宋体" w:hAnsi="宋体" w:hint="eastAsia"/>
          <w:bCs/>
          <w:sz w:val="28"/>
        </w:rPr>
      </w:pPr>
      <w:r>
        <w:rPr>
          <w:rFonts w:ascii="宋体" w:hAnsi="宋体" w:hint="eastAsia"/>
          <w:bCs/>
          <w:sz w:val="28"/>
        </w:rPr>
        <w:t>行    业：企业66.6%；科研机构2%； 教育界3.8%；军队2%；政府机构 10.6%； 其他15%。</w:t>
      </w:r>
    </w:p>
    <w:p>
      <w:pPr>
        <w:pStyle w:val="Normal0"/>
        <w:ind w:left="4859" w:leftChars="2314"/>
        <w:rPr>
          <w:rFonts w:ascii="宋体" w:hAnsi="宋体" w:hint="eastAsia"/>
          <w:bCs/>
          <w:sz w:val="28"/>
        </w:rPr>
      </w:pPr>
      <w:r>
        <w:rPr>
          <w:rFonts w:ascii="宋体" w:hAnsi="宋体" w:hint="eastAsia"/>
          <w:bCs/>
          <w:sz w:val="28"/>
        </w:rPr>
        <w:t>职    位：经理23%； 董事12%；行政及技术人员 40%；公务员 11%；其他 14%。</w:t>
      </w:r>
    </w:p>
    <w:p>
      <w:pPr>
        <w:pStyle w:val="Normal0"/>
        <w:ind w:left="4859" w:leftChars="2314"/>
        <w:rPr>
          <w:rFonts w:ascii="宋体" w:hAnsi="宋体" w:hint="eastAsia"/>
          <w:bCs/>
          <w:sz w:val="28"/>
        </w:rPr>
      </w:pPr>
      <w:r>
        <w:rPr>
          <w:rFonts w:ascii="宋体" w:hAnsi="宋体" w:hint="eastAsia"/>
          <w:bCs/>
          <w:sz w:val="28"/>
        </w:rPr>
        <w:t>乘机目的：商务公干 70% ；旅游15%；探亲8%；其他 7%。</w:t>
      </w:r>
    </w:p>
    <w:p>
      <w:pPr>
        <w:pStyle w:val="Normal0"/>
        <w:ind w:left="4859" w:leftChars="2314"/>
        <w:rPr>
          <w:rFonts w:ascii="宋体" w:hAnsi="宋体" w:hint="eastAsia"/>
          <w:sz w:val="28"/>
        </w:rPr>
      </w:pPr>
      <w:r>
        <w:rPr>
          <w:rFonts w:ascii="宋体" w:hAnsi="宋体" w:hint="eastAsia"/>
          <w:bCs/>
          <w:sz w:val="28"/>
        </w:rPr>
        <w:t>乘客数量：平均每月1，250，000人次。</w:t>
      </w:r>
    </w:p>
    <w:p>
      <w:pPr>
        <w:pStyle w:val="Normal0"/>
        <w:ind w:left="4139" w:firstLine="1" w:leftChars="1971"/>
        <w:rPr>
          <w:rFonts w:ascii="楷体_GB2312" w:eastAsia="楷体_GB2312" w:hAnsi="宋体" w:hint="eastAsia"/>
          <w:sz w:val="28"/>
        </w:rPr>
      </w:pPr>
      <w:r>
        <w:rPr>
          <w:rFonts w:ascii="楷体_GB2312" w:eastAsia="楷体_GB2312" w:hAnsi="宋体" w:hint="eastAsia"/>
          <w:sz w:val="28"/>
        </w:rPr>
        <w:t>《中国之翼》：</w:t>
      </w:r>
    </w:p>
    <w:p>
      <w:pPr>
        <w:pStyle w:val="Normal0"/>
        <w:ind w:left="4679" w:leftChars="2228"/>
        <w:rPr>
          <w:rFonts w:ascii="宋体" w:hAnsi="宋体" w:hint="eastAsia"/>
          <w:bCs/>
          <w:sz w:val="28"/>
        </w:rPr>
      </w:pPr>
      <w:r>
        <w:rPr>
          <w:rFonts w:ascii="宋体" w:hAnsi="宋体" w:hint="eastAsia"/>
          <w:bCs/>
          <w:sz w:val="28"/>
        </w:rPr>
        <w:t>中国国际航空公司概要：</w:t>
      </w:r>
      <w:r>
        <w:rPr>
          <w:rFonts w:ascii="宋体" w:hAnsi="宋体" w:hint="eastAsia"/>
          <w:bCs/>
          <w:sz w:val="28"/>
          <w:szCs w:val="20"/>
        </w:rPr>
        <w:t>拥有波音747、777、767、空客A340等重型机42架。经营航线322条，其中国内航线266条，国际航线56条。2002年总载客量达1817.4万人次。</w:t>
      </w:r>
    </w:p>
    <w:p>
      <w:pPr>
        <w:pStyle w:val="Normal0"/>
        <w:ind w:left="4139" w:firstLine="560" w:leftChars="1971" w:firstLineChars="200"/>
        <w:rPr>
          <w:rFonts w:ascii="宋体" w:hAnsi="宋体" w:hint="eastAsia"/>
          <w:sz w:val="28"/>
        </w:rPr>
      </w:pPr>
      <w:r>
        <w:rPr>
          <w:rFonts w:ascii="宋体" w:hAnsi="宋体" w:hint="eastAsia"/>
          <w:sz w:val="28"/>
        </w:rPr>
        <w:t>发行量：22万份。                        发行日期：每月月初。</w:t>
      </w:r>
    </w:p>
    <w:p>
      <w:pPr>
        <w:pStyle w:val="Normal0"/>
        <w:ind w:left="4139" w:firstLine="560" w:leftChars="1971" w:firstLineChars="200"/>
        <w:rPr>
          <w:rFonts w:ascii="宋体" w:hAnsi="宋体" w:hint="eastAsia"/>
          <w:sz w:val="28"/>
        </w:rPr>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pPr>
      <w:r>
        <w:rPr>
          <w:rFonts w:ascii="宋体" w:hAnsi="宋体" w:hint="eastAsia"/>
          <w:sz w:val="28"/>
        </w:rPr>
        <w:t>发行途径：该公司各航线航班。</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w:t>
      </w:r>
      <w:r>
        <w:rPr>
          <w:rFonts w:ascii="宋体" w:hAnsi="宋体" w:hint="eastAsia"/>
          <w:sz w:val="28"/>
        </w:rPr>
        <w:t xml:space="preserve"> </w:t>
      </w:r>
    </w:p>
    <w:p>
      <w:pPr>
        <w:pStyle w:val="Normal0"/>
        <w:ind w:left="4139" w:firstLine="560" w:leftChars="1971" w:firstLineChars="200"/>
        <w:rPr>
          <w:rFonts w:ascii="宋体" w:hAnsi="宋体" w:hint="eastAsia"/>
          <w:sz w:val="28"/>
        </w:rPr>
      </w:pPr>
      <w:r>
        <w:rPr>
          <w:rFonts w:ascii="宋体" w:hAnsi="宋体" w:hint="eastAsia"/>
          <w:sz w:val="28"/>
        </w:rPr>
        <w:t xml:space="preserve"> 出版单位：中国国际航空公司。</w:t>
      </w:r>
    </w:p>
    <w:p>
      <w:pPr>
        <w:pStyle w:val="Normal0"/>
        <w:ind w:left="4139" w:leftChars="1971"/>
        <w:rPr>
          <w:rFonts w:ascii="宋体" w:hAnsi="宋体" w:hint="eastAsia"/>
          <w:sz w:val="28"/>
        </w:rPr>
      </w:pPr>
    </w:p>
    <w:p>
      <w:pPr>
        <w:pStyle w:val="Normal0"/>
        <w:ind w:left="4139" w:leftChars="1971"/>
        <w:rPr>
          <w:rFonts w:ascii="宋体" w:hAnsi="宋体" w:hint="eastAsia"/>
          <w:sz w:val="28"/>
        </w:rPr>
      </w:pPr>
    </w:p>
    <w:p>
      <w:pPr>
        <w:pStyle w:val="Normal0"/>
        <w:rPr>
          <w:rFonts w:hint="eastAsia"/>
          <w:sz w:val="28"/>
        </w:rPr>
      </w:pPr>
      <w:r>
        <w:rPr>
          <w:rFonts w:ascii="黑体" w:eastAsia="黑体" w:hint="eastAsia"/>
          <w:b/>
          <w:bCs/>
          <w:sz w:val="44"/>
        </w:rPr>
        <w:t xml:space="preserve">2．5 </w:t>
      </w:r>
      <w:r>
        <w:rPr>
          <w:rFonts w:eastAsia="黑体" w:hint="eastAsia"/>
          <w:sz w:val="44"/>
        </w:rPr>
        <w:t>行销推广策略</w:t>
      </w:r>
    </w:p>
    <w:p>
      <w:pPr>
        <w:pStyle w:val="Heading3"/>
        <w:rPr>
          <w:rFonts w:hint="eastAsia"/>
        </w:rPr>
      </w:pPr>
      <w:r>
        <w:rPr>
          <w:rFonts w:ascii="黑体" w:hint="eastAsia"/>
          <w:b w:val="0"/>
          <w:bCs/>
          <w:sz w:val="36"/>
        </w:rPr>
        <w:t>2.5.1策略阐述</w:t>
      </w:r>
    </w:p>
    <w:p>
      <w:pPr>
        <w:pStyle w:val="Normal0"/>
        <w:ind w:firstLine="560" w:firstLineChars="200"/>
        <w:rPr>
          <w:rFonts w:hint="eastAsia"/>
          <w:color w:val="333333"/>
          <w:sz w:val="28"/>
        </w:rPr>
      </w:pPr>
      <w:r>
        <w:rPr>
          <w:rFonts w:hint="eastAsia"/>
          <w:color w:val="333333"/>
          <w:sz w:val="28"/>
        </w:rPr>
        <w:t>以整体大连写字楼市场看，总体供应量不断放大，而需求的增长相对狭小。空置率依旧在较高的位置。销售虽然在增加，但总体供需对比，依然呈现负增长的趋势。同时，由于写字楼产品  积压严重，导致市场租金水平回落，投资的预期回报不确定因素，导致投资更趋理性。</w:t>
      </w:r>
      <w:r>
        <w:rPr>
          <w:rFonts w:hint="eastAsia"/>
          <w:b/>
          <w:bCs/>
          <w:color w:val="333333"/>
          <w:sz w:val="28"/>
        </w:rPr>
        <w:t>特别是单价万元以上的高档写字楼的市场需求相当有限，去化速度较慢。</w:t>
      </w:r>
    </w:p>
    <w:p>
      <w:pPr>
        <w:pStyle w:val="Normal0"/>
        <w:ind w:firstLine="560" w:firstLineChars="200"/>
        <w:rPr>
          <w:rFonts w:hint="eastAsia"/>
          <w:sz w:val="28"/>
        </w:rPr>
      </w:pPr>
      <w:r>
        <w:rPr>
          <w:rFonts w:hint="eastAsia"/>
          <w:sz w:val="28"/>
        </w:rPr>
        <w:t>由于考虑到本案的特殊性与客源定位，以塑造稳健，高雅，尊贵的形象。公关活动低调高雅的姿态面市，借助本案特有的亮点——楼体灯光工程，在选择媒体推广与租售现场的手法独树一帜，吸引境内外一些有影响力的企业入驻，客户组织一定程度（满20组以上）组织一次集中签约活动，以扩大本案影响力与高贵的</w:t>
      </w:r>
      <w:r>
        <w:rPr>
          <w:rFonts w:hint="eastAsia"/>
          <w:sz w:val="28"/>
          <w:lang w:eastAsia="zh-CN"/>
        </w:rPr>
        <w:t>相关项目</w:t>
      </w:r>
      <w:r>
        <w:rPr>
          <w:rFonts w:hint="eastAsia"/>
          <w:sz w:val="28"/>
        </w:rPr>
        <w:t>形象。</w:t>
      </w:r>
      <w:r>
        <w:rPr>
          <w:rFonts w:hint="eastAsia"/>
          <w:color w:val="000000"/>
          <w:sz w:val="28"/>
        </w:rPr>
        <w:t>由此，将本案塑造成一个尊贵的，大气磅礴的品牌形象</w:t>
      </w:r>
      <w:r>
        <w:rPr>
          <w:rFonts w:hint="eastAsia"/>
          <w:sz w:val="28"/>
        </w:rPr>
        <w:t>。</w:t>
      </w:r>
    </w:p>
    <w:p>
      <w:pPr>
        <w:pStyle w:val="Normal0"/>
        <w:ind w:left="227" w:firstLine="560" w:leftChars="108" w:firstLineChars="200"/>
        <w:rPr>
          <w:rFonts w:eastAsia="黑体" w:hint="eastAsia"/>
          <w:color w:val="333333"/>
          <w:sz w:val="28"/>
        </w:rPr>
      </w:pPr>
      <w:r>
        <w:rPr>
          <w:rFonts w:eastAsia="黑体" w:hint="eastAsia"/>
          <w:color w:val="333333"/>
          <w:sz w:val="28"/>
        </w:rPr>
        <w:t>综合产品的客观实际情况，在本案的实际去化中将大致会出现以下几方面的情况。应通过不同的策略予以规避与转化：</w:t>
      </w:r>
    </w:p>
    <w:p>
      <w:pPr>
        <w:pStyle w:val="Normal0"/>
        <w:numPr>
          <w:ilvl w:val="1"/>
          <w:numId w:val="4"/>
        </w:numPr>
        <w:rPr>
          <w:rFonts w:hint="eastAsia"/>
          <w:color w:val="333333"/>
          <w:sz w:val="28"/>
        </w:rPr>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pPr>
      <w:r>
        <w:rPr>
          <w:rFonts w:hint="eastAsia"/>
          <w:b/>
          <w:bCs/>
          <w:color w:val="333333"/>
          <w:sz w:val="28"/>
        </w:rPr>
        <w:t>缺乏成市效应，客户对本</w:t>
      </w:r>
      <w:r>
        <w:rPr>
          <w:rFonts w:hint="eastAsia"/>
          <w:b/>
          <w:bCs/>
          <w:color w:val="333333"/>
          <w:sz w:val="28"/>
          <w:lang w:eastAsia="zh-CN"/>
        </w:rPr>
        <w:t>相关项目</w:t>
      </w:r>
    </w:p>
    <w:p>
      <w:pPr>
        <w:pStyle w:val="Normal0"/>
        <w:numPr>
          <w:ilvl w:val="0"/>
          <w:numId w:val="0"/>
        </w:numPr>
        <w:ind w:left="1327"/>
        <w:rPr>
          <w:rFonts w:hint="eastAsia"/>
          <w:color w:val="333333"/>
          <w:sz w:val="28"/>
        </w:rPr>
      </w:pPr>
      <w:r>
        <w:rPr>
          <w:rFonts w:hint="eastAsia"/>
          <w:b/>
          <w:bCs/>
          <w:color w:val="333333"/>
          <w:sz w:val="28"/>
        </w:rPr>
        <w:t>“建设周期”和“物业剩余年限”影响所带来的销售抗性，难以形成踊跃的销售气氛</w:t>
      </w:r>
      <w:r>
        <w:rPr>
          <w:rFonts w:hint="eastAsia"/>
          <w:color w:val="333333"/>
          <w:sz w:val="28"/>
        </w:rPr>
        <w:t>。</w:t>
      </w:r>
      <w:r>
        <w:rPr>
          <w:color w:val="333333"/>
          <w:sz w:val="28"/>
        </w:rPr>
        <w:br/>
      </w:r>
      <w:r>
        <w:rPr>
          <w:rFonts w:hint="eastAsia"/>
          <w:b/>
          <w:bCs/>
          <w:color w:val="333333"/>
          <w:sz w:val="28"/>
        </w:rPr>
        <w:t>策略</w:t>
      </w:r>
      <w:r>
        <w:rPr>
          <w:rFonts w:hint="eastAsia"/>
          <w:color w:val="333333"/>
          <w:sz w:val="28"/>
        </w:rPr>
        <w:t>：1、通过对各</w:t>
      </w:r>
      <w:r>
        <w:rPr>
          <w:rFonts w:hint="eastAsia"/>
          <w:color w:val="333333"/>
          <w:sz w:val="28"/>
          <w:lang w:eastAsia="zh-CN"/>
        </w:rPr>
        <w:t>相关项目</w:t>
      </w:r>
      <w:r>
        <w:rPr>
          <w:rFonts w:hint="eastAsia"/>
          <w:color w:val="333333"/>
          <w:sz w:val="28"/>
        </w:rPr>
        <w:t>区域远景诉求，引导他们对区域板块有新的认识，诱导他们对板块前景价值有充分的认可。</w:t>
      </w:r>
      <w:r>
        <w:rPr>
          <w:color w:val="333333"/>
          <w:sz w:val="28"/>
        </w:rPr>
        <w:br/>
      </w:r>
      <w:r>
        <w:rPr>
          <w:rFonts w:hint="eastAsia"/>
          <w:color w:val="333333"/>
          <w:sz w:val="28"/>
        </w:rPr>
        <w:t xml:space="preserve">      2、对本</w:t>
      </w:r>
      <w:r>
        <w:rPr>
          <w:rFonts w:hint="eastAsia"/>
          <w:color w:val="333333"/>
          <w:sz w:val="28"/>
          <w:lang w:eastAsia="zh-CN"/>
        </w:rPr>
        <w:t>相关项目</w:t>
      </w:r>
      <w:r>
        <w:rPr>
          <w:rFonts w:hint="eastAsia"/>
          <w:color w:val="333333"/>
          <w:sz w:val="28"/>
        </w:rPr>
        <w:t>软硬件设施充分展示，</w:t>
      </w:r>
      <w:r>
        <w:rPr>
          <w:rFonts w:ascii="宋体" w:hAnsi="宋体" w:hint="eastAsia"/>
          <w:color w:val="333333"/>
          <w:sz w:val="28"/>
        </w:rPr>
        <w:t>强化“全球化商务平台”概念。</w:t>
      </w:r>
    </w:p>
    <w:p>
      <w:pPr>
        <w:pStyle w:val="Normal0"/>
        <w:numPr>
          <w:ilvl w:val="1"/>
          <w:numId w:val="4"/>
        </w:numPr>
        <w:rPr>
          <w:rFonts w:hint="eastAsia"/>
          <w:color w:val="333333"/>
          <w:sz w:val="28"/>
        </w:rPr>
      </w:pPr>
      <w:r>
        <w:rPr>
          <w:rFonts w:hint="eastAsia"/>
          <w:b/>
          <w:bCs/>
          <w:color w:val="333333"/>
          <w:sz w:val="28"/>
        </w:rPr>
        <w:t>缺乏有力价格支撑，每平方万元以上的价格难以获得市场真正认可，将造成 “有价无市”的尴尬局面。</w:t>
      </w:r>
      <w:r>
        <w:rPr>
          <w:color w:val="333333"/>
          <w:sz w:val="28"/>
        </w:rPr>
        <w:br/>
      </w:r>
      <w:r>
        <w:rPr>
          <w:rFonts w:hint="eastAsia"/>
          <w:b/>
          <w:bCs/>
          <w:color w:val="333333"/>
          <w:sz w:val="28"/>
        </w:rPr>
        <w:t>策略</w:t>
      </w:r>
      <w:r>
        <w:rPr>
          <w:rFonts w:hint="eastAsia"/>
          <w:color w:val="333333"/>
          <w:sz w:val="28"/>
        </w:rPr>
        <w:t>：通过二种方法予以转化。其一，进一步强化产品品质，营造高档次写字楼应有的品质氛围，对产品的诸项卖点深入挖掘，真正以国际化的商务标准确立产品优势。其二，是通过对区域商贸圈的前景描述，引发客户对本案在未来区域商贸圈“龙头”位置的认可，从而对投资本案“保值”“增值”趋势明朗化。</w:t>
      </w:r>
      <w:r>
        <w:rPr>
          <w:color w:val="333333"/>
          <w:sz w:val="28"/>
        </w:rPr>
        <w:br/>
      </w:r>
    </w:p>
    <w:p>
      <w:pPr>
        <w:pStyle w:val="Normal0"/>
        <w:numPr>
          <w:ilvl w:val="1"/>
          <w:numId w:val="4"/>
        </w:numPr>
        <w:rPr>
          <w:rFonts w:eastAsia="黑体" w:hint="eastAsia"/>
          <w:sz w:val="32"/>
        </w:rPr>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pPr>
      <w:r>
        <w:rPr>
          <w:rFonts w:hint="eastAsia"/>
          <w:b/>
          <w:bCs/>
          <w:color w:val="333333"/>
          <w:sz w:val="28"/>
        </w:rPr>
        <w:t>过高的单价／总价使目标客群（特别是投资客）非常有限，销售难度增大，销售周期增长，不利于</w:t>
      </w:r>
      <w:r>
        <w:rPr>
          <w:rFonts w:hint="eastAsia"/>
          <w:b/>
          <w:bCs/>
          <w:color w:val="333333"/>
          <w:sz w:val="28"/>
          <w:lang w:eastAsia="zh-CN"/>
        </w:rPr>
        <w:t>相关项目</w:t>
      </w:r>
      <w:r>
        <w:rPr>
          <w:rFonts w:hint="eastAsia"/>
          <w:b/>
          <w:bCs/>
          <w:color w:val="333333"/>
          <w:sz w:val="28"/>
        </w:rPr>
        <w:t>资金的快速回笼。</w:t>
      </w:r>
      <w:r>
        <w:rPr>
          <w:b/>
          <w:bCs/>
          <w:color w:val="333333"/>
          <w:sz w:val="28"/>
        </w:rPr>
        <w:br/>
      </w:r>
      <w:r>
        <w:rPr>
          <w:rFonts w:hint="eastAsia"/>
          <w:b/>
          <w:bCs/>
          <w:color w:val="333333"/>
          <w:sz w:val="28"/>
        </w:rPr>
        <w:t>策略</w:t>
      </w:r>
    </w:p>
    <w:p>
      <w:pPr>
        <w:pStyle w:val="Normal0"/>
        <w:numPr>
          <w:ilvl w:val="0"/>
          <w:numId w:val="0"/>
        </w:numPr>
        <w:ind w:left="1327"/>
        <w:rPr>
          <w:rFonts w:eastAsia="黑体" w:hint="eastAsia"/>
          <w:sz w:val="32"/>
        </w:rPr>
      </w:pPr>
      <w:r>
        <w:rPr>
          <w:rFonts w:hint="eastAsia"/>
          <w:color w:val="333333"/>
          <w:sz w:val="28"/>
        </w:rPr>
        <w:t>：通过对本案单元产权面积的分割控制，降低单元总价，吸引更多的客群关注本案。同时注意现场销控的执行，使销售面积弹性空间较大，可大可小，适合不同投资客群的不同需求，增大客户层，从而缩短销售周期，加快资金回笼。</w:t>
      </w:r>
    </w:p>
    <w:p>
      <w:pPr>
        <w:pStyle w:val="Normal0"/>
        <w:ind w:firstLine="640" w:firstLineChars="200"/>
        <w:rPr>
          <w:rFonts w:eastAsia="黑体" w:hint="eastAsia"/>
          <w:sz w:val="32"/>
        </w:rPr>
      </w:pPr>
    </w:p>
    <w:p>
      <w:pPr>
        <w:pStyle w:val="Normal0"/>
        <w:ind w:firstLine="640" w:firstLineChars="200"/>
        <w:rPr>
          <w:rFonts w:eastAsia="黑体" w:hint="eastAsia"/>
          <w:sz w:val="32"/>
        </w:rPr>
      </w:pPr>
    </w:p>
    <w:p>
      <w:pPr>
        <w:pStyle w:val="Normal0"/>
        <w:ind w:firstLine="640" w:firstLineChars="200"/>
        <w:rPr>
          <w:rFonts w:eastAsia="黑体" w:hint="eastAsia"/>
          <w:color w:val="FF0000"/>
          <w:sz w:val="32"/>
        </w:rPr>
      </w:pPr>
      <w:r>
        <w:rPr>
          <w:rFonts w:eastAsia="黑体" w:hint="eastAsia"/>
          <w:sz w:val="32"/>
        </w:rPr>
        <w:t>销售现场：</w:t>
      </w:r>
      <w:r>
        <w:rPr>
          <w:rFonts w:eastAsia="黑体" w:hint="eastAsia"/>
          <w:shadow/>
          <w:color w:val="333333"/>
          <w:sz w:val="32"/>
        </w:rPr>
        <w:t>强化</w:t>
      </w:r>
      <w:r>
        <w:rPr>
          <w:rFonts w:ascii="宋体" w:eastAsia="黑体" w:hAnsi="宋体" w:hint="eastAsia"/>
          <w:shadow/>
          <w:color w:val="333333"/>
          <w:sz w:val="32"/>
        </w:rPr>
        <w:t>售楼处形象包装。</w:t>
      </w:r>
      <w:r>
        <w:rPr>
          <w:rFonts w:ascii="宋体" w:eastAsia="黑体" w:hAnsi="宋体" w:hint="eastAsia"/>
          <w:color w:val="333333"/>
          <w:sz w:val="28"/>
        </w:rPr>
        <w:t>[</w:t>
      </w:r>
      <w:r>
        <w:rPr>
          <w:rFonts w:ascii="宋体" w:hAnsi="宋体" w:hint="eastAsia"/>
          <w:color w:val="333333"/>
          <w:sz w:val="28"/>
        </w:rPr>
        <w:t>详见售楼现场包装</w:t>
      </w:r>
      <w:r>
        <w:rPr>
          <w:rFonts w:ascii="宋体" w:hAnsi="宋体" w:hint="eastAsia"/>
          <w:color w:val="333333"/>
          <w:sz w:val="28"/>
          <w:lang w:eastAsia="zh-CN"/>
        </w:rPr>
        <w:t>合适的方案</w:t>
      </w:r>
      <w:r>
        <w:rPr>
          <w:rFonts w:ascii="宋体" w:hAnsi="宋体" w:hint="eastAsia"/>
          <w:color w:val="333333"/>
          <w:sz w:val="28"/>
        </w:rPr>
        <w:t>部分</w:t>
      </w:r>
      <w:r>
        <w:rPr>
          <w:rFonts w:ascii="宋体" w:eastAsia="黑体" w:hAnsi="宋体" w:hint="eastAsia"/>
          <w:color w:val="333333"/>
          <w:sz w:val="28"/>
        </w:rPr>
        <w:t>]</w:t>
      </w:r>
    </w:p>
    <w:p>
      <w:pPr>
        <w:pStyle w:val="Normal0"/>
        <w:ind w:left="2161" w:hanging="1600" w:leftChars="267" w:hangingChars="500"/>
        <w:rPr>
          <w:rFonts w:hint="eastAsia"/>
          <w:sz w:val="28"/>
        </w:rPr>
      </w:pPr>
      <w:r>
        <w:rPr>
          <w:rFonts w:eastAsia="黑体" w:hint="eastAsia"/>
          <w:sz w:val="32"/>
        </w:rPr>
        <w:t>活动营销</w:t>
      </w:r>
      <w:r>
        <w:rPr>
          <w:rFonts w:hint="eastAsia"/>
          <w:sz w:val="28"/>
        </w:rPr>
        <w:t>：高级社交酒会或首批客户签约仪式（如客户积累满20组以上即可举办一次集中签约仪式，营造销售的气氛）的形式开展，邀请行业有针对有影响的人物（目标客户为主）参加。</w:t>
      </w:r>
    </w:p>
    <w:p>
      <w:pPr>
        <w:pStyle w:val="Normal0"/>
        <w:ind w:left="2178" w:hanging="1600" w:leftChars="275" w:hangingChars="500"/>
        <w:rPr>
          <w:rFonts w:hint="eastAsia"/>
          <w:sz w:val="28"/>
        </w:rPr>
      </w:pPr>
      <w:r>
        <w:rPr>
          <w:rFonts w:ascii="黑体" w:eastAsia="黑体" w:hint="eastAsia"/>
          <w:sz w:val="32"/>
        </w:rPr>
        <w:t>POP点对点直销</w:t>
      </w:r>
      <w:r>
        <w:rPr>
          <w:rFonts w:hint="eastAsia"/>
          <w:sz w:val="28"/>
        </w:rPr>
        <w:t>：通过本公司详细调研获知，国内有影响力的企业（国内500强企业）对华北的扩张所需，正在寻觅合适的办公场所。本案采用POP点对点发函（函包括楼书，大厦基本平面及指标等资料）的方式告之，跟踪，培育。</w:t>
      </w: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Normal0"/>
        <w:spacing w:line="240" w:lineRule="exact"/>
        <w:ind w:left="4340" w:hanging="560" w:leftChars="1800" w:hangingChars="200"/>
        <w:rPr>
          <w:rFonts w:hint="eastAsia"/>
          <w:sz w:val="28"/>
        </w:rPr>
      </w:pPr>
    </w:p>
    <w:p>
      <w:pPr>
        <w:pStyle w:val="Heading3"/>
        <w:rPr>
          <w:rFonts w:hint="eastAsia"/>
          <w:b w:val="0"/>
          <w:bCs/>
          <w:sz w:val="36"/>
        </w:rPr>
      </w:pPr>
      <w:r>
        <w:rPr>
          <w:rFonts w:ascii="黑体" w:hint="eastAsia"/>
          <w:b w:val="0"/>
          <w:bCs/>
          <w:sz w:val="36"/>
        </w:rPr>
        <w:t>2.5.2</w:t>
      </w:r>
      <w:r>
        <w:rPr>
          <w:rFonts w:hint="eastAsia"/>
          <w:b w:val="0"/>
          <w:bCs/>
          <w:sz w:val="36"/>
        </w:rPr>
        <w:t>推广阶段划分</w:t>
      </w:r>
    </w:p>
    <w:p>
      <w:pPr>
        <w:pStyle w:val="Normal0"/>
        <w:tabs>
          <w:tab w:val="left" w:pos="1440"/>
        </w:tabs>
        <w:spacing w:line="240" w:lineRule="atLeast"/>
        <w:ind w:firstLine="510"/>
        <w:rPr>
          <w:rFonts w:ascii="宋体" w:hAnsi="宋体" w:hint="eastAsia"/>
          <w:color w:val="0000FF"/>
          <w:spacing w:val="-2"/>
          <w:sz w:val="24"/>
        </w:rPr>
      </w:pPr>
    </w:p>
    <w:p>
      <w:pPr>
        <w:pStyle w:val="Normal0"/>
        <w:tabs>
          <w:tab w:val="left" w:pos="1440"/>
        </w:tabs>
        <w:rPr>
          <w:rFonts w:ascii="宋体" w:hAnsi="宋体" w:hint="eastAsia"/>
          <w:spacing w:val="-2"/>
          <w:sz w:val="28"/>
        </w:rPr>
      </w:pPr>
      <w:r>
        <w:rPr>
          <w:rFonts w:ascii="宋体" w:hAnsi="宋体" w:hint="eastAsia"/>
          <w:spacing w:val="-2"/>
          <w:sz w:val="28"/>
        </w:rPr>
        <w:t>分二个阶段进行推广，即：</w:t>
      </w:r>
    </w:p>
    <w:p>
      <w:pPr>
        <w:pStyle w:val="Normal0"/>
        <w:tabs>
          <w:tab w:val="left" w:pos="1440"/>
        </w:tabs>
        <w:rPr>
          <w:rFonts w:ascii="宋体" w:hAnsi="宋体" w:hint="eastAsia"/>
          <w:spacing w:val="-2"/>
          <w:sz w:val="28"/>
        </w:rPr>
      </w:pPr>
      <w:r>
        <w:rPr>
          <w:rFonts w:ascii="宋体" w:hAnsi="宋体" w:hint="eastAsia"/>
          <w:spacing w:val="-2"/>
          <w:sz w:val="28"/>
        </w:rPr>
        <w:t>◇第一阶段：人气聚集，租赁为先，租售并举；</w:t>
      </w:r>
    </w:p>
    <w:p>
      <w:pPr>
        <w:pStyle w:val="Normal0"/>
        <w:numPr>
          <w:ilvl w:val="0"/>
          <w:numId w:val="5"/>
        </w:numPr>
        <w:tabs>
          <w:tab w:val="left" w:pos="1440"/>
        </w:tabs>
        <w:rPr>
          <w:rFonts w:ascii="宋体" w:hAnsi="宋体" w:hint="eastAsia"/>
          <w:spacing w:val="-2"/>
          <w:sz w:val="28"/>
        </w:rPr>
      </w:pPr>
      <w:r>
        <w:rPr>
          <w:rFonts w:ascii="宋体" w:hAnsi="宋体" w:hint="eastAsia"/>
          <w:spacing w:val="-2"/>
          <w:sz w:val="28"/>
        </w:rPr>
        <w:t>第二阶段：财富聚集，销售为主，带租约销售；</w:t>
      </w:r>
    </w:p>
    <w:p>
      <w:pPr>
        <w:pStyle w:val="Normal0"/>
        <w:tabs>
          <w:tab w:val="left" w:pos="1440"/>
        </w:tabs>
        <w:rPr>
          <w:rFonts w:ascii="宋体" w:hAnsi="宋体" w:hint="eastAsia"/>
          <w:spacing w:val="-2"/>
          <w:sz w:val="28"/>
        </w:rPr>
      </w:pPr>
    </w:p>
    <w:p>
      <w:pPr>
        <w:pStyle w:val="Normal0"/>
        <w:tabs>
          <w:tab w:val="left" w:pos="1440"/>
        </w:tabs>
        <w:rPr>
          <w:rFonts w:ascii="宋体" w:hAnsi="宋体" w:hint="eastAsia"/>
          <w:spacing w:val="-2"/>
          <w:sz w:val="28"/>
        </w:rPr>
      </w:pPr>
      <w:r>
        <w:rPr>
          <w:rFonts w:ascii="黑体" w:eastAsia="黑体" w:hAnsi="宋体" w:hint="eastAsia"/>
          <w:spacing w:val="-2"/>
          <w:sz w:val="32"/>
        </w:rPr>
        <w:t>1）第一阶段：人气聚集，租赁为先，租售并举</w:t>
      </w:r>
    </w:p>
    <w:p>
      <w:pPr>
        <w:pStyle w:val="Normal0"/>
        <w:tabs>
          <w:tab w:val="left" w:pos="1440"/>
        </w:tabs>
        <w:ind w:firstLine="2"/>
        <w:rPr>
          <w:rFonts w:ascii="宋体" w:hAnsi="宋体" w:hint="eastAsia"/>
          <w:spacing w:val="-2"/>
          <w:sz w:val="28"/>
        </w:rPr>
      </w:pPr>
      <w:r>
        <w:rPr>
          <w:rFonts w:ascii="宋体" w:hAnsi="宋体" w:hint="eastAsia"/>
          <w:spacing w:val="-2"/>
          <w:sz w:val="28"/>
        </w:rPr>
        <w:t>SP活动为主，以报纸媒体配合，精制楼书宣传手册与多媒体展示为辅助。第一阶段主要是完成人气聚集的目的。通过本案绝对的亮点——楼体灯光工程，强有力的宣传，才能使得本案的优势展现给预定的目标客户。</w:t>
      </w:r>
    </w:p>
    <w:p>
      <w:pPr>
        <w:pStyle w:val="Normal0"/>
        <w:tabs>
          <w:tab w:val="left" w:pos="1440"/>
        </w:tabs>
        <w:rPr>
          <w:rFonts w:ascii="黑体" w:eastAsia="黑体" w:hAnsi="宋体" w:hint="eastAsia"/>
          <w:sz w:val="36"/>
        </w:rPr>
      </w:pPr>
      <w:bookmarkStart w:id="6" w:name="_Hlt72914617"/>
      <w:bookmarkEnd w:id="6"/>
    </w:p>
    <w:p>
      <w:pPr>
        <w:pStyle w:val="Normal0"/>
        <w:tabs>
          <w:tab w:val="left" w:pos="1440"/>
        </w:tabs>
        <w:rPr>
          <w:rFonts w:ascii="黑体" w:eastAsia="黑体" w:hAnsi="宋体" w:hint="eastAsia"/>
          <w:sz w:val="36"/>
        </w:rPr>
      </w:pPr>
      <w:r>
        <w:rPr>
          <w:rFonts w:ascii="黑体" w:eastAsia="黑体" w:hAnsi="宋体" w:hint="eastAsia"/>
          <w:sz w:val="36"/>
        </w:rPr>
        <w:t>2）第二阶段：财富聚集，销售为主，带租约销售。</w:t>
      </w:r>
    </w:p>
    <w:p>
      <w:pPr>
        <w:pStyle w:val="Normal0"/>
        <w:tabs>
          <w:tab w:val="left" w:pos="1440"/>
        </w:tabs>
        <w:rPr>
          <w:rFonts w:ascii="宋体" w:hAnsi="宋体" w:hint="eastAsia"/>
          <w:spacing w:val="-2"/>
          <w:sz w:val="28"/>
        </w:rPr>
      </w:pPr>
      <w:r>
        <w:rPr>
          <w:rFonts w:ascii="宋体" w:hAnsi="宋体" w:hint="eastAsia"/>
          <w:spacing w:val="-2"/>
          <w:sz w:val="28"/>
        </w:rPr>
        <w:t>通过第一阶段的宣传攻势，达到预定的品牌传播率，使得本案在后续阶段的租售率迅速攀升，引进国际级跨国财团（包括境内外著名企业）入驻，为本案下一步的运作积累财富。</w:t>
      </w:r>
    </w:p>
    <w:p>
      <w:pPr>
        <w:pStyle w:val="Normal0"/>
        <w:tabs>
          <w:tab w:val="left" w:pos="1440"/>
        </w:tabs>
        <w:rPr>
          <w:rFonts w:ascii="宋体" w:hAnsi="宋体" w:hint="eastAsia"/>
          <w:spacing w:val="-2"/>
          <w:sz w:val="28"/>
        </w:rPr>
      </w:pPr>
    </w:p>
    <w:p>
      <w:pPr>
        <w:pStyle w:val="Normal0"/>
        <w:tabs>
          <w:tab w:val="left" w:pos="1440"/>
        </w:tabs>
        <w:rPr>
          <w:rFonts w:ascii="宋体" w:hAnsi="宋体" w:hint="eastAsia"/>
          <w:spacing w:val="-2"/>
          <w:sz w:val="28"/>
        </w:rPr>
      </w:pPr>
    </w:p>
    <w:p>
      <w:pPr>
        <w:pStyle w:val="Normal0"/>
        <w:tabs>
          <w:tab w:val="left" w:pos="1440"/>
        </w:tabs>
        <w:rPr>
          <w:rFonts w:ascii="宋体" w:hAnsi="宋体" w:hint="eastAsia"/>
          <w:spacing w:val="-2"/>
          <w:sz w:val="28"/>
        </w:rPr>
      </w:pPr>
    </w:p>
    <w:p>
      <w:pPr>
        <w:pStyle w:val="Normal0"/>
        <w:tabs>
          <w:tab w:val="left" w:pos="1440"/>
        </w:tabs>
        <w:rPr>
          <w:rFonts w:ascii="宋体" w:hAnsi="宋体" w:hint="eastAsia"/>
          <w:spacing w:val="-2"/>
          <w:sz w:val="28"/>
        </w:rPr>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pPr>
    </w:p>
    <w:p>
      <w:pPr>
        <w:pStyle w:val="Heading3"/>
        <w:rPr>
          <w:rFonts w:ascii="黑体" w:hint="eastAsia"/>
          <w:b w:val="0"/>
          <w:bCs/>
          <w:sz w:val="36"/>
        </w:rPr>
      </w:pPr>
      <w:r>
        <w:rPr>
          <w:rFonts w:ascii="黑体" w:hint="eastAsia"/>
          <w:b w:val="0"/>
          <w:bCs/>
          <w:sz w:val="36"/>
        </w:rPr>
        <w:t>5.3媒体及推广活动预算一览表</w:t>
      </w:r>
    </w:p>
    <w:p>
      <w:pPr>
        <w:pStyle w:val="Normal0"/>
        <w:tabs>
          <w:tab w:val="left" w:pos="1440"/>
        </w:tabs>
        <w:ind w:left="4679" w:leftChars="2228"/>
        <w:rPr>
          <w:rFonts w:ascii="宋体" w:hAnsi="宋体" w:hint="eastAsia"/>
          <w:color w:val="5F5F5F"/>
          <w:spacing w:val="-2"/>
          <w:sz w:val="24"/>
        </w:rPr>
      </w:pPr>
    </w:p>
    <w:tbl>
      <w:tblPr>
        <w:tblStyle w:val="TableNormal"/>
        <w:tblW w:w="16020" w:type="dxa"/>
        <w:tblInd w:w="1313" w:type="dxa"/>
        <w:tblBorders>
          <w:top w:val="thinThickLargeGap" w:sz="24" w:space="0" w:color="5F5F5F"/>
          <w:left w:val="thinThickLargeGap" w:sz="24" w:space="0" w:color="5F5F5F"/>
          <w:bottom w:val="thickThinLargeGap" w:sz="24" w:space="0" w:color="5F5F5F"/>
          <w:right w:val="thickThinLargeGap" w:sz="24" w:space="0" w:color="5F5F5F"/>
          <w:insideH w:val="single" w:sz="6" w:space="0" w:color="5F5F5F"/>
          <w:insideV w:val="single" w:sz="6" w:space="0" w:color="5F5F5F"/>
        </w:tblBorders>
        <w:tblCellMar>
          <w:top w:w="0" w:type="dxa"/>
          <w:left w:w="0" w:type="dxa"/>
          <w:bottom w:w="0" w:type="dxa"/>
          <w:right w:w="0" w:type="dxa"/>
        </w:tblCellMar>
      </w:tblPr>
      <w:tblGrid>
        <w:gridCol w:w="858"/>
        <w:gridCol w:w="2157"/>
        <w:gridCol w:w="2387"/>
        <w:gridCol w:w="1129"/>
        <w:gridCol w:w="3645"/>
        <w:gridCol w:w="1777"/>
        <w:gridCol w:w="4067"/>
      </w:tblGrid>
      <w:tr>
        <w:tblPrEx>
          <w:tblW w:w="16020" w:type="dxa"/>
          <w:tblInd w:w="1313" w:type="dxa"/>
          <w:tblBorders>
            <w:top w:val="thinThickLargeGap" w:sz="24" w:space="0" w:color="5F5F5F"/>
            <w:left w:val="thinThickLargeGap" w:sz="24" w:space="0" w:color="5F5F5F"/>
            <w:bottom w:val="thickThinLargeGap" w:sz="24" w:space="0" w:color="5F5F5F"/>
            <w:right w:val="thickThinLargeGap" w:sz="24" w:space="0" w:color="5F5F5F"/>
            <w:insideH w:val="single" w:sz="6" w:space="0" w:color="5F5F5F"/>
            <w:insideV w:val="single" w:sz="6" w:space="0" w:color="5F5F5F"/>
          </w:tblBorders>
          <w:tblCellMar>
            <w:top w:w="0" w:type="dxa"/>
            <w:left w:w="0" w:type="dxa"/>
            <w:bottom w:w="0" w:type="dxa"/>
            <w:right w:w="0" w:type="dxa"/>
          </w:tblCellMar>
        </w:tblPrEx>
        <w:trPr>
          <w:cantSplit/>
          <w:trHeight w:val="360"/>
        </w:trPr>
        <w:tc>
          <w:tcPr>
            <w:tcW w:w="900" w:type="dxa"/>
            <w:tcMar>
              <w:top w:w="15" w:type="dxa"/>
              <w:left w:w="15" w:type="dxa"/>
              <w:bottom w:w="0" w:type="dxa"/>
              <w:right w:w="15" w:type="dxa"/>
            </w:tcMar>
            <w:vAlign w:val="center"/>
          </w:tcPr>
          <w:p>
            <w:pPr>
              <w:pStyle w:val="Normal0"/>
              <w:spacing w:line="240" w:lineRule="exact"/>
              <w:jc w:val="center"/>
              <w:rPr>
                <w:rFonts w:ascii="宋体" w:hAnsi="宋体" w:cs="Arial Unicode MS"/>
                <w:sz w:val="22"/>
                <w:szCs w:val="22"/>
              </w:rPr>
            </w:pPr>
          </w:p>
        </w:tc>
        <w:tc>
          <w:tcPr>
            <w:tcW w:w="2160" w:type="dxa"/>
            <w:vAlign w:val="center"/>
          </w:tcPr>
          <w:p>
            <w:pPr>
              <w:pStyle w:val="Normal0"/>
              <w:spacing w:line="240" w:lineRule="exact"/>
              <w:jc w:val="center"/>
              <w:rPr>
                <w:rFonts w:ascii="宋体" w:hAnsi="宋体" w:cs="Arial Unicode MS"/>
                <w:sz w:val="22"/>
                <w:szCs w:val="22"/>
              </w:rPr>
            </w:pPr>
            <w:r>
              <w:rPr>
                <w:rFonts w:ascii="宋体" w:hAnsi="宋体" w:hint="eastAsia"/>
                <w:sz w:val="22"/>
                <w:szCs w:val="22"/>
              </w:rPr>
              <w:t>发布频率</w:t>
            </w:r>
          </w:p>
        </w:tc>
        <w:tc>
          <w:tcPr>
            <w:tcW w:w="2340" w:type="dxa"/>
            <w:tcMar>
              <w:top w:w="15" w:type="dxa"/>
              <w:left w:w="15" w:type="dxa"/>
              <w:bottom w:w="0" w:type="dxa"/>
              <w:right w:w="15" w:type="dxa"/>
            </w:tcMar>
            <w:vAlign w:val="center"/>
          </w:tcPr>
          <w:p>
            <w:pPr>
              <w:pStyle w:val="Normal0"/>
              <w:spacing w:line="240" w:lineRule="exact"/>
              <w:jc w:val="center"/>
              <w:rPr>
                <w:rFonts w:ascii="宋体" w:hAnsi="宋体" w:cs="Arial Unicode MS"/>
                <w:szCs w:val="22"/>
              </w:rPr>
            </w:pPr>
            <w:r>
              <w:rPr>
                <w:rFonts w:ascii="宋体" w:hAnsi="宋体" w:hint="eastAsia"/>
                <w:szCs w:val="22"/>
              </w:rPr>
              <w:t>媒体方式</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cs="Arial Unicode MS"/>
                <w:szCs w:val="18"/>
              </w:rPr>
            </w:pPr>
            <w:r>
              <w:rPr>
                <w:rFonts w:ascii="宋体" w:hAnsi="宋体" w:hint="eastAsia"/>
                <w:szCs w:val="18"/>
              </w:rPr>
              <w:t>版式</w:t>
            </w:r>
          </w:p>
        </w:tc>
        <w:tc>
          <w:tcPr>
            <w:tcW w:w="3600" w:type="dxa"/>
            <w:tcMar>
              <w:top w:w="15" w:type="dxa"/>
              <w:left w:w="15" w:type="dxa"/>
              <w:bottom w:w="0" w:type="dxa"/>
              <w:right w:w="15" w:type="dxa"/>
            </w:tcMar>
            <w:vAlign w:val="center"/>
          </w:tcPr>
          <w:p>
            <w:pPr>
              <w:pStyle w:val="Normal0"/>
              <w:spacing w:line="240" w:lineRule="exact"/>
              <w:jc w:val="center"/>
              <w:rPr>
                <w:rFonts w:ascii="宋体" w:hAnsi="宋体" w:cs="Arial Unicode MS" w:hint="eastAsia"/>
                <w:sz w:val="22"/>
                <w:szCs w:val="22"/>
              </w:rPr>
            </w:pPr>
            <w:r>
              <w:rPr>
                <w:rFonts w:ascii="宋体" w:hAnsi="宋体" w:hint="eastAsia"/>
                <w:sz w:val="22"/>
                <w:szCs w:val="22"/>
              </w:rPr>
              <w:t>表现</w:t>
            </w:r>
            <w:r>
              <w:rPr>
                <w:rFonts w:ascii="宋体" w:hAnsi="宋体" w:hint="eastAsia"/>
                <w:sz w:val="22"/>
                <w:szCs w:val="22"/>
                <w:lang w:eastAsia="zh-CN"/>
              </w:rPr>
              <w:t>合适的内容</w:t>
            </w:r>
          </w:p>
        </w:tc>
        <w:tc>
          <w:tcPr>
            <w:tcW w:w="1620" w:type="dxa"/>
            <w:vAlign w:val="center"/>
          </w:tcPr>
          <w:p>
            <w:pPr>
              <w:pStyle w:val="Normal0"/>
              <w:spacing w:line="240" w:lineRule="exact"/>
              <w:jc w:val="center"/>
              <w:rPr>
                <w:rFonts w:ascii="宋体" w:hAnsi="宋体" w:cs="Arial Unicode MS" w:hint="eastAsia"/>
                <w:sz w:val="22"/>
                <w:szCs w:val="22"/>
              </w:rPr>
            </w:pPr>
            <w:r>
              <w:rPr>
                <w:rFonts w:ascii="宋体" w:hAnsi="宋体" w:cs="Arial Unicode MS" w:hint="eastAsia"/>
                <w:sz w:val="22"/>
                <w:szCs w:val="22"/>
              </w:rPr>
              <w:t>预算(约)</w:t>
            </w:r>
          </w:p>
        </w:tc>
        <w:tc>
          <w:tcPr>
            <w:tcW w:w="4320" w:type="dxa"/>
            <w:tcMar>
              <w:top w:w="15" w:type="dxa"/>
              <w:left w:w="15" w:type="dxa"/>
              <w:bottom w:w="0" w:type="dxa"/>
              <w:right w:w="15" w:type="dxa"/>
            </w:tcMar>
            <w:vAlign w:val="center"/>
          </w:tcPr>
          <w:p>
            <w:pPr>
              <w:pStyle w:val="Normal0"/>
              <w:spacing w:line="240" w:lineRule="exact"/>
              <w:jc w:val="center"/>
              <w:rPr>
                <w:rFonts w:ascii="宋体" w:hAnsi="宋体" w:cs="Arial Unicode MS"/>
                <w:sz w:val="22"/>
                <w:szCs w:val="22"/>
              </w:rPr>
            </w:pPr>
            <w:r>
              <w:rPr>
                <w:rFonts w:ascii="宋体" w:hAnsi="宋体" w:hint="eastAsia"/>
                <w:sz w:val="22"/>
                <w:szCs w:val="22"/>
              </w:rPr>
              <w:t>备注</w:t>
            </w:r>
          </w:p>
        </w:tc>
      </w:tr>
      <w:tr>
        <w:tblPrEx>
          <w:tblW w:w="16020" w:type="dxa"/>
          <w:tblInd w:w="1313" w:type="dxa"/>
          <w:tblCellMar>
            <w:top w:w="0" w:type="dxa"/>
            <w:left w:w="0" w:type="dxa"/>
            <w:bottom w:w="0" w:type="dxa"/>
            <w:right w:w="0" w:type="dxa"/>
          </w:tblCellMar>
        </w:tblPrEx>
        <w:trPr>
          <w:cantSplit/>
          <w:trHeight w:val="495"/>
        </w:trPr>
        <w:tc>
          <w:tcPr>
            <w:tcW w:w="900" w:type="dxa"/>
            <w:vMerge w:val="restart"/>
            <w:tcMar>
              <w:top w:w="15" w:type="dxa"/>
              <w:left w:w="15" w:type="dxa"/>
              <w:bottom w:w="0" w:type="dxa"/>
              <w:right w:w="15" w:type="dxa"/>
            </w:tcMar>
            <w:vAlign w:val="center"/>
          </w:tcPr>
          <w:p>
            <w:pPr>
              <w:pStyle w:val="Normal0"/>
              <w:spacing w:line="240" w:lineRule="exact"/>
              <w:jc w:val="center"/>
              <w:rPr>
                <w:rFonts w:ascii="宋体" w:hAnsi="宋体" w:cs="Arial Unicode MS" w:hint="eastAsia"/>
                <w:sz w:val="20"/>
                <w:szCs w:val="20"/>
              </w:rPr>
            </w:pPr>
            <w:r>
              <w:rPr>
                <w:rFonts w:ascii="宋体" w:hAnsi="宋体" w:cs="Arial Unicode MS" w:hint="eastAsia"/>
                <w:sz w:val="20"/>
                <w:szCs w:val="20"/>
              </w:rPr>
              <w:t>媒体</w:t>
            </w:r>
          </w:p>
          <w:p>
            <w:pPr>
              <w:pStyle w:val="Normal0"/>
              <w:spacing w:line="240" w:lineRule="exact"/>
              <w:jc w:val="center"/>
              <w:rPr>
                <w:rFonts w:ascii="宋体" w:hAnsi="宋体" w:cs="Arial Unicode MS" w:hint="eastAsia"/>
                <w:sz w:val="20"/>
                <w:szCs w:val="20"/>
              </w:rPr>
            </w:pPr>
            <w:r>
              <w:rPr>
                <w:rFonts w:ascii="宋体" w:hAnsi="宋体" w:cs="Arial Unicode MS" w:hint="eastAsia"/>
                <w:sz w:val="20"/>
                <w:szCs w:val="20"/>
              </w:rPr>
              <w:t>部分</w:t>
            </w:r>
          </w:p>
        </w:tc>
        <w:tc>
          <w:tcPr>
            <w:tcW w:w="2160" w:type="dxa"/>
            <w:vAlign w:val="center"/>
          </w:tcPr>
          <w:p>
            <w:pPr>
              <w:pStyle w:val="Normal0"/>
              <w:spacing w:line="240" w:lineRule="exact"/>
              <w:jc w:val="center"/>
              <w:rPr>
                <w:rFonts w:ascii="宋体" w:hAnsi="宋体" w:cs="Arial Unicode MS" w:hint="eastAsia"/>
                <w:sz w:val="20"/>
                <w:szCs w:val="20"/>
              </w:rPr>
            </w:pPr>
            <w:r>
              <w:rPr>
                <w:rFonts w:ascii="宋体" w:hAnsi="宋体" w:cs="Arial Unicode MS" w:hint="eastAsia"/>
                <w:sz w:val="20"/>
                <w:szCs w:val="20"/>
              </w:rPr>
              <w:t>2次(信息告知)</w:t>
            </w:r>
          </w:p>
        </w:tc>
        <w:tc>
          <w:tcPr>
            <w:tcW w:w="2340" w:type="dxa"/>
            <w:tcMar>
              <w:top w:w="15" w:type="dxa"/>
              <w:left w:w="15" w:type="dxa"/>
              <w:bottom w:w="0" w:type="dxa"/>
              <w:right w:w="15" w:type="dxa"/>
            </w:tcMar>
            <w:vAlign w:val="center"/>
          </w:tcPr>
          <w:p>
            <w:pPr>
              <w:pStyle w:val="Normal0"/>
              <w:spacing w:line="240" w:lineRule="exact"/>
              <w:jc w:val="center"/>
              <w:rPr>
                <w:rFonts w:ascii="宋体" w:hAnsi="宋体" w:cs="Arial Unicode MS"/>
                <w:szCs w:val="20"/>
              </w:rPr>
            </w:pPr>
            <w:r>
              <w:rPr>
                <w:rFonts w:ascii="宋体" w:hAnsi="宋体" w:hint="eastAsia"/>
                <w:szCs w:val="20"/>
              </w:rPr>
              <w:t>《大连日报》</w:t>
            </w:r>
          </w:p>
        </w:tc>
        <w:tc>
          <w:tcPr>
            <w:tcW w:w="1080" w:type="dxa"/>
            <w:tcMar>
              <w:top w:w="15" w:type="dxa"/>
              <w:left w:w="15" w:type="dxa"/>
              <w:bottom w:w="0" w:type="dxa"/>
              <w:right w:w="15" w:type="dxa"/>
            </w:tcMar>
            <w:vAlign w:val="center"/>
          </w:tcPr>
          <w:p>
            <w:pPr>
              <w:pStyle w:val="Header0"/>
              <w:tabs>
                <w:tab w:val="clear" w:pos="4153"/>
                <w:tab w:val="clear" w:pos="8306"/>
              </w:tabs>
              <w:snapToGrid/>
              <w:spacing w:line="240" w:lineRule="exact"/>
              <w:rPr>
                <w:rFonts w:ascii="宋体" w:hAnsi="宋体" w:cs="Arial Unicode MS"/>
                <w:sz w:val="21"/>
                <w:szCs w:val="20"/>
              </w:rPr>
            </w:pPr>
            <w:r>
              <w:rPr>
                <w:rFonts w:ascii="宋体" w:hAnsi="宋体" w:hint="eastAsia"/>
                <w:sz w:val="21"/>
                <w:szCs w:val="20"/>
              </w:rPr>
              <w:t>整版</w:t>
            </w:r>
          </w:p>
        </w:tc>
        <w:tc>
          <w:tcPr>
            <w:tcW w:w="3600" w:type="dxa"/>
            <w:tcMar>
              <w:top w:w="15" w:type="dxa"/>
              <w:left w:w="15" w:type="dxa"/>
              <w:bottom w:w="0" w:type="dxa"/>
              <w:right w:w="15" w:type="dxa"/>
            </w:tcMar>
            <w:vAlign w:val="center"/>
          </w:tcPr>
          <w:p>
            <w:pPr>
              <w:pStyle w:val="Normal0"/>
              <w:spacing w:line="240" w:lineRule="exact"/>
              <w:jc w:val="center"/>
              <w:rPr>
                <w:rFonts w:ascii="宋体" w:hAnsi="宋体" w:cs="Arial Unicode MS"/>
                <w:b/>
                <w:bCs/>
                <w:color w:val="333333"/>
                <w:sz w:val="18"/>
                <w:szCs w:val="18"/>
              </w:rPr>
            </w:pPr>
            <w:r>
              <w:rPr>
                <w:rFonts w:ascii="宋体" w:hAnsi="宋体" w:hint="eastAsia"/>
                <w:b/>
                <w:bCs/>
                <w:color w:val="333333"/>
                <w:sz w:val="18"/>
                <w:szCs w:val="18"/>
              </w:rPr>
              <w:t>领袖商务·天安国际</w:t>
            </w:r>
            <w:r>
              <w:rPr>
                <w:color w:val="333333"/>
                <w:sz w:val="18"/>
                <w:szCs w:val="18"/>
              </w:rPr>
              <w:t xml:space="preserve">                                                                </w:t>
            </w:r>
            <w:r>
              <w:rPr>
                <w:rFonts w:ascii="宋体" w:hAnsi="宋体" w:hint="eastAsia"/>
                <w:color w:val="333333"/>
                <w:sz w:val="18"/>
                <w:szCs w:val="18"/>
              </w:rPr>
              <w:t>首席[CEO]，领袖商务天地</w:t>
            </w:r>
          </w:p>
        </w:tc>
        <w:tc>
          <w:tcPr>
            <w:tcW w:w="1620" w:type="dxa"/>
            <w:vAlign w:val="center"/>
          </w:tcPr>
          <w:p>
            <w:pPr>
              <w:pStyle w:val="Normal0"/>
              <w:spacing w:line="240" w:lineRule="exact"/>
              <w:jc w:val="center"/>
              <w:rPr>
                <w:rFonts w:ascii="宋体" w:hAnsi="宋体" w:cs="Arial Unicode MS" w:hint="eastAsia"/>
                <w:color w:val="333333"/>
                <w:sz w:val="18"/>
                <w:szCs w:val="18"/>
              </w:rPr>
            </w:pPr>
            <w:r>
              <w:rPr>
                <w:rFonts w:ascii="宋体" w:hAnsi="宋体" w:cs="Arial Unicode MS" w:hint="eastAsia"/>
                <w:color w:val="333333"/>
                <w:sz w:val="18"/>
                <w:szCs w:val="18"/>
              </w:rPr>
              <w:t>11.7万×2</w:t>
            </w:r>
          </w:p>
        </w:tc>
        <w:tc>
          <w:tcPr>
            <w:tcW w:w="4320" w:type="dxa"/>
            <w:vMerge w:val="restart"/>
            <w:tcMar>
              <w:top w:w="15" w:type="dxa"/>
              <w:left w:w="15" w:type="dxa"/>
              <w:bottom w:w="0" w:type="dxa"/>
              <w:right w:w="15" w:type="dxa"/>
            </w:tcMar>
            <w:vAlign w:val="center"/>
          </w:tcPr>
          <w:p>
            <w:pPr>
              <w:pStyle w:val="Normal0"/>
              <w:spacing w:line="240" w:lineRule="atLeast"/>
              <w:rPr>
                <w:rFonts w:ascii="宋体" w:hAnsi="宋体" w:hint="eastAsia"/>
                <w:sz w:val="18"/>
                <w:szCs w:val="18"/>
              </w:rPr>
            </w:pPr>
            <w:r>
              <w:rPr>
                <w:rFonts w:ascii="宋体" w:hAnsi="宋体" w:cs="Arial Unicode MS" w:hint="eastAsia"/>
                <w:sz w:val="18"/>
                <w:szCs w:val="18"/>
              </w:rPr>
              <w:t>大连日报2篇；航空杂志：5大航空杂志前二个月每月一次，后续依据租售情况而定，适时适量投放；</w:t>
            </w:r>
            <w:r>
              <w:rPr>
                <w:rFonts w:ascii="宋体" w:hAnsi="宋体" w:hint="eastAsia"/>
                <w:sz w:val="18"/>
                <w:szCs w:val="18"/>
              </w:rPr>
              <w:t>机场及高速公路户外广告发布半年；</w:t>
            </w:r>
          </w:p>
          <w:p>
            <w:pPr>
              <w:pStyle w:val="Normal0"/>
              <w:spacing w:line="240" w:lineRule="atLeast"/>
              <w:rPr>
                <w:rFonts w:ascii="宋体" w:hAnsi="宋体" w:hint="eastAsia"/>
                <w:sz w:val="18"/>
                <w:szCs w:val="18"/>
              </w:rPr>
            </w:pPr>
          </w:p>
          <w:p>
            <w:pPr>
              <w:pStyle w:val="Normal0"/>
              <w:spacing w:line="240" w:lineRule="atLeast"/>
              <w:rPr>
                <w:rFonts w:ascii="宋体" w:hAnsi="宋体" w:cs="Arial Unicode MS" w:hint="eastAsia"/>
                <w:sz w:val="18"/>
                <w:szCs w:val="18"/>
              </w:rPr>
            </w:pPr>
            <w:r>
              <w:rPr>
                <w:rFonts w:ascii="宋体" w:hAnsi="宋体" w:hint="eastAsia"/>
                <w:sz w:val="18"/>
                <w:szCs w:val="18"/>
              </w:rPr>
              <w:t>注：户外广告单价，1800－2000元/M2，按照选择媒体发布尺寸为准，乘以单价。一般情况下高炮尺寸大约300平米左右，则约60万元人民币(半年)。</w:t>
            </w:r>
          </w:p>
        </w:tc>
      </w:tr>
      <w:tr>
        <w:tblPrEx>
          <w:tblW w:w="16020" w:type="dxa"/>
          <w:tblInd w:w="1313" w:type="dxa"/>
          <w:tblCellMar>
            <w:top w:w="0" w:type="dxa"/>
            <w:left w:w="0" w:type="dxa"/>
            <w:bottom w:w="0" w:type="dxa"/>
            <w:right w:w="0" w:type="dxa"/>
          </w:tblCellMar>
        </w:tblPrEx>
        <w:trPr>
          <w:cantSplit/>
          <w:trHeight w:val="297"/>
        </w:trPr>
        <w:tc>
          <w:tcPr>
            <w:tcW w:w="900" w:type="dxa"/>
            <w:vMerge/>
            <w:tcMar>
              <w:top w:w="15" w:type="dxa"/>
              <w:left w:w="15" w:type="dxa"/>
              <w:bottom w:w="0" w:type="dxa"/>
              <w:right w:w="15" w:type="dxa"/>
            </w:tcMar>
            <w:vAlign w:val="center"/>
          </w:tcPr>
          <w:p>
            <w:pPr>
              <w:pStyle w:val="Normal0"/>
              <w:spacing w:line="240" w:lineRule="exact"/>
              <w:jc w:val="center"/>
              <w:rPr>
                <w:rFonts w:ascii="宋体" w:hAnsi="宋体" w:cs="Arial Unicode MS"/>
                <w:sz w:val="18"/>
                <w:szCs w:val="18"/>
              </w:rPr>
            </w:pPr>
          </w:p>
        </w:tc>
        <w:tc>
          <w:tcPr>
            <w:tcW w:w="2160" w:type="dxa"/>
            <w:vAlign w:val="center"/>
          </w:tcPr>
          <w:p>
            <w:pPr>
              <w:pStyle w:val="Normal0"/>
              <w:spacing w:line="240" w:lineRule="exact"/>
              <w:jc w:val="center"/>
              <w:rPr>
                <w:rFonts w:ascii="宋体" w:hAnsi="宋体" w:cs="Arial Unicode MS" w:hint="eastAsia"/>
                <w:sz w:val="18"/>
                <w:szCs w:val="18"/>
              </w:rPr>
            </w:pPr>
            <w:r>
              <w:rPr>
                <w:rFonts w:ascii="宋体" w:hAnsi="宋体" w:cs="Arial Unicode MS" w:hint="eastAsia"/>
                <w:sz w:val="18"/>
                <w:szCs w:val="18"/>
              </w:rPr>
              <w:t>5大航空杂志每月一次</w:t>
            </w:r>
          </w:p>
        </w:tc>
        <w:tc>
          <w:tcPr>
            <w:tcW w:w="2340" w:type="dxa"/>
            <w:tcMar>
              <w:top w:w="15" w:type="dxa"/>
              <w:left w:w="15" w:type="dxa"/>
              <w:bottom w:w="0" w:type="dxa"/>
              <w:right w:w="15" w:type="dxa"/>
            </w:tcMar>
            <w:vAlign w:val="center"/>
          </w:tcPr>
          <w:p>
            <w:pPr>
              <w:pStyle w:val="Normal0"/>
              <w:spacing w:line="240" w:lineRule="exact"/>
              <w:jc w:val="center"/>
              <w:rPr>
                <w:rFonts w:ascii="宋体" w:hAnsi="宋体" w:cs="Arial Unicode MS" w:hint="eastAsia"/>
                <w:szCs w:val="18"/>
              </w:rPr>
            </w:pPr>
            <w:r>
              <w:rPr>
                <w:rFonts w:ascii="宋体" w:hAnsi="宋体" w:cs="Arial Unicode MS" w:hint="eastAsia"/>
                <w:szCs w:val="18"/>
              </w:rPr>
              <w:t>《航空杂志》</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cs="Arial Unicode MS"/>
                <w:sz w:val="18"/>
                <w:szCs w:val="18"/>
              </w:rPr>
            </w:pPr>
            <w:r>
              <w:rPr>
                <w:rFonts w:ascii="宋体" w:hAnsi="宋体" w:hint="eastAsia"/>
                <w:szCs w:val="20"/>
              </w:rPr>
              <w:t>整版</w:t>
            </w:r>
          </w:p>
        </w:tc>
        <w:tc>
          <w:tcPr>
            <w:tcW w:w="3600" w:type="dxa"/>
            <w:tcMar>
              <w:top w:w="15" w:type="dxa"/>
              <w:left w:w="15" w:type="dxa"/>
              <w:bottom w:w="0" w:type="dxa"/>
              <w:right w:w="15" w:type="dxa"/>
            </w:tcMar>
            <w:vAlign w:val="center"/>
          </w:tcPr>
          <w:p>
            <w:pPr>
              <w:pStyle w:val="Header0"/>
              <w:tabs>
                <w:tab w:val="clear" w:pos="4153"/>
                <w:tab w:val="clear" w:pos="8306"/>
              </w:tabs>
              <w:snapToGrid/>
              <w:spacing w:line="240" w:lineRule="exact"/>
              <w:rPr>
                <w:rFonts w:ascii="宋体" w:hAnsi="宋体" w:cs="Arial Unicode MS"/>
                <w:color w:val="333333"/>
              </w:rPr>
            </w:pPr>
            <w:r>
              <w:rPr>
                <w:rFonts w:ascii="宋体" w:hAnsi="宋体" w:hint="eastAsia"/>
              </w:rPr>
              <w:t>形象系列</w:t>
            </w:r>
          </w:p>
        </w:tc>
        <w:tc>
          <w:tcPr>
            <w:tcW w:w="1620" w:type="dxa"/>
            <w:vAlign w:val="center"/>
          </w:tcPr>
          <w:p>
            <w:pPr>
              <w:pStyle w:val="Normal0"/>
              <w:spacing w:line="240" w:lineRule="exact"/>
              <w:jc w:val="center"/>
              <w:rPr>
                <w:rFonts w:ascii="宋体" w:hAnsi="宋体" w:cs="Arial Unicode MS" w:hint="eastAsia"/>
                <w:color w:val="333333"/>
                <w:sz w:val="18"/>
                <w:szCs w:val="18"/>
              </w:rPr>
            </w:pPr>
            <w:r>
              <w:rPr>
                <w:rFonts w:ascii="宋体" w:hAnsi="宋体" w:cs="Arial Unicode MS" w:hint="eastAsia"/>
                <w:color w:val="333333"/>
                <w:sz w:val="18"/>
                <w:szCs w:val="18"/>
              </w:rPr>
              <w:t>8万×5家×1期</w:t>
            </w:r>
          </w:p>
        </w:tc>
        <w:tc>
          <w:tcPr>
            <w:tcW w:w="4320" w:type="dxa"/>
            <w:vMerge/>
            <w:tcMar>
              <w:top w:w="15" w:type="dxa"/>
              <w:left w:w="15" w:type="dxa"/>
              <w:bottom w:w="0" w:type="dxa"/>
              <w:right w:w="15" w:type="dxa"/>
            </w:tcMar>
            <w:vAlign w:val="center"/>
          </w:tcPr>
          <w:p>
            <w:pPr>
              <w:pStyle w:val="Normal0"/>
              <w:spacing w:line="240" w:lineRule="atLeast"/>
              <w:jc w:val="center"/>
              <w:rPr>
                <w:rFonts w:ascii="宋体" w:hAnsi="宋体" w:cs="Arial Unicode MS"/>
                <w:sz w:val="18"/>
                <w:szCs w:val="18"/>
              </w:rPr>
            </w:pPr>
          </w:p>
        </w:tc>
      </w:tr>
      <w:tr>
        <w:tblPrEx>
          <w:tblW w:w="16020" w:type="dxa"/>
          <w:tblInd w:w="1313" w:type="dxa"/>
          <w:tblCellMar>
            <w:top w:w="0" w:type="dxa"/>
            <w:left w:w="0" w:type="dxa"/>
            <w:bottom w:w="0" w:type="dxa"/>
            <w:right w:w="0" w:type="dxa"/>
          </w:tblCellMar>
        </w:tblPrEx>
        <w:trPr>
          <w:cantSplit/>
          <w:trHeight w:val="297"/>
        </w:trPr>
        <w:tc>
          <w:tcPr>
            <w:tcW w:w="900" w:type="dxa"/>
            <w:vMerge/>
            <w:tcMar>
              <w:top w:w="15" w:type="dxa"/>
              <w:left w:w="15" w:type="dxa"/>
              <w:bottom w:w="0" w:type="dxa"/>
              <w:right w:w="15" w:type="dxa"/>
            </w:tcMar>
            <w:vAlign w:val="center"/>
          </w:tcPr>
          <w:p>
            <w:pPr>
              <w:pStyle w:val="Normal0"/>
              <w:spacing w:line="240" w:lineRule="exact"/>
              <w:jc w:val="center"/>
              <w:rPr>
                <w:rFonts w:ascii="宋体" w:hAnsi="宋体"/>
                <w:sz w:val="18"/>
                <w:szCs w:val="18"/>
              </w:rPr>
            </w:pPr>
          </w:p>
        </w:tc>
        <w:tc>
          <w:tcPr>
            <w:tcW w:w="2160" w:type="dxa"/>
            <w:vAlign w:val="center"/>
          </w:tcPr>
          <w:p>
            <w:pPr>
              <w:pStyle w:val="Normal0"/>
              <w:spacing w:line="240" w:lineRule="exact"/>
              <w:jc w:val="center"/>
              <w:rPr>
                <w:rFonts w:ascii="宋体" w:hAnsi="宋体" w:hint="eastAsia"/>
                <w:sz w:val="18"/>
                <w:szCs w:val="18"/>
              </w:rPr>
            </w:pPr>
            <w:r>
              <w:rPr>
                <w:rFonts w:ascii="宋体" w:hAnsi="宋体" w:hint="eastAsia"/>
                <w:sz w:val="18"/>
                <w:szCs w:val="18"/>
              </w:rPr>
              <w:t>机场及高速公路</w:t>
            </w:r>
          </w:p>
        </w:tc>
        <w:tc>
          <w:tcPr>
            <w:tcW w:w="2340" w:type="dxa"/>
            <w:tcMar>
              <w:top w:w="15" w:type="dxa"/>
              <w:left w:w="15" w:type="dxa"/>
              <w:bottom w:w="0" w:type="dxa"/>
              <w:right w:w="15" w:type="dxa"/>
            </w:tcMar>
            <w:vAlign w:val="center"/>
          </w:tcPr>
          <w:p>
            <w:pPr>
              <w:pStyle w:val="Normal0"/>
              <w:spacing w:line="240" w:lineRule="exact"/>
              <w:jc w:val="center"/>
              <w:rPr>
                <w:rFonts w:ascii="宋体" w:hAnsi="宋体" w:hint="eastAsia"/>
                <w:szCs w:val="18"/>
              </w:rPr>
            </w:pPr>
            <w:r>
              <w:rPr>
                <w:rFonts w:ascii="宋体" w:hAnsi="宋体"/>
                <w:sz w:val="20"/>
                <w:szCs w:val="18"/>
              </w:rPr>
              <w:pict>
                <v:line id="_x0000_s1063" o:spid="_x0000_s1063" style="flip:y;mso-height-relative:page;mso-width-relative:page;position:absolute;z-index:251697152" from="115.8pt,-1.2pt" to="169.95pt,15.05pt" coordsize="21600,21600"/>
              </w:pict>
            </w:r>
            <w:r>
              <w:rPr>
                <w:rFonts w:ascii="宋体" w:hAnsi="宋体" w:hint="eastAsia"/>
                <w:szCs w:val="18"/>
              </w:rPr>
              <w:t>户外广告</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hint="eastAsia"/>
                <w:sz w:val="18"/>
                <w:szCs w:val="18"/>
              </w:rPr>
            </w:pPr>
          </w:p>
        </w:tc>
        <w:tc>
          <w:tcPr>
            <w:tcW w:w="3600" w:type="dxa"/>
            <w:tcMar>
              <w:top w:w="15" w:type="dxa"/>
              <w:left w:w="15" w:type="dxa"/>
              <w:bottom w:w="0" w:type="dxa"/>
              <w:right w:w="15" w:type="dxa"/>
            </w:tcMar>
            <w:vAlign w:val="center"/>
          </w:tcPr>
          <w:p>
            <w:pPr>
              <w:pStyle w:val="Normal0"/>
              <w:spacing w:line="240" w:lineRule="exact"/>
              <w:jc w:val="center"/>
              <w:rPr>
                <w:rFonts w:ascii="宋体" w:hAnsi="宋体" w:hint="eastAsia"/>
                <w:color w:val="333333"/>
                <w:sz w:val="18"/>
                <w:szCs w:val="18"/>
              </w:rPr>
            </w:pPr>
            <w:r>
              <w:rPr>
                <w:rFonts w:ascii="宋体" w:hAnsi="宋体" w:hint="eastAsia"/>
                <w:sz w:val="18"/>
                <w:szCs w:val="18"/>
              </w:rPr>
              <w:t>形象系列</w:t>
            </w:r>
          </w:p>
        </w:tc>
        <w:tc>
          <w:tcPr>
            <w:tcW w:w="1620" w:type="dxa"/>
            <w:vAlign w:val="center"/>
          </w:tcPr>
          <w:p>
            <w:pPr>
              <w:pStyle w:val="Normal0"/>
              <w:spacing w:line="240" w:lineRule="exact"/>
              <w:jc w:val="center"/>
              <w:rPr>
                <w:rFonts w:ascii="宋体" w:hAnsi="宋体" w:hint="eastAsia"/>
                <w:color w:val="333333"/>
                <w:sz w:val="18"/>
                <w:szCs w:val="18"/>
              </w:rPr>
            </w:pPr>
            <w:r>
              <w:rPr>
                <w:rFonts w:ascii="宋体" w:hAnsi="宋体" w:hint="eastAsia"/>
                <w:color w:val="333333"/>
                <w:sz w:val="18"/>
                <w:szCs w:val="18"/>
              </w:rPr>
              <w:t>60万/半年(约)</w:t>
            </w:r>
          </w:p>
        </w:tc>
        <w:tc>
          <w:tcPr>
            <w:tcW w:w="4320" w:type="dxa"/>
            <w:vMerge/>
            <w:tcMar>
              <w:top w:w="15" w:type="dxa"/>
              <w:left w:w="15" w:type="dxa"/>
              <w:bottom w:w="0" w:type="dxa"/>
              <w:right w:w="15" w:type="dxa"/>
            </w:tcMar>
            <w:vAlign w:val="center"/>
          </w:tcPr>
          <w:p>
            <w:pPr>
              <w:pStyle w:val="Normal0"/>
              <w:spacing w:line="240" w:lineRule="atLeast"/>
              <w:jc w:val="center"/>
              <w:rPr>
                <w:rFonts w:ascii="宋体" w:hAnsi="宋体" w:hint="eastAsia"/>
                <w:sz w:val="18"/>
                <w:szCs w:val="18"/>
              </w:rPr>
            </w:pPr>
          </w:p>
        </w:tc>
      </w:tr>
      <w:tr>
        <w:tblPrEx>
          <w:tblW w:w="16020" w:type="dxa"/>
          <w:tblInd w:w="1313" w:type="dxa"/>
          <w:tblCellMar>
            <w:top w:w="0" w:type="dxa"/>
            <w:left w:w="0" w:type="dxa"/>
            <w:bottom w:w="0" w:type="dxa"/>
            <w:right w:w="0" w:type="dxa"/>
          </w:tblCellMar>
        </w:tblPrEx>
        <w:trPr>
          <w:cantSplit/>
          <w:trHeight w:val="297"/>
        </w:trPr>
        <w:tc>
          <w:tcPr>
            <w:tcW w:w="900" w:type="dxa"/>
            <w:vMerge/>
            <w:tcMar>
              <w:top w:w="15" w:type="dxa"/>
              <w:left w:w="15" w:type="dxa"/>
              <w:bottom w:w="0" w:type="dxa"/>
              <w:right w:w="15" w:type="dxa"/>
            </w:tcMar>
            <w:vAlign w:val="center"/>
          </w:tcPr>
          <w:p>
            <w:pPr>
              <w:pStyle w:val="Normal0"/>
              <w:spacing w:line="240" w:lineRule="exact"/>
              <w:jc w:val="center"/>
              <w:rPr>
                <w:rFonts w:ascii="宋体" w:hAnsi="宋体"/>
                <w:sz w:val="18"/>
                <w:szCs w:val="18"/>
              </w:rPr>
            </w:pPr>
          </w:p>
        </w:tc>
        <w:tc>
          <w:tcPr>
            <w:tcW w:w="2160" w:type="dxa"/>
            <w:vAlign w:val="center"/>
          </w:tcPr>
          <w:p>
            <w:pPr>
              <w:pStyle w:val="Normal0"/>
              <w:spacing w:line="240" w:lineRule="exact"/>
              <w:jc w:val="center"/>
              <w:rPr>
                <w:rFonts w:ascii="宋体" w:hAnsi="宋体" w:hint="eastAsia"/>
                <w:sz w:val="18"/>
                <w:szCs w:val="18"/>
              </w:rPr>
            </w:pPr>
            <w:r>
              <w:rPr>
                <w:rFonts w:ascii="宋体" w:hAnsi="宋体" w:hint="eastAsia"/>
                <w:sz w:val="18"/>
                <w:szCs w:val="18"/>
              </w:rPr>
              <w:t>大厦周边一个月发布</w:t>
            </w:r>
          </w:p>
        </w:tc>
        <w:tc>
          <w:tcPr>
            <w:tcW w:w="2340" w:type="dxa"/>
            <w:tcMar>
              <w:top w:w="15" w:type="dxa"/>
              <w:left w:w="15" w:type="dxa"/>
              <w:bottom w:w="0" w:type="dxa"/>
              <w:right w:w="15" w:type="dxa"/>
            </w:tcMar>
            <w:vAlign w:val="center"/>
          </w:tcPr>
          <w:p>
            <w:pPr>
              <w:pStyle w:val="Normal0"/>
              <w:spacing w:line="240" w:lineRule="exact"/>
              <w:jc w:val="center"/>
              <w:rPr>
                <w:rFonts w:ascii="宋体" w:hAnsi="宋体" w:hint="eastAsia"/>
                <w:szCs w:val="18"/>
              </w:rPr>
            </w:pPr>
            <w:r>
              <w:rPr>
                <w:rFonts w:ascii="宋体" w:hAnsi="宋体"/>
                <w:sz w:val="20"/>
                <w:szCs w:val="18"/>
              </w:rPr>
              <w:pict>
                <v:line id="_x0000_s1064" o:spid="_x0000_s1064" style="flip:y;mso-height-relative:page;mso-width-relative:page;position:absolute;z-index:251698176" from="116.6pt,-2.2pt" to="170.75pt,14.05pt" coordsize="21600,21600"/>
              </w:pict>
            </w:r>
            <w:r>
              <w:rPr>
                <w:rFonts w:ascii="宋体" w:hAnsi="宋体" w:hint="eastAsia"/>
                <w:szCs w:val="18"/>
              </w:rPr>
              <w:t>户外灯箱/刀旗</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hint="eastAsia"/>
                <w:szCs w:val="18"/>
              </w:rPr>
            </w:pPr>
          </w:p>
        </w:tc>
        <w:tc>
          <w:tcPr>
            <w:tcW w:w="3600" w:type="dxa"/>
            <w:tcMar>
              <w:top w:w="15" w:type="dxa"/>
              <w:left w:w="15" w:type="dxa"/>
              <w:bottom w:w="0" w:type="dxa"/>
              <w:right w:w="15" w:type="dxa"/>
            </w:tcMar>
            <w:vAlign w:val="center"/>
          </w:tcPr>
          <w:p>
            <w:pPr>
              <w:pStyle w:val="Normal0"/>
              <w:spacing w:line="240" w:lineRule="exact"/>
              <w:jc w:val="center"/>
              <w:rPr>
                <w:rFonts w:ascii="宋体" w:hAnsi="宋体" w:hint="eastAsia"/>
                <w:color w:val="333333"/>
                <w:sz w:val="18"/>
                <w:szCs w:val="18"/>
              </w:rPr>
            </w:pPr>
            <w:r>
              <w:rPr>
                <w:rFonts w:ascii="宋体" w:hAnsi="宋体" w:hint="eastAsia"/>
                <w:sz w:val="18"/>
                <w:szCs w:val="18"/>
              </w:rPr>
              <w:t>形象系列</w:t>
            </w:r>
          </w:p>
        </w:tc>
        <w:tc>
          <w:tcPr>
            <w:tcW w:w="1620" w:type="dxa"/>
            <w:vAlign w:val="center"/>
          </w:tcPr>
          <w:p>
            <w:pPr>
              <w:pStyle w:val="Normal0"/>
              <w:spacing w:line="240" w:lineRule="exact"/>
              <w:jc w:val="center"/>
              <w:rPr>
                <w:rFonts w:ascii="宋体" w:hAnsi="宋体" w:hint="eastAsia"/>
                <w:color w:val="333333"/>
                <w:sz w:val="18"/>
                <w:szCs w:val="18"/>
              </w:rPr>
            </w:pPr>
            <w:r>
              <w:rPr>
                <w:rFonts w:ascii="宋体" w:hAnsi="宋体" w:hint="eastAsia"/>
                <w:color w:val="333333"/>
                <w:sz w:val="18"/>
                <w:szCs w:val="18"/>
              </w:rPr>
              <w:t>3万×1月</w:t>
            </w:r>
          </w:p>
        </w:tc>
        <w:tc>
          <w:tcPr>
            <w:tcW w:w="4320" w:type="dxa"/>
            <w:vMerge/>
            <w:tcMar>
              <w:top w:w="15" w:type="dxa"/>
              <w:left w:w="15" w:type="dxa"/>
              <w:bottom w:w="0" w:type="dxa"/>
              <w:right w:w="15" w:type="dxa"/>
            </w:tcMar>
            <w:vAlign w:val="center"/>
          </w:tcPr>
          <w:p>
            <w:pPr>
              <w:pStyle w:val="Normal0"/>
              <w:spacing w:line="240" w:lineRule="atLeast"/>
              <w:jc w:val="center"/>
              <w:rPr>
                <w:rFonts w:ascii="宋体" w:hAnsi="宋体" w:hint="eastAsia"/>
                <w:sz w:val="18"/>
                <w:szCs w:val="18"/>
              </w:rPr>
            </w:pPr>
          </w:p>
        </w:tc>
      </w:tr>
      <w:tr>
        <w:tblPrEx>
          <w:tblW w:w="16020" w:type="dxa"/>
          <w:tblInd w:w="1313" w:type="dxa"/>
          <w:tblCellMar>
            <w:top w:w="0" w:type="dxa"/>
            <w:left w:w="0" w:type="dxa"/>
            <w:bottom w:w="0" w:type="dxa"/>
            <w:right w:w="0" w:type="dxa"/>
          </w:tblCellMar>
        </w:tblPrEx>
        <w:trPr>
          <w:cantSplit/>
          <w:trHeight w:val="282"/>
        </w:trPr>
        <w:tc>
          <w:tcPr>
            <w:tcW w:w="900" w:type="dxa"/>
            <w:vMerge w:val="restart"/>
            <w:tcMar>
              <w:top w:w="15" w:type="dxa"/>
              <w:left w:w="15" w:type="dxa"/>
              <w:bottom w:w="0" w:type="dxa"/>
              <w:right w:w="15" w:type="dxa"/>
            </w:tcMar>
            <w:vAlign w:val="center"/>
          </w:tcPr>
          <w:p>
            <w:pPr>
              <w:pStyle w:val="Normal0"/>
              <w:spacing w:line="240" w:lineRule="atLeast"/>
              <w:jc w:val="center"/>
              <w:rPr>
                <w:rFonts w:ascii="宋体" w:hAnsi="宋体" w:cs="Arial Unicode MS" w:hint="eastAsia"/>
                <w:sz w:val="18"/>
                <w:szCs w:val="18"/>
              </w:rPr>
            </w:pPr>
          </w:p>
          <w:p>
            <w:pPr>
              <w:pStyle w:val="Normal0"/>
              <w:spacing w:line="240" w:lineRule="atLeast"/>
              <w:jc w:val="center"/>
              <w:rPr>
                <w:rFonts w:ascii="宋体" w:hAnsi="宋体" w:cs="Arial Unicode MS" w:hint="eastAsia"/>
                <w:sz w:val="18"/>
                <w:szCs w:val="18"/>
              </w:rPr>
            </w:pPr>
            <w:r>
              <w:rPr>
                <w:rFonts w:ascii="宋体" w:hAnsi="宋体"/>
                <w:sz w:val="20"/>
                <w:szCs w:val="18"/>
              </w:rPr>
              <w:pict>
                <v:line id="_x0000_s1065" o:spid="_x0000_s1065" style="flip:y;mso-height-relative:page;mso-width-relative:page;position:absolute;z-index:251703296" from="41.9pt,-0.85pt" to="151.5pt,15.25pt" coordsize="21600,21600"/>
              </w:pict>
            </w:r>
            <w:r>
              <w:rPr>
                <w:rFonts w:ascii="宋体" w:hAnsi="宋体" w:cs="Arial Unicode MS" w:hint="eastAsia"/>
                <w:sz w:val="18"/>
                <w:szCs w:val="18"/>
              </w:rPr>
              <w:t>销售</w:t>
            </w:r>
          </w:p>
          <w:p>
            <w:pPr>
              <w:pStyle w:val="Normal0"/>
              <w:spacing w:line="240" w:lineRule="atLeast"/>
              <w:jc w:val="center"/>
              <w:rPr>
                <w:rFonts w:ascii="宋体" w:hAnsi="宋体" w:cs="Arial Unicode MS" w:hint="eastAsia"/>
                <w:sz w:val="18"/>
                <w:szCs w:val="18"/>
              </w:rPr>
            </w:pPr>
            <w:r>
              <w:rPr>
                <w:rFonts w:ascii="宋体" w:hAnsi="宋体" w:cs="Arial Unicode MS" w:hint="eastAsia"/>
                <w:sz w:val="18"/>
                <w:szCs w:val="18"/>
              </w:rPr>
              <w:t>道具</w:t>
            </w:r>
          </w:p>
        </w:tc>
        <w:tc>
          <w:tcPr>
            <w:tcW w:w="2160" w:type="dxa"/>
            <w:vAlign w:val="center"/>
          </w:tcPr>
          <w:p>
            <w:pPr>
              <w:pStyle w:val="Normal0"/>
              <w:spacing w:line="240" w:lineRule="atLeast"/>
              <w:jc w:val="center"/>
              <w:rPr>
                <w:rFonts w:ascii="宋体" w:hAnsi="宋体" w:cs="Arial Unicode MS"/>
                <w:sz w:val="18"/>
                <w:szCs w:val="18"/>
              </w:rPr>
            </w:pPr>
          </w:p>
        </w:tc>
        <w:tc>
          <w:tcPr>
            <w:tcW w:w="2340" w:type="dxa"/>
            <w:tcMar>
              <w:top w:w="15" w:type="dxa"/>
              <w:left w:w="15" w:type="dxa"/>
              <w:bottom w:w="0" w:type="dxa"/>
              <w:right w:w="15" w:type="dxa"/>
            </w:tcMar>
            <w:vAlign w:val="center"/>
          </w:tcPr>
          <w:p>
            <w:pPr>
              <w:pStyle w:val="Normal0"/>
              <w:spacing w:line="240" w:lineRule="atLeast"/>
              <w:jc w:val="center"/>
              <w:rPr>
                <w:rFonts w:ascii="宋体" w:hAnsi="宋体" w:cs="Arial Unicode MS" w:hint="eastAsia"/>
                <w:szCs w:val="18"/>
              </w:rPr>
            </w:pPr>
            <w:r>
              <w:rPr>
                <w:rFonts w:ascii="宋体" w:hAnsi="宋体" w:cs="Arial Unicode MS" w:hint="eastAsia"/>
                <w:szCs w:val="18"/>
              </w:rPr>
              <w:t>多媒体电子楼书</w:t>
            </w:r>
          </w:p>
        </w:tc>
        <w:tc>
          <w:tcPr>
            <w:tcW w:w="1080" w:type="dxa"/>
            <w:tcMar>
              <w:top w:w="15" w:type="dxa"/>
              <w:left w:w="15" w:type="dxa"/>
              <w:bottom w:w="0" w:type="dxa"/>
              <w:right w:w="15" w:type="dxa"/>
            </w:tcMar>
            <w:vAlign w:val="center"/>
          </w:tcPr>
          <w:p>
            <w:pPr>
              <w:pStyle w:val="Normal0"/>
              <w:spacing w:line="240" w:lineRule="atLeast"/>
              <w:jc w:val="center"/>
              <w:rPr>
                <w:rFonts w:ascii="宋体" w:hAnsi="宋体" w:cs="Arial Unicode MS"/>
                <w:szCs w:val="18"/>
              </w:rPr>
            </w:pPr>
            <w:r>
              <w:rPr>
                <w:rFonts w:ascii="宋体" w:hAnsi="宋体"/>
                <w:sz w:val="20"/>
                <w:szCs w:val="18"/>
              </w:rPr>
              <w:pict>
                <v:line id="_x0000_s1066" o:spid="_x0000_s1066" style="flip:y;mso-height-relative:page;mso-width-relative:page;position:absolute;z-index:251699200" from="0.7pt,-1.45pt" to="54.85pt,14.8pt" coordsize="21600,21600"/>
              </w:pict>
            </w:r>
          </w:p>
        </w:tc>
        <w:tc>
          <w:tcPr>
            <w:tcW w:w="3600" w:type="dxa"/>
            <w:tcMar>
              <w:top w:w="15" w:type="dxa"/>
              <w:left w:w="15" w:type="dxa"/>
              <w:bottom w:w="0" w:type="dxa"/>
              <w:right w:w="15" w:type="dxa"/>
            </w:tcMar>
            <w:vAlign w:val="center"/>
          </w:tcPr>
          <w:p>
            <w:pPr>
              <w:pStyle w:val="Normal0"/>
              <w:spacing w:line="240" w:lineRule="atLeast"/>
              <w:jc w:val="center"/>
              <w:rPr>
                <w:rFonts w:ascii="宋体" w:hAnsi="宋体" w:cs="Arial Unicode MS"/>
                <w:sz w:val="18"/>
                <w:szCs w:val="18"/>
              </w:rPr>
            </w:pPr>
            <w:r>
              <w:rPr>
                <w:rFonts w:ascii="宋体" w:hAnsi="宋体" w:hint="eastAsia"/>
                <w:sz w:val="18"/>
                <w:szCs w:val="18"/>
              </w:rPr>
              <w:t>形象系列</w:t>
            </w:r>
          </w:p>
        </w:tc>
        <w:tc>
          <w:tcPr>
            <w:tcW w:w="1620" w:type="dxa"/>
            <w:vAlign w:val="center"/>
          </w:tcPr>
          <w:p>
            <w:pPr>
              <w:pStyle w:val="Normal0"/>
              <w:spacing w:line="240" w:lineRule="atLeast"/>
              <w:jc w:val="center"/>
              <w:rPr>
                <w:rFonts w:ascii="宋体" w:hAnsi="宋体" w:cs="Arial Unicode MS" w:hint="eastAsia"/>
                <w:sz w:val="18"/>
                <w:szCs w:val="18"/>
              </w:rPr>
            </w:pPr>
            <w:r>
              <w:rPr>
                <w:rFonts w:ascii="宋体" w:hAnsi="宋体" w:cs="Arial Unicode MS" w:hint="eastAsia"/>
                <w:sz w:val="18"/>
                <w:szCs w:val="18"/>
              </w:rPr>
              <w:t>5万</w:t>
            </w:r>
          </w:p>
        </w:tc>
        <w:tc>
          <w:tcPr>
            <w:tcW w:w="4320" w:type="dxa"/>
            <w:vMerge/>
            <w:tcMar>
              <w:top w:w="15" w:type="dxa"/>
              <w:left w:w="15" w:type="dxa"/>
              <w:bottom w:w="0" w:type="dxa"/>
              <w:right w:w="15" w:type="dxa"/>
            </w:tcMar>
            <w:vAlign w:val="center"/>
          </w:tcPr>
          <w:p>
            <w:pPr>
              <w:pStyle w:val="Normal0"/>
              <w:spacing w:line="240" w:lineRule="atLeast"/>
              <w:jc w:val="center"/>
              <w:rPr>
                <w:rFonts w:ascii="宋体" w:hAnsi="宋体" w:cs="Arial Unicode MS"/>
                <w:sz w:val="18"/>
                <w:szCs w:val="18"/>
              </w:rPr>
            </w:pPr>
          </w:p>
        </w:tc>
      </w:tr>
      <w:tr>
        <w:tblPrEx>
          <w:tblW w:w="16020" w:type="dxa"/>
          <w:tblInd w:w="1313" w:type="dxa"/>
          <w:tblCellMar>
            <w:top w:w="0" w:type="dxa"/>
            <w:left w:w="0" w:type="dxa"/>
            <w:bottom w:w="0" w:type="dxa"/>
            <w:right w:w="0" w:type="dxa"/>
          </w:tblCellMar>
        </w:tblPrEx>
        <w:trPr>
          <w:cantSplit/>
          <w:trHeight w:val="282"/>
        </w:trPr>
        <w:tc>
          <w:tcPr>
            <w:tcW w:w="900" w:type="dxa"/>
            <w:vMerge/>
            <w:tcMar>
              <w:top w:w="15" w:type="dxa"/>
              <w:left w:w="15" w:type="dxa"/>
              <w:bottom w:w="0" w:type="dxa"/>
              <w:right w:w="15" w:type="dxa"/>
            </w:tcMar>
            <w:vAlign w:val="center"/>
          </w:tcPr>
          <w:p>
            <w:pPr>
              <w:pStyle w:val="Normal0"/>
              <w:spacing w:line="240" w:lineRule="atLeast"/>
              <w:jc w:val="center"/>
              <w:rPr>
                <w:rFonts w:ascii="宋体" w:hAnsi="宋体"/>
                <w:sz w:val="18"/>
                <w:szCs w:val="18"/>
              </w:rPr>
            </w:pPr>
          </w:p>
        </w:tc>
        <w:tc>
          <w:tcPr>
            <w:tcW w:w="2160" w:type="dxa"/>
            <w:vAlign w:val="center"/>
          </w:tcPr>
          <w:p>
            <w:pPr>
              <w:pStyle w:val="Normal0"/>
              <w:spacing w:line="240" w:lineRule="atLeast"/>
              <w:jc w:val="center"/>
              <w:rPr>
                <w:rFonts w:ascii="宋体" w:hAnsi="宋体"/>
                <w:sz w:val="18"/>
                <w:szCs w:val="18"/>
              </w:rPr>
            </w:pPr>
          </w:p>
        </w:tc>
        <w:tc>
          <w:tcPr>
            <w:tcW w:w="2340" w:type="dxa"/>
            <w:tcMar>
              <w:top w:w="15" w:type="dxa"/>
              <w:left w:w="15" w:type="dxa"/>
              <w:bottom w:w="0" w:type="dxa"/>
              <w:right w:w="15" w:type="dxa"/>
            </w:tcMar>
            <w:vAlign w:val="center"/>
          </w:tcPr>
          <w:p>
            <w:pPr>
              <w:pStyle w:val="Normal0"/>
              <w:spacing w:line="240" w:lineRule="atLeast"/>
              <w:jc w:val="center"/>
              <w:rPr>
                <w:rFonts w:ascii="宋体" w:hAnsi="宋体" w:hint="eastAsia"/>
                <w:szCs w:val="18"/>
              </w:rPr>
            </w:pPr>
            <w:r>
              <w:rPr>
                <w:rFonts w:ascii="宋体" w:hAnsi="宋体"/>
                <w:sz w:val="20"/>
                <w:szCs w:val="18"/>
              </w:rPr>
              <w:pict>
                <v:line id="_x0000_s1067" o:spid="_x0000_s1067" style="flip:y;mso-height-relative:page;mso-width-relative:page;position:absolute;z-index:251700224" from="116.15pt,-1.15pt" to="170.3pt,15.1pt" coordsize="21600,21600"/>
              </w:pict>
            </w:r>
            <w:r>
              <w:rPr>
                <w:rFonts w:ascii="宋体" w:hAnsi="宋体" w:hint="eastAsia"/>
                <w:szCs w:val="18"/>
              </w:rPr>
              <w:t>楼书</w:t>
            </w:r>
          </w:p>
        </w:tc>
        <w:tc>
          <w:tcPr>
            <w:tcW w:w="1080" w:type="dxa"/>
            <w:tcMar>
              <w:top w:w="15" w:type="dxa"/>
              <w:left w:w="15" w:type="dxa"/>
              <w:bottom w:w="0" w:type="dxa"/>
              <w:right w:w="15" w:type="dxa"/>
            </w:tcMar>
            <w:vAlign w:val="center"/>
          </w:tcPr>
          <w:p>
            <w:pPr>
              <w:pStyle w:val="Normal0"/>
              <w:spacing w:line="240" w:lineRule="atLeast"/>
              <w:jc w:val="center"/>
              <w:rPr>
                <w:rFonts w:ascii="宋体" w:hAnsi="宋体" w:hint="eastAsia"/>
                <w:szCs w:val="18"/>
              </w:rPr>
            </w:pPr>
          </w:p>
        </w:tc>
        <w:tc>
          <w:tcPr>
            <w:tcW w:w="3600" w:type="dxa"/>
            <w:tcMar>
              <w:top w:w="15" w:type="dxa"/>
              <w:left w:w="15" w:type="dxa"/>
              <w:bottom w:w="0" w:type="dxa"/>
              <w:right w:w="15" w:type="dxa"/>
            </w:tcMar>
            <w:vAlign w:val="center"/>
          </w:tcPr>
          <w:p>
            <w:pPr>
              <w:pStyle w:val="Normal0"/>
              <w:spacing w:line="240" w:lineRule="atLeast"/>
              <w:jc w:val="center"/>
              <w:rPr>
                <w:rFonts w:ascii="宋体" w:hAnsi="宋体" w:hint="eastAsia"/>
                <w:sz w:val="18"/>
                <w:szCs w:val="18"/>
              </w:rPr>
            </w:pPr>
            <w:r>
              <w:rPr>
                <w:rFonts w:ascii="宋体" w:hAnsi="宋体" w:hint="eastAsia"/>
                <w:sz w:val="18"/>
                <w:szCs w:val="18"/>
              </w:rPr>
              <w:t>形象系列</w:t>
            </w:r>
          </w:p>
        </w:tc>
        <w:tc>
          <w:tcPr>
            <w:tcW w:w="1620" w:type="dxa"/>
            <w:vAlign w:val="center"/>
          </w:tcPr>
          <w:p>
            <w:pPr>
              <w:pStyle w:val="Normal0"/>
              <w:spacing w:line="240" w:lineRule="atLeast"/>
              <w:jc w:val="center"/>
              <w:rPr>
                <w:rFonts w:ascii="宋体" w:hAnsi="宋体" w:hint="eastAsia"/>
                <w:spacing w:val="-10"/>
                <w:sz w:val="18"/>
                <w:szCs w:val="18"/>
              </w:rPr>
            </w:pPr>
            <w:r>
              <w:rPr>
                <w:rFonts w:ascii="宋体" w:hAnsi="宋体" w:hint="eastAsia"/>
                <w:spacing w:val="-10"/>
                <w:sz w:val="18"/>
                <w:szCs w:val="18"/>
              </w:rPr>
              <w:t>50元×3千本</w:t>
            </w:r>
          </w:p>
        </w:tc>
        <w:tc>
          <w:tcPr>
            <w:tcW w:w="4320" w:type="dxa"/>
            <w:vMerge/>
            <w:tcMar>
              <w:top w:w="15" w:type="dxa"/>
              <w:left w:w="15" w:type="dxa"/>
              <w:bottom w:w="0" w:type="dxa"/>
              <w:right w:w="15" w:type="dxa"/>
            </w:tcMar>
            <w:vAlign w:val="center"/>
          </w:tcPr>
          <w:p>
            <w:pPr>
              <w:pStyle w:val="Normal0"/>
              <w:spacing w:line="240" w:lineRule="atLeast"/>
              <w:jc w:val="center"/>
              <w:rPr>
                <w:rFonts w:ascii="宋体" w:hAnsi="宋体" w:hint="eastAsia"/>
                <w:sz w:val="18"/>
                <w:szCs w:val="18"/>
              </w:rPr>
            </w:pPr>
          </w:p>
        </w:tc>
      </w:tr>
      <w:tr>
        <w:tblPrEx>
          <w:tblW w:w="16020" w:type="dxa"/>
          <w:tblInd w:w="1313" w:type="dxa"/>
          <w:tblCellMar>
            <w:top w:w="0" w:type="dxa"/>
            <w:left w:w="0" w:type="dxa"/>
            <w:bottom w:w="0" w:type="dxa"/>
            <w:right w:w="0" w:type="dxa"/>
          </w:tblCellMar>
        </w:tblPrEx>
        <w:trPr>
          <w:cantSplit/>
          <w:trHeight w:val="282"/>
        </w:trPr>
        <w:tc>
          <w:tcPr>
            <w:tcW w:w="900" w:type="dxa"/>
            <w:vMerge/>
            <w:tcMar>
              <w:top w:w="15" w:type="dxa"/>
              <w:left w:w="15" w:type="dxa"/>
              <w:bottom w:w="0" w:type="dxa"/>
              <w:right w:w="15" w:type="dxa"/>
            </w:tcMar>
            <w:vAlign w:val="center"/>
          </w:tcPr>
          <w:p>
            <w:pPr>
              <w:pStyle w:val="Normal0"/>
              <w:spacing w:line="240" w:lineRule="atLeast"/>
              <w:jc w:val="center"/>
              <w:rPr>
                <w:rFonts w:ascii="宋体" w:hAnsi="宋体"/>
                <w:sz w:val="18"/>
                <w:szCs w:val="18"/>
              </w:rPr>
            </w:pPr>
          </w:p>
        </w:tc>
        <w:tc>
          <w:tcPr>
            <w:tcW w:w="2160" w:type="dxa"/>
            <w:vAlign w:val="center"/>
          </w:tcPr>
          <w:p>
            <w:pPr>
              <w:pStyle w:val="Normal0"/>
              <w:spacing w:line="240" w:lineRule="atLeast"/>
              <w:jc w:val="center"/>
              <w:rPr>
                <w:rFonts w:ascii="宋体" w:hAnsi="宋体"/>
                <w:sz w:val="18"/>
                <w:szCs w:val="18"/>
              </w:rPr>
            </w:pPr>
            <w:r>
              <w:rPr>
                <w:rFonts w:ascii="宋体" w:hAnsi="宋体" w:cs="Arial Unicode MS"/>
                <w:sz w:val="20"/>
                <w:szCs w:val="18"/>
              </w:rPr>
              <w:pict>
                <v:line id="_x0000_s1068" o:spid="_x0000_s1068" style="flip:y;mso-height-relative:page;mso-width-relative:page;position:absolute;z-index:251706368" from="-0.35pt,15pt" to="109.25pt,31.1pt" coordsize="21600,21600"/>
              </w:pict>
            </w:r>
            <w:r>
              <w:rPr>
                <w:rFonts w:ascii="宋体" w:hAnsi="宋体" w:cs="Arial Unicode MS"/>
                <w:sz w:val="20"/>
                <w:szCs w:val="18"/>
              </w:rPr>
              <w:pict>
                <v:line id="_x0000_s1069" o:spid="_x0000_s1069" style="flip:y;mso-height-relative:page;mso-width-relative:page;position:absolute;z-index:251705344" from="-0.35pt,-0.8pt" to="109.25pt,15.3pt" coordsize="21600,21600"/>
              </w:pict>
            </w:r>
          </w:p>
        </w:tc>
        <w:tc>
          <w:tcPr>
            <w:tcW w:w="2340" w:type="dxa"/>
            <w:tcMar>
              <w:top w:w="15" w:type="dxa"/>
              <w:left w:w="15" w:type="dxa"/>
              <w:bottom w:w="0" w:type="dxa"/>
              <w:right w:w="15" w:type="dxa"/>
            </w:tcMar>
            <w:vAlign w:val="center"/>
          </w:tcPr>
          <w:p>
            <w:pPr>
              <w:pStyle w:val="Normal0"/>
              <w:spacing w:line="240" w:lineRule="atLeast"/>
              <w:jc w:val="center"/>
              <w:rPr>
                <w:rFonts w:ascii="宋体" w:hAnsi="宋体"/>
                <w:sz w:val="20"/>
                <w:szCs w:val="18"/>
              </w:rPr>
            </w:pPr>
            <w:r>
              <w:rPr>
                <w:rFonts w:ascii="宋体" w:hAnsi="宋体" w:hint="eastAsia"/>
                <w:szCs w:val="18"/>
              </w:rPr>
              <w:t>海报</w:t>
            </w:r>
          </w:p>
        </w:tc>
        <w:tc>
          <w:tcPr>
            <w:tcW w:w="1080" w:type="dxa"/>
            <w:tcMar>
              <w:top w:w="15" w:type="dxa"/>
              <w:left w:w="15" w:type="dxa"/>
              <w:bottom w:w="0" w:type="dxa"/>
              <w:right w:w="15" w:type="dxa"/>
            </w:tcMar>
            <w:vAlign w:val="center"/>
          </w:tcPr>
          <w:p>
            <w:pPr>
              <w:pStyle w:val="Normal0"/>
              <w:spacing w:line="240" w:lineRule="atLeast"/>
              <w:jc w:val="center"/>
              <w:rPr>
                <w:rFonts w:ascii="宋体" w:hAnsi="宋体" w:hint="eastAsia"/>
                <w:szCs w:val="18"/>
              </w:rPr>
            </w:pPr>
            <w:r>
              <w:rPr>
                <w:rFonts w:ascii="宋体" w:hAnsi="宋体"/>
                <w:sz w:val="20"/>
                <w:szCs w:val="18"/>
              </w:rPr>
              <w:pict>
                <v:line id="_x0000_s1070" o:spid="_x0000_s1070" style="flip:y;mso-height-relative:page;mso-width-relative:page;position:absolute;z-index:251704320" from="0,-0.55pt" to="54.15pt,15.7pt" coordsize="21600,21600"/>
              </w:pict>
            </w:r>
          </w:p>
        </w:tc>
        <w:tc>
          <w:tcPr>
            <w:tcW w:w="3600" w:type="dxa"/>
            <w:tcMar>
              <w:top w:w="15" w:type="dxa"/>
              <w:left w:w="15" w:type="dxa"/>
              <w:bottom w:w="0" w:type="dxa"/>
              <w:right w:w="15" w:type="dxa"/>
            </w:tcMar>
            <w:vAlign w:val="center"/>
          </w:tcPr>
          <w:p>
            <w:pPr>
              <w:pStyle w:val="Normal0"/>
              <w:spacing w:line="240" w:lineRule="atLeast"/>
              <w:jc w:val="center"/>
              <w:rPr>
                <w:rFonts w:ascii="宋体" w:hAnsi="宋体" w:hint="eastAsia"/>
                <w:sz w:val="18"/>
                <w:szCs w:val="18"/>
              </w:rPr>
            </w:pPr>
            <w:r>
              <w:rPr>
                <w:rFonts w:ascii="宋体" w:hAnsi="宋体" w:hint="eastAsia"/>
                <w:sz w:val="18"/>
                <w:szCs w:val="18"/>
              </w:rPr>
              <w:t>形象系列</w:t>
            </w:r>
          </w:p>
        </w:tc>
        <w:tc>
          <w:tcPr>
            <w:tcW w:w="1620" w:type="dxa"/>
            <w:vAlign w:val="center"/>
          </w:tcPr>
          <w:p>
            <w:pPr>
              <w:pStyle w:val="Normal0"/>
              <w:spacing w:line="240" w:lineRule="atLeast"/>
              <w:jc w:val="center"/>
              <w:rPr>
                <w:rFonts w:ascii="宋体" w:hAnsi="宋体" w:hint="eastAsia"/>
                <w:sz w:val="18"/>
                <w:szCs w:val="18"/>
              </w:rPr>
            </w:pPr>
            <w:r>
              <w:rPr>
                <w:rFonts w:ascii="宋体" w:hAnsi="宋体" w:hint="eastAsia"/>
                <w:sz w:val="18"/>
                <w:szCs w:val="18"/>
              </w:rPr>
              <w:t>1．5万</w:t>
            </w:r>
          </w:p>
        </w:tc>
        <w:tc>
          <w:tcPr>
            <w:tcW w:w="4320" w:type="dxa"/>
            <w:vMerge/>
            <w:tcMar>
              <w:top w:w="15" w:type="dxa"/>
              <w:left w:w="15" w:type="dxa"/>
              <w:bottom w:w="0" w:type="dxa"/>
              <w:right w:w="15" w:type="dxa"/>
            </w:tcMar>
            <w:vAlign w:val="center"/>
          </w:tcPr>
          <w:p>
            <w:pPr>
              <w:pStyle w:val="Normal0"/>
              <w:spacing w:line="240" w:lineRule="atLeast"/>
              <w:jc w:val="center"/>
              <w:rPr>
                <w:rFonts w:ascii="宋体" w:hAnsi="宋体" w:hint="eastAsia"/>
                <w:sz w:val="18"/>
                <w:szCs w:val="18"/>
              </w:rPr>
            </w:pPr>
          </w:p>
        </w:tc>
      </w:tr>
      <w:tr>
        <w:tblPrEx>
          <w:tblW w:w="16020" w:type="dxa"/>
          <w:tblInd w:w="1313" w:type="dxa"/>
          <w:tblCellMar>
            <w:top w:w="0" w:type="dxa"/>
            <w:left w:w="0" w:type="dxa"/>
            <w:bottom w:w="0" w:type="dxa"/>
            <w:right w:w="0" w:type="dxa"/>
          </w:tblCellMar>
        </w:tblPrEx>
        <w:trPr>
          <w:cantSplit/>
          <w:trHeight w:val="282"/>
        </w:trPr>
        <w:tc>
          <w:tcPr>
            <w:tcW w:w="900" w:type="dxa"/>
            <w:vMerge/>
            <w:tcMar>
              <w:top w:w="15" w:type="dxa"/>
              <w:left w:w="15" w:type="dxa"/>
              <w:bottom w:w="0" w:type="dxa"/>
              <w:right w:w="15" w:type="dxa"/>
            </w:tcMar>
            <w:vAlign w:val="center"/>
          </w:tcPr>
          <w:p>
            <w:pPr>
              <w:pStyle w:val="Normal0"/>
              <w:spacing w:line="240" w:lineRule="atLeast"/>
              <w:jc w:val="center"/>
              <w:rPr>
                <w:rFonts w:ascii="宋体" w:hAnsi="宋体"/>
                <w:sz w:val="18"/>
                <w:szCs w:val="18"/>
              </w:rPr>
            </w:pPr>
          </w:p>
        </w:tc>
        <w:tc>
          <w:tcPr>
            <w:tcW w:w="2160" w:type="dxa"/>
            <w:vAlign w:val="center"/>
          </w:tcPr>
          <w:p>
            <w:pPr>
              <w:pStyle w:val="Normal0"/>
              <w:spacing w:line="240" w:lineRule="atLeast"/>
              <w:jc w:val="center"/>
              <w:rPr>
                <w:rFonts w:ascii="宋体" w:hAnsi="宋体"/>
                <w:sz w:val="18"/>
                <w:szCs w:val="18"/>
              </w:rPr>
            </w:pPr>
          </w:p>
        </w:tc>
        <w:tc>
          <w:tcPr>
            <w:tcW w:w="2340" w:type="dxa"/>
            <w:tcMar>
              <w:top w:w="15" w:type="dxa"/>
              <w:left w:w="15" w:type="dxa"/>
              <w:bottom w:w="0" w:type="dxa"/>
              <w:right w:w="15" w:type="dxa"/>
            </w:tcMar>
            <w:vAlign w:val="center"/>
          </w:tcPr>
          <w:p>
            <w:pPr>
              <w:pStyle w:val="Normal0"/>
              <w:spacing w:line="240" w:lineRule="atLeast"/>
              <w:jc w:val="center"/>
              <w:rPr>
                <w:rFonts w:ascii="宋体" w:hAnsi="宋体" w:hint="eastAsia"/>
                <w:szCs w:val="18"/>
              </w:rPr>
            </w:pPr>
            <w:r>
              <w:rPr>
                <w:rFonts w:ascii="宋体" w:hAnsi="宋体"/>
                <w:sz w:val="20"/>
                <w:szCs w:val="18"/>
              </w:rPr>
              <w:pict>
                <v:line id="_x0000_s1071" o:spid="_x0000_s1071" style="flip:y;mso-height-relative:page;mso-width-relative:page;position:absolute;z-index:251701248" from="116.25pt,-0.15pt" to="170.4pt,16.1pt" coordsize="21600,21600"/>
              </w:pict>
            </w:r>
            <w:r>
              <w:rPr>
                <w:rFonts w:ascii="宋体" w:hAnsi="宋体" w:hint="eastAsia"/>
                <w:szCs w:val="18"/>
              </w:rPr>
              <w:t>VI应用类</w:t>
            </w:r>
          </w:p>
        </w:tc>
        <w:tc>
          <w:tcPr>
            <w:tcW w:w="1080" w:type="dxa"/>
            <w:tcMar>
              <w:top w:w="15" w:type="dxa"/>
              <w:left w:w="15" w:type="dxa"/>
              <w:bottom w:w="0" w:type="dxa"/>
              <w:right w:w="15" w:type="dxa"/>
            </w:tcMar>
            <w:vAlign w:val="center"/>
          </w:tcPr>
          <w:p>
            <w:pPr>
              <w:pStyle w:val="Normal0"/>
              <w:spacing w:line="240" w:lineRule="atLeast"/>
              <w:jc w:val="center"/>
              <w:rPr>
                <w:rFonts w:ascii="宋体" w:hAnsi="宋体" w:hint="eastAsia"/>
                <w:szCs w:val="18"/>
              </w:rPr>
            </w:pPr>
            <w:r>
              <w:rPr>
                <w:rFonts w:ascii="宋体" w:hAnsi="宋体"/>
                <w:sz w:val="20"/>
                <w:szCs w:val="18"/>
              </w:rPr>
              <w:pict>
                <v:line id="_x0000_s1072" o:spid="_x0000_s1072" style="flip:y;mso-height-relative:page;mso-width-relative:page;position:absolute;z-index:251702272" from="-0.3pt,15.25pt" to="53.85pt,31.5pt" coordsize="21600,21600"/>
              </w:pict>
            </w:r>
          </w:p>
        </w:tc>
        <w:tc>
          <w:tcPr>
            <w:tcW w:w="3600" w:type="dxa"/>
            <w:tcMar>
              <w:top w:w="15" w:type="dxa"/>
              <w:left w:w="15" w:type="dxa"/>
              <w:bottom w:w="0" w:type="dxa"/>
              <w:right w:w="15" w:type="dxa"/>
            </w:tcMar>
            <w:vAlign w:val="center"/>
          </w:tcPr>
          <w:p>
            <w:pPr>
              <w:pStyle w:val="Normal0"/>
              <w:spacing w:line="240" w:lineRule="atLeast"/>
              <w:jc w:val="center"/>
              <w:rPr>
                <w:rFonts w:ascii="宋体" w:hAnsi="宋体" w:hint="eastAsia"/>
                <w:color w:val="333333"/>
                <w:sz w:val="18"/>
                <w:szCs w:val="18"/>
              </w:rPr>
            </w:pPr>
            <w:r>
              <w:rPr>
                <w:rFonts w:ascii="宋体" w:hAnsi="宋体" w:hint="eastAsia"/>
                <w:sz w:val="18"/>
                <w:szCs w:val="18"/>
              </w:rPr>
              <w:t>形象系列</w:t>
            </w:r>
          </w:p>
        </w:tc>
        <w:tc>
          <w:tcPr>
            <w:tcW w:w="1620" w:type="dxa"/>
            <w:vAlign w:val="center"/>
          </w:tcPr>
          <w:p>
            <w:pPr>
              <w:pStyle w:val="Normal0"/>
              <w:spacing w:line="240" w:lineRule="atLeast"/>
              <w:jc w:val="center"/>
              <w:rPr>
                <w:rFonts w:ascii="宋体" w:hAnsi="宋体" w:hint="eastAsia"/>
                <w:color w:val="333333"/>
                <w:sz w:val="18"/>
                <w:szCs w:val="18"/>
              </w:rPr>
            </w:pPr>
            <w:r>
              <w:rPr>
                <w:rFonts w:ascii="宋体" w:hAnsi="宋体" w:hint="eastAsia"/>
                <w:color w:val="333333"/>
                <w:sz w:val="18"/>
                <w:szCs w:val="18"/>
              </w:rPr>
              <w:t>5万</w:t>
            </w:r>
          </w:p>
        </w:tc>
        <w:tc>
          <w:tcPr>
            <w:tcW w:w="4320" w:type="dxa"/>
            <w:vMerge/>
            <w:tcMar>
              <w:top w:w="15" w:type="dxa"/>
              <w:left w:w="15" w:type="dxa"/>
              <w:bottom w:w="0" w:type="dxa"/>
              <w:right w:w="15" w:type="dxa"/>
            </w:tcMar>
            <w:vAlign w:val="center"/>
          </w:tcPr>
          <w:p>
            <w:pPr>
              <w:pStyle w:val="Normal0"/>
              <w:spacing w:line="240" w:lineRule="atLeast"/>
              <w:jc w:val="center"/>
              <w:rPr>
                <w:rFonts w:ascii="宋体" w:hAnsi="宋体" w:hint="eastAsia"/>
                <w:sz w:val="18"/>
                <w:szCs w:val="18"/>
              </w:rPr>
            </w:pPr>
          </w:p>
        </w:tc>
      </w:tr>
      <w:tr>
        <w:tblPrEx>
          <w:tblW w:w="16020" w:type="dxa"/>
          <w:tblInd w:w="1313" w:type="dxa"/>
          <w:tblCellMar>
            <w:top w:w="0" w:type="dxa"/>
            <w:left w:w="0" w:type="dxa"/>
            <w:bottom w:w="0" w:type="dxa"/>
            <w:right w:w="0" w:type="dxa"/>
          </w:tblCellMar>
        </w:tblPrEx>
        <w:trPr>
          <w:cantSplit/>
          <w:trHeight w:val="282"/>
        </w:trPr>
        <w:tc>
          <w:tcPr>
            <w:tcW w:w="900" w:type="dxa"/>
            <w:vMerge w:val="restart"/>
            <w:tcMar>
              <w:top w:w="15" w:type="dxa"/>
              <w:left w:w="15" w:type="dxa"/>
              <w:bottom w:w="0" w:type="dxa"/>
              <w:right w:w="15" w:type="dxa"/>
            </w:tcMar>
            <w:vAlign w:val="center"/>
          </w:tcPr>
          <w:p>
            <w:pPr>
              <w:pStyle w:val="Normal0"/>
              <w:spacing w:line="240" w:lineRule="exact"/>
              <w:jc w:val="center"/>
              <w:rPr>
                <w:rFonts w:ascii="宋体" w:hAnsi="宋体" w:cs="Arial Unicode MS" w:hint="eastAsia"/>
                <w:sz w:val="18"/>
                <w:szCs w:val="18"/>
              </w:rPr>
            </w:pPr>
            <w:r>
              <w:rPr>
                <w:rFonts w:ascii="宋体" w:hAnsi="宋体" w:cs="Arial Unicode MS" w:hint="eastAsia"/>
                <w:sz w:val="18"/>
                <w:szCs w:val="18"/>
              </w:rPr>
              <w:t>售楼</w:t>
            </w:r>
          </w:p>
          <w:p>
            <w:pPr>
              <w:pStyle w:val="Normal0"/>
              <w:spacing w:line="240" w:lineRule="exact"/>
              <w:jc w:val="center"/>
              <w:rPr>
                <w:rFonts w:ascii="宋体" w:hAnsi="宋体" w:cs="Arial Unicode MS" w:hint="eastAsia"/>
                <w:sz w:val="18"/>
                <w:szCs w:val="18"/>
              </w:rPr>
            </w:pPr>
            <w:r>
              <w:rPr>
                <w:rFonts w:ascii="宋体" w:hAnsi="宋体" w:cs="Arial Unicode MS" w:hint="eastAsia"/>
                <w:sz w:val="18"/>
                <w:szCs w:val="18"/>
              </w:rPr>
              <w:t>现场</w:t>
            </w:r>
          </w:p>
        </w:tc>
        <w:tc>
          <w:tcPr>
            <w:tcW w:w="2160" w:type="dxa"/>
            <w:vAlign w:val="center"/>
          </w:tcPr>
          <w:p>
            <w:pPr>
              <w:pStyle w:val="Normal0"/>
              <w:spacing w:line="240" w:lineRule="exact"/>
              <w:jc w:val="center"/>
              <w:rPr>
                <w:rFonts w:ascii="宋体" w:hAnsi="宋体" w:cs="Arial Unicode MS" w:hint="eastAsia"/>
                <w:sz w:val="18"/>
                <w:szCs w:val="18"/>
              </w:rPr>
            </w:pPr>
            <w:r>
              <w:rPr>
                <w:rFonts w:ascii="宋体" w:hAnsi="宋体" w:cs="Arial Unicode MS" w:hint="eastAsia"/>
                <w:sz w:val="18"/>
                <w:szCs w:val="18"/>
              </w:rPr>
              <w:t>1－2台</w:t>
            </w:r>
          </w:p>
        </w:tc>
        <w:tc>
          <w:tcPr>
            <w:tcW w:w="2340" w:type="dxa"/>
            <w:tcMar>
              <w:top w:w="15" w:type="dxa"/>
              <w:left w:w="15" w:type="dxa"/>
              <w:bottom w:w="0" w:type="dxa"/>
              <w:right w:w="15" w:type="dxa"/>
            </w:tcMar>
            <w:vAlign w:val="center"/>
          </w:tcPr>
          <w:p>
            <w:pPr>
              <w:pStyle w:val="Normal0"/>
              <w:spacing w:line="240" w:lineRule="exact"/>
              <w:jc w:val="center"/>
              <w:rPr>
                <w:rFonts w:ascii="宋体" w:hAnsi="宋体" w:cs="Arial Unicode MS" w:hint="eastAsia"/>
                <w:szCs w:val="18"/>
              </w:rPr>
            </w:pPr>
            <w:r>
              <w:rPr>
                <w:rFonts w:ascii="宋体" w:hAnsi="宋体" w:cs="Arial Unicode MS" w:hint="eastAsia"/>
                <w:szCs w:val="18"/>
              </w:rPr>
              <w:t>背投或液晶电视</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cs="Arial Unicode MS"/>
                <w:szCs w:val="18"/>
              </w:rPr>
            </w:pPr>
          </w:p>
        </w:tc>
        <w:tc>
          <w:tcPr>
            <w:tcW w:w="3600" w:type="dxa"/>
            <w:vMerge w:val="restart"/>
            <w:tcMar>
              <w:top w:w="15" w:type="dxa"/>
              <w:left w:w="15" w:type="dxa"/>
              <w:bottom w:w="0" w:type="dxa"/>
              <w:right w:w="15" w:type="dxa"/>
            </w:tcMar>
            <w:vAlign w:val="center"/>
          </w:tcPr>
          <w:p>
            <w:pPr>
              <w:pStyle w:val="Normal0"/>
              <w:spacing w:line="240" w:lineRule="exact"/>
              <w:jc w:val="center"/>
              <w:rPr>
                <w:rFonts w:ascii="宋体" w:hAnsi="宋体" w:cs="Arial Unicode MS"/>
                <w:sz w:val="18"/>
                <w:szCs w:val="18"/>
              </w:rPr>
            </w:pPr>
            <w:r>
              <w:rPr>
                <w:rFonts w:ascii="宋体" w:hAnsi="宋体"/>
                <w:sz w:val="20"/>
                <w:szCs w:val="18"/>
              </w:rPr>
              <w:pict>
                <v:line id="_x0000_s1073" o:spid="_x0000_s1073" style="flip:y;mso-height-relative:page;mso-width-relative:page;position:absolute;z-index:251710464" from="0.15pt,-1.25pt" to="180.65pt,45.05pt" coordsize="21600,21600"/>
              </w:pict>
            </w:r>
          </w:p>
        </w:tc>
        <w:tc>
          <w:tcPr>
            <w:tcW w:w="1620" w:type="dxa"/>
            <w:vAlign w:val="center"/>
          </w:tcPr>
          <w:p>
            <w:pPr>
              <w:pStyle w:val="Normal0"/>
              <w:spacing w:line="240" w:lineRule="exact"/>
              <w:jc w:val="center"/>
              <w:rPr>
                <w:rFonts w:ascii="宋体" w:hAnsi="宋体" w:cs="Arial Unicode MS" w:hint="eastAsia"/>
                <w:sz w:val="18"/>
                <w:szCs w:val="18"/>
              </w:rPr>
            </w:pPr>
            <w:r>
              <w:rPr>
                <w:rFonts w:ascii="宋体" w:hAnsi="宋体" w:cs="Arial Unicode MS" w:hint="eastAsia"/>
                <w:sz w:val="18"/>
                <w:szCs w:val="18"/>
              </w:rPr>
              <w:t>2万/台×1</w:t>
            </w:r>
          </w:p>
        </w:tc>
        <w:tc>
          <w:tcPr>
            <w:tcW w:w="4320" w:type="dxa"/>
            <w:tcMar>
              <w:top w:w="15" w:type="dxa"/>
              <w:left w:w="15" w:type="dxa"/>
              <w:bottom w:w="0" w:type="dxa"/>
              <w:right w:w="15" w:type="dxa"/>
            </w:tcMar>
            <w:vAlign w:val="center"/>
          </w:tcPr>
          <w:p>
            <w:pPr>
              <w:pStyle w:val="Normal0"/>
              <w:spacing w:line="240" w:lineRule="exact"/>
              <w:jc w:val="center"/>
              <w:rPr>
                <w:rFonts w:ascii="宋体" w:hAnsi="宋体" w:cs="Arial Unicode MS"/>
                <w:sz w:val="16"/>
                <w:szCs w:val="16"/>
              </w:rPr>
            </w:pPr>
          </w:p>
        </w:tc>
      </w:tr>
      <w:tr>
        <w:tblPrEx>
          <w:tblW w:w="16020" w:type="dxa"/>
          <w:tblInd w:w="1313" w:type="dxa"/>
          <w:tblCellMar>
            <w:top w:w="0" w:type="dxa"/>
            <w:left w:w="0" w:type="dxa"/>
            <w:bottom w:w="0" w:type="dxa"/>
            <w:right w:w="0" w:type="dxa"/>
          </w:tblCellMar>
        </w:tblPrEx>
        <w:trPr>
          <w:cantSplit/>
          <w:trHeight w:val="282"/>
        </w:trPr>
        <w:tc>
          <w:tcPr>
            <w:tcW w:w="900" w:type="dxa"/>
            <w:vMerge/>
            <w:tcMar>
              <w:top w:w="15" w:type="dxa"/>
              <w:left w:w="15" w:type="dxa"/>
              <w:bottom w:w="0" w:type="dxa"/>
              <w:right w:w="15" w:type="dxa"/>
            </w:tcMar>
            <w:vAlign w:val="center"/>
          </w:tcPr>
          <w:p>
            <w:pPr>
              <w:pStyle w:val="Normal0"/>
              <w:spacing w:line="240" w:lineRule="exact"/>
              <w:jc w:val="center"/>
              <w:rPr>
                <w:rFonts w:ascii="宋体" w:hAnsi="宋体" w:cs="Arial Unicode MS"/>
                <w:sz w:val="18"/>
                <w:szCs w:val="18"/>
              </w:rPr>
            </w:pPr>
          </w:p>
        </w:tc>
        <w:tc>
          <w:tcPr>
            <w:tcW w:w="2160" w:type="dxa"/>
            <w:vAlign w:val="center"/>
          </w:tcPr>
          <w:p>
            <w:pPr>
              <w:pStyle w:val="Normal0"/>
              <w:spacing w:line="240" w:lineRule="exact"/>
              <w:jc w:val="center"/>
              <w:rPr>
                <w:rFonts w:ascii="宋体" w:hAnsi="宋体" w:cs="Arial Unicode MS" w:hint="eastAsia"/>
                <w:sz w:val="18"/>
                <w:szCs w:val="18"/>
              </w:rPr>
            </w:pPr>
            <w:r>
              <w:rPr>
                <w:rFonts w:ascii="宋体" w:hAnsi="宋体" w:cs="Arial Unicode MS" w:hint="eastAsia"/>
                <w:sz w:val="18"/>
                <w:szCs w:val="18"/>
              </w:rPr>
              <w:t>5台(根据接待台数量而定)</w:t>
            </w:r>
          </w:p>
        </w:tc>
        <w:tc>
          <w:tcPr>
            <w:tcW w:w="2340" w:type="dxa"/>
            <w:tcMar>
              <w:top w:w="15" w:type="dxa"/>
              <w:left w:w="15" w:type="dxa"/>
              <w:bottom w:w="0" w:type="dxa"/>
              <w:right w:w="15" w:type="dxa"/>
            </w:tcMar>
            <w:vAlign w:val="center"/>
          </w:tcPr>
          <w:p>
            <w:pPr>
              <w:pStyle w:val="Normal0"/>
              <w:spacing w:line="240" w:lineRule="exact"/>
              <w:jc w:val="center"/>
              <w:rPr>
                <w:rFonts w:ascii="宋体" w:hAnsi="宋体" w:cs="Arial Unicode MS" w:hint="eastAsia"/>
                <w:szCs w:val="18"/>
              </w:rPr>
            </w:pPr>
            <w:r>
              <w:rPr>
                <w:rFonts w:ascii="宋体" w:hAnsi="宋体"/>
                <w:sz w:val="20"/>
                <w:szCs w:val="18"/>
              </w:rPr>
              <w:pict>
                <v:line id="_x0000_s1074" o:spid="_x0000_s1074" style="flip:y;mso-height-relative:page;mso-width-relative:page;position:absolute;z-index:251708416" from="115.7pt,-0.8pt" to="169.85pt,13.6pt" coordsize="21600,21600"/>
              </w:pict>
            </w:r>
            <w:r>
              <w:rPr>
                <w:rFonts w:ascii="宋体" w:hAnsi="宋体" w:cs="Arial Unicode MS" w:hint="eastAsia"/>
                <w:szCs w:val="18"/>
              </w:rPr>
              <w:t>售楼用手提电脑</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cs="Arial Unicode MS"/>
                <w:szCs w:val="18"/>
              </w:rPr>
            </w:pPr>
          </w:p>
        </w:tc>
        <w:tc>
          <w:tcPr>
            <w:tcW w:w="3600" w:type="dxa"/>
            <w:vMerge/>
            <w:tcMar>
              <w:top w:w="15" w:type="dxa"/>
              <w:left w:w="15" w:type="dxa"/>
              <w:bottom w:w="0" w:type="dxa"/>
              <w:right w:w="15" w:type="dxa"/>
            </w:tcMar>
            <w:vAlign w:val="center"/>
          </w:tcPr>
          <w:p>
            <w:pPr>
              <w:pStyle w:val="Normal0"/>
              <w:spacing w:line="240" w:lineRule="exact"/>
              <w:jc w:val="center"/>
              <w:rPr>
                <w:rFonts w:ascii="宋体" w:hAnsi="宋体" w:cs="Arial Unicode MS"/>
                <w:sz w:val="18"/>
                <w:szCs w:val="18"/>
              </w:rPr>
            </w:pPr>
          </w:p>
        </w:tc>
        <w:tc>
          <w:tcPr>
            <w:tcW w:w="1620" w:type="dxa"/>
            <w:vAlign w:val="center"/>
          </w:tcPr>
          <w:p>
            <w:pPr>
              <w:pStyle w:val="Normal0"/>
              <w:spacing w:line="240" w:lineRule="exact"/>
              <w:jc w:val="center"/>
              <w:rPr>
                <w:rFonts w:ascii="宋体" w:hAnsi="宋体" w:cs="Arial Unicode MS" w:hint="eastAsia"/>
                <w:sz w:val="18"/>
                <w:szCs w:val="18"/>
              </w:rPr>
            </w:pPr>
            <w:r>
              <w:rPr>
                <w:rFonts w:ascii="宋体" w:hAnsi="宋体" w:cs="Arial Unicode MS" w:hint="eastAsia"/>
                <w:sz w:val="18"/>
                <w:szCs w:val="18"/>
              </w:rPr>
              <w:t>1万×5台</w:t>
            </w:r>
          </w:p>
        </w:tc>
        <w:tc>
          <w:tcPr>
            <w:tcW w:w="4320" w:type="dxa"/>
            <w:vMerge w:val="restart"/>
            <w:tcMar>
              <w:top w:w="15" w:type="dxa"/>
              <w:left w:w="15" w:type="dxa"/>
              <w:bottom w:w="0" w:type="dxa"/>
              <w:right w:w="15" w:type="dxa"/>
            </w:tcMar>
            <w:vAlign w:val="center"/>
          </w:tcPr>
          <w:p>
            <w:pPr>
              <w:pStyle w:val="Normal0"/>
              <w:spacing w:line="240" w:lineRule="exact"/>
              <w:jc w:val="center"/>
              <w:rPr>
                <w:rFonts w:ascii="宋体" w:hAnsi="宋体" w:cs="Arial Unicode MS"/>
                <w:sz w:val="16"/>
                <w:szCs w:val="16"/>
              </w:rPr>
            </w:pPr>
          </w:p>
        </w:tc>
      </w:tr>
      <w:tr>
        <w:tblPrEx>
          <w:tblW w:w="16020" w:type="dxa"/>
          <w:tblInd w:w="1313" w:type="dxa"/>
          <w:tblCellMar>
            <w:top w:w="0" w:type="dxa"/>
            <w:left w:w="0" w:type="dxa"/>
            <w:bottom w:w="0" w:type="dxa"/>
            <w:right w:w="0" w:type="dxa"/>
          </w:tblCellMar>
        </w:tblPrEx>
        <w:trPr>
          <w:cantSplit/>
          <w:trHeight w:val="282"/>
        </w:trPr>
        <w:tc>
          <w:tcPr>
            <w:tcW w:w="900" w:type="dxa"/>
            <w:vMerge/>
            <w:tcMar>
              <w:top w:w="15" w:type="dxa"/>
              <w:left w:w="15" w:type="dxa"/>
              <w:bottom w:w="0" w:type="dxa"/>
              <w:right w:w="15" w:type="dxa"/>
            </w:tcMar>
            <w:vAlign w:val="center"/>
          </w:tcPr>
          <w:p>
            <w:pPr>
              <w:pStyle w:val="Normal0"/>
              <w:spacing w:line="240" w:lineRule="exact"/>
              <w:jc w:val="center"/>
              <w:rPr>
                <w:rFonts w:ascii="宋体" w:hAnsi="宋体"/>
                <w:sz w:val="18"/>
                <w:szCs w:val="18"/>
              </w:rPr>
            </w:pPr>
          </w:p>
        </w:tc>
        <w:tc>
          <w:tcPr>
            <w:tcW w:w="2160" w:type="dxa"/>
            <w:vAlign w:val="center"/>
          </w:tcPr>
          <w:p>
            <w:pPr>
              <w:pStyle w:val="Normal0"/>
              <w:spacing w:line="240" w:lineRule="exact"/>
              <w:jc w:val="center"/>
              <w:rPr>
                <w:rFonts w:ascii="宋体" w:hAnsi="宋体"/>
                <w:sz w:val="18"/>
                <w:szCs w:val="18"/>
              </w:rPr>
            </w:pPr>
          </w:p>
        </w:tc>
        <w:tc>
          <w:tcPr>
            <w:tcW w:w="2340" w:type="dxa"/>
            <w:tcMar>
              <w:top w:w="15" w:type="dxa"/>
              <w:left w:w="15" w:type="dxa"/>
              <w:bottom w:w="0" w:type="dxa"/>
              <w:right w:w="15" w:type="dxa"/>
            </w:tcMar>
            <w:vAlign w:val="center"/>
          </w:tcPr>
          <w:p>
            <w:pPr>
              <w:pStyle w:val="Normal0"/>
              <w:spacing w:line="240" w:lineRule="exact"/>
              <w:jc w:val="center"/>
              <w:rPr>
                <w:rFonts w:ascii="宋体" w:hAnsi="宋体" w:hint="eastAsia"/>
                <w:szCs w:val="18"/>
              </w:rPr>
            </w:pPr>
            <w:r>
              <w:rPr>
                <w:rFonts w:ascii="宋体" w:hAnsi="宋体" w:hint="eastAsia"/>
                <w:szCs w:val="18"/>
              </w:rPr>
              <w:t>企业铭牌制作</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hint="eastAsia"/>
                <w:szCs w:val="18"/>
              </w:rPr>
            </w:pPr>
            <w:r>
              <w:rPr>
                <w:rFonts w:ascii="宋体" w:hAnsi="宋体"/>
                <w:sz w:val="20"/>
                <w:szCs w:val="18"/>
              </w:rPr>
              <w:pict>
                <v:line id="_x0000_s1075" o:spid="_x0000_s1075" style="flip:y;mso-height-relative:page;mso-width-relative:page;position:absolute;z-index:251709440" from="-0.35pt,-0.55pt" to="53.2pt,13.85pt" coordsize="21600,21600"/>
              </w:pict>
            </w:r>
          </w:p>
        </w:tc>
        <w:tc>
          <w:tcPr>
            <w:tcW w:w="3600" w:type="dxa"/>
            <w:vMerge/>
            <w:tcMar>
              <w:top w:w="15" w:type="dxa"/>
              <w:left w:w="15" w:type="dxa"/>
              <w:bottom w:w="0" w:type="dxa"/>
              <w:right w:w="15" w:type="dxa"/>
            </w:tcMar>
            <w:vAlign w:val="center"/>
          </w:tcPr>
          <w:p>
            <w:pPr>
              <w:pStyle w:val="Normal0"/>
              <w:spacing w:line="240" w:lineRule="exact"/>
              <w:jc w:val="center"/>
              <w:rPr>
                <w:rFonts w:ascii="宋体" w:hAnsi="宋体" w:hint="eastAsia"/>
                <w:sz w:val="18"/>
                <w:szCs w:val="18"/>
              </w:rPr>
            </w:pPr>
          </w:p>
        </w:tc>
        <w:tc>
          <w:tcPr>
            <w:tcW w:w="1620" w:type="dxa"/>
            <w:vAlign w:val="center"/>
          </w:tcPr>
          <w:p>
            <w:pPr>
              <w:pStyle w:val="Normal0"/>
              <w:spacing w:line="240" w:lineRule="exact"/>
              <w:jc w:val="center"/>
              <w:rPr>
                <w:rFonts w:ascii="宋体" w:hAnsi="宋体" w:hint="eastAsia"/>
                <w:sz w:val="18"/>
                <w:szCs w:val="18"/>
              </w:rPr>
            </w:pPr>
            <w:r>
              <w:rPr>
                <w:rFonts w:ascii="宋体" w:hAnsi="宋体" w:hint="eastAsia"/>
                <w:sz w:val="18"/>
                <w:szCs w:val="18"/>
              </w:rPr>
              <w:t>0.3万×1</w:t>
            </w:r>
          </w:p>
        </w:tc>
        <w:tc>
          <w:tcPr>
            <w:tcW w:w="4320" w:type="dxa"/>
            <w:vMerge/>
            <w:tcMar>
              <w:top w:w="15" w:type="dxa"/>
              <w:left w:w="15" w:type="dxa"/>
              <w:bottom w:w="0" w:type="dxa"/>
              <w:right w:w="15" w:type="dxa"/>
            </w:tcMar>
            <w:vAlign w:val="center"/>
          </w:tcPr>
          <w:p>
            <w:pPr>
              <w:pStyle w:val="Normal0"/>
              <w:spacing w:line="240" w:lineRule="exact"/>
              <w:jc w:val="center"/>
              <w:rPr>
                <w:rFonts w:ascii="宋体" w:hAnsi="宋体" w:hint="eastAsia"/>
                <w:sz w:val="16"/>
                <w:szCs w:val="16"/>
              </w:rPr>
            </w:pPr>
          </w:p>
        </w:tc>
      </w:tr>
      <w:tr>
        <w:tblPrEx>
          <w:tblW w:w="16020" w:type="dxa"/>
          <w:tblInd w:w="1313" w:type="dxa"/>
          <w:tblCellMar>
            <w:top w:w="0" w:type="dxa"/>
            <w:left w:w="0" w:type="dxa"/>
            <w:bottom w:w="0" w:type="dxa"/>
            <w:right w:w="0" w:type="dxa"/>
          </w:tblCellMar>
        </w:tblPrEx>
        <w:trPr>
          <w:cantSplit/>
          <w:trHeight w:val="282"/>
        </w:trPr>
        <w:tc>
          <w:tcPr>
            <w:tcW w:w="900" w:type="dxa"/>
            <w:vMerge/>
            <w:tcMar>
              <w:top w:w="15" w:type="dxa"/>
              <w:left w:w="15" w:type="dxa"/>
              <w:bottom w:w="0" w:type="dxa"/>
              <w:right w:w="15" w:type="dxa"/>
            </w:tcMar>
            <w:vAlign w:val="center"/>
          </w:tcPr>
          <w:p>
            <w:pPr>
              <w:pStyle w:val="Normal0"/>
              <w:spacing w:line="240" w:lineRule="exact"/>
              <w:jc w:val="center"/>
              <w:rPr>
                <w:rFonts w:ascii="宋体" w:hAnsi="宋体"/>
                <w:sz w:val="18"/>
                <w:szCs w:val="18"/>
              </w:rPr>
            </w:pPr>
          </w:p>
        </w:tc>
        <w:tc>
          <w:tcPr>
            <w:tcW w:w="2160" w:type="dxa"/>
            <w:vAlign w:val="center"/>
          </w:tcPr>
          <w:p>
            <w:pPr>
              <w:pStyle w:val="Normal0"/>
              <w:spacing w:line="240" w:lineRule="exact"/>
              <w:jc w:val="center"/>
              <w:rPr>
                <w:rFonts w:ascii="宋体" w:hAnsi="宋体"/>
                <w:sz w:val="18"/>
                <w:szCs w:val="18"/>
              </w:rPr>
            </w:pPr>
          </w:p>
        </w:tc>
        <w:tc>
          <w:tcPr>
            <w:tcW w:w="2340" w:type="dxa"/>
            <w:tcMar>
              <w:top w:w="15" w:type="dxa"/>
              <w:left w:w="15" w:type="dxa"/>
              <w:bottom w:w="0" w:type="dxa"/>
              <w:right w:w="15" w:type="dxa"/>
            </w:tcMar>
            <w:vAlign w:val="center"/>
          </w:tcPr>
          <w:p>
            <w:pPr>
              <w:pStyle w:val="Normal0"/>
              <w:spacing w:line="240" w:lineRule="exact"/>
              <w:jc w:val="center"/>
              <w:rPr>
                <w:rFonts w:ascii="宋体" w:hAnsi="宋体" w:hint="eastAsia"/>
                <w:szCs w:val="18"/>
              </w:rPr>
            </w:pPr>
            <w:r>
              <w:rPr>
                <w:rFonts w:ascii="宋体" w:hAnsi="宋体"/>
                <w:sz w:val="20"/>
                <w:szCs w:val="18"/>
              </w:rPr>
              <w:pict>
                <v:line id="_x0000_s1076" o:spid="_x0000_s1076" style="flip:y;mso-height-relative:page;mso-width-relative:page;position:absolute;z-index:251707392" from="116.5pt,-1.1pt" to="170.05pt,13.3pt" coordsize="21600,21600"/>
              </w:pict>
            </w:r>
            <w:r>
              <w:rPr>
                <w:rFonts w:ascii="宋体" w:hAnsi="宋体" w:cs="Arial Unicode MS" w:hint="eastAsia"/>
                <w:szCs w:val="18"/>
              </w:rPr>
              <w:t>售楼处展示板</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sz w:val="20"/>
                <w:szCs w:val="18"/>
              </w:rPr>
            </w:pPr>
          </w:p>
        </w:tc>
        <w:tc>
          <w:tcPr>
            <w:tcW w:w="3600" w:type="dxa"/>
            <w:tcMar>
              <w:top w:w="15" w:type="dxa"/>
              <w:left w:w="15" w:type="dxa"/>
              <w:bottom w:w="0" w:type="dxa"/>
              <w:right w:w="15" w:type="dxa"/>
            </w:tcMar>
            <w:vAlign w:val="center"/>
          </w:tcPr>
          <w:p>
            <w:pPr>
              <w:pStyle w:val="Normal0"/>
              <w:spacing w:line="240" w:lineRule="exact"/>
              <w:jc w:val="center"/>
              <w:rPr>
                <w:rFonts w:ascii="宋体" w:hAnsi="宋体" w:hint="eastAsia"/>
                <w:sz w:val="18"/>
                <w:szCs w:val="18"/>
              </w:rPr>
            </w:pPr>
            <w:r>
              <w:rPr>
                <w:rFonts w:ascii="宋体" w:hAnsi="宋体" w:hint="eastAsia"/>
                <w:sz w:val="18"/>
                <w:szCs w:val="18"/>
              </w:rPr>
              <w:t>形象系列</w:t>
            </w:r>
          </w:p>
        </w:tc>
        <w:tc>
          <w:tcPr>
            <w:tcW w:w="1620" w:type="dxa"/>
            <w:vAlign w:val="center"/>
          </w:tcPr>
          <w:p>
            <w:pPr>
              <w:pStyle w:val="Normal0"/>
              <w:spacing w:line="240" w:lineRule="exact"/>
              <w:jc w:val="center"/>
              <w:rPr>
                <w:rFonts w:ascii="宋体" w:hAnsi="宋体" w:hint="eastAsia"/>
                <w:sz w:val="18"/>
                <w:szCs w:val="18"/>
              </w:rPr>
            </w:pPr>
            <w:r>
              <w:rPr>
                <w:rFonts w:ascii="宋体" w:hAnsi="宋体" w:hint="eastAsia"/>
                <w:sz w:val="18"/>
                <w:szCs w:val="18"/>
              </w:rPr>
              <w:t>0.5万×1</w:t>
            </w:r>
          </w:p>
        </w:tc>
        <w:tc>
          <w:tcPr>
            <w:tcW w:w="4320" w:type="dxa"/>
            <w:vMerge/>
            <w:tcMar>
              <w:top w:w="15" w:type="dxa"/>
              <w:left w:w="15" w:type="dxa"/>
              <w:bottom w:w="0" w:type="dxa"/>
              <w:right w:w="15" w:type="dxa"/>
            </w:tcMar>
            <w:vAlign w:val="center"/>
          </w:tcPr>
          <w:p>
            <w:pPr>
              <w:pStyle w:val="Normal0"/>
              <w:spacing w:line="240" w:lineRule="exact"/>
              <w:jc w:val="center"/>
              <w:rPr>
                <w:rFonts w:ascii="宋体" w:hAnsi="宋体" w:hint="eastAsia"/>
                <w:sz w:val="16"/>
                <w:szCs w:val="16"/>
              </w:rPr>
            </w:pPr>
          </w:p>
        </w:tc>
      </w:tr>
      <w:tr>
        <w:tblPrEx>
          <w:tblW w:w="16020" w:type="dxa"/>
          <w:tblInd w:w="1313" w:type="dxa"/>
          <w:tblCellMar>
            <w:top w:w="0" w:type="dxa"/>
            <w:left w:w="0" w:type="dxa"/>
            <w:bottom w:w="0" w:type="dxa"/>
            <w:right w:w="0" w:type="dxa"/>
          </w:tblCellMar>
        </w:tblPrEx>
        <w:trPr>
          <w:cantSplit/>
          <w:trHeight w:val="282"/>
        </w:trPr>
        <w:tc>
          <w:tcPr>
            <w:tcW w:w="900" w:type="dxa"/>
            <w:vMerge/>
            <w:tcMar>
              <w:top w:w="15" w:type="dxa"/>
              <w:left w:w="15" w:type="dxa"/>
              <w:bottom w:w="0" w:type="dxa"/>
              <w:right w:w="15" w:type="dxa"/>
            </w:tcMar>
            <w:vAlign w:val="center"/>
          </w:tcPr>
          <w:p>
            <w:pPr>
              <w:pStyle w:val="Normal0"/>
              <w:spacing w:line="240" w:lineRule="exact"/>
              <w:jc w:val="center"/>
              <w:rPr>
                <w:rFonts w:ascii="宋体" w:hAnsi="宋体"/>
                <w:sz w:val="18"/>
                <w:szCs w:val="18"/>
              </w:rPr>
            </w:pPr>
          </w:p>
        </w:tc>
        <w:tc>
          <w:tcPr>
            <w:tcW w:w="2160" w:type="dxa"/>
            <w:vAlign w:val="center"/>
          </w:tcPr>
          <w:p>
            <w:pPr>
              <w:pStyle w:val="Normal0"/>
              <w:spacing w:line="240" w:lineRule="exact"/>
              <w:jc w:val="center"/>
              <w:rPr>
                <w:rFonts w:ascii="宋体" w:hAnsi="宋体"/>
                <w:sz w:val="18"/>
                <w:szCs w:val="18"/>
              </w:rPr>
            </w:pPr>
          </w:p>
        </w:tc>
        <w:tc>
          <w:tcPr>
            <w:tcW w:w="2340" w:type="dxa"/>
            <w:tcMar>
              <w:top w:w="15" w:type="dxa"/>
              <w:left w:w="15" w:type="dxa"/>
              <w:bottom w:w="0" w:type="dxa"/>
              <w:right w:w="15" w:type="dxa"/>
            </w:tcMar>
            <w:vAlign w:val="center"/>
          </w:tcPr>
          <w:p>
            <w:pPr>
              <w:pStyle w:val="Normal0"/>
              <w:spacing w:line="240" w:lineRule="exact"/>
              <w:jc w:val="center"/>
              <w:rPr>
                <w:rFonts w:ascii="宋体" w:hAnsi="宋体" w:hint="eastAsia"/>
                <w:szCs w:val="18"/>
              </w:rPr>
            </w:pPr>
            <w:r>
              <w:rPr>
                <w:rFonts w:ascii="宋体" w:hAnsi="宋体"/>
                <w:sz w:val="20"/>
                <w:szCs w:val="18"/>
              </w:rPr>
              <w:pict>
                <v:line id="_x0000_s1077" o:spid="_x0000_s1077" style="flip:y;mso-height-relative:page;mso-width-relative:page;position:absolute;z-index:251712512" from="116.55pt,-1.85pt" to="171.05pt,13.5pt" coordsize="21600,21600"/>
              </w:pict>
            </w:r>
            <w:r>
              <w:rPr>
                <w:rFonts w:ascii="宋体" w:hAnsi="宋体" w:cs="Arial Unicode MS" w:hint="eastAsia"/>
                <w:szCs w:val="18"/>
              </w:rPr>
              <w:t>资料架子</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sz w:val="20"/>
                <w:szCs w:val="18"/>
              </w:rPr>
            </w:pPr>
          </w:p>
        </w:tc>
        <w:tc>
          <w:tcPr>
            <w:tcW w:w="3600" w:type="dxa"/>
            <w:vMerge w:val="restart"/>
            <w:tcMar>
              <w:top w:w="15" w:type="dxa"/>
              <w:left w:w="15" w:type="dxa"/>
              <w:bottom w:w="0" w:type="dxa"/>
              <w:right w:w="15" w:type="dxa"/>
            </w:tcMar>
            <w:vAlign w:val="center"/>
          </w:tcPr>
          <w:p>
            <w:pPr>
              <w:pStyle w:val="Normal0"/>
              <w:spacing w:line="240" w:lineRule="exact"/>
              <w:jc w:val="center"/>
              <w:rPr>
                <w:rFonts w:ascii="宋体" w:hAnsi="宋体" w:hint="eastAsia"/>
                <w:sz w:val="18"/>
                <w:szCs w:val="18"/>
              </w:rPr>
            </w:pPr>
            <w:r>
              <w:rPr>
                <w:rFonts w:ascii="宋体" w:hAnsi="宋体"/>
                <w:sz w:val="20"/>
                <w:szCs w:val="18"/>
              </w:rPr>
              <w:pict>
                <v:line id="_x0000_s1078" o:spid="_x0000_s1078" style="flip:y;mso-height-relative:page;mso-width-relative:page;position:absolute;z-index:251713536" from="-0.5pt,-0.75pt" to="179.45pt,28.85pt" coordsize="21600,21600"/>
              </w:pict>
            </w:r>
          </w:p>
        </w:tc>
        <w:tc>
          <w:tcPr>
            <w:tcW w:w="1620" w:type="dxa"/>
            <w:vAlign w:val="center"/>
          </w:tcPr>
          <w:p>
            <w:pPr>
              <w:pStyle w:val="Normal0"/>
              <w:spacing w:line="240" w:lineRule="exact"/>
              <w:jc w:val="center"/>
              <w:rPr>
                <w:rFonts w:ascii="宋体" w:hAnsi="宋体" w:hint="eastAsia"/>
                <w:sz w:val="18"/>
                <w:szCs w:val="18"/>
              </w:rPr>
            </w:pPr>
            <w:r>
              <w:rPr>
                <w:rFonts w:ascii="宋体" w:hAnsi="宋体" w:hint="eastAsia"/>
                <w:sz w:val="18"/>
                <w:szCs w:val="18"/>
              </w:rPr>
              <w:t>0.05万×1</w:t>
            </w:r>
          </w:p>
        </w:tc>
        <w:tc>
          <w:tcPr>
            <w:tcW w:w="4320" w:type="dxa"/>
            <w:vMerge/>
            <w:tcMar>
              <w:top w:w="15" w:type="dxa"/>
              <w:left w:w="15" w:type="dxa"/>
              <w:bottom w:w="0" w:type="dxa"/>
              <w:right w:w="15" w:type="dxa"/>
            </w:tcMar>
            <w:vAlign w:val="center"/>
          </w:tcPr>
          <w:p>
            <w:pPr>
              <w:pStyle w:val="Normal0"/>
              <w:spacing w:line="240" w:lineRule="exact"/>
              <w:jc w:val="center"/>
              <w:rPr>
                <w:rFonts w:ascii="宋体" w:hAnsi="宋体" w:hint="eastAsia"/>
                <w:sz w:val="16"/>
                <w:szCs w:val="16"/>
              </w:rPr>
            </w:pPr>
          </w:p>
        </w:tc>
      </w:tr>
      <w:tr>
        <w:tblPrEx>
          <w:tblW w:w="16020" w:type="dxa"/>
          <w:tblInd w:w="1313" w:type="dxa"/>
          <w:tblCellMar>
            <w:top w:w="0" w:type="dxa"/>
            <w:left w:w="0" w:type="dxa"/>
            <w:bottom w:w="0" w:type="dxa"/>
            <w:right w:w="0" w:type="dxa"/>
          </w:tblCellMar>
        </w:tblPrEx>
        <w:trPr>
          <w:cantSplit/>
          <w:trHeight w:val="282"/>
        </w:trPr>
        <w:tc>
          <w:tcPr>
            <w:tcW w:w="900" w:type="dxa"/>
            <w:vMerge/>
            <w:tcMar>
              <w:top w:w="15" w:type="dxa"/>
              <w:left w:w="15" w:type="dxa"/>
              <w:bottom w:w="0" w:type="dxa"/>
              <w:right w:w="15" w:type="dxa"/>
            </w:tcMar>
            <w:vAlign w:val="center"/>
          </w:tcPr>
          <w:p>
            <w:pPr>
              <w:pStyle w:val="Normal0"/>
              <w:spacing w:line="240" w:lineRule="exact"/>
              <w:jc w:val="center"/>
              <w:rPr>
                <w:rFonts w:ascii="宋体" w:hAnsi="宋体" w:cs="Arial Unicode MS" w:hint="eastAsia"/>
                <w:sz w:val="18"/>
                <w:szCs w:val="18"/>
              </w:rPr>
            </w:pPr>
          </w:p>
        </w:tc>
        <w:tc>
          <w:tcPr>
            <w:tcW w:w="2160" w:type="dxa"/>
            <w:vAlign w:val="center"/>
          </w:tcPr>
          <w:p>
            <w:pPr>
              <w:pStyle w:val="Normal0"/>
              <w:spacing w:line="240" w:lineRule="exact"/>
              <w:jc w:val="center"/>
              <w:rPr>
                <w:rFonts w:ascii="宋体" w:hAnsi="宋体" w:cs="Arial Unicode MS" w:hint="eastAsia"/>
                <w:sz w:val="18"/>
                <w:szCs w:val="18"/>
              </w:rPr>
            </w:pPr>
          </w:p>
        </w:tc>
        <w:tc>
          <w:tcPr>
            <w:tcW w:w="2340" w:type="dxa"/>
            <w:tcMar>
              <w:top w:w="15" w:type="dxa"/>
              <w:left w:w="15" w:type="dxa"/>
              <w:bottom w:w="0" w:type="dxa"/>
              <w:right w:w="15" w:type="dxa"/>
            </w:tcMar>
            <w:vAlign w:val="center"/>
          </w:tcPr>
          <w:p>
            <w:pPr>
              <w:pStyle w:val="Normal0"/>
              <w:spacing w:line="240" w:lineRule="exact"/>
              <w:jc w:val="center"/>
              <w:rPr>
                <w:rFonts w:ascii="宋体" w:hAnsi="宋体" w:cs="Arial Unicode MS" w:hint="eastAsia"/>
                <w:szCs w:val="18"/>
              </w:rPr>
            </w:pPr>
            <w:r>
              <w:rPr>
                <w:rFonts w:ascii="宋体" w:hAnsi="宋体"/>
                <w:sz w:val="20"/>
                <w:szCs w:val="18"/>
              </w:rPr>
              <w:pict>
                <v:line id="_x0000_s1079" o:spid="_x0000_s1079" style="flip:y;mso-height-relative:page;mso-width-relative:page;position:absolute;z-index:251711488" from="116.25pt,-1.7pt" to="170.2pt,13.1pt" coordsize="21600,21600"/>
              </w:pict>
            </w:r>
            <w:r>
              <w:rPr>
                <w:rFonts w:ascii="宋体" w:hAnsi="宋体" w:cs="Arial Unicode MS" w:hint="eastAsia"/>
                <w:szCs w:val="18"/>
              </w:rPr>
              <w:t>接待道具</w:t>
            </w:r>
          </w:p>
        </w:tc>
        <w:tc>
          <w:tcPr>
            <w:tcW w:w="1080" w:type="dxa"/>
            <w:tcMar>
              <w:top w:w="15" w:type="dxa"/>
              <w:left w:w="15" w:type="dxa"/>
              <w:bottom w:w="0" w:type="dxa"/>
              <w:right w:w="15" w:type="dxa"/>
            </w:tcMar>
            <w:vAlign w:val="center"/>
          </w:tcPr>
          <w:p>
            <w:pPr>
              <w:pStyle w:val="Normal0"/>
              <w:spacing w:line="240" w:lineRule="exact"/>
              <w:jc w:val="center"/>
              <w:rPr>
                <w:rFonts w:ascii="宋体" w:hAnsi="宋体" w:cs="Arial Unicode MS"/>
                <w:szCs w:val="18"/>
              </w:rPr>
            </w:pPr>
          </w:p>
        </w:tc>
        <w:tc>
          <w:tcPr>
            <w:tcW w:w="3600" w:type="dxa"/>
            <w:vMerge/>
            <w:tcMar>
              <w:top w:w="15" w:type="dxa"/>
              <w:left w:w="15" w:type="dxa"/>
              <w:bottom w:w="0" w:type="dxa"/>
              <w:right w:w="15" w:type="dxa"/>
            </w:tcMar>
            <w:vAlign w:val="center"/>
          </w:tcPr>
          <w:p>
            <w:pPr>
              <w:pStyle w:val="Normal0"/>
              <w:spacing w:line="240" w:lineRule="exact"/>
              <w:jc w:val="center"/>
              <w:rPr>
                <w:rFonts w:ascii="宋体" w:hAnsi="宋体" w:cs="Arial Unicode MS"/>
                <w:sz w:val="18"/>
                <w:szCs w:val="18"/>
              </w:rPr>
            </w:pPr>
          </w:p>
        </w:tc>
        <w:tc>
          <w:tcPr>
            <w:tcW w:w="1620" w:type="dxa"/>
            <w:vAlign w:val="center"/>
          </w:tcPr>
          <w:p>
            <w:pPr>
              <w:pStyle w:val="Normal0"/>
              <w:spacing w:line="240" w:lineRule="exact"/>
              <w:jc w:val="center"/>
              <w:rPr>
                <w:rFonts w:ascii="宋体" w:hAnsi="宋体" w:cs="Arial Unicode MS" w:hint="eastAsia"/>
                <w:sz w:val="18"/>
                <w:szCs w:val="18"/>
              </w:rPr>
            </w:pPr>
            <w:r>
              <w:rPr>
                <w:rFonts w:ascii="宋体" w:hAnsi="宋体" w:cs="Arial Unicode MS" w:hint="eastAsia"/>
                <w:sz w:val="18"/>
                <w:szCs w:val="18"/>
              </w:rPr>
              <w:t>2万</w:t>
            </w:r>
          </w:p>
        </w:tc>
        <w:tc>
          <w:tcPr>
            <w:tcW w:w="4320" w:type="dxa"/>
            <w:vMerge/>
            <w:tcMar>
              <w:top w:w="15" w:type="dxa"/>
              <w:left w:w="15" w:type="dxa"/>
              <w:bottom w:w="0" w:type="dxa"/>
              <w:right w:w="15" w:type="dxa"/>
            </w:tcMar>
            <w:vAlign w:val="center"/>
          </w:tcPr>
          <w:p>
            <w:pPr>
              <w:pStyle w:val="Normal0"/>
              <w:spacing w:line="240" w:lineRule="exact"/>
              <w:jc w:val="center"/>
              <w:rPr>
                <w:rFonts w:ascii="宋体" w:hAnsi="宋体" w:cs="Arial Unicode MS"/>
                <w:sz w:val="16"/>
                <w:szCs w:val="16"/>
              </w:rPr>
            </w:pPr>
          </w:p>
        </w:tc>
      </w:tr>
      <w:tr>
        <w:tblPrEx>
          <w:tblW w:w="16020" w:type="dxa"/>
          <w:tblInd w:w="1313" w:type="dxa"/>
          <w:tblCellMar>
            <w:top w:w="0" w:type="dxa"/>
            <w:left w:w="0" w:type="dxa"/>
            <w:bottom w:w="0" w:type="dxa"/>
            <w:right w:w="0" w:type="dxa"/>
          </w:tblCellMar>
        </w:tblPrEx>
        <w:trPr>
          <w:cantSplit/>
          <w:trHeight w:val="282"/>
        </w:trPr>
        <w:tc>
          <w:tcPr>
            <w:tcW w:w="900" w:type="dxa"/>
            <w:tcMar>
              <w:top w:w="15" w:type="dxa"/>
              <w:left w:w="15" w:type="dxa"/>
              <w:bottom w:w="0" w:type="dxa"/>
              <w:right w:w="15" w:type="dxa"/>
            </w:tcMar>
            <w:vAlign w:val="center"/>
          </w:tcPr>
          <w:p>
            <w:pPr>
              <w:pStyle w:val="Normal0"/>
              <w:spacing w:line="240" w:lineRule="exact"/>
              <w:jc w:val="center"/>
              <w:rPr>
                <w:rFonts w:ascii="宋体" w:hAnsi="宋体" w:hint="eastAsia"/>
                <w:sz w:val="18"/>
                <w:szCs w:val="18"/>
              </w:rPr>
            </w:pPr>
            <w:r>
              <w:rPr>
                <w:rFonts w:ascii="宋体" w:hAnsi="宋体" w:hint="eastAsia"/>
                <w:sz w:val="18"/>
                <w:szCs w:val="18"/>
              </w:rPr>
              <w:t>活动部分</w:t>
            </w:r>
          </w:p>
        </w:tc>
        <w:tc>
          <w:tcPr>
            <w:tcW w:w="9180" w:type="dxa"/>
            <w:gridSpan w:val="4"/>
            <w:vAlign w:val="center"/>
          </w:tcPr>
          <w:p>
            <w:pPr>
              <w:pStyle w:val="Normal0"/>
              <w:spacing w:line="240" w:lineRule="exact"/>
              <w:jc w:val="center"/>
              <w:rPr>
                <w:rFonts w:ascii="宋体" w:hAnsi="宋体" w:hint="eastAsia"/>
                <w:sz w:val="18"/>
                <w:szCs w:val="18"/>
              </w:rPr>
            </w:pPr>
            <w:r>
              <w:rPr>
                <w:rFonts w:ascii="宋体" w:hAnsi="宋体" w:hint="eastAsia"/>
                <w:sz w:val="18"/>
                <w:szCs w:val="18"/>
              </w:rPr>
              <w:t>首批客户签约仪式及首届业主联谊会举办(高尔夫友谊赛)</w:t>
            </w:r>
          </w:p>
        </w:tc>
        <w:tc>
          <w:tcPr>
            <w:tcW w:w="1620" w:type="dxa"/>
            <w:vAlign w:val="center"/>
          </w:tcPr>
          <w:p>
            <w:pPr>
              <w:pStyle w:val="Normal0"/>
              <w:spacing w:line="240" w:lineRule="exact"/>
              <w:jc w:val="center"/>
              <w:rPr>
                <w:rFonts w:ascii="宋体" w:hAnsi="宋体" w:hint="eastAsia"/>
                <w:sz w:val="18"/>
                <w:szCs w:val="18"/>
              </w:rPr>
            </w:pPr>
            <w:r>
              <w:rPr>
                <w:rFonts w:ascii="宋体" w:hAnsi="宋体" w:hint="eastAsia"/>
                <w:sz w:val="18"/>
                <w:szCs w:val="18"/>
              </w:rPr>
              <w:t>10万</w:t>
            </w:r>
          </w:p>
        </w:tc>
        <w:tc>
          <w:tcPr>
            <w:tcW w:w="4320" w:type="dxa"/>
            <w:vMerge/>
            <w:tcMar>
              <w:top w:w="15" w:type="dxa"/>
              <w:left w:w="15" w:type="dxa"/>
              <w:bottom w:w="0" w:type="dxa"/>
              <w:right w:w="15" w:type="dxa"/>
            </w:tcMar>
            <w:vAlign w:val="center"/>
          </w:tcPr>
          <w:p>
            <w:pPr>
              <w:pStyle w:val="Normal0"/>
              <w:spacing w:line="240" w:lineRule="exact"/>
              <w:jc w:val="center"/>
              <w:rPr>
                <w:rFonts w:ascii="宋体" w:hAnsi="宋体" w:hint="eastAsia"/>
                <w:sz w:val="16"/>
                <w:szCs w:val="16"/>
              </w:rPr>
            </w:pPr>
          </w:p>
        </w:tc>
      </w:tr>
      <w:tr>
        <w:tblPrEx>
          <w:tblW w:w="16020" w:type="dxa"/>
          <w:tblInd w:w="1313" w:type="dxa"/>
          <w:tblCellMar>
            <w:top w:w="0" w:type="dxa"/>
            <w:left w:w="0" w:type="dxa"/>
            <w:bottom w:w="0" w:type="dxa"/>
            <w:right w:w="0" w:type="dxa"/>
          </w:tblCellMar>
        </w:tblPrEx>
        <w:trPr>
          <w:cantSplit/>
          <w:trHeight w:val="282"/>
        </w:trPr>
        <w:tc>
          <w:tcPr>
            <w:tcW w:w="900" w:type="dxa"/>
            <w:tcMar>
              <w:top w:w="15" w:type="dxa"/>
              <w:left w:w="15" w:type="dxa"/>
              <w:bottom w:w="0" w:type="dxa"/>
              <w:right w:w="15" w:type="dxa"/>
            </w:tcMar>
            <w:vAlign w:val="center"/>
          </w:tcPr>
          <w:p>
            <w:pPr>
              <w:pStyle w:val="Normal0"/>
              <w:spacing w:line="240" w:lineRule="exact"/>
              <w:jc w:val="center"/>
              <w:rPr>
                <w:rFonts w:ascii="宋体" w:hAnsi="宋体" w:hint="eastAsia"/>
                <w:color w:val="000000"/>
                <w:sz w:val="18"/>
                <w:szCs w:val="18"/>
              </w:rPr>
            </w:pPr>
            <w:r>
              <w:rPr>
                <w:rFonts w:ascii="宋体" w:hAnsi="宋体" w:hint="eastAsia"/>
                <w:color w:val="000000"/>
                <w:sz w:val="18"/>
                <w:szCs w:val="18"/>
              </w:rPr>
              <w:t>其他</w:t>
            </w:r>
          </w:p>
        </w:tc>
        <w:tc>
          <w:tcPr>
            <w:tcW w:w="9180" w:type="dxa"/>
            <w:gridSpan w:val="4"/>
            <w:vAlign w:val="center"/>
          </w:tcPr>
          <w:p>
            <w:pPr>
              <w:pStyle w:val="Normal0"/>
              <w:spacing w:line="240" w:lineRule="exact"/>
              <w:jc w:val="center"/>
              <w:rPr>
                <w:rFonts w:ascii="宋体" w:hAnsi="宋体" w:hint="eastAsia"/>
                <w:sz w:val="18"/>
                <w:szCs w:val="18"/>
              </w:rPr>
            </w:pPr>
          </w:p>
        </w:tc>
        <w:tc>
          <w:tcPr>
            <w:tcW w:w="1620" w:type="dxa"/>
            <w:vAlign w:val="center"/>
          </w:tcPr>
          <w:p>
            <w:pPr>
              <w:pStyle w:val="Normal0"/>
              <w:spacing w:line="240" w:lineRule="exact"/>
              <w:jc w:val="center"/>
              <w:rPr>
                <w:rFonts w:ascii="宋体" w:hAnsi="宋体" w:hint="eastAsia"/>
                <w:sz w:val="18"/>
                <w:szCs w:val="18"/>
              </w:rPr>
            </w:pPr>
          </w:p>
        </w:tc>
        <w:tc>
          <w:tcPr>
            <w:tcW w:w="4320" w:type="dxa"/>
            <w:vMerge/>
            <w:tcMar>
              <w:top w:w="15" w:type="dxa"/>
              <w:left w:w="15" w:type="dxa"/>
              <w:bottom w:w="0" w:type="dxa"/>
              <w:right w:w="15" w:type="dxa"/>
            </w:tcMar>
            <w:vAlign w:val="center"/>
          </w:tcPr>
          <w:p>
            <w:pPr>
              <w:pStyle w:val="Normal0"/>
              <w:spacing w:line="240" w:lineRule="exact"/>
              <w:jc w:val="center"/>
              <w:rPr>
                <w:rFonts w:ascii="宋体" w:hAnsi="宋体" w:hint="eastAsia"/>
                <w:sz w:val="22"/>
                <w:szCs w:val="22"/>
              </w:rPr>
            </w:pPr>
          </w:p>
        </w:tc>
      </w:tr>
      <w:tr>
        <w:tblPrEx>
          <w:tblW w:w="16020" w:type="dxa"/>
          <w:tblInd w:w="1313" w:type="dxa"/>
          <w:tblCellMar>
            <w:top w:w="0" w:type="dxa"/>
            <w:left w:w="0" w:type="dxa"/>
            <w:bottom w:w="0" w:type="dxa"/>
            <w:right w:w="0" w:type="dxa"/>
          </w:tblCellMar>
        </w:tblPrEx>
        <w:trPr>
          <w:cantSplit/>
          <w:trHeight w:val="282"/>
        </w:trPr>
        <w:tc>
          <w:tcPr>
            <w:tcW w:w="900" w:type="dxa"/>
            <w:tcMar>
              <w:top w:w="15" w:type="dxa"/>
              <w:left w:w="15" w:type="dxa"/>
              <w:bottom w:w="0" w:type="dxa"/>
              <w:right w:w="15" w:type="dxa"/>
            </w:tcMar>
            <w:vAlign w:val="center"/>
          </w:tcPr>
          <w:p>
            <w:pPr>
              <w:pStyle w:val="Normal0"/>
              <w:spacing w:line="240" w:lineRule="exact"/>
              <w:jc w:val="center"/>
              <w:rPr>
                <w:rFonts w:ascii="宋体" w:hAnsi="宋体" w:cs="Arial Unicode MS" w:hint="eastAsia"/>
                <w:sz w:val="18"/>
                <w:szCs w:val="18"/>
              </w:rPr>
            </w:pPr>
            <w:r>
              <w:rPr>
                <w:rFonts w:ascii="宋体" w:hAnsi="宋体" w:cs="Arial Unicode MS" w:hint="eastAsia"/>
                <w:sz w:val="18"/>
                <w:szCs w:val="18"/>
              </w:rPr>
              <w:t>总计</w:t>
            </w:r>
          </w:p>
        </w:tc>
        <w:tc>
          <w:tcPr>
            <w:tcW w:w="10800" w:type="dxa"/>
            <w:gridSpan w:val="5"/>
            <w:vAlign w:val="center"/>
          </w:tcPr>
          <w:p>
            <w:pPr>
              <w:pStyle w:val="Normal0"/>
              <w:spacing w:line="240" w:lineRule="exact"/>
              <w:ind w:firstLine="9000" w:firstLineChars="5000"/>
              <w:rPr>
                <w:rFonts w:ascii="宋体" w:hAnsi="宋体" w:cs="Arial Unicode MS" w:hint="eastAsia"/>
                <w:sz w:val="18"/>
                <w:szCs w:val="18"/>
              </w:rPr>
            </w:pPr>
            <w:r>
              <w:rPr>
                <w:rFonts w:ascii="宋体" w:hAnsi="宋体" w:cs="Arial Unicode MS" w:hint="eastAsia"/>
                <w:sz w:val="18"/>
                <w:szCs w:val="18"/>
              </w:rPr>
              <w:t>172.75万元人民币</w:t>
            </w:r>
          </w:p>
        </w:tc>
        <w:tc>
          <w:tcPr>
            <w:tcW w:w="4320" w:type="dxa"/>
            <w:tcMar>
              <w:top w:w="15" w:type="dxa"/>
              <w:left w:w="15" w:type="dxa"/>
              <w:bottom w:w="0" w:type="dxa"/>
              <w:right w:w="15" w:type="dxa"/>
            </w:tcMar>
            <w:vAlign w:val="center"/>
          </w:tcPr>
          <w:p>
            <w:pPr>
              <w:pStyle w:val="Normal0"/>
              <w:spacing w:line="240" w:lineRule="exact"/>
              <w:jc w:val="center"/>
              <w:rPr>
                <w:rFonts w:ascii="宋体" w:hAnsi="宋体" w:cs="Arial Unicode MS"/>
                <w:sz w:val="16"/>
                <w:szCs w:val="16"/>
              </w:rPr>
            </w:pPr>
          </w:p>
        </w:tc>
      </w:tr>
      <w:tr>
        <w:tblPrEx>
          <w:tblW w:w="16020" w:type="dxa"/>
          <w:tblInd w:w="1313" w:type="dxa"/>
          <w:tblCellMar>
            <w:top w:w="0" w:type="dxa"/>
            <w:left w:w="0" w:type="dxa"/>
            <w:bottom w:w="0" w:type="dxa"/>
            <w:right w:w="0" w:type="dxa"/>
          </w:tblCellMar>
        </w:tblPrEx>
        <w:trPr>
          <w:cantSplit/>
          <w:trHeight w:val="510"/>
        </w:trPr>
        <w:tc>
          <w:tcPr>
            <w:tcW w:w="16020" w:type="dxa"/>
            <w:gridSpan w:val="7"/>
            <w:tcMar>
              <w:top w:w="15" w:type="dxa"/>
              <w:left w:w="15" w:type="dxa"/>
              <w:bottom w:w="0" w:type="dxa"/>
              <w:right w:w="15" w:type="dxa"/>
            </w:tcMar>
            <w:vAlign w:val="center"/>
          </w:tcPr>
          <w:p>
            <w:pPr>
              <w:pStyle w:val="Normal0"/>
              <w:spacing w:line="240" w:lineRule="exact"/>
              <w:ind w:firstLine="200" w:firstLineChars="100"/>
              <w:rPr>
                <w:rFonts w:hint="eastAsia"/>
                <w:sz w:val="20"/>
                <w:szCs w:val="20"/>
              </w:rPr>
            </w:pPr>
            <w:r>
              <w:rPr>
                <w:rFonts w:hint="eastAsia"/>
                <w:sz w:val="20"/>
                <w:szCs w:val="20"/>
              </w:rPr>
              <w:t>注：上述预算价格均以案场后期推广执行为准。</w:t>
            </w:r>
          </w:p>
        </w:tc>
      </w:tr>
    </w:tbl>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Heading3"/>
        <w:rPr>
          <w:rFonts w:hint="eastAsia"/>
          <w:b w:val="0"/>
          <w:bCs/>
          <w:sz w:val="36"/>
        </w:rPr>
      </w:pPr>
      <w:r>
        <w:rPr>
          <w:rFonts w:ascii="黑体" w:hint="eastAsia"/>
          <w:b w:val="0"/>
          <w:bCs/>
          <w:sz w:val="36"/>
        </w:rPr>
        <w:t>2.5.4售前准备工作及</w:t>
      </w:r>
      <w:r>
        <w:rPr>
          <w:rFonts w:hint="eastAsia"/>
          <w:b w:val="0"/>
          <w:bCs/>
          <w:sz w:val="36"/>
        </w:rPr>
        <w:t>行销接待程序设定</w:t>
      </w:r>
    </w:p>
    <w:p>
      <w:pPr>
        <w:pStyle w:val="Normal0"/>
        <w:rPr>
          <w:rFonts w:hint="eastAsia"/>
          <w:sz w:val="24"/>
        </w:rPr>
      </w:pPr>
      <w:r>
        <w:rPr>
          <w:rFonts w:hint="eastAsia"/>
        </w:rPr>
        <w:t xml:space="preserve">          </w:t>
      </w:r>
      <w:r>
        <w:rPr>
          <w:rFonts w:hint="eastAsia"/>
          <w:sz w:val="24"/>
        </w:rPr>
        <w:t xml:space="preserve"> </w:t>
      </w:r>
    </w:p>
    <w:p>
      <w:pPr>
        <w:pStyle w:val="Normal0"/>
        <w:rPr>
          <w:rFonts w:hint="eastAsia"/>
          <w:sz w:val="24"/>
        </w:rPr>
      </w:pPr>
    </w:p>
    <w:p>
      <w:pPr>
        <w:pStyle w:val="Normal0"/>
        <w:ind w:firstLine="1200" w:firstLineChars="500"/>
        <w:rPr>
          <w:rFonts w:hint="eastAsia"/>
          <w:color w:val="333333"/>
          <w:sz w:val="24"/>
        </w:rPr>
      </w:pPr>
      <w:r>
        <w:rPr>
          <w:rFonts w:hint="eastAsia"/>
          <w:color w:val="333333"/>
          <w:sz w:val="24"/>
        </w:rPr>
        <w:t>售前准备工作一览表</w:t>
      </w:r>
    </w:p>
    <w:tbl>
      <w:tblPr>
        <w:tblStyle w:val="TableNormal"/>
        <w:tblW w:w="15300" w:type="dxa"/>
        <w:tblInd w:w="1368" w:type="dxa"/>
        <w:tblBorders>
          <w:top w:val="thickThinSmallGap" w:sz="24" w:space="0" w:color="999999"/>
          <w:left w:val="thickThinSmallGap" w:sz="24" w:space="0" w:color="999999"/>
          <w:bottom w:val="thinThickSmallGap" w:sz="24" w:space="0" w:color="999999"/>
          <w:right w:val="thinThickSmallGap" w:sz="24" w:space="0" w:color="999999"/>
          <w:insideH w:val="single" w:sz="6" w:space="0" w:color="999999"/>
          <w:insideV w:val="single" w:sz="6" w:space="0" w:color="999999"/>
        </w:tblBorders>
        <w:shd w:val="clear" w:color="auto" w:fill="F3F3F3"/>
        <w:tblCellMar>
          <w:top w:w="0" w:type="dxa"/>
          <w:left w:w="108" w:type="dxa"/>
          <w:bottom w:w="0" w:type="dxa"/>
          <w:right w:w="108" w:type="dxa"/>
        </w:tblCellMar>
      </w:tblPr>
      <w:tblGrid>
        <w:gridCol w:w="1260"/>
        <w:gridCol w:w="5040"/>
        <w:gridCol w:w="2160"/>
        <w:gridCol w:w="2340"/>
        <w:gridCol w:w="4500"/>
      </w:tblGrid>
      <w:tr>
        <w:tblPrEx>
          <w:tblW w:w="15300" w:type="dxa"/>
          <w:tblInd w:w="1368" w:type="dxa"/>
          <w:tblBorders>
            <w:top w:val="thickThinSmallGap" w:sz="24" w:space="0" w:color="999999"/>
            <w:left w:val="thickThinSmallGap" w:sz="24" w:space="0" w:color="999999"/>
            <w:bottom w:val="thinThickSmallGap" w:sz="24" w:space="0" w:color="999999"/>
            <w:right w:val="thinThickSmallGap" w:sz="24" w:space="0" w:color="999999"/>
            <w:insideH w:val="single" w:sz="6" w:space="0" w:color="999999"/>
            <w:insideV w:val="single" w:sz="6" w:space="0" w:color="999999"/>
          </w:tblBorders>
          <w:shd w:val="clear" w:color="auto" w:fill="F3F3F3"/>
          <w:tblCellMar>
            <w:top w:w="0" w:type="dxa"/>
            <w:left w:w="108" w:type="dxa"/>
            <w:bottom w:w="0" w:type="dxa"/>
            <w:right w:w="108" w:type="dxa"/>
          </w:tblCellMar>
        </w:tblPrEx>
        <w:trPr>
          <w:cantSplit/>
          <w:trHeight w:val="451"/>
        </w:trPr>
        <w:tc>
          <w:tcPr>
            <w:tcW w:w="1260" w:type="dxa"/>
            <w:shd w:val="clear" w:color="auto" w:fill="F3F3F3"/>
            <w:vAlign w:val="center"/>
          </w:tcPr>
          <w:p>
            <w:pPr>
              <w:pStyle w:val="Normal0"/>
              <w:spacing w:line="240" w:lineRule="atLeast"/>
              <w:jc w:val="center"/>
              <w:rPr>
                <w:rFonts w:eastAsia="黑体" w:hint="eastAsia"/>
                <w:caps/>
                <w:color w:val="333333"/>
                <w:spacing w:val="-10"/>
                <w:sz w:val="24"/>
              </w:rPr>
            </w:pPr>
            <w:r>
              <w:rPr>
                <w:rFonts w:eastAsia="黑体" w:hint="eastAsia"/>
                <w:caps/>
                <w:color w:val="333333"/>
                <w:spacing w:val="-10"/>
                <w:sz w:val="24"/>
              </w:rPr>
              <w:t>序号</w:t>
            </w:r>
          </w:p>
        </w:tc>
        <w:tc>
          <w:tcPr>
            <w:tcW w:w="5040" w:type="dxa"/>
            <w:shd w:val="clear" w:color="auto" w:fill="F3F3F3"/>
            <w:vAlign w:val="center"/>
          </w:tcPr>
          <w:p>
            <w:pPr>
              <w:pStyle w:val="Normal0"/>
              <w:spacing w:line="240" w:lineRule="atLeast"/>
              <w:jc w:val="center"/>
              <w:rPr>
                <w:rFonts w:eastAsia="黑体" w:hint="eastAsia"/>
                <w:caps/>
                <w:color w:val="333333"/>
                <w:spacing w:val="-10"/>
                <w:sz w:val="24"/>
              </w:rPr>
            </w:pPr>
            <w:r>
              <w:rPr>
                <w:rFonts w:eastAsia="黑体" w:hint="eastAsia"/>
                <w:caps/>
                <w:color w:val="333333"/>
                <w:spacing w:val="-10"/>
                <w:sz w:val="24"/>
              </w:rPr>
              <w:t>工  作  内  容</w:t>
            </w:r>
          </w:p>
        </w:tc>
        <w:tc>
          <w:tcPr>
            <w:tcW w:w="2160" w:type="dxa"/>
            <w:shd w:val="clear" w:color="auto" w:fill="F3F3F3"/>
            <w:vAlign w:val="center"/>
          </w:tcPr>
          <w:p>
            <w:pPr>
              <w:pStyle w:val="Normal0"/>
              <w:spacing w:line="240" w:lineRule="atLeast"/>
              <w:jc w:val="center"/>
              <w:rPr>
                <w:rFonts w:eastAsia="黑体" w:hint="eastAsia"/>
                <w:caps/>
                <w:color w:val="333333"/>
                <w:spacing w:val="-10"/>
                <w:sz w:val="24"/>
              </w:rPr>
            </w:pPr>
            <w:r>
              <w:rPr>
                <w:rFonts w:eastAsia="黑体" w:hint="eastAsia"/>
                <w:caps/>
                <w:color w:val="333333"/>
                <w:spacing w:val="-10"/>
                <w:sz w:val="24"/>
              </w:rPr>
              <w:t>负  责  人</w:t>
            </w:r>
          </w:p>
        </w:tc>
        <w:tc>
          <w:tcPr>
            <w:tcW w:w="2340" w:type="dxa"/>
            <w:shd w:val="clear" w:color="auto" w:fill="F3F3F3"/>
            <w:vAlign w:val="center"/>
          </w:tcPr>
          <w:p>
            <w:pPr>
              <w:pStyle w:val="Normal0"/>
              <w:spacing w:line="240" w:lineRule="atLeast"/>
              <w:jc w:val="center"/>
              <w:rPr>
                <w:rFonts w:eastAsia="黑体" w:hint="eastAsia"/>
                <w:caps/>
                <w:color w:val="333333"/>
                <w:spacing w:val="-10"/>
                <w:sz w:val="24"/>
              </w:rPr>
            </w:pPr>
            <w:r>
              <w:rPr>
                <w:rFonts w:eastAsia="黑体" w:hint="eastAsia"/>
                <w:caps/>
                <w:color w:val="333333"/>
                <w:spacing w:val="-10"/>
                <w:sz w:val="24"/>
              </w:rPr>
              <w:t>完 成 时 间</w:t>
            </w:r>
          </w:p>
        </w:tc>
        <w:tc>
          <w:tcPr>
            <w:tcW w:w="4500" w:type="dxa"/>
            <w:shd w:val="clear" w:color="auto" w:fill="F3F3F3"/>
            <w:vAlign w:val="center"/>
          </w:tcPr>
          <w:p>
            <w:pPr>
              <w:pStyle w:val="Normal0"/>
              <w:spacing w:line="240" w:lineRule="atLeast"/>
              <w:jc w:val="center"/>
              <w:rPr>
                <w:rFonts w:eastAsia="黑体" w:hint="eastAsia"/>
                <w:caps/>
                <w:color w:val="333333"/>
                <w:spacing w:val="-10"/>
                <w:sz w:val="24"/>
              </w:rPr>
            </w:pPr>
            <w:r>
              <w:rPr>
                <w:rFonts w:eastAsia="黑体" w:hint="eastAsia"/>
                <w:caps/>
                <w:color w:val="333333"/>
                <w:spacing w:val="-10"/>
                <w:sz w:val="24"/>
              </w:rPr>
              <w:t>备          注</w:t>
            </w:r>
          </w:p>
        </w:tc>
      </w:tr>
      <w:tr>
        <w:tblPrEx>
          <w:tblW w:w="15300" w:type="dxa"/>
          <w:tblInd w:w="1368" w:type="dxa"/>
          <w:shd w:val="clear" w:color="auto" w:fill="F3F3F3"/>
          <w:tblCellMar>
            <w:top w:w="0" w:type="dxa"/>
            <w:left w:w="108" w:type="dxa"/>
            <w:bottom w:w="0" w:type="dxa"/>
            <w:right w:w="108" w:type="dxa"/>
          </w:tblCellMar>
        </w:tblPrEx>
        <w:trPr>
          <w:cantSplit/>
          <w:trHeight w:val="373"/>
        </w:trPr>
        <w:tc>
          <w:tcPr>
            <w:tcW w:w="1260" w:type="dxa"/>
            <w:shd w:val="clear" w:color="auto" w:fill="FFFFFF"/>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1</w:t>
            </w:r>
          </w:p>
        </w:tc>
        <w:tc>
          <w:tcPr>
            <w:tcW w:w="5040" w:type="dxa"/>
            <w:shd w:val="clear" w:color="auto" w:fill="FFFFFF"/>
            <w:vAlign w:val="center"/>
          </w:tcPr>
          <w:p>
            <w:pPr>
              <w:pStyle w:val="Normal0"/>
              <w:spacing w:line="240" w:lineRule="atLeast"/>
              <w:jc w:val="center"/>
              <w:rPr>
                <w:rFonts w:hint="eastAsia"/>
                <w:color w:val="333333"/>
                <w:sz w:val="24"/>
              </w:rPr>
            </w:pPr>
            <w:r>
              <w:rPr>
                <w:rFonts w:hint="eastAsia"/>
                <w:color w:val="333333"/>
                <w:sz w:val="24"/>
              </w:rPr>
              <w:t>预售证取得</w:t>
            </w:r>
          </w:p>
        </w:tc>
        <w:tc>
          <w:tcPr>
            <w:tcW w:w="216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合约甲方</w:t>
            </w:r>
          </w:p>
        </w:tc>
        <w:tc>
          <w:tcPr>
            <w:tcW w:w="234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已完成</w:t>
            </w:r>
          </w:p>
        </w:tc>
        <w:tc>
          <w:tcPr>
            <w:tcW w:w="4500" w:type="dxa"/>
            <w:shd w:val="clear" w:color="auto" w:fill="FFFFFF"/>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2</w:t>
            </w:r>
          </w:p>
        </w:tc>
        <w:tc>
          <w:tcPr>
            <w:tcW w:w="5040" w:type="dxa"/>
            <w:shd w:val="clear" w:color="auto" w:fill="F3F3F3"/>
            <w:vAlign w:val="center"/>
          </w:tcPr>
          <w:p>
            <w:pPr>
              <w:pStyle w:val="Normal0"/>
              <w:spacing w:line="240" w:lineRule="atLeast"/>
              <w:jc w:val="center"/>
              <w:rPr>
                <w:rFonts w:hint="eastAsia"/>
                <w:color w:val="333333"/>
                <w:sz w:val="24"/>
              </w:rPr>
            </w:pPr>
            <w:r>
              <w:rPr>
                <w:rFonts w:hint="eastAsia"/>
                <w:color w:val="333333"/>
                <w:sz w:val="24"/>
              </w:rPr>
              <w:t>租售价格表制作确定</w:t>
            </w:r>
          </w:p>
        </w:tc>
        <w:tc>
          <w:tcPr>
            <w:tcW w:w="216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甲、</w:t>
            </w:r>
            <w:r>
              <w:rPr>
                <w:rFonts w:hint="eastAsia"/>
                <w:color w:val="333333"/>
                <w:spacing w:val="-10"/>
                <w:sz w:val="24"/>
                <w:lang w:eastAsia="zh-CN"/>
              </w:rPr>
              <w:t>合同乙方</w:t>
            </w:r>
          </w:p>
        </w:tc>
        <w:tc>
          <w:tcPr>
            <w:tcW w:w="234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已完成</w:t>
            </w:r>
          </w:p>
        </w:tc>
        <w:tc>
          <w:tcPr>
            <w:tcW w:w="450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一房一价表</w:t>
            </w: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FFFFF"/>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3</w:t>
            </w:r>
          </w:p>
        </w:tc>
        <w:tc>
          <w:tcPr>
            <w:tcW w:w="5040" w:type="dxa"/>
            <w:shd w:val="clear" w:color="auto" w:fill="FFFFFF"/>
            <w:vAlign w:val="center"/>
          </w:tcPr>
          <w:p>
            <w:pPr>
              <w:pStyle w:val="Normal0"/>
              <w:spacing w:line="240" w:lineRule="atLeast"/>
              <w:jc w:val="center"/>
              <w:rPr>
                <w:rFonts w:hint="eastAsia"/>
                <w:color w:val="333333"/>
                <w:sz w:val="24"/>
              </w:rPr>
            </w:pPr>
            <w:r>
              <w:rPr>
                <w:rFonts w:hint="eastAsia"/>
                <w:color w:val="333333"/>
                <w:sz w:val="24"/>
              </w:rPr>
              <w:t>按揭银行确定</w:t>
            </w:r>
          </w:p>
        </w:tc>
        <w:tc>
          <w:tcPr>
            <w:tcW w:w="216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合约甲方</w:t>
            </w:r>
          </w:p>
        </w:tc>
        <w:tc>
          <w:tcPr>
            <w:tcW w:w="234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9月12日</w:t>
            </w:r>
          </w:p>
        </w:tc>
        <w:tc>
          <w:tcPr>
            <w:tcW w:w="4500" w:type="dxa"/>
            <w:shd w:val="clear" w:color="auto" w:fill="FFFFFF"/>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4</w:t>
            </w:r>
          </w:p>
        </w:tc>
        <w:tc>
          <w:tcPr>
            <w:tcW w:w="5040" w:type="dxa"/>
            <w:shd w:val="clear" w:color="auto" w:fill="F3F3F3"/>
            <w:vAlign w:val="center"/>
          </w:tcPr>
          <w:p>
            <w:pPr>
              <w:pStyle w:val="Normal0"/>
              <w:spacing w:line="240" w:lineRule="atLeast"/>
              <w:jc w:val="center"/>
              <w:rPr>
                <w:rFonts w:hint="eastAsia"/>
                <w:color w:val="333333"/>
                <w:sz w:val="24"/>
              </w:rPr>
            </w:pPr>
            <w:r>
              <w:rPr>
                <w:rFonts w:hint="eastAsia"/>
                <w:color w:val="333333"/>
                <w:sz w:val="24"/>
              </w:rPr>
              <w:t>销售面积测绘确定</w:t>
            </w:r>
          </w:p>
        </w:tc>
        <w:tc>
          <w:tcPr>
            <w:tcW w:w="216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合约甲方</w:t>
            </w:r>
          </w:p>
        </w:tc>
        <w:tc>
          <w:tcPr>
            <w:tcW w:w="234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已完成</w:t>
            </w:r>
          </w:p>
        </w:tc>
        <w:tc>
          <w:tcPr>
            <w:tcW w:w="4500" w:type="dxa"/>
            <w:shd w:val="clear" w:color="auto" w:fill="F3F3F3"/>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FFFFF"/>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5</w:t>
            </w:r>
          </w:p>
        </w:tc>
        <w:tc>
          <w:tcPr>
            <w:tcW w:w="5040" w:type="dxa"/>
            <w:shd w:val="clear" w:color="auto" w:fill="FFFFFF"/>
            <w:vAlign w:val="center"/>
          </w:tcPr>
          <w:p>
            <w:pPr>
              <w:pStyle w:val="Normal0"/>
              <w:spacing w:line="240" w:lineRule="atLeast"/>
              <w:jc w:val="center"/>
              <w:rPr>
                <w:rFonts w:hint="eastAsia"/>
                <w:color w:val="333333"/>
                <w:sz w:val="24"/>
              </w:rPr>
            </w:pPr>
            <w:r>
              <w:rPr>
                <w:rFonts w:hint="eastAsia"/>
                <w:color w:val="333333"/>
                <w:sz w:val="24"/>
              </w:rPr>
              <w:t>物业</w:t>
            </w:r>
            <w:r>
              <w:rPr>
                <w:rFonts w:hint="eastAsia"/>
                <w:color w:val="333333"/>
                <w:sz w:val="24"/>
                <w:lang w:eastAsia="zh-CN"/>
              </w:rPr>
              <w:t>管理管控</w:t>
            </w:r>
            <w:r>
              <w:rPr>
                <w:rFonts w:hint="eastAsia"/>
                <w:color w:val="333333"/>
                <w:sz w:val="24"/>
              </w:rPr>
              <w:t>及收费标准</w:t>
            </w:r>
          </w:p>
        </w:tc>
        <w:tc>
          <w:tcPr>
            <w:tcW w:w="216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甲、</w:t>
            </w:r>
            <w:r>
              <w:rPr>
                <w:rFonts w:hint="eastAsia"/>
                <w:color w:val="333333"/>
                <w:spacing w:val="-10"/>
                <w:sz w:val="24"/>
                <w:lang w:eastAsia="zh-CN"/>
              </w:rPr>
              <w:t>合同乙方</w:t>
            </w:r>
          </w:p>
        </w:tc>
        <w:tc>
          <w:tcPr>
            <w:tcW w:w="234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已完成</w:t>
            </w:r>
          </w:p>
        </w:tc>
        <w:tc>
          <w:tcPr>
            <w:tcW w:w="4500" w:type="dxa"/>
            <w:shd w:val="clear" w:color="auto" w:fill="FFFFFF"/>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6</w:t>
            </w:r>
          </w:p>
        </w:tc>
        <w:tc>
          <w:tcPr>
            <w:tcW w:w="5040" w:type="dxa"/>
            <w:shd w:val="clear" w:color="auto" w:fill="F3F3F3"/>
            <w:vAlign w:val="center"/>
          </w:tcPr>
          <w:p>
            <w:pPr>
              <w:pStyle w:val="Normal0"/>
              <w:spacing w:line="240" w:lineRule="atLeast"/>
              <w:jc w:val="center"/>
              <w:rPr>
                <w:rFonts w:hint="eastAsia"/>
                <w:color w:val="333333"/>
                <w:sz w:val="24"/>
              </w:rPr>
            </w:pPr>
            <w:r>
              <w:rPr>
                <w:rFonts w:hint="eastAsia"/>
                <w:color w:val="333333"/>
                <w:sz w:val="24"/>
              </w:rPr>
              <w:t>销讲、答客问确定</w:t>
            </w:r>
          </w:p>
        </w:tc>
        <w:tc>
          <w:tcPr>
            <w:tcW w:w="216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合同乙方</w:t>
            </w:r>
          </w:p>
        </w:tc>
        <w:tc>
          <w:tcPr>
            <w:tcW w:w="234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已完成</w:t>
            </w:r>
          </w:p>
        </w:tc>
        <w:tc>
          <w:tcPr>
            <w:tcW w:w="4500" w:type="dxa"/>
            <w:shd w:val="clear" w:color="auto" w:fill="F3F3F3"/>
            <w:vAlign w:val="center"/>
          </w:tcPr>
          <w:p>
            <w:pPr>
              <w:pStyle w:val="Normal0"/>
              <w:spacing w:line="240" w:lineRule="atLeast"/>
              <w:jc w:val="center"/>
              <w:rPr>
                <w:rFonts w:eastAsia="黑体" w:hint="eastAsia"/>
                <w:color w:val="333333"/>
                <w:spacing w:val="-10"/>
                <w:sz w:val="24"/>
              </w:rPr>
            </w:pPr>
          </w:p>
        </w:tc>
      </w:tr>
    </w:tbl>
    <w:p>
      <w:pPr>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pPr>
    </w:p>
    <w:tbl>
      <w:tblPr>
        <w:tblStyle w:val="TableNormal"/>
        <w:tblW w:w="15300" w:type="dxa"/>
        <w:tblInd w:w="1368" w:type="dxa"/>
        <w:tblBorders>
          <w:top w:val="thickThinSmallGap" w:sz="24" w:space="0" w:color="999999"/>
          <w:left w:val="thickThinSmallGap" w:sz="24" w:space="0" w:color="999999"/>
          <w:bottom w:val="thinThickSmallGap" w:sz="24" w:space="0" w:color="999999"/>
          <w:right w:val="thinThickSmallGap" w:sz="24" w:space="0" w:color="999999"/>
          <w:insideH w:val="single" w:sz="6" w:space="0" w:color="999999"/>
          <w:insideV w:val="single" w:sz="6" w:space="0" w:color="999999"/>
        </w:tblBorders>
        <w:shd w:val="clear" w:color="auto" w:fill="F3F3F3"/>
        <w:tblCellMar>
          <w:top w:w="0" w:type="dxa"/>
          <w:left w:w="108" w:type="dxa"/>
          <w:bottom w:w="0" w:type="dxa"/>
          <w:right w:w="108" w:type="dxa"/>
        </w:tblCellMar>
      </w:tblPr>
      <w:tblGrid>
        <w:gridCol w:w="1260"/>
        <w:gridCol w:w="5040"/>
        <w:gridCol w:w="2160"/>
        <w:gridCol w:w="2340"/>
        <w:gridCol w:w="4500"/>
      </w:tblGrid>
      <w:tr>
        <w:tblPrEx>
          <w:tblW w:w="15300" w:type="dxa"/>
          <w:tblInd w:w="1368" w:type="dxa"/>
          <w:tblBorders>
            <w:top w:val="thickThinSmallGap" w:sz="24" w:space="0" w:color="999999"/>
            <w:left w:val="thickThinSmallGap" w:sz="24" w:space="0" w:color="999999"/>
            <w:bottom w:val="thinThickSmallGap" w:sz="24" w:space="0" w:color="999999"/>
            <w:right w:val="thinThickSmallGap" w:sz="24" w:space="0" w:color="999999"/>
            <w:insideH w:val="single" w:sz="6" w:space="0" w:color="999999"/>
            <w:insideV w:val="single" w:sz="6" w:space="0" w:color="999999"/>
          </w:tblBorders>
          <w:shd w:val="clear" w:color="auto" w:fill="F3F3F3"/>
          <w:tblCellMar>
            <w:top w:w="0" w:type="dxa"/>
            <w:left w:w="108" w:type="dxa"/>
            <w:bottom w:w="0" w:type="dxa"/>
            <w:right w:w="108" w:type="dxa"/>
          </w:tblCellMar>
        </w:tblPrEx>
        <w:trPr>
          <w:cantSplit/>
        </w:trPr>
        <w:tc>
          <w:tcPr>
            <w:tcW w:w="1260" w:type="dxa"/>
            <w:shd w:val="clear" w:color="auto" w:fill="FFFFFF"/>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7</w:t>
            </w:r>
          </w:p>
        </w:tc>
        <w:tc>
          <w:tcPr>
            <w:tcW w:w="5040" w:type="dxa"/>
            <w:shd w:val="clear" w:color="auto" w:fill="FFFFFF"/>
            <w:vAlign w:val="center"/>
          </w:tcPr>
          <w:p>
            <w:pPr>
              <w:pStyle w:val="Normal0"/>
              <w:spacing w:line="240" w:lineRule="atLeast"/>
              <w:jc w:val="center"/>
              <w:rPr>
                <w:rFonts w:hint="eastAsia"/>
                <w:color w:val="333333"/>
                <w:sz w:val="24"/>
              </w:rPr>
            </w:pPr>
            <w:r>
              <w:rPr>
                <w:rFonts w:hint="eastAsia"/>
                <w:color w:val="333333"/>
                <w:sz w:val="24"/>
              </w:rPr>
              <w:t>样板层装修布置完毕</w:t>
            </w:r>
          </w:p>
        </w:tc>
        <w:tc>
          <w:tcPr>
            <w:tcW w:w="216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合约甲方</w:t>
            </w:r>
          </w:p>
        </w:tc>
        <w:tc>
          <w:tcPr>
            <w:tcW w:w="234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基本完成</w:t>
            </w:r>
          </w:p>
        </w:tc>
        <w:tc>
          <w:tcPr>
            <w:tcW w:w="4500" w:type="dxa"/>
            <w:shd w:val="clear" w:color="auto" w:fill="FFFFFF"/>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8</w:t>
            </w:r>
          </w:p>
        </w:tc>
        <w:tc>
          <w:tcPr>
            <w:tcW w:w="5040" w:type="dxa"/>
            <w:shd w:val="clear" w:color="auto" w:fill="F3F3F3"/>
            <w:vAlign w:val="center"/>
          </w:tcPr>
          <w:p>
            <w:pPr>
              <w:pStyle w:val="Normal0"/>
              <w:spacing w:line="240" w:lineRule="atLeast"/>
              <w:jc w:val="center"/>
              <w:rPr>
                <w:rFonts w:hint="eastAsia"/>
                <w:color w:val="333333"/>
                <w:sz w:val="24"/>
              </w:rPr>
            </w:pPr>
            <w:r>
              <w:rPr>
                <w:rFonts w:hint="eastAsia"/>
                <w:color w:val="333333"/>
                <w:sz w:val="24"/>
              </w:rPr>
              <w:t>销售</w:t>
            </w:r>
            <w:r>
              <w:rPr>
                <w:rFonts w:hint="eastAsia"/>
                <w:color w:val="333333"/>
                <w:sz w:val="24"/>
                <w:lang w:eastAsia="zh-CN"/>
              </w:rPr>
              <w:t>合适的方案</w:t>
            </w:r>
            <w:r>
              <w:rPr>
                <w:rFonts w:hint="eastAsia"/>
                <w:color w:val="333333"/>
                <w:sz w:val="24"/>
              </w:rPr>
              <w:t>确定</w:t>
            </w:r>
          </w:p>
        </w:tc>
        <w:tc>
          <w:tcPr>
            <w:tcW w:w="216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甲、</w:t>
            </w:r>
            <w:r>
              <w:rPr>
                <w:rFonts w:hint="eastAsia"/>
                <w:color w:val="333333"/>
                <w:spacing w:val="-10"/>
                <w:sz w:val="24"/>
                <w:lang w:eastAsia="zh-CN"/>
              </w:rPr>
              <w:t>合同乙方</w:t>
            </w:r>
          </w:p>
        </w:tc>
        <w:tc>
          <w:tcPr>
            <w:tcW w:w="234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8月31日</w:t>
            </w:r>
          </w:p>
        </w:tc>
        <w:tc>
          <w:tcPr>
            <w:tcW w:w="4500" w:type="dxa"/>
            <w:shd w:val="clear" w:color="auto" w:fill="F3F3F3"/>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FFFFF"/>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9</w:t>
            </w:r>
          </w:p>
        </w:tc>
        <w:tc>
          <w:tcPr>
            <w:tcW w:w="5040" w:type="dxa"/>
            <w:shd w:val="clear" w:color="auto" w:fill="FFFFFF"/>
            <w:vAlign w:val="center"/>
          </w:tcPr>
          <w:p>
            <w:pPr>
              <w:pStyle w:val="Normal0"/>
              <w:spacing w:line="240" w:lineRule="atLeast"/>
              <w:jc w:val="center"/>
              <w:rPr>
                <w:rFonts w:hint="eastAsia"/>
                <w:color w:val="333333"/>
                <w:sz w:val="24"/>
              </w:rPr>
            </w:pPr>
            <w:r>
              <w:rPr>
                <w:rFonts w:hint="eastAsia"/>
                <w:color w:val="333333"/>
                <w:sz w:val="24"/>
              </w:rPr>
              <w:t>销售道具准备完毕</w:t>
            </w:r>
          </w:p>
        </w:tc>
        <w:tc>
          <w:tcPr>
            <w:tcW w:w="216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甲、</w:t>
            </w:r>
            <w:r>
              <w:rPr>
                <w:rFonts w:hint="eastAsia"/>
                <w:color w:val="333333"/>
                <w:spacing w:val="-10"/>
                <w:sz w:val="24"/>
                <w:lang w:eastAsia="zh-CN"/>
              </w:rPr>
              <w:t>合同乙方</w:t>
            </w:r>
          </w:p>
        </w:tc>
        <w:tc>
          <w:tcPr>
            <w:tcW w:w="234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9月5日</w:t>
            </w:r>
          </w:p>
        </w:tc>
        <w:tc>
          <w:tcPr>
            <w:tcW w:w="4500" w:type="dxa"/>
            <w:shd w:val="clear" w:color="auto" w:fill="FFFFFF"/>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包括谈判接待程序设定</w:t>
            </w: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10</w:t>
            </w:r>
          </w:p>
        </w:tc>
        <w:tc>
          <w:tcPr>
            <w:tcW w:w="5040" w:type="dxa"/>
            <w:shd w:val="clear" w:color="auto" w:fill="F3F3F3"/>
            <w:vAlign w:val="center"/>
          </w:tcPr>
          <w:p>
            <w:pPr>
              <w:pStyle w:val="Normal0"/>
              <w:spacing w:line="240" w:lineRule="atLeast"/>
              <w:jc w:val="center"/>
              <w:rPr>
                <w:rFonts w:hint="eastAsia"/>
                <w:color w:val="333333"/>
                <w:sz w:val="24"/>
              </w:rPr>
            </w:pPr>
            <w:r>
              <w:rPr>
                <w:rFonts w:hint="eastAsia"/>
                <w:color w:val="333333"/>
                <w:sz w:val="24"/>
              </w:rPr>
              <w:t>售楼处包装完毕</w:t>
            </w:r>
          </w:p>
        </w:tc>
        <w:tc>
          <w:tcPr>
            <w:tcW w:w="216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合约甲方</w:t>
            </w:r>
          </w:p>
        </w:tc>
        <w:tc>
          <w:tcPr>
            <w:tcW w:w="234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9月5日</w:t>
            </w:r>
          </w:p>
        </w:tc>
        <w:tc>
          <w:tcPr>
            <w:tcW w:w="450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楼书、海报、应用系统及接待道具等</w:t>
            </w: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FFFFF"/>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11</w:t>
            </w:r>
          </w:p>
        </w:tc>
        <w:tc>
          <w:tcPr>
            <w:tcW w:w="5040" w:type="dxa"/>
            <w:shd w:val="clear" w:color="auto" w:fill="FFFFFF"/>
            <w:vAlign w:val="center"/>
          </w:tcPr>
          <w:p>
            <w:pPr>
              <w:pStyle w:val="Normal0"/>
              <w:spacing w:line="240" w:lineRule="atLeast"/>
              <w:jc w:val="center"/>
              <w:rPr>
                <w:rFonts w:hint="eastAsia"/>
                <w:color w:val="333333"/>
                <w:sz w:val="24"/>
              </w:rPr>
            </w:pPr>
            <w:r>
              <w:rPr>
                <w:rFonts w:hint="eastAsia"/>
                <w:color w:val="333333"/>
                <w:sz w:val="24"/>
              </w:rPr>
              <w:t>销售培训</w:t>
            </w:r>
          </w:p>
        </w:tc>
        <w:tc>
          <w:tcPr>
            <w:tcW w:w="216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合同乙方</w:t>
            </w:r>
          </w:p>
        </w:tc>
        <w:tc>
          <w:tcPr>
            <w:tcW w:w="234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9月5日</w:t>
            </w:r>
          </w:p>
        </w:tc>
        <w:tc>
          <w:tcPr>
            <w:tcW w:w="4500" w:type="dxa"/>
            <w:shd w:val="clear" w:color="auto" w:fill="FFFFFF"/>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12</w:t>
            </w:r>
          </w:p>
        </w:tc>
        <w:tc>
          <w:tcPr>
            <w:tcW w:w="5040" w:type="dxa"/>
            <w:shd w:val="clear" w:color="auto" w:fill="F3F3F3"/>
            <w:vAlign w:val="center"/>
          </w:tcPr>
          <w:p>
            <w:pPr>
              <w:pStyle w:val="Normal0"/>
              <w:spacing w:line="240" w:lineRule="atLeast"/>
              <w:jc w:val="center"/>
              <w:rPr>
                <w:rFonts w:hint="eastAsia"/>
                <w:color w:val="333333"/>
                <w:sz w:val="24"/>
              </w:rPr>
            </w:pPr>
            <w:r>
              <w:rPr>
                <w:rFonts w:hint="eastAsia"/>
                <w:color w:val="333333"/>
                <w:sz w:val="24"/>
              </w:rPr>
              <w:t>销售演练一次</w:t>
            </w:r>
          </w:p>
        </w:tc>
        <w:tc>
          <w:tcPr>
            <w:tcW w:w="216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合同乙方</w:t>
            </w:r>
          </w:p>
        </w:tc>
        <w:tc>
          <w:tcPr>
            <w:tcW w:w="234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9月5日</w:t>
            </w:r>
          </w:p>
        </w:tc>
        <w:tc>
          <w:tcPr>
            <w:tcW w:w="4500" w:type="dxa"/>
            <w:shd w:val="clear" w:color="auto" w:fill="F3F3F3"/>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FFFFF"/>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13</w:t>
            </w:r>
          </w:p>
        </w:tc>
        <w:tc>
          <w:tcPr>
            <w:tcW w:w="5040" w:type="dxa"/>
            <w:shd w:val="clear" w:color="auto" w:fill="FFFFFF"/>
            <w:vAlign w:val="center"/>
          </w:tcPr>
          <w:p>
            <w:pPr>
              <w:pStyle w:val="Normal0"/>
              <w:spacing w:line="240" w:lineRule="atLeast"/>
              <w:jc w:val="center"/>
              <w:rPr>
                <w:rFonts w:hint="eastAsia"/>
                <w:color w:val="333333"/>
                <w:sz w:val="24"/>
              </w:rPr>
            </w:pPr>
            <w:r>
              <w:rPr>
                <w:rFonts w:hint="eastAsia"/>
                <w:color w:val="333333"/>
                <w:sz w:val="24"/>
              </w:rPr>
              <w:t>销售演练二次</w:t>
            </w:r>
          </w:p>
        </w:tc>
        <w:tc>
          <w:tcPr>
            <w:tcW w:w="216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合同乙方</w:t>
            </w:r>
          </w:p>
        </w:tc>
        <w:tc>
          <w:tcPr>
            <w:tcW w:w="234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9月8日</w:t>
            </w:r>
          </w:p>
        </w:tc>
        <w:tc>
          <w:tcPr>
            <w:tcW w:w="4500" w:type="dxa"/>
            <w:shd w:val="clear" w:color="auto" w:fill="FFFFFF"/>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14</w:t>
            </w:r>
          </w:p>
        </w:tc>
        <w:tc>
          <w:tcPr>
            <w:tcW w:w="5040" w:type="dxa"/>
            <w:shd w:val="clear" w:color="auto" w:fill="F3F3F3"/>
            <w:vAlign w:val="center"/>
          </w:tcPr>
          <w:p>
            <w:pPr>
              <w:pStyle w:val="Normal0"/>
              <w:spacing w:line="240" w:lineRule="atLeast"/>
              <w:jc w:val="center"/>
              <w:rPr>
                <w:rFonts w:hint="eastAsia"/>
                <w:color w:val="333333"/>
                <w:sz w:val="24"/>
              </w:rPr>
            </w:pPr>
            <w:r>
              <w:rPr>
                <w:rFonts w:hint="eastAsia"/>
                <w:color w:val="333333"/>
                <w:sz w:val="24"/>
              </w:rPr>
              <w:t>销售演练三次</w:t>
            </w:r>
          </w:p>
        </w:tc>
        <w:tc>
          <w:tcPr>
            <w:tcW w:w="216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合同乙方</w:t>
            </w:r>
          </w:p>
        </w:tc>
        <w:tc>
          <w:tcPr>
            <w:tcW w:w="234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9月11日</w:t>
            </w:r>
          </w:p>
        </w:tc>
        <w:tc>
          <w:tcPr>
            <w:tcW w:w="4500" w:type="dxa"/>
            <w:shd w:val="clear" w:color="auto" w:fill="F3F3F3"/>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FFFFF"/>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15</w:t>
            </w:r>
          </w:p>
        </w:tc>
        <w:tc>
          <w:tcPr>
            <w:tcW w:w="5040" w:type="dxa"/>
            <w:shd w:val="clear" w:color="auto" w:fill="FFFFFF"/>
            <w:vAlign w:val="center"/>
          </w:tcPr>
          <w:p>
            <w:pPr>
              <w:pStyle w:val="Normal0"/>
              <w:spacing w:line="240" w:lineRule="atLeast"/>
              <w:jc w:val="center"/>
              <w:rPr>
                <w:rFonts w:hint="eastAsia"/>
                <w:color w:val="333333"/>
                <w:sz w:val="24"/>
              </w:rPr>
            </w:pPr>
            <w:r>
              <w:rPr>
                <w:rFonts w:hint="eastAsia"/>
                <w:color w:val="333333"/>
                <w:sz w:val="24"/>
              </w:rPr>
              <w:t>租售</w:t>
            </w:r>
            <w:r>
              <w:rPr>
                <w:rFonts w:hint="eastAsia"/>
                <w:color w:val="333333"/>
                <w:sz w:val="24"/>
                <w:lang w:eastAsia="zh-CN"/>
              </w:rPr>
              <w:t>合同合约</w:t>
            </w:r>
            <w:r>
              <w:rPr>
                <w:rFonts w:hint="eastAsia"/>
                <w:color w:val="333333"/>
                <w:sz w:val="24"/>
              </w:rPr>
              <w:t>范本制作确定</w:t>
            </w:r>
          </w:p>
        </w:tc>
        <w:tc>
          <w:tcPr>
            <w:tcW w:w="216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合约甲方</w:t>
            </w:r>
          </w:p>
        </w:tc>
        <w:tc>
          <w:tcPr>
            <w:tcW w:w="2340" w:type="dxa"/>
            <w:shd w:val="clear" w:color="auto" w:fill="FFFFFF"/>
            <w:vAlign w:val="center"/>
          </w:tcPr>
          <w:p>
            <w:pPr>
              <w:pStyle w:val="Normal0"/>
              <w:spacing w:line="240" w:lineRule="atLeast"/>
              <w:jc w:val="center"/>
              <w:rPr>
                <w:rFonts w:hint="eastAsia"/>
                <w:color w:val="333333"/>
                <w:spacing w:val="-10"/>
                <w:sz w:val="24"/>
              </w:rPr>
            </w:pPr>
            <w:r>
              <w:rPr>
                <w:rFonts w:hint="eastAsia"/>
                <w:color w:val="333333"/>
                <w:spacing w:val="-10"/>
                <w:sz w:val="24"/>
              </w:rPr>
              <w:t>9月5日</w:t>
            </w:r>
          </w:p>
        </w:tc>
        <w:tc>
          <w:tcPr>
            <w:tcW w:w="4500" w:type="dxa"/>
            <w:shd w:val="clear" w:color="auto" w:fill="FFFFFF"/>
            <w:vAlign w:val="center"/>
          </w:tcPr>
          <w:p>
            <w:pPr>
              <w:pStyle w:val="Normal0"/>
              <w:spacing w:line="240" w:lineRule="atLeast"/>
              <w:jc w:val="center"/>
              <w:rPr>
                <w:rFonts w:eastAsia="黑体" w:hint="eastAsia"/>
                <w:color w:val="333333"/>
                <w:spacing w:val="-10"/>
                <w:sz w:val="24"/>
              </w:rPr>
            </w:pPr>
          </w:p>
        </w:tc>
      </w:tr>
      <w:tr>
        <w:tblPrEx>
          <w:tblW w:w="15300" w:type="dxa"/>
          <w:tblInd w:w="1368" w:type="dxa"/>
          <w:shd w:val="clear" w:color="auto" w:fill="F3F3F3"/>
          <w:tblCellMar>
            <w:top w:w="0" w:type="dxa"/>
            <w:left w:w="108" w:type="dxa"/>
            <w:bottom w:w="0" w:type="dxa"/>
            <w:right w:w="108" w:type="dxa"/>
          </w:tblCellMar>
        </w:tblPrEx>
        <w:trPr>
          <w:cantSplit/>
        </w:trPr>
        <w:tc>
          <w:tcPr>
            <w:tcW w:w="1260" w:type="dxa"/>
            <w:shd w:val="clear" w:color="auto" w:fill="F3F3F3"/>
            <w:vAlign w:val="center"/>
          </w:tcPr>
          <w:p>
            <w:pPr>
              <w:pStyle w:val="Normal0"/>
              <w:spacing w:line="240" w:lineRule="atLeast"/>
              <w:jc w:val="center"/>
              <w:rPr>
                <w:rFonts w:eastAsia="黑体" w:hint="eastAsia"/>
                <w:color w:val="333333"/>
                <w:spacing w:val="-10"/>
                <w:sz w:val="24"/>
              </w:rPr>
            </w:pPr>
            <w:r>
              <w:rPr>
                <w:rFonts w:eastAsia="黑体" w:hint="eastAsia"/>
                <w:color w:val="333333"/>
                <w:spacing w:val="-10"/>
                <w:sz w:val="24"/>
              </w:rPr>
              <w:t>16</w:t>
            </w:r>
          </w:p>
        </w:tc>
        <w:tc>
          <w:tcPr>
            <w:tcW w:w="5040" w:type="dxa"/>
            <w:shd w:val="clear" w:color="auto" w:fill="F3F3F3"/>
            <w:vAlign w:val="center"/>
          </w:tcPr>
          <w:p>
            <w:pPr>
              <w:pStyle w:val="Normal0"/>
              <w:spacing w:line="240" w:lineRule="atLeast"/>
              <w:jc w:val="center"/>
              <w:rPr>
                <w:rFonts w:hint="eastAsia"/>
                <w:color w:val="333333"/>
                <w:sz w:val="24"/>
              </w:rPr>
            </w:pPr>
            <w:r>
              <w:rPr>
                <w:rFonts w:hint="eastAsia"/>
                <w:color w:val="333333"/>
                <w:sz w:val="24"/>
              </w:rPr>
              <w:t>销售专用章准备完毕</w:t>
            </w:r>
          </w:p>
        </w:tc>
        <w:tc>
          <w:tcPr>
            <w:tcW w:w="216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lang w:eastAsia="zh-CN"/>
              </w:rPr>
              <w:t>合约甲方</w:t>
            </w:r>
          </w:p>
        </w:tc>
        <w:tc>
          <w:tcPr>
            <w:tcW w:w="2340" w:type="dxa"/>
            <w:shd w:val="clear" w:color="auto" w:fill="F3F3F3"/>
            <w:vAlign w:val="center"/>
          </w:tcPr>
          <w:p>
            <w:pPr>
              <w:pStyle w:val="Normal0"/>
              <w:spacing w:line="240" w:lineRule="atLeast"/>
              <w:jc w:val="center"/>
              <w:rPr>
                <w:rFonts w:hint="eastAsia"/>
                <w:color w:val="333333"/>
                <w:spacing w:val="-10"/>
                <w:sz w:val="24"/>
              </w:rPr>
            </w:pPr>
            <w:r>
              <w:rPr>
                <w:rFonts w:hint="eastAsia"/>
                <w:color w:val="333333"/>
                <w:spacing w:val="-10"/>
                <w:sz w:val="24"/>
              </w:rPr>
              <w:t>9月10日</w:t>
            </w:r>
          </w:p>
        </w:tc>
        <w:tc>
          <w:tcPr>
            <w:tcW w:w="4500" w:type="dxa"/>
            <w:shd w:val="clear" w:color="auto" w:fill="F3F3F3"/>
            <w:vAlign w:val="center"/>
          </w:tcPr>
          <w:p>
            <w:pPr>
              <w:pStyle w:val="Normal0"/>
              <w:spacing w:line="240" w:lineRule="atLeast"/>
              <w:jc w:val="center"/>
              <w:rPr>
                <w:rFonts w:eastAsia="黑体" w:hint="eastAsia"/>
                <w:color w:val="333333"/>
                <w:spacing w:val="-10"/>
                <w:sz w:val="24"/>
              </w:rPr>
            </w:pPr>
          </w:p>
        </w:tc>
      </w:tr>
    </w:tbl>
    <w:p>
      <w:pPr>
        <w:pStyle w:val="Normal0"/>
        <w:spacing w:line="480" w:lineRule="auto"/>
        <w:rPr>
          <w:rFonts w:eastAsia="黑体" w:hint="eastAsia"/>
          <w:sz w:val="36"/>
        </w:rPr>
      </w:pPr>
    </w:p>
    <w:p>
      <w:pPr>
        <w:pStyle w:val="Normal0"/>
        <w:spacing w:line="480" w:lineRule="auto"/>
        <w:rPr>
          <w:rFonts w:eastAsia="黑体" w:hint="eastAsia"/>
          <w:sz w:val="36"/>
        </w:rPr>
      </w:pPr>
    </w:p>
    <w:p>
      <w:pPr>
        <w:pStyle w:val="Normal0"/>
        <w:spacing w:line="480" w:lineRule="auto"/>
        <w:rPr>
          <w:rFonts w:eastAsia="黑体" w:hint="eastAsia"/>
          <w:sz w:val="36"/>
        </w:rPr>
      </w:pPr>
    </w:p>
    <w:p>
      <w:pPr>
        <w:pStyle w:val="Normal0"/>
        <w:spacing w:line="480" w:lineRule="auto"/>
        <w:rPr>
          <w:rFonts w:eastAsia="黑体" w:hint="eastAsia"/>
          <w:sz w:val="36"/>
        </w:rPr>
      </w:pPr>
    </w:p>
    <w:p>
      <w:pPr>
        <w:pStyle w:val="Normal0"/>
        <w:spacing w:line="480" w:lineRule="auto"/>
        <w:rPr>
          <w:rFonts w:eastAsia="黑体" w:hint="eastAsia"/>
          <w:sz w:val="36"/>
        </w:rPr>
      </w:pPr>
      <w:r>
        <w:rPr>
          <w:rFonts w:eastAsia="黑体" w:hint="eastAsia"/>
          <w:sz w:val="36"/>
        </w:rPr>
        <w:t>接待流程[针对首访无预约客户]：</w:t>
      </w:r>
    </w:p>
    <w:p>
      <w:pPr>
        <w:pStyle w:val="Normal0"/>
        <w:spacing w:line="480" w:lineRule="auto"/>
        <w:rPr>
          <w:rFonts w:eastAsia="黑体" w:hint="eastAsia"/>
          <w:color w:val="333333"/>
          <w:sz w:val="30"/>
        </w:rPr>
      </w:pPr>
      <w:r>
        <w:rPr>
          <w:rFonts w:ascii="MingLiU" w:eastAsia="黑体" w:hAnsi="MingLiU" w:hint="eastAsia"/>
          <w:color w:val="333333"/>
          <w:sz w:val="30"/>
        </w:rPr>
        <w:t>→客户到访→引导客户就坐→了解客户情况→</w:t>
      </w:r>
      <w:r>
        <w:rPr>
          <w:rFonts w:ascii="MingLiU" w:eastAsia="黑体" w:hAnsi="MingLiU" w:hint="eastAsia"/>
          <w:color w:val="333333"/>
          <w:sz w:val="30"/>
          <w:lang w:eastAsia="zh-CN"/>
        </w:rPr>
        <w:t>相关项目</w:t>
      </w:r>
      <w:r>
        <w:rPr>
          <w:rFonts w:ascii="MingLiU" w:eastAsia="黑体" w:hAnsi="MingLiU" w:hint="eastAsia"/>
          <w:color w:val="333333"/>
          <w:sz w:val="30"/>
        </w:rPr>
        <w:t>初步介绍→</w:t>
      </w:r>
      <w:r>
        <w:rPr>
          <w:rFonts w:eastAsia="黑体" w:hint="eastAsia"/>
          <w:color w:val="333333"/>
          <w:sz w:val="30"/>
        </w:rPr>
        <w:t>预约参观时间</w:t>
      </w:r>
      <w:r>
        <w:rPr>
          <w:rFonts w:ascii="MingLiU" w:eastAsia="黑体" w:hAnsi="MingLiU" w:hint="eastAsia"/>
          <w:color w:val="333333"/>
          <w:sz w:val="30"/>
        </w:rPr>
        <w:t>→送客</w:t>
      </w:r>
    </w:p>
    <w:p>
      <w:pPr>
        <w:pStyle w:val="Normal0"/>
        <w:spacing w:line="480" w:lineRule="auto"/>
        <w:rPr>
          <w:rFonts w:eastAsia="黑体" w:hint="eastAsia"/>
          <w:sz w:val="32"/>
        </w:rPr>
      </w:pPr>
      <w:r>
        <w:rPr>
          <w:rFonts w:eastAsia="黑体" w:hint="eastAsia"/>
          <w:sz w:val="32"/>
        </w:rPr>
        <w:t>第一步：客户到访。</w:t>
      </w:r>
    </w:p>
    <w:p>
      <w:pPr>
        <w:pStyle w:val="Normal0"/>
        <w:spacing w:line="480" w:lineRule="auto"/>
        <w:rPr>
          <w:rFonts w:hint="eastAsia"/>
          <w:sz w:val="28"/>
        </w:rPr>
      </w:pPr>
      <w:r>
        <w:rPr>
          <w:rFonts w:hint="eastAsia"/>
          <w:sz w:val="28"/>
        </w:rPr>
        <w:t>·</w:t>
      </w:r>
      <w:r>
        <w:rPr>
          <w:rFonts w:eastAsia="黑体" w:hint="eastAsia"/>
          <w:sz w:val="28"/>
        </w:rPr>
        <w:t>肢体语言</w:t>
      </w:r>
      <w:r>
        <w:rPr>
          <w:rFonts w:hint="eastAsia"/>
          <w:sz w:val="28"/>
        </w:rPr>
        <w:t>：迎接、气定神闲，面带微笑。</w:t>
      </w:r>
    </w:p>
    <w:p>
      <w:pPr>
        <w:pStyle w:val="Normal0"/>
        <w:spacing w:line="480" w:lineRule="auto"/>
        <w:rPr>
          <w:rFonts w:hint="eastAsia"/>
          <w:sz w:val="28"/>
        </w:rPr>
      </w:pPr>
      <w:r>
        <w:rPr>
          <w:rFonts w:hint="eastAsia"/>
          <w:sz w:val="28"/>
        </w:rPr>
        <w:t>·</w:t>
      </w:r>
      <w:r>
        <w:rPr>
          <w:rFonts w:eastAsia="黑体" w:hint="eastAsia"/>
          <w:sz w:val="28"/>
        </w:rPr>
        <w:t>开场白</w:t>
      </w:r>
      <w:r>
        <w:rPr>
          <w:rFonts w:hint="eastAsia"/>
          <w:sz w:val="28"/>
        </w:rPr>
        <w:t>：“您好，欢迎参观天安国际”，请问先生（小姐）您有预约吗？</w:t>
      </w:r>
    </w:p>
    <w:p>
      <w:pPr>
        <w:pStyle w:val="Normal0"/>
        <w:spacing w:line="480" w:lineRule="auto"/>
        <w:rPr>
          <w:rFonts w:eastAsia="黑体" w:hint="eastAsia"/>
          <w:sz w:val="32"/>
        </w:rPr>
      </w:pPr>
      <w:r>
        <w:rPr>
          <w:rFonts w:eastAsia="黑体" w:hint="eastAsia"/>
          <w:sz w:val="32"/>
        </w:rPr>
        <w:t>第二步：引导客户就坐。</w:t>
      </w:r>
    </w:p>
    <w:p>
      <w:pPr>
        <w:pStyle w:val="Normal0"/>
        <w:spacing w:line="480" w:lineRule="auto"/>
        <w:rPr>
          <w:rFonts w:hint="eastAsia"/>
          <w:sz w:val="28"/>
        </w:rPr>
      </w:pPr>
      <w:r>
        <w:rPr>
          <w:rFonts w:hint="eastAsia"/>
          <w:b/>
          <w:bCs/>
          <w:sz w:val="28"/>
        </w:rPr>
        <w:t>·</w:t>
      </w:r>
      <w:r>
        <w:rPr>
          <w:rFonts w:hint="eastAsia"/>
          <w:sz w:val="28"/>
        </w:rPr>
        <w:t>确定客户有没有预约后，引导客户至洽谈区就坐。</w:t>
      </w:r>
    </w:p>
    <w:p>
      <w:pPr>
        <w:pStyle w:val="Normal0"/>
        <w:spacing w:line="480" w:lineRule="auto"/>
        <w:rPr>
          <w:rFonts w:hint="eastAsia"/>
          <w:sz w:val="28"/>
        </w:rPr>
      </w:pPr>
      <w:r>
        <w:rPr>
          <w:rFonts w:hint="eastAsia"/>
          <w:sz w:val="28"/>
        </w:rPr>
        <w:t>·口语表诉：“您请这边坐”</w:t>
      </w:r>
    </w:p>
    <w:p>
      <w:pPr>
        <w:pStyle w:val="Normal0"/>
        <w:spacing w:line="480" w:lineRule="auto"/>
        <w:rPr>
          <w:rFonts w:hint="eastAsia"/>
          <w:sz w:val="28"/>
        </w:rPr>
      </w:pPr>
      <w:r>
        <w:rPr>
          <w:rFonts w:hint="eastAsia"/>
          <w:sz w:val="28"/>
        </w:rPr>
        <w:t>·配合的销售专员递上一杯咖啡。</w:t>
      </w:r>
    </w:p>
    <w:p>
      <w:pPr>
        <w:pStyle w:val="Normal0"/>
        <w:spacing w:line="480" w:lineRule="auto"/>
        <w:rPr>
          <w:rFonts w:hint="eastAsia"/>
          <w:sz w:val="28"/>
        </w:rPr>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pPr>
      <w:r>
        <w:rPr>
          <w:rFonts w:hint="eastAsia"/>
          <w:sz w:val="28"/>
        </w:rPr>
        <w:t>·</w:t>
      </w:r>
      <w:r>
        <w:rPr>
          <w:rFonts w:eastAsia="黑体" w:hint="eastAsia"/>
          <w:sz w:val="28"/>
        </w:rPr>
        <w:t>注意</w:t>
      </w:r>
      <w:r>
        <w:rPr>
          <w:rFonts w:hint="eastAsia"/>
          <w:sz w:val="28"/>
        </w:rPr>
        <w:t>：</w:t>
      </w:r>
    </w:p>
    <w:p>
      <w:pPr>
        <w:pStyle w:val="Normal0"/>
        <w:spacing w:line="480" w:lineRule="auto"/>
        <w:ind w:left="1079" w:leftChars="514"/>
        <w:rPr>
          <w:rFonts w:hint="eastAsia"/>
          <w:sz w:val="28"/>
        </w:rPr>
      </w:pPr>
      <w:r>
        <w:rPr>
          <w:rFonts w:hint="eastAsia"/>
          <w:sz w:val="28"/>
        </w:rPr>
        <w:t>——如客户是由我方人员邀请前来现场参观，则按照（邀请流程）执行；</w:t>
      </w:r>
    </w:p>
    <w:p>
      <w:pPr>
        <w:pStyle w:val="Normal0"/>
        <w:spacing w:line="480" w:lineRule="auto"/>
        <w:ind w:left="1079" w:leftChars="514"/>
        <w:rPr>
          <w:rFonts w:hint="eastAsia"/>
          <w:sz w:val="28"/>
        </w:rPr>
      </w:pPr>
      <w:r>
        <w:rPr>
          <w:rFonts w:hint="eastAsia"/>
          <w:sz w:val="28"/>
        </w:rPr>
        <w:t>——如第一次到售楼部就按以下方式执行；</w:t>
      </w:r>
    </w:p>
    <w:p>
      <w:pPr>
        <w:pStyle w:val="Normal0"/>
        <w:spacing w:line="480" w:lineRule="auto"/>
        <w:rPr>
          <w:rFonts w:eastAsia="黑体" w:hint="eastAsia"/>
          <w:sz w:val="32"/>
        </w:rPr>
      </w:pPr>
      <w:r>
        <w:rPr>
          <w:rFonts w:eastAsia="黑体" w:hint="eastAsia"/>
          <w:sz w:val="32"/>
        </w:rPr>
        <w:t>第三步：了解客户情况。</w:t>
      </w:r>
    </w:p>
    <w:p>
      <w:pPr>
        <w:pStyle w:val="Normal0"/>
        <w:spacing w:line="480" w:lineRule="auto"/>
        <w:rPr>
          <w:rFonts w:hint="eastAsia"/>
          <w:sz w:val="28"/>
        </w:rPr>
      </w:pPr>
      <w:r>
        <w:rPr>
          <w:rFonts w:eastAsia="黑体" w:hint="eastAsia"/>
          <w:sz w:val="28"/>
        </w:rPr>
        <w:t>·就坐后自我介绍</w:t>
      </w:r>
      <w:r>
        <w:rPr>
          <w:rFonts w:hint="eastAsia"/>
          <w:sz w:val="28"/>
        </w:rPr>
        <w:t>：“我是天安国际销售顾问×××，这是本人的名片” 双手递上“请问阁下，可否请赐名片”。</w:t>
      </w:r>
    </w:p>
    <w:p>
      <w:pPr>
        <w:pStyle w:val="Normal0"/>
        <w:spacing w:line="480" w:lineRule="auto"/>
        <w:rPr>
          <w:rFonts w:hint="eastAsia"/>
          <w:sz w:val="28"/>
        </w:rPr>
      </w:pPr>
      <w:r>
        <w:rPr>
          <w:rFonts w:eastAsia="黑体" w:hint="eastAsia"/>
          <w:sz w:val="28"/>
        </w:rPr>
        <w:t>·目的</w:t>
      </w:r>
      <w:r>
        <w:rPr>
          <w:rFonts w:hint="eastAsia"/>
          <w:sz w:val="28"/>
        </w:rPr>
        <w:t>：了解对方姓名、公司、职位、是否为决策者；</w:t>
      </w:r>
    </w:p>
    <w:p>
      <w:pPr>
        <w:pStyle w:val="Normal0"/>
        <w:spacing w:line="480" w:lineRule="auto"/>
        <w:rPr>
          <w:rFonts w:hint="eastAsia"/>
          <w:sz w:val="28"/>
        </w:rPr>
      </w:pPr>
      <w:r>
        <w:rPr>
          <w:rFonts w:hint="eastAsia"/>
          <w:sz w:val="28"/>
        </w:rPr>
        <w:t>·如客户不赐名片，则要咨询其姓名、公司情况等；</w:t>
      </w:r>
    </w:p>
    <w:p>
      <w:pPr>
        <w:pStyle w:val="Normal0"/>
        <w:spacing w:line="480" w:lineRule="auto"/>
        <w:rPr>
          <w:rFonts w:hint="eastAsia"/>
          <w:sz w:val="28"/>
        </w:rPr>
      </w:pPr>
      <w:r>
        <w:rPr>
          <w:rFonts w:hint="eastAsia"/>
          <w:sz w:val="28"/>
        </w:rPr>
        <w:t>·问：×××先生，不知您是通过什么方式，了解到本大厦正在对外出售的呢？</w:t>
      </w:r>
    </w:p>
    <w:p>
      <w:pPr>
        <w:pStyle w:val="Normal0"/>
        <w:spacing w:line="480" w:lineRule="auto"/>
        <w:rPr>
          <w:rFonts w:hint="eastAsia"/>
          <w:sz w:val="28"/>
        </w:rPr>
      </w:pPr>
      <w:r>
        <w:rPr>
          <w:rFonts w:hint="eastAsia"/>
          <w:sz w:val="28"/>
        </w:rPr>
        <w:t>·客户回答：是通过×××××。</w:t>
      </w:r>
    </w:p>
    <w:p>
      <w:pPr>
        <w:pStyle w:val="Normal0"/>
        <w:spacing w:line="480" w:lineRule="auto"/>
        <w:rPr>
          <w:rFonts w:hint="eastAsia"/>
          <w:sz w:val="28"/>
        </w:rPr>
      </w:pPr>
      <w:r>
        <w:rPr>
          <w:rFonts w:hint="eastAsia"/>
          <w:sz w:val="28"/>
        </w:rPr>
        <w:t>·问：不知您对我们大厦的整体情况是否有所了解？</w:t>
      </w:r>
    </w:p>
    <w:p>
      <w:pPr>
        <w:pStyle w:val="Normal0"/>
        <w:spacing w:line="480" w:lineRule="auto"/>
        <w:rPr>
          <w:rFonts w:hint="eastAsia"/>
          <w:sz w:val="28"/>
        </w:rPr>
      </w:pPr>
      <w:r>
        <w:rPr>
          <w:rFonts w:hint="eastAsia"/>
          <w:sz w:val="28"/>
        </w:rPr>
        <w:t>·客户回答：了解或不了解</w:t>
      </w:r>
    </w:p>
    <w:p>
      <w:pPr>
        <w:pStyle w:val="Normal0"/>
        <w:spacing w:line="480" w:lineRule="auto"/>
        <w:rPr>
          <w:rFonts w:eastAsia="黑体" w:hint="eastAsia"/>
          <w:sz w:val="28"/>
        </w:rPr>
      </w:pPr>
      <w:r>
        <w:rPr>
          <w:rFonts w:eastAsia="黑体" w:hint="eastAsia"/>
          <w:sz w:val="28"/>
        </w:rPr>
        <w:t>注意：</w:t>
      </w:r>
    </w:p>
    <w:p>
      <w:pPr>
        <w:pStyle w:val="Normal0"/>
        <w:spacing w:line="480" w:lineRule="auto"/>
        <w:ind w:left="899" w:leftChars="428"/>
        <w:rPr>
          <w:rFonts w:hint="eastAsia"/>
          <w:sz w:val="28"/>
        </w:rPr>
      </w:pPr>
      <w:r>
        <w:rPr>
          <w:rFonts w:hint="eastAsia"/>
          <w:sz w:val="28"/>
        </w:rPr>
        <w:t>——客户如说了解，就要咨询其对本大厦哪方面感兴趣！下一步</w:t>
      </w:r>
      <w:r>
        <w:rPr>
          <w:rFonts w:hint="eastAsia"/>
          <w:sz w:val="28"/>
          <w:lang w:eastAsia="zh-CN"/>
        </w:rPr>
        <w:t>相关项目</w:t>
      </w:r>
      <w:r>
        <w:rPr>
          <w:rFonts w:hint="eastAsia"/>
          <w:sz w:val="28"/>
        </w:rPr>
        <w:t>推介时可以沿着客户感兴趣的情况进行着重介绍。</w:t>
      </w:r>
    </w:p>
    <w:p>
      <w:pPr>
        <w:pStyle w:val="BodyText"/>
        <w:spacing w:line="480" w:lineRule="auto"/>
        <w:ind w:left="899" w:leftChars="428"/>
        <w:rPr>
          <w:rFonts w:hint="eastAsia"/>
          <w:b w:val="0"/>
          <w:bCs w:val="0"/>
          <w:sz w:val="28"/>
        </w:rPr>
      </w:pPr>
      <w:r>
        <w:rPr>
          <w:rFonts w:hint="eastAsia"/>
          <w:sz w:val="28"/>
        </w:rPr>
        <w:t>——客户如说不了解，后一步</w:t>
      </w:r>
      <w:r>
        <w:rPr>
          <w:rFonts w:hint="eastAsia"/>
          <w:sz w:val="28"/>
          <w:lang w:eastAsia="zh-CN"/>
        </w:rPr>
        <w:t>相关项目</w:t>
      </w:r>
      <w:r>
        <w:rPr>
          <w:rFonts w:hint="eastAsia"/>
          <w:sz w:val="28"/>
        </w:rPr>
        <w:t>介绍时销售专员应着重介绍天安集团企业文化以及</w:t>
      </w:r>
      <w:r>
        <w:rPr>
          <w:rFonts w:hint="eastAsia"/>
          <w:sz w:val="28"/>
          <w:lang w:eastAsia="zh-CN"/>
        </w:rPr>
        <w:t>相关项目</w:t>
      </w:r>
      <w:r>
        <w:rPr>
          <w:rFonts w:hint="eastAsia"/>
          <w:sz w:val="28"/>
        </w:rPr>
        <w:t>地理位置。</w:t>
      </w:r>
    </w:p>
    <w:p>
      <w:pPr>
        <w:pStyle w:val="Normal0"/>
        <w:spacing w:line="480" w:lineRule="auto"/>
        <w:rPr>
          <w:rFonts w:hint="eastAsia"/>
          <w:sz w:val="28"/>
        </w:rPr>
      </w:pPr>
      <w:r>
        <w:rPr>
          <w:rFonts w:hint="eastAsia"/>
          <w:sz w:val="28"/>
        </w:rPr>
        <w:t>·并了解客户目前的办公情况以及客户改善办公环境的因素</w:t>
      </w:r>
    </w:p>
    <w:p>
      <w:pPr>
        <w:pStyle w:val="Normal0"/>
        <w:spacing w:line="480" w:lineRule="auto"/>
        <w:ind w:left="899" w:leftChars="428"/>
        <w:rPr>
          <w:rFonts w:hint="eastAsia"/>
          <w:sz w:val="28"/>
        </w:rPr>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pPr>
      <w:r>
        <w:rPr>
          <w:rFonts w:hint="eastAsia"/>
          <w:sz w:val="28"/>
        </w:rPr>
        <w:t>——客户的经营范围；</w:t>
      </w:r>
    </w:p>
    <w:p>
      <w:pPr>
        <w:pStyle w:val="Normal0"/>
        <w:spacing w:line="480" w:lineRule="auto"/>
        <w:ind w:left="899" w:leftChars="428"/>
        <w:rPr>
          <w:rFonts w:hint="eastAsia"/>
          <w:sz w:val="28"/>
        </w:rPr>
      </w:pPr>
      <w:r>
        <w:rPr>
          <w:rFonts w:hint="eastAsia"/>
          <w:sz w:val="28"/>
        </w:rPr>
        <w:t>——目前办公的人员以及办公面积；</w:t>
      </w:r>
    </w:p>
    <w:p>
      <w:pPr>
        <w:pStyle w:val="Normal0"/>
        <w:spacing w:line="480" w:lineRule="auto"/>
        <w:ind w:left="899" w:leftChars="428"/>
        <w:rPr>
          <w:rFonts w:hint="eastAsia"/>
          <w:sz w:val="28"/>
        </w:rPr>
      </w:pPr>
      <w:r>
        <w:rPr>
          <w:rFonts w:hint="eastAsia"/>
          <w:b/>
          <w:bCs/>
          <w:sz w:val="28"/>
        </w:rPr>
        <w:t>——</w:t>
      </w:r>
      <w:r>
        <w:rPr>
          <w:rFonts w:hint="eastAsia"/>
          <w:sz w:val="28"/>
        </w:rPr>
        <w:t>目前办公物业是否租赁；</w:t>
      </w:r>
    </w:p>
    <w:p>
      <w:pPr>
        <w:pStyle w:val="Normal0"/>
        <w:spacing w:line="480" w:lineRule="auto"/>
        <w:ind w:left="899" w:leftChars="428"/>
        <w:rPr>
          <w:rFonts w:hint="eastAsia"/>
          <w:b/>
          <w:bCs/>
          <w:sz w:val="28"/>
        </w:rPr>
      </w:pPr>
      <w:r>
        <w:rPr>
          <w:rFonts w:hint="eastAsia"/>
          <w:sz w:val="28"/>
        </w:rPr>
        <w:t>——目前办公大厦的缺点；</w:t>
      </w:r>
    </w:p>
    <w:p>
      <w:pPr>
        <w:pStyle w:val="Normal0"/>
        <w:spacing w:line="480" w:lineRule="auto"/>
        <w:ind w:left="899" w:leftChars="428"/>
        <w:rPr>
          <w:rFonts w:hint="eastAsia"/>
          <w:sz w:val="28"/>
        </w:rPr>
      </w:pPr>
      <w:r>
        <w:rPr>
          <w:rFonts w:hint="eastAsia"/>
          <w:sz w:val="28"/>
        </w:rPr>
        <w:t>——客户改善办公环境的主要目的；</w:t>
      </w:r>
    </w:p>
    <w:p>
      <w:pPr>
        <w:pStyle w:val="Normal0"/>
        <w:spacing w:line="480" w:lineRule="auto"/>
        <w:rPr>
          <w:rFonts w:eastAsia="黑体" w:hint="eastAsia"/>
          <w:sz w:val="32"/>
        </w:rPr>
      </w:pPr>
      <w:r>
        <w:rPr>
          <w:rFonts w:eastAsia="黑体" w:hint="eastAsia"/>
          <w:sz w:val="32"/>
        </w:rPr>
        <w:t>第四步：初步</w:t>
      </w:r>
      <w:r>
        <w:rPr>
          <w:rFonts w:eastAsia="黑体" w:hint="eastAsia"/>
          <w:sz w:val="32"/>
          <w:lang w:eastAsia="zh-CN"/>
        </w:rPr>
        <w:t>相关项目</w:t>
      </w:r>
      <w:r>
        <w:rPr>
          <w:rFonts w:eastAsia="黑体" w:hint="eastAsia"/>
          <w:sz w:val="32"/>
        </w:rPr>
        <w:t>介绍。</w:t>
      </w:r>
    </w:p>
    <w:p>
      <w:pPr>
        <w:pStyle w:val="BodyText"/>
        <w:spacing w:line="480" w:lineRule="auto"/>
        <w:ind w:firstLine="560" w:firstLineChars="200"/>
        <w:rPr>
          <w:rFonts w:ascii="宋体" w:hAnsi="宋体" w:hint="eastAsia"/>
          <w:b w:val="0"/>
          <w:bCs w:val="0"/>
          <w:sz w:val="28"/>
        </w:rPr>
      </w:pPr>
      <w:r>
        <w:rPr>
          <w:rFonts w:ascii="宋体" w:hAnsi="宋体" w:hint="eastAsia"/>
          <w:b w:val="0"/>
          <w:bCs w:val="0"/>
          <w:sz w:val="28"/>
        </w:rPr>
        <w:t>天安品牌是本大厦的唯一市场竞争力，目前由于在大连的影响力较弱，为此在</w:t>
      </w:r>
      <w:r>
        <w:rPr>
          <w:rFonts w:ascii="宋体" w:hAnsi="宋体" w:hint="eastAsia"/>
          <w:b w:val="0"/>
          <w:bCs w:val="0"/>
          <w:sz w:val="28"/>
          <w:lang w:eastAsia="zh-CN"/>
        </w:rPr>
        <w:t>相关项目</w:t>
      </w:r>
      <w:r>
        <w:rPr>
          <w:rFonts w:ascii="宋体" w:hAnsi="宋体" w:hint="eastAsia"/>
          <w:b w:val="0"/>
          <w:bCs w:val="0"/>
          <w:sz w:val="28"/>
        </w:rPr>
        <w:t>推介时应着重介绍企业形象、经营范围以树立品牌优势，使</w:t>
      </w:r>
      <w:r>
        <w:rPr>
          <w:rFonts w:ascii="宋体" w:hAnsi="宋体" w:hint="eastAsia"/>
          <w:b w:val="0"/>
          <w:bCs w:val="0"/>
          <w:sz w:val="28"/>
          <w:lang w:eastAsia="zh-CN"/>
        </w:rPr>
        <w:t>相关项目</w:t>
      </w:r>
      <w:r>
        <w:rPr>
          <w:rFonts w:ascii="宋体" w:hAnsi="宋体" w:hint="eastAsia"/>
          <w:b w:val="0"/>
          <w:bCs w:val="0"/>
          <w:sz w:val="28"/>
        </w:rPr>
        <w:t>更具竞争力。并根据客户提供的信息以及改变办公现状的主要目的，进行</w:t>
      </w:r>
      <w:r>
        <w:rPr>
          <w:rFonts w:ascii="宋体" w:hAnsi="宋体" w:hint="eastAsia"/>
          <w:b w:val="0"/>
          <w:bCs w:val="0"/>
          <w:sz w:val="28"/>
          <w:lang w:eastAsia="zh-CN"/>
        </w:rPr>
        <w:t>相关项目</w:t>
      </w:r>
      <w:r>
        <w:rPr>
          <w:rFonts w:ascii="宋体" w:hAnsi="宋体" w:hint="eastAsia"/>
          <w:b w:val="0"/>
          <w:bCs w:val="0"/>
          <w:sz w:val="28"/>
        </w:rPr>
        <w:t>优势介绍。[如有液晶电视播放，则带看电子楼书并配合介绍]</w:t>
      </w:r>
    </w:p>
    <w:p>
      <w:pPr>
        <w:pStyle w:val="BodyText"/>
        <w:spacing w:line="480" w:lineRule="auto"/>
        <w:rPr>
          <w:rFonts w:eastAsia="黑体" w:hint="eastAsia"/>
          <w:sz w:val="28"/>
        </w:rPr>
      </w:pPr>
      <w:r>
        <w:rPr>
          <w:rFonts w:eastAsia="黑体" w:hint="eastAsia"/>
          <w:sz w:val="28"/>
        </w:rPr>
        <w:t>注意：</w:t>
      </w:r>
    </w:p>
    <w:p>
      <w:pPr>
        <w:pStyle w:val="BodyText"/>
        <w:spacing w:line="480" w:lineRule="auto"/>
        <w:ind w:left="1459" w:hanging="560" w:leftChars="428" w:hangingChars="200"/>
        <w:rPr>
          <w:rFonts w:hint="eastAsia"/>
          <w:b w:val="0"/>
          <w:bCs w:val="0"/>
          <w:sz w:val="28"/>
        </w:rPr>
      </w:pPr>
      <w:r>
        <w:rPr>
          <w:rFonts w:hint="eastAsia"/>
          <w:b w:val="0"/>
          <w:bCs w:val="0"/>
          <w:sz w:val="28"/>
        </w:rPr>
        <w:t>——在与客户交流过程中，如果客户未谈及价格，应注意避免过早谈及价格，而使客户注意力一直集中在</w:t>
      </w:r>
      <w:r>
        <w:rPr>
          <w:rFonts w:hint="eastAsia"/>
          <w:b w:val="0"/>
          <w:bCs w:val="0"/>
          <w:sz w:val="28"/>
          <w:lang w:eastAsia="zh-CN"/>
        </w:rPr>
        <w:t>相关项目</w:t>
      </w:r>
      <w:r>
        <w:rPr>
          <w:rFonts w:hint="eastAsia"/>
          <w:b w:val="0"/>
          <w:bCs w:val="0"/>
          <w:sz w:val="28"/>
        </w:rPr>
        <w:t>特性介绍之中。因为价格的高低将直接影响客户接受大厦讯息的效果；如果客户谈及价格，我们首先先介绍大厦情况，然后我们将直接告诉客户，我们大厦物业的售价是大连（甚至在东北地区）最高的，最贵的。</w:t>
      </w:r>
    </w:p>
    <w:p>
      <w:pPr>
        <w:pStyle w:val="BodyText"/>
        <w:spacing w:line="480" w:lineRule="auto"/>
        <w:ind w:left="1459" w:hanging="560" w:leftChars="428" w:hangingChars="200"/>
        <w:rPr>
          <w:rFonts w:hint="eastAsia"/>
          <w:b w:val="0"/>
          <w:bCs w:val="0"/>
          <w:sz w:val="28"/>
        </w:rPr>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pPr>
      <w:r>
        <w:rPr>
          <w:rFonts w:hint="eastAsia"/>
          <w:b w:val="0"/>
          <w:bCs w:val="0"/>
          <w:sz w:val="28"/>
        </w:rPr>
        <w:t>——为了体现大厦销售模式的不同并为了提高客户的好奇心理，首次接待时应不带客房参观样板房及其他标准层。如客户提及参观，我方因大厦</w:t>
      </w:r>
      <w:r>
        <w:rPr>
          <w:rFonts w:hint="eastAsia"/>
          <w:b w:val="0"/>
          <w:bCs w:val="0"/>
          <w:sz w:val="28"/>
          <w:lang w:eastAsia="zh-CN"/>
        </w:rPr>
        <w:t>管理管控</w:t>
      </w:r>
    </w:p>
    <w:p>
      <w:pPr>
        <w:pStyle w:val="BodyText"/>
        <w:spacing w:line="480" w:lineRule="auto"/>
        <w:ind w:left="1459" w:hanging="560" w:leftChars="428" w:hangingChars="200"/>
        <w:rPr>
          <w:rFonts w:hint="eastAsia"/>
          <w:b w:val="0"/>
          <w:bCs w:val="0"/>
          <w:sz w:val="28"/>
        </w:rPr>
      </w:pPr>
      <w:r>
        <w:rPr>
          <w:rFonts w:hint="eastAsia"/>
          <w:b w:val="0"/>
          <w:bCs w:val="0"/>
          <w:sz w:val="28"/>
        </w:rPr>
        <w:t>的规定，所有参观需提前预约，无预约者，以委婉拒绝，并表示需要统一安排时间进行参观；</w:t>
      </w:r>
    </w:p>
    <w:p>
      <w:pPr>
        <w:pStyle w:val="BodyText"/>
        <w:spacing w:line="480" w:lineRule="auto"/>
        <w:ind w:left="1459" w:hanging="560" w:leftChars="428" w:hangingChars="200"/>
        <w:rPr>
          <w:rFonts w:hint="eastAsia"/>
          <w:b w:val="0"/>
          <w:bCs w:val="0"/>
          <w:sz w:val="28"/>
        </w:rPr>
      </w:pPr>
      <w:r>
        <w:rPr>
          <w:rFonts w:hint="eastAsia"/>
          <w:b w:val="0"/>
          <w:bCs w:val="0"/>
          <w:sz w:val="28"/>
        </w:rPr>
        <w:t>——</w:t>
      </w:r>
      <w:r>
        <w:rPr>
          <w:rFonts w:hint="eastAsia"/>
          <w:b w:val="0"/>
          <w:bCs w:val="0"/>
          <w:spacing w:val="-8"/>
          <w:sz w:val="28"/>
        </w:rPr>
        <w:t>在接待过程中应执行距离销售，但距离不同于冷漠，操作时应在礼仪、肢体语言以及讲解的细节中处处体现大方、自信，至此至终保持气定神闲的体态，使</w:t>
      </w:r>
      <w:r>
        <w:rPr>
          <w:rFonts w:hint="eastAsia"/>
          <w:b w:val="0"/>
          <w:bCs w:val="0"/>
          <w:spacing w:val="-8"/>
          <w:sz w:val="28"/>
          <w:lang w:eastAsia="zh-CN"/>
        </w:rPr>
        <w:t>相关项目</w:t>
      </w:r>
      <w:r>
        <w:rPr>
          <w:rFonts w:hint="eastAsia"/>
          <w:b w:val="0"/>
          <w:bCs w:val="0"/>
          <w:spacing w:val="-8"/>
          <w:sz w:val="28"/>
        </w:rPr>
        <w:t>更具吸引力。</w:t>
      </w:r>
    </w:p>
    <w:p>
      <w:pPr>
        <w:pStyle w:val="BodyText"/>
        <w:spacing w:line="480" w:lineRule="auto"/>
        <w:ind w:left="899" w:leftChars="428"/>
        <w:rPr>
          <w:rFonts w:hint="eastAsia"/>
          <w:b w:val="0"/>
          <w:bCs w:val="0"/>
          <w:sz w:val="28"/>
        </w:rPr>
      </w:pPr>
      <w:r>
        <w:rPr>
          <w:rFonts w:hint="eastAsia"/>
          <w:b w:val="0"/>
          <w:bCs w:val="0"/>
          <w:sz w:val="28"/>
        </w:rPr>
        <w:t>——控制接待时间在半小时之内，整体安排尽量紧凑，言语简洁明了突出</w:t>
      </w:r>
      <w:r>
        <w:rPr>
          <w:rFonts w:hint="eastAsia"/>
          <w:b w:val="0"/>
          <w:bCs w:val="0"/>
          <w:sz w:val="28"/>
          <w:lang w:eastAsia="zh-CN"/>
        </w:rPr>
        <w:t>相关项目</w:t>
      </w:r>
      <w:r>
        <w:rPr>
          <w:rFonts w:hint="eastAsia"/>
          <w:b w:val="0"/>
          <w:bCs w:val="0"/>
          <w:sz w:val="28"/>
        </w:rPr>
        <w:t>重点；</w:t>
      </w:r>
    </w:p>
    <w:p>
      <w:pPr>
        <w:pStyle w:val="Normal0"/>
        <w:spacing w:line="480" w:lineRule="auto"/>
        <w:rPr>
          <w:rFonts w:eastAsia="黑体" w:hint="eastAsia"/>
          <w:sz w:val="32"/>
        </w:rPr>
      </w:pPr>
      <w:r>
        <w:rPr>
          <w:rFonts w:eastAsia="黑体" w:hint="eastAsia"/>
          <w:sz w:val="32"/>
        </w:rPr>
        <w:t>第五步：预约参观时间。</w:t>
      </w:r>
    </w:p>
    <w:p>
      <w:pPr>
        <w:pStyle w:val="BodyText"/>
        <w:spacing w:line="480" w:lineRule="auto"/>
        <w:rPr>
          <w:rFonts w:hint="eastAsia"/>
          <w:b w:val="0"/>
          <w:bCs w:val="0"/>
          <w:sz w:val="28"/>
        </w:rPr>
      </w:pPr>
      <w:r>
        <w:rPr>
          <w:rFonts w:hint="eastAsia"/>
          <w:b w:val="0"/>
          <w:bCs w:val="0"/>
          <w:sz w:val="28"/>
          <w:lang w:eastAsia="zh-CN"/>
        </w:rPr>
        <w:t>相关项目</w:t>
      </w:r>
      <w:r>
        <w:rPr>
          <w:rFonts w:hint="eastAsia"/>
          <w:b w:val="0"/>
          <w:bCs w:val="0"/>
          <w:sz w:val="28"/>
        </w:rPr>
        <w:t>介绍结束后：</w:t>
      </w:r>
    </w:p>
    <w:p>
      <w:pPr>
        <w:pStyle w:val="BodyText"/>
        <w:spacing w:line="480" w:lineRule="auto"/>
        <w:jc w:val="left"/>
        <w:rPr>
          <w:rFonts w:hint="eastAsia"/>
          <w:b w:val="0"/>
          <w:bCs w:val="0"/>
          <w:sz w:val="28"/>
        </w:rPr>
      </w:pPr>
      <w:r>
        <w:rPr>
          <w:rFonts w:hint="eastAsia"/>
          <w:b w:val="0"/>
          <w:bCs w:val="0"/>
          <w:sz w:val="28"/>
        </w:rPr>
        <w:t>口语：“今天非常高兴能与阁下认识，但由于时间的关系，</w:t>
      </w:r>
      <w:r>
        <w:rPr>
          <w:rFonts w:hint="eastAsia"/>
          <w:b w:val="0"/>
          <w:bCs w:val="0"/>
          <w:sz w:val="28"/>
          <w:lang w:eastAsia="zh-CN"/>
        </w:rPr>
        <w:t>相关项目</w:t>
      </w:r>
      <w:r>
        <w:rPr>
          <w:rFonts w:hint="eastAsia"/>
          <w:b w:val="0"/>
          <w:bCs w:val="0"/>
          <w:sz w:val="28"/>
        </w:rPr>
        <w:t>情况就先介绍到这里。为了能让您更多的了解我们天安国际大厦，我将为您特别安排参观时间，请问您＊＊日、＊＊日哪天有空，上午还是下午。”　　　　　　　　　　　　　　　　　　　　　　　　　　　　　　　　　　　　　　　　　　　　　　　　　　　　　　　　　　　　　　　　　　　　　　　　　　　　　　　　　　　　　　　　　　　　　　　　　　　　</w:t>
      </w:r>
    </w:p>
    <w:p>
      <w:pPr>
        <w:pStyle w:val="BodyText"/>
        <w:spacing w:line="480" w:lineRule="auto"/>
        <w:rPr>
          <w:rFonts w:eastAsia="黑体" w:hint="eastAsia"/>
          <w:b w:val="0"/>
          <w:bCs w:val="0"/>
          <w:sz w:val="32"/>
        </w:rPr>
      </w:pPr>
      <w:r>
        <w:rPr>
          <w:rFonts w:eastAsia="黑体" w:hint="eastAsia"/>
          <w:b w:val="0"/>
          <w:bCs w:val="0"/>
          <w:sz w:val="32"/>
        </w:rPr>
        <w:t>第六步：送客。</w:t>
      </w:r>
    </w:p>
    <w:p>
      <w:pPr>
        <w:pStyle w:val="BodyText"/>
        <w:rPr>
          <w:rFonts w:hint="eastAsia"/>
          <w:b w:val="0"/>
          <w:bCs w:val="0"/>
          <w:sz w:val="28"/>
        </w:rPr>
      </w:pPr>
      <w:r>
        <w:rPr>
          <w:rFonts w:hint="eastAsia"/>
          <w:b w:val="0"/>
          <w:bCs w:val="0"/>
          <w:sz w:val="28"/>
        </w:rPr>
        <w:t>——接待程序结束后送客到门外；</w:t>
      </w:r>
    </w:p>
    <w:p>
      <w:pPr>
        <w:pStyle w:val="BodyText"/>
        <w:rPr>
          <w:rFonts w:hint="eastAsia"/>
          <w:b w:val="0"/>
          <w:bCs w:val="0"/>
          <w:sz w:val="28"/>
        </w:rPr>
      </w:pPr>
      <w:r>
        <w:rPr>
          <w:rFonts w:hint="eastAsia"/>
          <w:b w:val="0"/>
          <w:bCs w:val="0"/>
          <w:sz w:val="28"/>
        </w:rPr>
        <w:t>——填写客户档案资料卡；</w:t>
      </w:r>
    </w:p>
    <w:p>
      <w:pPr>
        <w:pStyle w:val="BodyText"/>
        <w:rPr>
          <w:rFonts w:hint="eastAsia"/>
          <w:sz w:val="28"/>
        </w:rPr>
      </w:pPr>
      <w:r>
        <w:rPr>
          <w:rFonts w:hint="eastAsia"/>
          <w:b w:val="0"/>
          <w:bCs w:val="0"/>
          <w:sz w:val="28"/>
        </w:rPr>
        <w:t>——根据接待了解仔细分析客户情况，并确定何时进行参观最为合适；</w:t>
      </w:r>
    </w:p>
    <w:p>
      <w:pPr>
        <w:pStyle w:val="Normal0"/>
        <w:ind w:firstLine="570"/>
        <w:rPr>
          <w:rFonts w:hint="eastAsia"/>
          <w:sz w:val="28"/>
        </w:rPr>
      </w:pPr>
    </w:p>
    <w:p>
      <w:pPr>
        <w:pStyle w:val="Normal0"/>
        <w:ind w:firstLine="570"/>
        <w:rPr>
          <w:rFonts w:hint="eastAsia"/>
          <w:sz w:val="28"/>
        </w:rPr>
      </w:pPr>
    </w:p>
    <w:p>
      <w:pPr>
        <w:pStyle w:val="Normal0"/>
        <w:rPr>
          <w:rFonts w:eastAsia="黑体" w:hint="eastAsia"/>
          <w:sz w:val="36"/>
        </w:rPr>
      </w:pPr>
      <w:r>
        <w:rPr>
          <w:rFonts w:eastAsia="黑体" w:hint="eastAsia"/>
          <w:sz w:val="36"/>
        </w:rPr>
        <w:t>接待流程二——邀请接待流程：</w:t>
      </w:r>
    </w:p>
    <w:p>
      <w:pPr>
        <w:pStyle w:val="Normal0"/>
        <w:rPr>
          <w:rFonts w:eastAsia="黑体" w:hint="eastAsia"/>
          <w:color w:val="333333"/>
          <w:sz w:val="36"/>
        </w:rPr>
        <w:sectPr>
          <w:headerReference w:type="default" r:id="rId79"/>
          <w:footerReference w:type="default" r:id="rId80"/>
          <w:type w:val="nextPage"/>
          <w:pgSz w:w="11906" w:h="16838"/>
          <w:pgMar w:top="1440" w:right="1800" w:bottom="1440" w:left="1800" w:header="851" w:footer="992" w:gutter="0"/>
          <w:pgNumType w:start="38"/>
          <w:cols w:num="1" w:space="425"/>
          <w:titlePg w:val="0"/>
          <w:docGrid w:type="lines" w:linePitch="312" w:charSpace="0"/>
        </w:sectPr>
      </w:pPr>
      <w:r>
        <w:rPr>
          <w:rFonts w:ascii="MingLiU" w:eastAsia="黑体" w:hAnsi="MingLiU" w:hint="eastAsia"/>
          <w:color w:val="333333"/>
          <w:sz w:val="30"/>
        </w:rPr>
        <w:t>→客户到访→介绍大堂→介绍电梯→参观51楼标准层→</w:t>
      </w:r>
      <w:r>
        <w:rPr>
          <w:rFonts w:ascii="黑体" w:eastAsia="黑体" w:hAnsi="宋体" w:hint="eastAsia"/>
          <w:color w:val="333333"/>
          <w:spacing w:val="-10"/>
          <w:sz w:val="30"/>
        </w:rPr>
        <w:t>参观四十三层分割式样板间</w:t>
      </w:r>
      <w:r>
        <w:rPr>
          <w:rFonts w:ascii="MingLiU" w:eastAsia="黑体" w:hAnsi="MingLiU" w:hint="eastAsia"/>
          <w:color w:val="333333"/>
          <w:sz w:val="30"/>
        </w:rPr>
        <w:t>→</w:t>
      </w:r>
      <w:r>
        <w:rPr>
          <w:rFonts w:ascii="黑体" w:eastAsia="黑体" w:hAnsi="宋体" w:hint="eastAsia"/>
          <w:color w:val="333333"/>
          <w:spacing w:val="-10"/>
          <w:sz w:val="30"/>
        </w:rPr>
        <w:t>电梯内</w:t>
      </w:r>
      <w:r>
        <w:rPr>
          <w:rFonts w:ascii="MingLiU" w:eastAsia="黑体" w:hAnsi="MingLiU" w:hint="eastAsia"/>
          <w:color w:val="333333"/>
          <w:sz w:val="30"/>
        </w:rPr>
        <w:t>→</w:t>
      </w:r>
      <w:r>
        <w:rPr>
          <w:rFonts w:ascii="黑体" w:eastAsia="黑体" w:hAnsi="宋体" w:hint="eastAsia"/>
          <w:color w:val="333333"/>
          <w:spacing w:val="-10"/>
          <w:sz w:val="30"/>
        </w:rPr>
        <w:t>参观二十九层标准写字间</w:t>
      </w:r>
      <w:r>
        <w:rPr>
          <w:rFonts w:ascii="MingLiU" w:eastAsia="黑体" w:hAnsi="MingLiU" w:hint="eastAsia"/>
          <w:color w:val="333333"/>
          <w:sz w:val="30"/>
        </w:rPr>
        <w:t>→</w:t>
      </w:r>
    </w:p>
    <w:p>
      <w:pPr>
        <w:pStyle w:val="Normal0"/>
        <w:rPr>
          <w:rFonts w:eastAsia="黑体" w:hint="eastAsia"/>
          <w:color w:val="333333"/>
          <w:sz w:val="36"/>
        </w:rPr>
      </w:pPr>
      <w:r>
        <w:rPr>
          <w:rFonts w:ascii="黑体" w:eastAsia="黑体" w:hAnsi="宋体" w:hint="eastAsia"/>
          <w:color w:val="333333"/>
          <w:spacing w:val="-10"/>
          <w:sz w:val="30"/>
        </w:rPr>
        <w:t>回到大堂</w:t>
      </w:r>
      <w:r>
        <w:rPr>
          <w:rFonts w:ascii="MingLiU" w:eastAsia="黑体" w:hAnsi="MingLiU" w:hint="eastAsia"/>
          <w:color w:val="333333"/>
          <w:sz w:val="30"/>
        </w:rPr>
        <w:t>→</w:t>
      </w:r>
      <w:r>
        <w:rPr>
          <w:rFonts w:ascii="黑体" w:eastAsia="黑体" w:hAnsi="宋体" w:hint="eastAsia"/>
          <w:color w:val="333333"/>
          <w:spacing w:val="-10"/>
          <w:sz w:val="30"/>
        </w:rPr>
        <w:t>送客</w:t>
      </w:r>
    </w:p>
    <w:p>
      <w:pPr>
        <w:pStyle w:val="Normal0"/>
        <w:rPr>
          <w:rFonts w:ascii="黑体" w:eastAsia="黑体" w:hAnsi="宋体" w:hint="eastAsia"/>
          <w:spacing w:val="-10"/>
          <w:sz w:val="32"/>
        </w:rPr>
      </w:pPr>
      <w:r>
        <w:rPr>
          <w:rFonts w:ascii="黑体" w:eastAsia="黑体" w:hAnsi="宋体" w:hint="eastAsia"/>
          <w:spacing w:val="-10"/>
          <w:sz w:val="32"/>
        </w:rPr>
        <w:t>第一步：客户到访。</w:t>
      </w:r>
    </w:p>
    <w:p>
      <w:pPr>
        <w:pStyle w:val="Normal0"/>
        <w:rPr>
          <w:rFonts w:ascii="宋体" w:hAnsi="宋体" w:hint="eastAsia"/>
          <w:spacing w:val="-10"/>
          <w:sz w:val="28"/>
        </w:rPr>
      </w:pPr>
      <w:r>
        <w:rPr>
          <w:rFonts w:ascii="宋体" w:hAnsi="宋体" w:hint="eastAsia"/>
          <w:spacing w:val="-10"/>
          <w:sz w:val="28"/>
        </w:rPr>
        <w:t>·</w:t>
      </w:r>
      <w:r>
        <w:rPr>
          <w:rFonts w:ascii="黑体" w:eastAsia="黑体" w:hAnsi="宋体" w:hint="eastAsia"/>
          <w:spacing w:val="-10"/>
          <w:sz w:val="28"/>
        </w:rPr>
        <w:t>肢体语言</w:t>
      </w:r>
      <w:r>
        <w:rPr>
          <w:rFonts w:ascii="宋体" w:hAnsi="宋体" w:hint="eastAsia"/>
          <w:spacing w:val="-10"/>
          <w:sz w:val="28"/>
        </w:rPr>
        <w:t>：迎接、面带微笑</w:t>
      </w:r>
    </w:p>
    <w:p>
      <w:pPr>
        <w:pStyle w:val="Normal0"/>
        <w:rPr>
          <w:rFonts w:ascii="宋体" w:hAnsi="宋体" w:hint="eastAsia"/>
          <w:spacing w:val="-10"/>
          <w:sz w:val="28"/>
        </w:rPr>
      </w:pPr>
      <w:r>
        <w:rPr>
          <w:rFonts w:ascii="宋体" w:hAnsi="宋体" w:hint="eastAsia"/>
          <w:spacing w:val="-10"/>
          <w:sz w:val="28"/>
        </w:rPr>
        <w:t>·</w:t>
      </w:r>
      <w:r>
        <w:rPr>
          <w:rFonts w:ascii="黑体" w:eastAsia="黑体" w:hAnsi="宋体" w:hint="eastAsia"/>
          <w:spacing w:val="-10"/>
          <w:sz w:val="28"/>
        </w:rPr>
        <w:t>人员配置</w:t>
      </w:r>
      <w:r>
        <w:rPr>
          <w:rFonts w:ascii="宋体" w:hAnsi="宋体" w:hint="eastAsia"/>
          <w:spacing w:val="-10"/>
          <w:sz w:val="28"/>
        </w:rPr>
        <w:t>：由两名置业顾问所组成的接待小组。</w:t>
      </w:r>
    </w:p>
    <w:p>
      <w:pPr>
        <w:pStyle w:val="Normal0"/>
        <w:rPr>
          <w:rFonts w:ascii="宋体" w:hAnsi="宋体" w:hint="eastAsia"/>
          <w:spacing w:val="-10"/>
          <w:sz w:val="28"/>
        </w:rPr>
      </w:pPr>
      <w:r>
        <w:rPr>
          <w:rFonts w:ascii="宋体" w:hAnsi="宋体" w:hint="eastAsia"/>
          <w:spacing w:val="-10"/>
          <w:sz w:val="28"/>
        </w:rPr>
        <w:t>·</w:t>
      </w:r>
      <w:r>
        <w:rPr>
          <w:rFonts w:ascii="黑体" w:eastAsia="黑体" w:hAnsi="宋体" w:hint="eastAsia"/>
          <w:spacing w:val="-10"/>
          <w:sz w:val="28"/>
        </w:rPr>
        <w:t>开场白</w:t>
      </w:r>
      <w:r>
        <w:rPr>
          <w:rFonts w:ascii="宋体" w:hAnsi="宋体" w:hint="eastAsia"/>
          <w:spacing w:val="-10"/>
          <w:sz w:val="28"/>
        </w:rPr>
        <w:t>：</w:t>
      </w:r>
    </w:p>
    <w:p>
      <w:pPr>
        <w:pStyle w:val="Normal0"/>
        <w:ind w:firstLine="560" w:firstLineChars="200"/>
        <w:rPr>
          <w:rFonts w:ascii="宋体" w:hAnsi="宋体" w:hint="eastAsia"/>
          <w:spacing w:val="-10"/>
          <w:sz w:val="28"/>
        </w:rPr>
      </w:pPr>
      <w:r>
        <w:rPr>
          <w:rFonts w:ascii="宋体" w:hAnsi="宋体" w:hint="eastAsia"/>
          <w:spacing w:val="-10"/>
          <w:sz w:val="28"/>
        </w:rPr>
        <w:t>“您好×××先生/小姐，欢迎您准时前来参观”，握手并同时介绍小组另一成员与客户认识“这位是我的同事×××先生/小姐。今天非常高兴能由我们两位陪同大家参观本大厦，那么我们边看边聊您看可以吗！”</w:t>
      </w:r>
    </w:p>
    <w:p>
      <w:pPr>
        <w:pStyle w:val="BodyText"/>
        <w:rPr>
          <w:rFonts w:ascii="宋体" w:hAnsi="宋体" w:hint="eastAsia"/>
          <w:spacing w:val="-10"/>
          <w:sz w:val="28"/>
        </w:rPr>
      </w:pPr>
      <w:r>
        <w:rPr>
          <w:rFonts w:ascii="宋体" w:hAnsi="宋体" w:hint="eastAsia"/>
          <w:spacing w:val="-10"/>
          <w:sz w:val="28"/>
        </w:rPr>
        <w:t>·</w:t>
      </w:r>
      <w:r>
        <w:rPr>
          <w:rFonts w:ascii="黑体" w:eastAsia="黑体" w:hAnsi="宋体" w:hint="eastAsia"/>
          <w:b w:val="0"/>
          <w:bCs w:val="0"/>
          <w:spacing w:val="-10"/>
          <w:sz w:val="28"/>
        </w:rPr>
        <w:t>注意</w:t>
      </w:r>
      <w:r>
        <w:rPr>
          <w:rFonts w:ascii="宋体" w:hAnsi="宋体" w:hint="eastAsia"/>
          <w:spacing w:val="-10"/>
          <w:sz w:val="28"/>
        </w:rPr>
        <w:t>：</w:t>
      </w:r>
    </w:p>
    <w:p>
      <w:pPr>
        <w:pStyle w:val="BodyText"/>
        <w:ind w:firstLine="963" w:firstLineChars="344"/>
        <w:rPr>
          <w:rFonts w:ascii="宋体" w:hAnsi="宋体" w:hint="eastAsia"/>
          <w:color w:val="333333"/>
          <w:spacing w:val="-10"/>
          <w:sz w:val="28"/>
        </w:rPr>
      </w:pPr>
      <w:r>
        <w:rPr>
          <w:rFonts w:ascii="宋体" w:hAnsi="宋体" w:hint="eastAsia"/>
          <w:color w:val="333333"/>
          <w:spacing w:val="-10"/>
          <w:sz w:val="28"/>
        </w:rPr>
        <w:t>——从开始接待到参观完毕回到大堂，随身只需携带笔记本和钢笔，其他物品一律不得携带包括</w:t>
      </w:r>
      <w:r>
        <w:rPr>
          <w:rFonts w:ascii="宋体" w:hAnsi="宋体" w:hint="eastAsia"/>
          <w:color w:val="333333"/>
          <w:spacing w:val="-10"/>
          <w:sz w:val="28"/>
          <w:lang w:eastAsia="zh-CN"/>
        </w:rPr>
        <w:t>相关项目</w:t>
      </w:r>
      <w:r>
        <w:rPr>
          <w:rFonts w:ascii="宋体" w:hAnsi="宋体" w:hint="eastAsia"/>
          <w:color w:val="333333"/>
          <w:spacing w:val="-10"/>
          <w:sz w:val="28"/>
        </w:rPr>
        <w:t>资料；</w:t>
      </w:r>
    </w:p>
    <w:p>
      <w:pPr>
        <w:pStyle w:val="Normal0"/>
        <w:rPr>
          <w:rFonts w:ascii="黑体" w:eastAsia="黑体" w:hAnsi="宋体" w:hint="eastAsia"/>
          <w:spacing w:val="-10"/>
          <w:sz w:val="32"/>
        </w:rPr>
      </w:pPr>
      <w:r>
        <w:rPr>
          <w:rFonts w:ascii="黑体" w:eastAsia="黑体" w:hAnsi="宋体" w:hint="eastAsia"/>
          <w:spacing w:val="-10"/>
          <w:sz w:val="32"/>
        </w:rPr>
        <w:t>第二步：介绍大堂。</w:t>
      </w:r>
    </w:p>
    <w:p>
      <w:pPr>
        <w:pStyle w:val="Normal0"/>
        <w:rPr>
          <w:rFonts w:ascii="宋体" w:hAnsi="宋体" w:hint="eastAsia"/>
          <w:spacing w:val="-10"/>
          <w:sz w:val="28"/>
        </w:rPr>
      </w:pPr>
      <w:r>
        <w:rPr>
          <w:rFonts w:ascii="宋体" w:hAnsi="宋体" w:hint="eastAsia"/>
          <w:spacing w:val="-10"/>
          <w:sz w:val="28"/>
        </w:rPr>
        <w:t>·</w:t>
      </w:r>
      <w:r>
        <w:rPr>
          <w:rFonts w:ascii="黑体" w:eastAsia="黑体" w:hAnsi="宋体" w:hint="eastAsia"/>
          <w:spacing w:val="-10"/>
          <w:sz w:val="28"/>
        </w:rPr>
        <w:t>位置</w:t>
      </w:r>
      <w:r>
        <w:rPr>
          <w:rFonts w:ascii="宋体" w:hAnsi="宋体" w:hint="eastAsia"/>
          <w:spacing w:val="-10"/>
          <w:sz w:val="28"/>
        </w:rPr>
        <w:t>：大厦入口处大厅、侯梯大厅两部分；</w:t>
      </w:r>
    </w:p>
    <w:p>
      <w:pPr>
        <w:pStyle w:val="Normal0"/>
        <w:rPr>
          <w:rFonts w:ascii="宋体" w:hAnsi="宋体" w:hint="eastAsia"/>
          <w:spacing w:val="-10"/>
          <w:sz w:val="28"/>
        </w:rPr>
      </w:pPr>
      <w:r>
        <w:rPr>
          <w:rFonts w:ascii="宋体" w:hAnsi="宋体" w:hint="eastAsia"/>
          <w:spacing w:val="-10"/>
          <w:sz w:val="28"/>
        </w:rPr>
        <w:t>·</w:t>
      </w:r>
      <w:r>
        <w:rPr>
          <w:rFonts w:ascii="黑体" w:eastAsia="黑体" w:hAnsi="宋体" w:hint="eastAsia"/>
          <w:spacing w:val="-10"/>
          <w:sz w:val="28"/>
        </w:rPr>
        <w:t>介绍</w:t>
      </w:r>
      <w:r>
        <w:rPr>
          <w:rFonts w:ascii="黑体" w:eastAsia="黑体" w:hAnsi="宋体" w:hint="eastAsia"/>
          <w:spacing w:val="-10"/>
          <w:sz w:val="28"/>
          <w:lang w:eastAsia="zh-CN"/>
        </w:rPr>
        <w:t>合适的内容</w:t>
      </w:r>
      <w:r>
        <w:rPr>
          <w:rFonts w:ascii="宋体" w:hAnsi="宋体" w:hint="eastAsia"/>
          <w:spacing w:val="-10"/>
          <w:sz w:val="28"/>
        </w:rPr>
        <w:t>：</w:t>
      </w:r>
    </w:p>
    <w:p>
      <w:pPr>
        <w:pStyle w:val="Normal0"/>
        <w:ind w:firstLine="560" w:firstLineChars="200"/>
        <w:rPr>
          <w:rFonts w:ascii="宋体" w:hAnsi="宋体" w:hint="eastAsia"/>
          <w:spacing w:val="-10"/>
          <w:sz w:val="28"/>
        </w:rPr>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pPr>
    </w:p>
    <w:p>
      <w:pPr>
        <w:pStyle w:val="Normal0"/>
        <w:ind w:firstLine="560" w:firstLineChars="200"/>
        <w:rPr>
          <w:rFonts w:ascii="宋体" w:hAnsi="宋体" w:hint="eastAsia"/>
          <w:spacing w:val="-10"/>
          <w:sz w:val="28"/>
        </w:rPr>
      </w:pPr>
      <w:r>
        <w:rPr>
          <w:rFonts w:ascii="宋体" w:hAnsi="宋体" w:hint="eastAsia"/>
          <w:spacing w:val="-10"/>
          <w:sz w:val="28"/>
        </w:rPr>
        <w:t>“首先，我为大家介绍一下大堂。目前我们的大堂由两部份组成，外部为大厦的接待大厅高10米，是目前大连市写字楼中最高的一个，体现了一种大气的风格。我们的开发企业天安集团为了使大厦更具人性化，特别邀请了香港图比公司按六星级标准为我们大堂设计。右边是我们大堂内设置的咖啡厅，是大厦专门为业主提供的商务洽谈、来宾接待以及休闲小憩的服务场所。左边是大连市商业银行的营业大厅，为我们大厦内部入住的公司办理企业帐务提供了方便。大家请看[用手引导向前，并带领大家走向里面]我们的正前方为大厦的电梯厅，是大堂的内部。天安集团在大厦最初设计时，就考虑到电梯使用过程中会产生的拥挤情况，因此特意把侯梯大厅，设计成六边型以扩大容积率。”</w:t>
      </w:r>
    </w:p>
    <w:p>
      <w:pPr>
        <w:pStyle w:val="Normal0"/>
        <w:ind w:firstLine="560" w:firstLineChars="200"/>
        <w:rPr>
          <w:rFonts w:ascii="宋体" w:hAnsi="宋体" w:hint="eastAsia"/>
          <w:spacing w:val="-10"/>
          <w:sz w:val="28"/>
        </w:rPr>
      </w:pPr>
      <w:r>
        <w:rPr>
          <w:rFonts w:ascii="宋体" w:hAnsi="宋体" w:hint="eastAsia"/>
          <w:spacing w:val="-10"/>
          <w:sz w:val="28"/>
        </w:rPr>
        <w:t>本大厦地上建筑总共为52层，分成低层区、中层区和高层区三个区域，低层区由一至十四楼所组成，目前已由大连市商业银行华昌支行统一购买。中层区由十六至二十九楼所组成，天安集团华北区总部就设在中层区的二十九楼。目前世界五百强的IBM公司也有意向入住我们大厦的中层区。高层区由三十一至五十二楼所组成。其中十五层、三十层以及高层区的四十五层为本大厦的避难层，地下三层为大厦停车库。目前我们所看到的八部电梯，分别是通往中层区的三部中速电梯，和通往高层区的五部高速电梯，另外还有两部通往低层区的电梯和两部贯穿整幢大厦上下的货梯，共计十二部。为您的上下楼工作以及出行提供了较大的方便。</w:t>
      </w:r>
    </w:p>
    <w:p>
      <w:pPr>
        <w:pStyle w:val="Normal0"/>
        <w:ind w:firstLine="560" w:firstLineChars="200"/>
        <w:rPr>
          <w:rFonts w:ascii="宋体" w:hAnsi="宋体" w:hint="eastAsia"/>
          <w:spacing w:val="-10"/>
          <w:sz w:val="28"/>
        </w:rPr>
      </w:pPr>
      <w:r>
        <w:rPr>
          <w:rFonts w:ascii="宋体" w:hAnsi="宋体" w:hint="eastAsia"/>
          <w:spacing w:val="-10"/>
          <w:sz w:val="28"/>
        </w:rPr>
        <w:t>“那么今天我首先安排大家乘坐我们的高速梯，到51层参观大厦的清水标准层，接着我们将参观43层分割式样板房，然后返回大堂并乘坐中层区电梯，最后到29层天安集团华北区总部进行参观。”</w:t>
      </w:r>
    </w:p>
    <w:p>
      <w:pPr>
        <w:pStyle w:val="Normal0"/>
        <w:rPr>
          <w:rFonts w:ascii="宋体" w:hAnsi="宋体" w:hint="eastAsia"/>
          <w:spacing w:val="-10"/>
          <w:sz w:val="28"/>
        </w:rPr>
      </w:pPr>
      <w:r>
        <w:rPr>
          <w:rFonts w:ascii="宋体" w:hAnsi="宋体" w:hint="eastAsia"/>
          <w:spacing w:val="-10"/>
          <w:sz w:val="28"/>
        </w:rPr>
        <w:t>·</w:t>
      </w:r>
      <w:r>
        <w:rPr>
          <w:rFonts w:ascii="黑体" w:eastAsia="黑体" w:hAnsi="宋体" w:hint="eastAsia"/>
          <w:spacing w:val="-10"/>
          <w:sz w:val="28"/>
        </w:rPr>
        <w:t>注意事项</w:t>
      </w:r>
      <w:r>
        <w:rPr>
          <w:rFonts w:ascii="宋体" w:hAnsi="宋体" w:hint="eastAsia"/>
          <w:spacing w:val="-10"/>
          <w:sz w:val="28"/>
        </w:rPr>
        <w:t>：</w:t>
      </w:r>
    </w:p>
    <w:p>
      <w:pPr>
        <w:pStyle w:val="Normal0"/>
        <w:ind w:left="718" w:firstLine="2" w:leftChars="342"/>
        <w:rPr>
          <w:rFonts w:ascii="宋体" w:hAnsi="宋体" w:hint="eastAsia"/>
          <w:spacing w:val="-10"/>
          <w:sz w:val="28"/>
        </w:rPr>
      </w:pPr>
      <w:r>
        <w:rPr>
          <w:rFonts w:ascii="宋体" w:hAnsi="宋体" w:hint="eastAsia"/>
          <w:spacing w:val="-10"/>
          <w:sz w:val="28"/>
        </w:rPr>
        <w:t>——介绍时，语速应保持平稳，声调应高亢有力并突出重点，以保证引导大家的思路；</w:t>
      </w:r>
    </w:p>
    <w:p>
      <w:pPr>
        <w:pStyle w:val="Normal0"/>
        <w:ind w:left="718" w:leftChars="342"/>
        <w:rPr>
          <w:rFonts w:ascii="宋体" w:hAnsi="宋体" w:hint="eastAsia"/>
          <w:spacing w:val="-10"/>
          <w:sz w:val="28"/>
        </w:rPr>
      </w:pPr>
      <w:r>
        <w:rPr>
          <w:rFonts w:ascii="宋体" w:hAnsi="宋体" w:hint="eastAsia"/>
          <w:spacing w:val="-10"/>
          <w:sz w:val="28"/>
        </w:rPr>
        <w:t>——言语表达应与肢体动作相吻合，并用肢体语言来引导大家视线；</w:t>
      </w:r>
    </w:p>
    <w:p>
      <w:pPr>
        <w:pStyle w:val="Normal0"/>
        <w:ind w:left="718" w:leftChars="342"/>
        <w:rPr>
          <w:rFonts w:ascii="宋体" w:hAnsi="宋体" w:hint="eastAsia"/>
          <w:spacing w:val="-10"/>
          <w:sz w:val="28"/>
        </w:rPr>
      </w:pPr>
      <w:r>
        <w:rPr>
          <w:rFonts w:ascii="宋体" w:hAnsi="宋体" w:hint="eastAsia"/>
          <w:spacing w:val="-10"/>
          <w:sz w:val="28"/>
        </w:rPr>
        <w:t>——天安品牌是本大厦的唯一市场竞争力，因此在</w:t>
      </w:r>
      <w:r>
        <w:rPr>
          <w:rFonts w:ascii="宋体" w:hAnsi="宋体" w:hint="eastAsia"/>
          <w:spacing w:val="-10"/>
          <w:sz w:val="28"/>
          <w:lang w:eastAsia="zh-CN"/>
        </w:rPr>
        <w:t>相关项目</w:t>
      </w:r>
      <w:r>
        <w:rPr>
          <w:rFonts w:ascii="宋体" w:hAnsi="宋体" w:hint="eastAsia"/>
          <w:spacing w:val="-10"/>
          <w:sz w:val="28"/>
        </w:rPr>
        <w:t>讲解时应着重介绍，并使之贯穿</w:t>
      </w:r>
      <w:r>
        <w:rPr>
          <w:rFonts w:ascii="宋体" w:hAnsi="宋体" w:hint="eastAsia"/>
          <w:spacing w:val="-10"/>
          <w:sz w:val="28"/>
          <w:lang w:eastAsia="zh-CN"/>
        </w:rPr>
        <w:t>相关项目</w:t>
      </w:r>
      <w:r>
        <w:rPr>
          <w:rFonts w:ascii="宋体" w:hAnsi="宋体" w:hint="eastAsia"/>
          <w:spacing w:val="-10"/>
          <w:sz w:val="28"/>
        </w:rPr>
        <w:t>始终；</w:t>
      </w:r>
      <w:r>
        <w:rPr>
          <w:rFonts w:ascii="宋体" w:hAnsi="宋体" w:hint="eastAsia"/>
          <w:spacing w:val="-10"/>
          <w:sz w:val="28"/>
        </w:rPr>
        <w:br/>
      </w:r>
      <w:r>
        <w:rPr>
          <w:rFonts w:ascii="宋体" w:hAnsi="宋体" w:hint="eastAsia"/>
          <w:spacing w:val="-10"/>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3" w:history="1">
        <w:r>
          <w:rPr>
            <w:rFonts w:ascii="SimSun" w:eastAsia="SimSun" w:hAnsi="SimSun" w:cs="SimSun"/>
            <w:b/>
            <w:bCs/>
            <w:color w:val="0000EE"/>
            <w:kern w:val="0"/>
            <w:sz w:val="30"/>
            <w:szCs w:val="30"/>
            <w:u w:val="single" w:color="0000EE"/>
          </w:rPr>
          <w:t>https://d.book118.com/286015035124010053</w:t>
        </w:r>
      </w:hyperlink>
    </w:p>
    <w:p>
      <w:pPr>
        <w:pStyle w:val="Normal0"/>
        <w:ind w:left="718" w:leftChars="342"/>
        <w:rPr>
          <w:rFonts w:ascii="宋体" w:hAnsi="宋体" w:hint="eastAsia"/>
          <w:spacing w:val="-10"/>
          <w:sz w:val="28"/>
        </w:rPr>
      </w:pPr>
    </w:p>
    <w:sectPr>
      <w:headerReference w:type="default" r:id="rId84"/>
      <w:footerReference w:type="default" r:id="rId85"/>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1" w:csb1="00000000"/>
  </w:font>
  <w:font w:name="MingLiU">
    <w:altName w:val="PMingLiU-ExtB"/>
    <w:panose1 w:val="02020309000000000000"/>
    <w:charset w:val="88"/>
    <w:family w:val="modern"/>
    <w:pitch w:val="default"/>
    <w:sig w:usb0="00000000" w:usb1="00000000" w:usb2="00000016" w:usb3="00000000" w:csb0="00100001" w:csb1="00000000"/>
  </w:font>
  <w:font w:name="Arial Unicode MS">
    <w:panose1 w:val="020B0604020202020204"/>
    <w:charset w:val="86"/>
    <w:family w:val="roman"/>
    <w:pitch w:val="default"/>
    <w:sig w:usb0="FFFFFFFF" w:usb1="E9FFFFFF" w:usb2="0000003F" w:usb3="00000000" w:csb0="603F01FF" w:csb1="FFFF0000"/>
  </w:font>
  <w:font w:name="PMingLiU">
    <w:altName w:val="PMingLiU-ExtB"/>
    <w:panose1 w:val="02020300000000000000"/>
    <w:charset w:val="88"/>
    <w:family w:val="roman"/>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0" type="#_x0000_t202" style="width:2in;height:2in;margin-top:0;margin-left:0;mso-height-relative:page;mso-position-horizontal:right;mso-position-horizontal-relative:margin;mso-width-relative:page;mso-wrap-style:none;position:absolute;z-index:2516838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2" type="#_x0000_t202" style="width:2in;height:2in;margin-top:0;margin-left:0;mso-height-relative:page;mso-position-horizontal:right;mso-position-horizontal-relative:margin;mso-width-relative:page;mso-wrap-style:none;position:absolute;z-index:2516848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4" type="#_x0000_t202" style="width:2in;height:2in;margin-top:0;margin-left:0;mso-height-relative:page;mso-position-horizontal:right;mso-position-horizontal-relative:margin;mso-width-relative:page;mso-wrap-style:none;position:absolute;z-index:2516858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6" type="#_x0000_t202" style="width:2in;height:2in;margin-top:0;margin-left:0;mso-height-relative:page;mso-position-horizontal:right;mso-position-horizontal-relative:margin;mso-width-relative:page;mso-wrap-style:none;position:absolute;z-index:2516869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8" type="#_x0000_t202" style="width:2in;height:2in;margin-top:0;margin-left:0;mso-height-relative:page;mso-position-horizontal:right;mso-position-horizontal-relative:margin;mso-width-relative:page;mso-wrap-style:none;position:absolute;z-index:2516879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0" type="#_x0000_t202" style="width:2in;height:2in;margin-top:0;margin-left:0;mso-height-relative:page;mso-position-horizontal:right;mso-position-horizontal-relative:margin;mso-width-relative:page;mso-wrap-style:none;position:absolute;z-index:2516889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2" type="#_x0000_t202" style="width:2in;height:2in;margin-top:0;margin-left:0;mso-height-relative:page;mso-position-horizontal:right;mso-position-horizontal-relative:margin;mso-width-relative:page;mso-wrap-style:none;position:absolute;z-index:2516899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4" type="#_x0000_t202" style="width:2in;height:2in;margin-top:0;margin-left:0;mso-height-relative:page;mso-position-horizontal:right;mso-position-horizontal-relative:margin;mso-width-relative:page;mso-wrap-style:none;position:absolute;z-index:2516910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6" type="#_x0000_t202" style="width:2in;height:2in;margin-top:0;margin-left:0;mso-height-relative:page;mso-position-horizontal:right;mso-position-horizontal-relative:margin;mso-width-relative:page;mso-wrap-style:none;position:absolute;z-index:2516920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8" type="#_x0000_t202" style="width:2in;height:2in;margin-top:0;margin-left:0;mso-height-relative:page;mso-position-horizontal:right;mso-position-horizontal-relative:margin;mso-width-relative:page;mso-wrap-style:none;position:absolute;z-index:2516930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20" type="#_x0000_t202" style="width:2in;height:2in;margin-top:0;margin-left:0;mso-height-relative:page;mso-position-horizontal:right;mso-position-horizontal-relative:margin;mso-width-relative:page;mso-wrap-style:none;position:absolute;z-index:2516940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22" type="#_x0000_t202" style="width:2in;height:2in;margin-top:0;margin-left:0;mso-height-relative:page;mso-position-horizontal:right;mso-position-horizontal-relative:margin;mso-width-relative:page;mso-wrap-style:none;position:absolute;z-index:2516951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24" type="#_x0000_t202" style="width:2in;height:2in;margin-top:0;margin-left:0;mso-height-relative:page;mso-position-horizontal:right;mso-position-horizontal-relative:margin;mso-width-relative:page;mso-wrap-style:none;position:absolute;z-index:2516961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26" type="#_x0000_t202" style="width:2in;height:2in;margin-top:0;margin-left:0;mso-height-relative:page;mso-position-horizontal:right;mso-position-horizontal-relative:margin;mso-width-relative:page;mso-wrap-style:none;position:absolute;z-index:2516971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28" type="#_x0000_t202" style="width:2in;height:2in;margin-top:0;margin-left:0;mso-height-relative:page;mso-position-horizontal:right;mso-position-horizontal-relative:margin;mso-width-relative:page;mso-wrap-style:none;position:absolute;z-index:2516981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53</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26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16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05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95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85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75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64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54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44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34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24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2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13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2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03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2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193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2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183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830C3C"/>
    <w:multiLevelType w:val="multilevel"/>
    <w:tmpl w:val="11830C3C"/>
    <w:lvl w:ilvl="0">
      <w:start w:val="1"/>
      <w:numFmt w:val="bullet"/>
      <w:lvlText w:val=""/>
      <w:lvlJc w:val="left"/>
      <w:pPr>
        <w:tabs>
          <w:tab w:val="left" w:pos="2761"/>
        </w:tabs>
        <w:ind w:left="2761" w:hanging="420"/>
      </w:pPr>
      <w:rPr>
        <w:rFonts w:ascii="Wingdings" w:hAnsi="Wingdings" w:hint="default"/>
      </w:rPr>
    </w:lvl>
    <w:lvl w:ilvl="1">
      <w:start w:val="1"/>
      <w:numFmt w:val="bullet"/>
      <w:lvlText w:val=""/>
      <w:lvlJc w:val="left"/>
      <w:pPr>
        <w:tabs>
          <w:tab w:val="left" w:pos="3181"/>
        </w:tabs>
        <w:ind w:left="3181" w:hanging="420"/>
      </w:pPr>
      <w:rPr>
        <w:rFonts w:ascii="Wingdings" w:hAnsi="Wingdings" w:hint="default"/>
      </w:rPr>
    </w:lvl>
    <w:lvl w:ilvl="2">
      <w:start w:val="1"/>
      <w:numFmt w:val="bullet"/>
      <w:lvlText w:val=""/>
      <w:lvlJc w:val="left"/>
      <w:pPr>
        <w:tabs>
          <w:tab w:val="left" w:pos="3601"/>
        </w:tabs>
        <w:ind w:left="3601" w:hanging="420"/>
      </w:pPr>
      <w:rPr>
        <w:rFonts w:ascii="Wingdings" w:hAnsi="Wingdings" w:hint="default"/>
      </w:rPr>
    </w:lvl>
    <w:lvl w:ilvl="3">
      <w:start w:val="1"/>
      <w:numFmt w:val="bullet"/>
      <w:lvlText w:val=""/>
      <w:lvlJc w:val="left"/>
      <w:pPr>
        <w:tabs>
          <w:tab w:val="left" w:pos="4021"/>
        </w:tabs>
        <w:ind w:left="4021" w:hanging="420"/>
      </w:pPr>
      <w:rPr>
        <w:rFonts w:ascii="Wingdings" w:hAnsi="Wingdings" w:hint="default"/>
      </w:rPr>
    </w:lvl>
    <w:lvl w:ilvl="4">
      <w:start w:val="1"/>
      <w:numFmt w:val="bullet"/>
      <w:lvlText w:val=""/>
      <w:lvlJc w:val="left"/>
      <w:pPr>
        <w:tabs>
          <w:tab w:val="left" w:pos="4441"/>
        </w:tabs>
        <w:ind w:left="4441" w:hanging="420"/>
      </w:pPr>
      <w:rPr>
        <w:rFonts w:ascii="Wingdings" w:hAnsi="Wingdings" w:hint="default"/>
      </w:rPr>
    </w:lvl>
    <w:lvl w:ilvl="5">
      <w:start w:val="1"/>
      <w:numFmt w:val="bullet"/>
      <w:lvlText w:val=""/>
      <w:lvlJc w:val="left"/>
      <w:pPr>
        <w:tabs>
          <w:tab w:val="left" w:pos="4861"/>
        </w:tabs>
        <w:ind w:left="4861" w:hanging="420"/>
      </w:pPr>
      <w:rPr>
        <w:rFonts w:ascii="Wingdings" w:hAnsi="Wingdings" w:hint="default"/>
      </w:rPr>
    </w:lvl>
    <w:lvl w:ilvl="6">
      <w:start w:val="1"/>
      <w:numFmt w:val="bullet"/>
      <w:lvlText w:val=""/>
      <w:lvlJc w:val="left"/>
      <w:pPr>
        <w:tabs>
          <w:tab w:val="left" w:pos="5281"/>
        </w:tabs>
        <w:ind w:left="5281" w:hanging="420"/>
      </w:pPr>
      <w:rPr>
        <w:rFonts w:ascii="Wingdings" w:hAnsi="Wingdings" w:hint="default"/>
      </w:rPr>
    </w:lvl>
    <w:lvl w:ilvl="7">
      <w:start w:val="1"/>
      <w:numFmt w:val="bullet"/>
      <w:lvlText w:val=""/>
      <w:lvlJc w:val="left"/>
      <w:pPr>
        <w:tabs>
          <w:tab w:val="left" w:pos="5701"/>
        </w:tabs>
        <w:ind w:left="5701" w:hanging="420"/>
      </w:pPr>
      <w:rPr>
        <w:rFonts w:ascii="Wingdings" w:hAnsi="Wingdings" w:hint="default"/>
      </w:rPr>
    </w:lvl>
    <w:lvl w:ilvl="8">
      <w:start w:val="1"/>
      <w:numFmt w:val="bullet"/>
      <w:lvlText w:val=""/>
      <w:lvlJc w:val="left"/>
      <w:pPr>
        <w:tabs>
          <w:tab w:val="left" w:pos="6121"/>
        </w:tabs>
        <w:ind w:left="6121" w:hanging="420"/>
      </w:pPr>
      <w:rPr>
        <w:rFonts w:ascii="Wingdings" w:hAnsi="Wingdings" w:hint="default"/>
      </w:rPr>
    </w:lvl>
  </w:abstractNum>
  <w:abstractNum w:abstractNumId="1">
    <w:nsid w:val="1BD740DA"/>
    <w:multiLevelType w:val="multilevel"/>
    <w:tmpl w:val="1BD740DA"/>
    <w:lvl w:ilvl="0">
      <w:start w:val="1"/>
      <w:numFmt w:val="decimal"/>
      <w:lvlText w:val="（%1）"/>
      <w:lvlJc w:val="left"/>
      <w:pPr>
        <w:tabs>
          <w:tab w:val="left" w:pos="720"/>
        </w:tabs>
        <w:ind w:left="720"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21754502"/>
    <w:multiLevelType w:val="multilevel"/>
    <w:tmpl w:val="21754502"/>
    <w:lvl w:ilvl="0">
      <w:start w:val="0"/>
      <w:numFmt w:val="bullet"/>
      <w:lvlText w:val="◇"/>
      <w:lvlJc w:val="left"/>
      <w:pPr>
        <w:tabs>
          <w:tab w:val="left" w:pos="360"/>
        </w:tabs>
        <w:ind w:left="360" w:hanging="360"/>
      </w:pPr>
      <w:rPr>
        <w:rFonts w:ascii="Times New Roman" w:eastAsia="宋体" w:hAnsi="Times New Roman" w:cs="Times New Roman"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nsid w:val="29793A83"/>
    <w:multiLevelType w:val="multilevel"/>
    <w:tmpl w:val="29793A83"/>
    <w:lvl w:ilvl="0">
      <w:start w:val="1"/>
      <w:numFmt w:val="japaneseCounting"/>
      <w:lvlText w:val="%1．"/>
      <w:lvlJc w:val="left"/>
      <w:pPr>
        <w:tabs>
          <w:tab w:val="left" w:pos="646"/>
        </w:tabs>
        <w:ind w:left="646" w:hanging="420"/>
      </w:pPr>
      <w:rPr>
        <w:rFonts w:hint="eastAsia"/>
      </w:rPr>
    </w:lvl>
    <w:lvl w:ilvl="1">
      <w:start w:val="1"/>
      <w:numFmt w:val="bullet"/>
      <w:lvlText w:val=""/>
      <w:lvlJc w:val="left"/>
      <w:pPr>
        <w:tabs>
          <w:tab w:val="left" w:pos="1327"/>
        </w:tabs>
        <w:ind w:left="1327" w:hanging="681"/>
      </w:pPr>
      <w:rPr>
        <w:rFonts w:ascii="Symbol" w:hAnsi="Symbol" w:hint="default"/>
        <w:sz w:val="20"/>
      </w:rPr>
    </w:lvl>
    <w:lvl w:ilvl="2">
      <w:start w:val="1"/>
      <w:numFmt w:val="lowerRoman"/>
      <w:lvlText w:val="%3."/>
      <w:lvlJc w:val="right"/>
      <w:pPr>
        <w:tabs>
          <w:tab w:val="left" w:pos="1486"/>
        </w:tabs>
        <w:ind w:left="1486" w:hanging="420"/>
      </w:pPr>
    </w:lvl>
    <w:lvl w:ilvl="3">
      <w:start w:val="1"/>
      <w:numFmt w:val="decimal"/>
      <w:lvlText w:val="%4."/>
      <w:lvlJc w:val="left"/>
      <w:pPr>
        <w:tabs>
          <w:tab w:val="left" w:pos="1906"/>
        </w:tabs>
        <w:ind w:left="1906" w:hanging="420"/>
      </w:pPr>
    </w:lvl>
    <w:lvl w:ilvl="4">
      <w:start w:val="1"/>
      <w:numFmt w:val="lowerLetter"/>
      <w:lvlText w:val="%5)"/>
      <w:lvlJc w:val="left"/>
      <w:pPr>
        <w:tabs>
          <w:tab w:val="left" w:pos="2326"/>
        </w:tabs>
        <w:ind w:left="2326" w:hanging="420"/>
      </w:pPr>
    </w:lvl>
    <w:lvl w:ilvl="5">
      <w:start w:val="1"/>
      <w:numFmt w:val="lowerRoman"/>
      <w:lvlText w:val="%6."/>
      <w:lvlJc w:val="right"/>
      <w:pPr>
        <w:tabs>
          <w:tab w:val="left" w:pos="2746"/>
        </w:tabs>
        <w:ind w:left="2746" w:hanging="420"/>
      </w:pPr>
    </w:lvl>
    <w:lvl w:ilvl="6">
      <w:start w:val="1"/>
      <w:numFmt w:val="decimal"/>
      <w:lvlText w:val="%7."/>
      <w:lvlJc w:val="left"/>
      <w:pPr>
        <w:tabs>
          <w:tab w:val="left" w:pos="3166"/>
        </w:tabs>
        <w:ind w:left="3166" w:hanging="420"/>
      </w:pPr>
    </w:lvl>
    <w:lvl w:ilvl="7">
      <w:start w:val="1"/>
      <w:numFmt w:val="lowerLetter"/>
      <w:lvlText w:val="%8)"/>
      <w:lvlJc w:val="left"/>
      <w:pPr>
        <w:tabs>
          <w:tab w:val="left" w:pos="3586"/>
        </w:tabs>
        <w:ind w:left="3586" w:hanging="420"/>
      </w:pPr>
    </w:lvl>
    <w:lvl w:ilvl="8">
      <w:start w:val="1"/>
      <w:numFmt w:val="lowerRoman"/>
      <w:lvlText w:val="%9."/>
      <w:lvlJc w:val="right"/>
      <w:pPr>
        <w:tabs>
          <w:tab w:val="left" w:pos="4006"/>
        </w:tabs>
        <w:ind w:left="4006" w:hanging="420"/>
      </w:pPr>
    </w:lvl>
  </w:abstractNum>
  <w:abstractNum w:abstractNumId="4">
    <w:nsid w:val="364F43B7"/>
    <w:multiLevelType w:val="multilevel"/>
    <w:tmpl w:val="364F43B7"/>
    <w:lvl w:ilvl="0">
      <w:start w:val="8"/>
      <w:numFmt w:val="bullet"/>
      <w:lvlText w:val="■"/>
      <w:lvlJc w:val="left"/>
      <w:pPr>
        <w:tabs>
          <w:tab w:val="left" w:pos="360"/>
        </w:tabs>
        <w:ind w:left="360" w:hanging="360"/>
      </w:pPr>
      <w:rPr>
        <w:rFonts w:ascii="Times New Roman" w:eastAsia="宋体" w:hAnsi="Times New Roman" w:cs="Times New Roman" w:hint="default"/>
        <w:color w:val="808080"/>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5">
    <w:nsid w:val="47775293"/>
    <w:multiLevelType w:val="multilevel"/>
    <w:tmpl w:val="47775293"/>
    <w:lvl w:ilvl="0">
      <w:start w:val="1"/>
      <w:numFmt w:val="decimal"/>
      <w:lvlText w:val="%1）"/>
      <w:lvlJc w:val="left"/>
      <w:pPr>
        <w:tabs>
          <w:tab w:val="left" w:pos="1200"/>
        </w:tabs>
        <w:ind w:left="1200" w:hanging="360"/>
      </w:pPr>
      <w:rPr>
        <w:rFonts w:hint="eastAsia"/>
      </w:rPr>
    </w:lvl>
    <w:lvl w:ilvl="1">
      <w:start w:val="1"/>
      <w:numFmt w:val="lowerLetter"/>
      <w:lvlText w:val="%2)"/>
      <w:lvlJc w:val="left"/>
      <w:pPr>
        <w:tabs>
          <w:tab w:val="left" w:pos="1680"/>
        </w:tabs>
        <w:ind w:left="1680" w:hanging="420"/>
      </w:pPr>
    </w:lvl>
    <w:lvl w:ilvl="2">
      <w:start w:val="1"/>
      <w:numFmt w:val="lowerRoman"/>
      <w:lvlText w:val="%3."/>
      <w:lvlJc w:val="right"/>
      <w:pPr>
        <w:tabs>
          <w:tab w:val="left" w:pos="2100"/>
        </w:tabs>
        <w:ind w:left="2100" w:hanging="420"/>
      </w:pPr>
    </w:lvl>
    <w:lvl w:ilvl="3">
      <w:start w:val="1"/>
      <w:numFmt w:val="decimal"/>
      <w:lvlText w:val="%4."/>
      <w:lvlJc w:val="left"/>
      <w:pPr>
        <w:tabs>
          <w:tab w:val="left" w:pos="2520"/>
        </w:tabs>
        <w:ind w:left="2520" w:hanging="420"/>
      </w:pPr>
    </w:lvl>
    <w:lvl w:ilvl="4">
      <w:start w:val="1"/>
      <w:numFmt w:val="lowerLetter"/>
      <w:lvlText w:val="%5)"/>
      <w:lvlJc w:val="left"/>
      <w:pPr>
        <w:tabs>
          <w:tab w:val="left" w:pos="2940"/>
        </w:tabs>
        <w:ind w:left="2940" w:hanging="420"/>
      </w:pPr>
    </w:lvl>
    <w:lvl w:ilvl="5">
      <w:start w:val="1"/>
      <w:numFmt w:val="lowerRoman"/>
      <w:lvlText w:val="%6."/>
      <w:lvlJc w:val="right"/>
      <w:pPr>
        <w:tabs>
          <w:tab w:val="left" w:pos="3360"/>
        </w:tabs>
        <w:ind w:left="3360" w:hanging="420"/>
      </w:pPr>
    </w:lvl>
    <w:lvl w:ilvl="6">
      <w:start w:val="1"/>
      <w:numFmt w:val="decimal"/>
      <w:lvlText w:val="%7."/>
      <w:lvlJc w:val="left"/>
      <w:pPr>
        <w:tabs>
          <w:tab w:val="left" w:pos="3780"/>
        </w:tabs>
        <w:ind w:left="3780" w:hanging="420"/>
      </w:pPr>
    </w:lvl>
    <w:lvl w:ilvl="7">
      <w:start w:val="1"/>
      <w:numFmt w:val="lowerLetter"/>
      <w:lvlText w:val="%8)"/>
      <w:lvlJc w:val="left"/>
      <w:pPr>
        <w:tabs>
          <w:tab w:val="left" w:pos="4200"/>
        </w:tabs>
        <w:ind w:left="4200" w:hanging="420"/>
      </w:pPr>
    </w:lvl>
    <w:lvl w:ilvl="8">
      <w:start w:val="1"/>
      <w:numFmt w:val="lowerRoman"/>
      <w:lvlText w:val="%9."/>
      <w:lvlJc w:val="right"/>
      <w:pPr>
        <w:tabs>
          <w:tab w:val="left" w:pos="4620"/>
        </w:tabs>
        <w:ind w:left="4620" w:hanging="420"/>
      </w:pPr>
    </w:lvl>
  </w:abstractNum>
  <w:abstractNum w:abstractNumId="6">
    <w:nsid w:val="5ACD26E1"/>
    <w:multiLevelType w:val="multilevel"/>
    <w:tmpl w:val="5ACD26E1"/>
    <w:lvl w:ilvl="0">
      <w:start w:val="4"/>
      <w:numFmt w:val="decimal"/>
      <w:lvlText w:val="（%1）"/>
      <w:lvlJc w:val="left"/>
      <w:pPr>
        <w:tabs>
          <w:tab w:val="left" w:pos="720"/>
        </w:tabs>
        <w:ind w:left="720"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60056204"/>
    <w:multiLevelType w:val="multilevel"/>
    <w:tmpl w:val="60056204"/>
    <w:lvl w:ilvl="0">
      <w:start w:val="1"/>
      <w:numFmt w:val="decimal"/>
      <w:lvlText w:val="%1）"/>
      <w:lvlJc w:val="left"/>
      <w:pPr>
        <w:tabs>
          <w:tab w:val="left" w:pos="2523"/>
        </w:tabs>
        <w:ind w:left="2523" w:hanging="360"/>
      </w:pPr>
      <w:rPr>
        <w:rFonts w:hint="eastAsia"/>
      </w:rPr>
    </w:lvl>
    <w:lvl w:ilvl="1">
      <w:start w:val="1"/>
      <w:numFmt w:val="lowerLetter"/>
      <w:lvlText w:val="%2)"/>
      <w:lvlJc w:val="left"/>
      <w:pPr>
        <w:tabs>
          <w:tab w:val="left" w:pos="3003"/>
        </w:tabs>
        <w:ind w:left="3003" w:hanging="420"/>
      </w:pPr>
    </w:lvl>
    <w:lvl w:ilvl="2">
      <w:start w:val="1"/>
      <w:numFmt w:val="lowerRoman"/>
      <w:lvlText w:val="%3."/>
      <w:lvlJc w:val="right"/>
      <w:pPr>
        <w:tabs>
          <w:tab w:val="left" w:pos="3423"/>
        </w:tabs>
        <w:ind w:left="3423" w:hanging="420"/>
      </w:pPr>
    </w:lvl>
    <w:lvl w:ilvl="3">
      <w:start w:val="1"/>
      <w:numFmt w:val="decimal"/>
      <w:lvlText w:val="%4."/>
      <w:lvlJc w:val="left"/>
      <w:pPr>
        <w:tabs>
          <w:tab w:val="left" w:pos="3843"/>
        </w:tabs>
        <w:ind w:left="3843" w:hanging="420"/>
      </w:pPr>
    </w:lvl>
    <w:lvl w:ilvl="4">
      <w:start w:val="1"/>
      <w:numFmt w:val="lowerLetter"/>
      <w:lvlText w:val="%5)"/>
      <w:lvlJc w:val="left"/>
      <w:pPr>
        <w:tabs>
          <w:tab w:val="left" w:pos="4263"/>
        </w:tabs>
        <w:ind w:left="4263" w:hanging="420"/>
      </w:pPr>
    </w:lvl>
    <w:lvl w:ilvl="5">
      <w:start w:val="1"/>
      <w:numFmt w:val="lowerRoman"/>
      <w:lvlText w:val="%6."/>
      <w:lvlJc w:val="right"/>
      <w:pPr>
        <w:tabs>
          <w:tab w:val="left" w:pos="4683"/>
        </w:tabs>
        <w:ind w:left="4683" w:hanging="420"/>
      </w:pPr>
    </w:lvl>
    <w:lvl w:ilvl="6">
      <w:start w:val="1"/>
      <w:numFmt w:val="decimal"/>
      <w:lvlText w:val="%7."/>
      <w:lvlJc w:val="left"/>
      <w:pPr>
        <w:tabs>
          <w:tab w:val="left" w:pos="5103"/>
        </w:tabs>
        <w:ind w:left="5103" w:hanging="420"/>
      </w:pPr>
    </w:lvl>
    <w:lvl w:ilvl="7">
      <w:start w:val="1"/>
      <w:numFmt w:val="lowerLetter"/>
      <w:lvlText w:val="%8)"/>
      <w:lvlJc w:val="left"/>
      <w:pPr>
        <w:tabs>
          <w:tab w:val="left" w:pos="5523"/>
        </w:tabs>
        <w:ind w:left="5523" w:hanging="420"/>
      </w:pPr>
    </w:lvl>
    <w:lvl w:ilvl="8">
      <w:start w:val="1"/>
      <w:numFmt w:val="lowerRoman"/>
      <w:lvlText w:val="%9."/>
      <w:lvlJc w:val="right"/>
      <w:pPr>
        <w:tabs>
          <w:tab w:val="left" w:pos="5943"/>
        </w:tabs>
        <w:ind w:left="5943" w:hanging="420"/>
      </w:pPr>
    </w:lvl>
  </w:abstractNum>
  <w:abstractNum w:abstractNumId="8">
    <w:nsid w:val="6E8C388F"/>
    <w:multiLevelType w:val="multilevel"/>
    <w:tmpl w:val="6E8C388F"/>
    <w:lvl w:ilvl="0">
      <w:start w:val="1"/>
      <w:numFmt w:val="decimal"/>
      <w:lvlText w:val="%1"/>
      <w:lvlJc w:val="left"/>
      <w:pPr>
        <w:tabs>
          <w:tab w:val="left" w:pos="425"/>
        </w:tabs>
        <w:ind w:left="425" w:hanging="425"/>
      </w:pPr>
    </w:lvl>
    <w:lvl w:ilvl="1">
      <w:start w:val="1"/>
      <w:numFmt w:val="decimal"/>
      <w:lvlText w:val="%1.%2"/>
      <w:lvlJc w:val="left"/>
      <w:pPr>
        <w:tabs>
          <w:tab w:val="left" w:pos="992"/>
        </w:tabs>
        <w:ind w:left="992" w:hanging="567"/>
      </w:pPr>
    </w:lvl>
    <w:lvl w:ilvl="2">
      <w:start w:val="1"/>
      <w:numFmt w:val="decimal"/>
      <w:lvlText w:val="%1.%2.%3"/>
      <w:lvlJc w:val="left"/>
      <w:pPr>
        <w:tabs>
          <w:tab w:val="left" w:pos="1418"/>
        </w:tabs>
        <w:ind w:left="1418"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737D63A3"/>
    <w:multiLevelType w:val="multilevel"/>
    <w:tmpl w:val="737D63A3"/>
    <w:lvl w:ilvl="0">
      <w:start w:val="1"/>
      <w:numFmt w:val="bullet"/>
      <w:lvlText w:val=""/>
      <w:lvlJc w:val="left"/>
      <w:pPr>
        <w:tabs>
          <w:tab w:val="left" w:pos="3299"/>
        </w:tabs>
        <w:ind w:left="3299" w:hanging="420"/>
      </w:pPr>
      <w:rPr>
        <w:rFonts w:ascii="Wingdings" w:hAnsi="Wingdings" w:hint="default"/>
      </w:rPr>
    </w:lvl>
    <w:lvl w:ilvl="1">
      <w:start w:val="1"/>
      <w:numFmt w:val="bullet"/>
      <w:lvlText w:val=""/>
      <w:lvlJc w:val="left"/>
      <w:pPr>
        <w:tabs>
          <w:tab w:val="left" w:pos="3719"/>
        </w:tabs>
        <w:ind w:left="3719" w:hanging="420"/>
      </w:pPr>
      <w:rPr>
        <w:rFonts w:ascii="Wingdings" w:hAnsi="Wingdings" w:hint="default"/>
      </w:rPr>
    </w:lvl>
    <w:lvl w:ilvl="2">
      <w:start w:val="1"/>
      <w:numFmt w:val="bullet"/>
      <w:lvlText w:val=""/>
      <w:lvlJc w:val="left"/>
      <w:pPr>
        <w:tabs>
          <w:tab w:val="left" w:pos="4139"/>
        </w:tabs>
        <w:ind w:left="4139" w:hanging="420"/>
      </w:pPr>
      <w:rPr>
        <w:rFonts w:ascii="Wingdings" w:hAnsi="Wingdings" w:hint="default"/>
      </w:rPr>
    </w:lvl>
    <w:lvl w:ilvl="3">
      <w:start w:val="1"/>
      <w:numFmt w:val="bullet"/>
      <w:lvlText w:val=""/>
      <w:lvlJc w:val="left"/>
      <w:pPr>
        <w:tabs>
          <w:tab w:val="left" w:pos="4559"/>
        </w:tabs>
        <w:ind w:left="4559" w:hanging="420"/>
      </w:pPr>
      <w:rPr>
        <w:rFonts w:ascii="Wingdings" w:hAnsi="Wingdings" w:hint="default"/>
      </w:rPr>
    </w:lvl>
    <w:lvl w:ilvl="4">
      <w:start w:val="1"/>
      <w:numFmt w:val="bullet"/>
      <w:lvlText w:val=""/>
      <w:lvlJc w:val="left"/>
      <w:pPr>
        <w:tabs>
          <w:tab w:val="left" w:pos="4979"/>
        </w:tabs>
        <w:ind w:left="4979" w:hanging="420"/>
      </w:pPr>
      <w:rPr>
        <w:rFonts w:ascii="Wingdings" w:hAnsi="Wingdings" w:hint="default"/>
      </w:rPr>
    </w:lvl>
    <w:lvl w:ilvl="5">
      <w:start w:val="1"/>
      <w:numFmt w:val="bullet"/>
      <w:lvlText w:val=""/>
      <w:lvlJc w:val="left"/>
      <w:pPr>
        <w:tabs>
          <w:tab w:val="left" w:pos="5399"/>
        </w:tabs>
        <w:ind w:left="5399" w:hanging="420"/>
      </w:pPr>
      <w:rPr>
        <w:rFonts w:ascii="Wingdings" w:hAnsi="Wingdings" w:hint="default"/>
      </w:rPr>
    </w:lvl>
    <w:lvl w:ilvl="6">
      <w:start w:val="1"/>
      <w:numFmt w:val="bullet"/>
      <w:lvlText w:val=""/>
      <w:lvlJc w:val="left"/>
      <w:pPr>
        <w:tabs>
          <w:tab w:val="left" w:pos="5819"/>
        </w:tabs>
        <w:ind w:left="5819" w:hanging="420"/>
      </w:pPr>
      <w:rPr>
        <w:rFonts w:ascii="Wingdings" w:hAnsi="Wingdings" w:hint="default"/>
      </w:rPr>
    </w:lvl>
    <w:lvl w:ilvl="7">
      <w:start w:val="1"/>
      <w:numFmt w:val="bullet"/>
      <w:lvlText w:val=""/>
      <w:lvlJc w:val="left"/>
      <w:pPr>
        <w:tabs>
          <w:tab w:val="left" w:pos="6239"/>
        </w:tabs>
        <w:ind w:left="6239" w:hanging="420"/>
      </w:pPr>
      <w:rPr>
        <w:rFonts w:ascii="Wingdings" w:hAnsi="Wingdings" w:hint="default"/>
      </w:rPr>
    </w:lvl>
    <w:lvl w:ilvl="8">
      <w:start w:val="1"/>
      <w:numFmt w:val="bullet"/>
      <w:lvlText w:val=""/>
      <w:lvlJc w:val="left"/>
      <w:pPr>
        <w:tabs>
          <w:tab w:val="left" w:pos="6659"/>
        </w:tabs>
        <w:ind w:left="6659" w:hanging="420"/>
      </w:pPr>
      <w:rPr>
        <w:rFonts w:ascii="Wingdings" w:hAnsi="Wingdings" w:hint="default"/>
      </w:rPr>
    </w:lvl>
  </w:abstractNum>
  <w:abstractNum w:abstractNumId="10">
    <w:nsid w:val="7B6B7BCE"/>
    <w:multiLevelType w:val="multilevel"/>
    <w:tmpl w:val="7B6B7BCE"/>
    <w:lvl w:ilvl="0">
      <w:start w:val="1"/>
      <w:numFmt w:val="bullet"/>
      <w:lvlText w:val=""/>
      <w:lvlJc w:val="left"/>
      <w:pPr>
        <w:tabs>
          <w:tab w:val="left" w:pos="3299"/>
        </w:tabs>
        <w:ind w:left="3299" w:hanging="420"/>
      </w:pPr>
      <w:rPr>
        <w:rFonts w:ascii="Wingdings" w:hAnsi="Wingdings" w:hint="default"/>
      </w:rPr>
    </w:lvl>
    <w:lvl w:ilvl="1">
      <w:start w:val="1"/>
      <w:numFmt w:val="bullet"/>
      <w:lvlText w:val=""/>
      <w:lvlJc w:val="left"/>
      <w:pPr>
        <w:tabs>
          <w:tab w:val="left" w:pos="3719"/>
        </w:tabs>
        <w:ind w:left="3719" w:hanging="420"/>
      </w:pPr>
      <w:rPr>
        <w:rFonts w:ascii="Wingdings" w:hAnsi="Wingdings" w:hint="default"/>
      </w:rPr>
    </w:lvl>
    <w:lvl w:ilvl="2">
      <w:start w:val="1"/>
      <w:numFmt w:val="bullet"/>
      <w:lvlText w:val=""/>
      <w:lvlJc w:val="left"/>
      <w:pPr>
        <w:tabs>
          <w:tab w:val="left" w:pos="4139"/>
        </w:tabs>
        <w:ind w:left="4139" w:hanging="420"/>
      </w:pPr>
      <w:rPr>
        <w:rFonts w:ascii="Wingdings" w:hAnsi="Wingdings" w:hint="default"/>
      </w:rPr>
    </w:lvl>
    <w:lvl w:ilvl="3">
      <w:start w:val="1"/>
      <w:numFmt w:val="bullet"/>
      <w:lvlText w:val=""/>
      <w:lvlJc w:val="left"/>
      <w:pPr>
        <w:tabs>
          <w:tab w:val="left" w:pos="4559"/>
        </w:tabs>
        <w:ind w:left="4559" w:hanging="420"/>
      </w:pPr>
      <w:rPr>
        <w:rFonts w:ascii="Wingdings" w:hAnsi="Wingdings" w:hint="default"/>
      </w:rPr>
    </w:lvl>
    <w:lvl w:ilvl="4">
      <w:start w:val="1"/>
      <w:numFmt w:val="bullet"/>
      <w:lvlText w:val=""/>
      <w:lvlJc w:val="left"/>
      <w:pPr>
        <w:tabs>
          <w:tab w:val="left" w:pos="4979"/>
        </w:tabs>
        <w:ind w:left="4979" w:hanging="420"/>
      </w:pPr>
      <w:rPr>
        <w:rFonts w:ascii="Wingdings" w:hAnsi="Wingdings" w:hint="default"/>
      </w:rPr>
    </w:lvl>
    <w:lvl w:ilvl="5">
      <w:start w:val="1"/>
      <w:numFmt w:val="bullet"/>
      <w:lvlText w:val=""/>
      <w:lvlJc w:val="left"/>
      <w:pPr>
        <w:tabs>
          <w:tab w:val="left" w:pos="5399"/>
        </w:tabs>
        <w:ind w:left="5399" w:hanging="420"/>
      </w:pPr>
      <w:rPr>
        <w:rFonts w:ascii="Wingdings" w:hAnsi="Wingdings" w:hint="default"/>
      </w:rPr>
    </w:lvl>
    <w:lvl w:ilvl="6">
      <w:start w:val="1"/>
      <w:numFmt w:val="bullet"/>
      <w:lvlText w:val=""/>
      <w:lvlJc w:val="left"/>
      <w:pPr>
        <w:tabs>
          <w:tab w:val="left" w:pos="5819"/>
        </w:tabs>
        <w:ind w:left="5819" w:hanging="420"/>
      </w:pPr>
      <w:rPr>
        <w:rFonts w:ascii="Wingdings" w:hAnsi="Wingdings" w:hint="default"/>
      </w:rPr>
    </w:lvl>
    <w:lvl w:ilvl="7">
      <w:start w:val="1"/>
      <w:numFmt w:val="bullet"/>
      <w:lvlText w:val=""/>
      <w:lvlJc w:val="left"/>
      <w:pPr>
        <w:tabs>
          <w:tab w:val="left" w:pos="6239"/>
        </w:tabs>
        <w:ind w:left="6239" w:hanging="420"/>
      </w:pPr>
      <w:rPr>
        <w:rFonts w:ascii="Wingdings" w:hAnsi="Wingdings" w:hint="default"/>
      </w:rPr>
    </w:lvl>
    <w:lvl w:ilvl="8">
      <w:start w:val="1"/>
      <w:numFmt w:val="bullet"/>
      <w:lvlText w:val=""/>
      <w:lvlJc w:val="left"/>
      <w:pPr>
        <w:tabs>
          <w:tab w:val="left" w:pos="6659"/>
        </w:tabs>
        <w:ind w:left="6659" w:hanging="420"/>
      </w:pPr>
      <w:rPr>
        <w:rFonts w:ascii="Wingdings" w:hAnsi="Wingdings" w:hint="default"/>
      </w:rPr>
    </w:lvl>
  </w:abstractNum>
  <w:num w:numId="1">
    <w:abstractNumId w:val="8"/>
  </w:num>
  <w:num w:numId="2">
    <w:abstractNumId w:val="4"/>
  </w:num>
  <w:num w:numId="3">
    <w:abstractNumId w:val="5"/>
  </w:num>
  <w:num w:numId="4">
    <w:abstractNumId w:val="3"/>
  </w:num>
  <w:num w:numId="5">
    <w:abstractNumId w:val="2"/>
  </w:num>
  <w:num w:numId="6">
    <w:abstractNumId w:val="10"/>
  </w:num>
  <w:num w:numId="7">
    <w:abstractNumId w:val="9"/>
  </w:num>
  <w:num w:numId="8">
    <w:abstractNumId w:val="0"/>
  </w:num>
  <w:num w:numId="9">
    <w:abstractNumId w:val="7"/>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7D1BB9"/>
    <w:rsid w:val="009B73D0"/>
    <w:rsid w:val="00C1729B"/>
    <w:rsid w:val="00C3480A"/>
    <w:rsid w:val="00D16826"/>
    <w:rsid w:val="00D2530E"/>
    <w:rsid w:val="00E73211"/>
    <w:rsid w:val="00EF34AA"/>
    <w:rsid w:val="00FB4CF7"/>
    <w:rsid w:val="00FC25C7"/>
    <w:rsid w:val="1B775F20"/>
    <w:rsid w:val="2B4C1331"/>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2">
    <w:name w:val="heading 2"/>
    <w:basedOn w:val="Normal"/>
    <w:next w:val="Normal0"/>
    <w:qFormat/>
    <w:pPr>
      <w:keepNext/>
      <w:keepLines/>
      <w:spacing w:before="120" w:line="415" w:lineRule="auto"/>
      <w:outlineLvl w:val="1"/>
    </w:pPr>
    <w:rPr>
      <w:rFonts w:ascii="Arial" w:eastAsia="黑体" w:hAnsi="Arial"/>
      <w:b/>
      <w:spacing w:val="22"/>
      <w:sz w:val="32"/>
      <w:szCs w:val="20"/>
    </w:rPr>
  </w:style>
  <w:style w:type="paragraph" w:styleId="Heading3">
    <w:name w:val="heading 3"/>
    <w:basedOn w:val="Normal"/>
    <w:next w:val="Normal0"/>
    <w:qFormat/>
    <w:pPr>
      <w:keepNext/>
      <w:keepLines/>
      <w:spacing w:before="120" w:line="415" w:lineRule="auto"/>
      <w:outlineLvl w:val="2"/>
    </w:pPr>
    <w:rPr>
      <w:rFonts w:ascii="Times New Roman" w:eastAsia="黑体" w:hAnsi="Times New Roman"/>
      <w:b/>
      <w:spacing w:val="22"/>
      <w:sz w:val="28"/>
      <w:szCs w:val="20"/>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Normal0">
    <w:name w:val="Normal_0"/>
    <w:autoRedefine/>
    <w:qFormat/>
    <w:pPr>
      <w:widowControl w:val="0"/>
      <w:jc w:val="both"/>
    </w:pPr>
    <w:rPr>
      <w:rFonts w:ascii="Times New Roman" w:eastAsia="宋体" w:hAnsi="Times New Roman" w:cstheme="minorBidi"/>
      <w:kern w:val="2"/>
      <w:sz w:val="21"/>
      <w:szCs w:val="24"/>
      <w:lang w:val="en-US" w:eastAsia="zh-CN" w:bidi="ar-SA"/>
    </w:rPr>
  </w:style>
  <w:style w:type="paragraph" w:styleId="BodyText">
    <w:name w:val="Body Text"/>
    <w:basedOn w:val="Normal"/>
    <w:autoRedefine/>
    <w:qFormat/>
    <w:pPr>
      <w:spacing w:line="360" w:lineRule="auto"/>
    </w:pPr>
    <w:rPr>
      <w:rFonts w:ascii="Times New Roman" w:hAnsi="Times New Roman"/>
      <w:b/>
      <w:bCs/>
      <w:sz w:val="24"/>
      <w:szCs w:val="24"/>
    </w:rPr>
  </w:style>
  <w:style w:type="paragraph" w:styleId="BodyTextIndent">
    <w:name w:val="Body Text Indent"/>
    <w:basedOn w:val="Normal"/>
    <w:autoRedefine/>
    <w:qFormat/>
    <w:pPr>
      <w:spacing w:line="360" w:lineRule="auto"/>
      <w:ind w:left="720"/>
    </w:pPr>
    <w:rPr>
      <w:rFonts w:ascii="Times New Roman" w:hAnsi="Times New Roman"/>
      <w:sz w:val="24"/>
      <w:szCs w:val="24"/>
    </w:rPr>
  </w:style>
  <w:style w:type="paragraph" w:styleId="BlockText">
    <w:name w:val="Block Text"/>
    <w:basedOn w:val="Normal"/>
    <w:autoRedefine/>
    <w:qFormat/>
    <w:pPr>
      <w:widowControl/>
      <w:spacing w:line="360" w:lineRule="auto"/>
      <w:ind w:left="804" w:right="-47" w:firstLine="92" w:leftChars="383" w:firstLineChars="35"/>
    </w:pPr>
    <w:rPr>
      <w:rFonts w:ascii="宋体" w:hAnsi="Times New Roman"/>
      <w:spacing w:val="-8"/>
      <w:sz w:val="28"/>
      <w:szCs w:val="24"/>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qFormat/>
    <w:pPr>
      <w:tabs>
        <w:tab w:val="left" w:pos="7920"/>
      </w:tabs>
      <w:spacing w:before="240" w:line="360" w:lineRule="auto"/>
    </w:pPr>
    <w:rPr>
      <w:rFonts w:ascii="黑体" w:eastAsia="黑体" w:hAnsi="宋体"/>
      <w:b/>
      <w:sz w:val="44"/>
      <w:szCs w:val="24"/>
    </w:rPr>
  </w:style>
  <w:style w:type="paragraph" w:styleId="BodyText2">
    <w:name w:val="Body Text 2"/>
    <w:basedOn w:val="Normal"/>
    <w:autoRedefine/>
    <w:qFormat/>
    <w:pPr>
      <w:widowControl/>
      <w:tabs>
        <w:tab w:val="left" w:pos="1560"/>
        <w:tab w:val="left" w:pos="8280"/>
      </w:tabs>
      <w:adjustRightInd w:val="0"/>
      <w:snapToGrid w:val="0"/>
      <w:spacing w:before="100" w:line="740" w:lineRule="exact"/>
      <w:ind w:right="26"/>
    </w:pPr>
    <w:rPr>
      <w:rFonts w:ascii="宋体" w:hAnsi="宋体"/>
      <w:spacing w:val="36"/>
      <w:sz w:val="24"/>
      <w:szCs w:val="24"/>
    </w:rPr>
  </w:style>
  <w:style w:type="character" w:styleId="Strong">
    <w:name w:val="Strong"/>
    <w:basedOn w:val="DefaultParagraphFont"/>
    <w:autoRedefine/>
    <w:qFormat/>
    <w:rPr>
      <w:b/>
      <w:bCs/>
    </w:rPr>
  </w:style>
  <w:style w:type="character" w:styleId="PageNumber">
    <w:name w:val="page number"/>
    <w:basedOn w:val="DefaultParagraphFont"/>
    <w:autoRedefine/>
    <w:qFormat/>
  </w:style>
  <w:style w:type="paragraph" w:customStyle="1" w:styleId="Header0">
    <w:name w:val="Header_0"/>
    <w:basedOn w:val="Normal0"/>
    <w:autoRedefine/>
    <w:qFormat/>
    <w:pPr>
      <w:tabs>
        <w:tab w:val="center" w:pos="4153"/>
        <w:tab w:val="right" w:pos="8306"/>
      </w:tabs>
      <w:snapToGrid w:val="0"/>
      <w:jc w:val="center"/>
    </w:pPr>
    <w:rPr>
      <w:sz w:val="18"/>
      <w:szCs w:val="18"/>
    </w:rPr>
  </w:style>
  <w:style w:type="paragraph" w:customStyle="1" w:styleId="Footer0">
    <w:name w:val="Footer_0"/>
    <w:basedOn w:val="Normal0"/>
    <w:autoRedefine/>
    <w:qFormat/>
    <w:pPr>
      <w:tabs>
        <w:tab w:val="center" w:pos="4153"/>
        <w:tab w:val="right" w:pos="8306"/>
      </w:tabs>
      <w:snapToGrid w:val="0"/>
      <w:jc w:val="left"/>
    </w:pPr>
    <w:rPr>
      <w:sz w:val="18"/>
      <w:szCs w:val="18"/>
    </w:rPr>
  </w:style>
  <w:style w:type="character" w:customStyle="1" w:styleId="wenzhang1">
    <w:name w:val="wenzhang1"/>
    <w:basedOn w:val="DefaultParagraphFont"/>
    <w:autoRedefine/>
    <w:qFormat/>
    <w:rPr>
      <w:rFonts w:ascii="Arial" w:hAnsi="Arial" w:cs="Arial" w:hint="default"/>
      <w:color w:val="990000"/>
      <w:sz w:val="21"/>
      <w:szCs w:val="21"/>
    </w:rPr>
  </w:style>
  <w:style w:type="character" w:customStyle="1" w:styleId="text11">
    <w:name w:val="text11"/>
    <w:basedOn w:val="DefaultParagraphFont"/>
    <w:autoRedefine/>
    <w:qFormat/>
    <w:rPr>
      <w:color w:val="82600F"/>
      <w:sz w:val="21"/>
      <w:szCs w:val="21"/>
    </w:rPr>
  </w:style>
  <w:style w:type="paragraph" w:customStyle="1" w:styleId="1">
    <w:name w:val="正文1"/>
    <w:autoRedefine/>
    <w:qFormat/>
    <w:pPr>
      <w:widowControl w:val="0"/>
      <w:jc w:val="both"/>
    </w:pPr>
    <w:rPr>
      <w:rFonts w:ascii="Times New Roman" w:eastAsia="宋体" w:hAnsi="Times New Roman"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header" Target="head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header" Target="header38.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yperlink" Target="https://d.book118.com/286015035124010053" TargetMode="External" /><Relationship Id="rId84" Type="http://schemas.openxmlformats.org/officeDocument/2006/relationships/header" Target="header40.xml" /><Relationship Id="rId85" Type="http://schemas.openxmlformats.org/officeDocument/2006/relationships/footer" Target="footer40.xml" /><Relationship Id="rId86" Type="http://schemas.openxmlformats.org/officeDocument/2006/relationships/theme" Target="theme/theme1.xml" /><Relationship Id="rId87" Type="http://schemas.openxmlformats.org/officeDocument/2006/relationships/numbering" Target="numbering.xml" /><Relationship Id="rId88"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5"/>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2"/>
    <customShpInfo spid="_x0000_s1083"/>
    <customShpInfo spid="_x0000_s1085"/>
    <customShpInfo spid="_x0000_s1087"/>
    <customShpInfo spid="_x0000_s1088"/>
    <customShpInfo spid="_x0000_s1089"/>
    <customShpInfo spid="_x0000_s1090"/>
    <customShpInfo spid="_x0000_s1091"/>
    <customShpInfo spid="_x0000_s109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53</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2024-02-23T15:04:17Z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6AE18245CFFB4151B4852C793174064B_12</vt:lpwstr>
  </property>
  <property fmtid="{D5CDD505-2E9C-101B-9397-08002B2CF9AE}" pid="3" name="KSOProductBuildVer">
    <vt:lpwstr>2052-12.1.0.16388</vt:lpwstr>
  </property>
</Properties>
</file>