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血氧饱和度分析仪项目规划设计纲要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89" w:history="1">
        <w:r>
          <w:rPr>
            <w:rFonts w:ascii="仿宋" w:eastAsia="仿宋" w:hAnsi="仿宋" w:cs="仿宋" w:hint="eastAsia"/>
            <w:lang w:eastAsia="zh-CN"/>
          </w:rPr>
          <w:t>序言</w:t>
        </w:r>
        <w:r>
          <w:tab/>
        </w:r>
        <w:r>
          <w:fldChar w:fldCharType="begin"/>
        </w:r>
        <w:r>
          <w:instrText xml:space="preserve"> PAGEREF _Toc19489 \h </w:instrText>
        </w:r>
        <w:r>
          <w:fldChar w:fldCharType="separate"/>
        </w:r>
        <w:r>
          <w:t>3</w:t>
        </w:r>
        <w:r>
          <w:fldChar w:fldCharType="end"/>
        </w:r>
      </w:hyperlink>
    </w:p>
    <w:p>
      <w:pPr>
        <w:pStyle w:val="TOC1"/>
        <w:tabs>
          <w:tab w:val="right" w:leader="dot" w:pos="8306"/>
        </w:tabs>
      </w:pPr>
      <w:hyperlink w:anchor="_Toc787" w:history="1">
        <w:r>
          <w:rPr>
            <w:rFonts w:ascii="仿宋" w:eastAsia="仿宋" w:hAnsi="仿宋" w:cs="仿宋" w:hint="eastAsia"/>
            <w:lang w:eastAsia="zh-CN"/>
          </w:rPr>
          <w:t>一、血氧饱和度分析仪项目可持续发展</w:t>
        </w:r>
        <w:r>
          <w:tab/>
        </w:r>
        <w:r>
          <w:fldChar w:fldCharType="begin"/>
        </w:r>
        <w:r>
          <w:instrText xml:space="preserve"> PAGEREF _Toc787 \h </w:instrText>
        </w:r>
        <w:r>
          <w:fldChar w:fldCharType="separate"/>
        </w:r>
        <w:r>
          <w:t>3</w:t>
        </w:r>
        <w:r>
          <w:fldChar w:fldCharType="end"/>
        </w:r>
      </w:hyperlink>
    </w:p>
    <w:p>
      <w:pPr>
        <w:pStyle w:val="TOC2"/>
        <w:tabs>
          <w:tab w:val="right" w:leader="dot" w:pos="8306"/>
        </w:tabs>
      </w:pPr>
      <w:hyperlink w:anchor="_Toc17450" w:history="1">
        <w:r>
          <w:rPr>
            <w:rFonts w:ascii="仿宋" w:eastAsia="仿宋" w:hAnsi="仿宋" w:cs="仿宋" w:hint="eastAsia"/>
            <w:lang w:eastAsia="zh-CN"/>
          </w:rPr>
          <w:t>(一)、可持续战略与实践</w:t>
        </w:r>
        <w:r>
          <w:tab/>
        </w:r>
        <w:r>
          <w:fldChar w:fldCharType="begin"/>
        </w:r>
        <w:r>
          <w:instrText xml:space="preserve"> PAGEREF _Toc17450 \h </w:instrText>
        </w:r>
        <w:r>
          <w:fldChar w:fldCharType="separate"/>
        </w:r>
        <w:r>
          <w:t>3</w:t>
        </w:r>
        <w:r>
          <w:fldChar w:fldCharType="end"/>
        </w:r>
      </w:hyperlink>
    </w:p>
    <w:p>
      <w:pPr>
        <w:pStyle w:val="TOC2"/>
        <w:tabs>
          <w:tab w:val="right" w:leader="dot" w:pos="8306"/>
        </w:tabs>
      </w:pPr>
      <w:hyperlink w:anchor="_Toc9808" w:history="1">
        <w:r>
          <w:rPr>
            <w:rFonts w:ascii="仿宋" w:eastAsia="仿宋" w:hAnsi="仿宋" w:cs="仿宋" w:hint="eastAsia"/>
            <w:lang w:eastAsia="zh-CN"/>
          </w:rPr>
          <w:t>(二)、环保与社会责任</w:t>
        </w:r>
        <w:r>
          <w:tab/>
        </w:r>
        <w:r>
          <w:fldChar w:fldCharType="begin"/>
        </w:r>
        <w:r>
          <w:instrText xml:space="preserve"> PAGEREF _Toc9808 \h </w:instrText>
        </w:r>
        <w:r>
          <w:fldChar w:fldCharType="separate"/>
        </w:r>
        <w:r>
          <w:t>4</w:t>
        </w:r>
        <w:r>
          <w:fldChar w:fldCharType="end"/>
        </w:r>
      </w:hyperlink>
    </w:p>
    <w:p>
      <w:pPr>
        <w:pStyle w:val="TOC1"/>
        <w:tabs>
          <w:tab w:val="right" w:leader="dot" w:pos="8306"/>
        </w:tabs>
      </w:pPr>
      <w:hyperlink w:anchor="_Toc18955" w:history="1">
        <w:r>
          <w:rPr>
            <w:rFonts w:ascii="仿宋" w:eastAsia="仿宋" w:hAnsi="仿宋" w:cs="仿宋" w:hint="eastAsia"/>
            <w:lang w:eastAsia="zh-CN"/>
          </w:rPr>
          <w:t>二、产品规划分析</w:t>
        </w:r>
        <w:r>
          <w:tab/>
        </w:r>
        <w:r>
          <w:fldChar w:fldCharType="begin"/>
        </w:r>
        <w:r>
          <w:instrText xml:space="preserve"> PAGEREF _Toc18955 \h </w:instrText>
        </w:r>
        <w:r>
          <w:fldChar w:fldCharType="separate"/>
        </w:r>
        <w:r>
          <w:t>5</w:t>
        </w:r>
        <w:r>
          <w:fldChar w:fldCharType="end"/>
        </w:r>
      </w:hyperlink>
    </w:p>
    <w:p>
      <w:pPr>
        <w:pStyle w:val="TOC2"/>
        <w:tabs>
          <w:tab w:val="right" w:leader="dot" w:pos="8306"/>
        </w:tabs>
      </w:pPr>
      <w:hyperlink w:anchor="_Toc4357" w:history="1">
        <w:r>
          <w:rPr>
            <w:rFonts w:ascii="仿宋" w:eastAsia="仿宋" w:hAnsi="仿宋" w:cs="仿宋" w:hint="eastAsia"/>
            <w:lang w:eastAsia="zh-CN"/>
          </w:rPr>
          <w:t>(一)、产品规划</w:t>
        </w:r>
        <w:r>
          <w:tab/>
        </w:r>
        <w:r>
          <w:fldChar w:fldCharType="begin"/>
        </w:r>
        <w:r>
          <w:instrText xml:space="preserve"> PAGEREF _Toc4357 \h </w:instrText>
        </w:r>
        <w:r>
          <w:fldChar w:fldCharType="separate"/>
        </w:r>
        <w:r>
          <w:t>5</w:t>
        </w:r>
        <w:r>
          <w:fldChar w:fldCharType="end"/>
        </w:r>
      </w:hyperlink>
    </w:p>
    <w:p>
      <w:pPr>
        <w:pStyle w:val="TOC2"/>
        <w:tabs>
          <w:tab w:val="right" w:leader="dot" w:pos="8306"/>
        </w:tabs>
      </w:pPr>
      <w:hyperlink w:anchor="_Toc13189" w:history="1">
        <w:r>
          <w:rPr>
            <w:rFonts w:ascii="仿宋" w:eastAsia="仿宋" w:hAnsi="仿宋" w:cs="仿宋" w:hint="eastAsia"/>
            <w:lang w:eastAsia="zh-CN"/>
          </w:rPr>
          <w:t>(二)、建设规模</w:t>
        </w:r>
        <w:r>
          <w:tab/>
        </w:r>
        <w:r>
          <w:fldChar w:fldCharType="begin"/>
        </w:r>
        <w:r>
          <w:instrText xml:space="preserve"> PAGEREF _Toc13189 \h </w:instrText>
        </w:r>
        <w:r>
          <w:fldChar w:fldCharType="separate"/>
        </w:r>
        <w:r>
          <w:t>5</w:t>
        </w:r>
        <w:r>
          <w:fldChar w:fldCharType="end"/>
        </w:r>
      </w:hyperlink>
    </w:p>
    <w:p>
      <w:pPr>
        <w:pStyle w:val="TOC1"/>
        <w:tabs>
          <w:tab w:val="right" w:leader="dot" w:pos="8306"/>
        </w:tabs>
      </w:pPr>
      <w:hyperlink w:anchor="_Toc31718" w:history="1">
        <w:r>
          <w:rPr>
            <w:rFonts w:ascii="仿宋" w:eastAsia="仿宋" w:hAnsi="仿宋" w:cs="仿宋" w:hint="eastAsia"/>
            <w:lang w:eastAsia="zh-CN"/>
          </w:rPr>
          <w:t>三、血氧饱和度分析仪项目绩效评估</w:t>
        </w:r>
        <w:r>
          <w:tab/>
        </w:r>
        <w:r>
          <w:fldChar w:fldCharType="begin"/>
        </w:r>
        <w:r>
          <w:instrText xml:space="preserve"> PAGEREF _Toc31718 \h </w:instrText>
        </w:r>
        <w:r>
          <w:fldChar w:fldCharType="separate"/>
        </w:r>
        <w:r>
          <w:t>7</w:t>
        </w:r>
        <w:r>
          <w:fldChar w:fldCharType="end"/>
        </w:r>
      </w:hyperlink>
    </w:p>
    <w:p>
      <w:pPr>
        <w:pStyle w:val="TOC2"/>
        <w:tabs>
          <w:tab w:val="right" w:leader="dot" w:pos="8306"/>
        </w:tabs>
      </w:pPr>
      <w:hyperlink w:anchor="_Toc4242" w:history="1">
        <w:r>
          <w:rPr>
            <w:rFonts w:ascii="仿宋" w:eastAsia="仿宋" w:hAnsi="仿宋" w:cs="仿宋" w:hint="eastAsia"/>
            <w:lang w:eastAsia="zh-CN"/>
          </w:rPr>
          <w:t>(一)、绩效评估指标</w:t>
        </w:r>
        <w:r>
          <w:tab/>
        </w:r>
        <w:r>
          <w:fldChar w:fldCharType="begin"/>
        </w:r>
        <w:r>
          <w:instrText xml:space="preserve"> PAGEREF _Toc4242 \h </w:instrText>
        </w:r>
        <w:r>
          <w:fldChar w:fldCharType="separate"/>
        </w:r>
        <w:r>
          <w:t>7</w:t>
        </w:r>
        <w:r>
          <w:fldChar w:fldCharType="end"/>
        </w:r>
      </w:hyperlink>
    </w:p>
    <w:p>
      <w:pPr>
        <w:pStyle w:val="TOC2"/>
        <w:tabs>
          <w:tab w:val="right" w:leader="dot" w:pos="8306"/>
        </w:tabs>
      </w:pPr>
      <w:hyperlink w:anchor="_Toc20693" w:history="1">
        <w:r>
          <w:rPr>
            <w:rFonts w:ascii="仿宋" w:eastAsia="仿宋" w:hAnsi="仿宋" w:cs="仿宋" w:hint="eastAsia"/>
            <w:lang w:eastAsia="zh-CN"/>
          </w:rPr>
          <w:t>(二)、绩效评估方法</w:t>
        </w:r>
        <w:r>
          <w:tab/>
        </w:r>
        <w:r>
          <w:fldChar w:fldCharType="begin"/>
        </w:r>
        <w:r>
          <w:instrText xml:space="preserve"> PAGEREF _Toc20693 \h </w:instrText>
        </w:r>
        <w:r>
          <w:fldChar w:fldCharType="separate"/>
        </w:r>
        <w:r>
          <w:t>8</w:t>
        </w:r>
        <w:r>
          <w:fldChar w:fldCharType="end"/>
        </w:r>
      </w:hyperlink>
    </w:p>
    <w:p>
      <w:pPr>
        <w:pStyle w:val="TOC2"/>
        <w:tabs>
          <w:tab w:val="right" w:leader="dot" w:pos="8306"/>
        </w:tabs>
      </w:pPr>
      <w:hyperlink w:anchor="_Toc32299" w:history="1">
        <w:r>
          <w:rPr>
            <w:rFonts w:ascii="仿宋" w:eastAsia="仿宋" w:hAnsi="仿宋" w:cs="仿宋" w:hint="eastAsia"/>
            <w:lang w:eastAsia="zh-CN"/>
          </w:rPr>
          <w:t>(三)、绩效评估周期</w:t>
        </w:r>
        <w:r>
          <w:tab/>
        </w:r>
        <w:r>
          <w:fldChar w:fldCharType="begin"/>
        </w:r>
        <w:r>
          <w:instrText xml:space="preserve"> PAGEREF _Toc32299 \h </w:instrText>
        </w:r>
        <w:r>
          <w:fldChar w:fldCharType="separate"/>
        </w:r>
        <w:r>
          <w:t>9</w:t>
        </w:r>
        <w:r>
          <w:fldChar w:fldCharType="end"/>
        </w:r>
      </w:hyperlink>
    </w:p>
    <w:p>
      <w:pPr>
        <w:pStyle w:val="TOC1"/>
        <w:tabs>
          <w:tab w:val="right" w:leader="dot" w:pos="8306"/>
        </w:tabs>
      </w:pPr>
      <w:hyperlink w:anchor="_Toc12537" w:history="1">
        <w:r>
          <w:rPr>
            <w:rFonts w:ascii="仿宋" w:eastAsia="仿宋" w:hAnsi="仿宋" w:cs="仿宋" w:hint="eastAsia"/>
            <w:lang w:eastAsia="zh-CN"/>
          </w:rPr>
          <w:t>四、血氧饱和度分析仪项目选址可行性分析</w:t>
        </w:r>
        <w:r>
          <w:tab/>
        </w:r>
        <w:r>
          <w:fldChar w:fldCharType="begin"/>
        </w:r>
        <w:r>
          <w:instrText xml:space="preserve"> PAGEREF _Toc12537 \h </w:instrText>
        </w:r>
        <w:r>
          <w:fldChar w:fldCharType="separate"/>
        </w:r>
        <w:r>
          <w:t>10</w:t>
        </w:r>
        <w:r>
          <w:fldChar w:fldCharType="end"/>
        </w:r>
      </w:hyperlink>
    </w:p>
    <w:p>
      <w:pPr>
        <w:pStyle w:val="TOC2"/>
        <w:tabs>
          <w:tab w:val="right" w:leader="dot" w:pos="8306"/>
        </w:tabs>
      </w:pPr>
      <w:hyperlink w:anchor="_Toc6283" w:history="1">
        <w:r>
          <w:rPr>
            <w:rFonts w:ascii="仿宋" w:eastAsia="仿宋" w:hAnsi="仿宋" w:cs="仿宋" w:hint="eastAsia"/>
            <w:lang w:eastAsia="zh-CN"/>
          </w:rPr>
          <w:t>(一)、血氧饱和度分析仪项目选址</w:t>
        </w:r>
        <w:r>
          <w:tab/>
        </w:r>
        <w:r>
          <w:fldChar w:fldCharType="begin"/>
        </w:r>
        <w:r>
          <w:instrText xml:space="preserve"> PAGEREF _Toc6283 \h </w:instrText>
        </w:r>
        <w:r>
          <w:fldChar w:fldCharType="separate"/>
        </w:r>
        <w:r>
          <w:t>10</w:t>
        </w:r>
        <w:r>
          <w:fldChar w:fldCharType="end"/>
        </w:r>
      </w:hyperlink>
    </w:p>
    <w:p>
      <w:pPr>
        <w:pStyle w:val="TOC2"/>
        <w:tabs>
          <w:tab w:val="right" w:leader="dot" w:pos="8306"/>
        </w:tabs>
      </w:pPr>
      <w:hyperlink w:anchor="_Toc20536" w:history="1">
        <w:r>
          <w:rPr>
            <w:rFonts w:ascii="仿宋" w:eastAsia="仿宋" w:hAnsi="仿宋" w:cs="仿宋" w:hint="eastAsia"/>
            <w:lang w:eastAsia="zh-CN"/>
          </w:rPr>
          <w:t>(二)、用地控制指标</w:t>
        </w:r>
        <w:r>
          <w:tab/>
        </w:r>
        <w:r>
          <w:fldChar w:fldCharType="begin"/>
        </w:r>
        <w:r>
          <w:instrText xml:space="preserve"> PAGEREF _Toc20536 \h </w:instrText>
        </w:r>
        <w:r>
          <w:fldChar w:fldCharType="separate"/>
        </w:r>
        <w:r>
          <w:t>10</w:t>
        </w:r>
        <w:r>
          <w:fldChar w:fldCharType="end"/>
        </w:r>
      </w:hyperlink>
    </w:p>
    <w:p>
      <w:pPr>
        <w:pStyle w:val="TOC2"/>
        <w:tabs>
          <w:tab w:val="right" w:leader="dot" w:pos="8306"/>
        </w:tabs>
      </w:pPr>
      <w:hyperlink w:anchor="_Toc15941" w:history="1">
        <w:r>
          <w:rPr>
            <w:rFonts w:ascii="仿宋" w:eastAsia="仿宋" w:hAnsi="仿宋" w:cs="仿宋" w:hint="eastAsia"/>
            <w:lang w:eastAsia="zh-CN"/>
          </w:rPr>
          <w:t>(三)、节约用地措施</w:t>
        </w:r>
        <w:r>
          <w:tab/>
        </w:r>
        <w:r>
          <w:fldChar w:fldCharType="begin"/>
        </w:r>
        <w:r>
          <w:instrText xml:space="preserve"> PAGEREF _Toc15941 \h </w:instrText>
        </w:r>
        <w:r>
          <w:fldChar w:fldCharType="separate"/>
        </w:r>
        <w:r>
          <w:t>12</w:t>
        </w:r>
        <w:r>
          <w:fldChar w:fldCharType="end"/>
        </w:r>
      </w:hyperlink>
    </w:p>
    <w:p>
      <w:pPr>
        <w:pStyle w:val="TOC2"/>
        <w:tabs>
          <w:tab w:val="right" w:leader="dot" w:pos="8306"/>
        </w:tabs>
      </w:pPr>
      <w:hyperlink w:anchor="_Toc16531" w:history="1">
        <w:r>
          <w:rPr>
            <w:rFonts w:ascii="仿宋" w:eastAsia="仿宋" w:hAnsi="仿宋" w:cs="仿宋" w:hint="eastAsia"/>
            <w:lang w:eastAsia="zh-CN"/>
          </w:rPr>
          <w:t>(四)、总图布置方案</w:t>
        </w:r>
        <w:r>
          <w:tab/>
        </w:r>
        <w:r>
          <w:fldChar w:fldCharType="begin"/>
        </w:r>
        <w:r>
          <w:instrText xml:space="preserve"> PAGEREF _Toc16531 \h </w:instrText>
        </w:r>
        <w:r>
          <w:fldChar w:fldCharType="separate"/>
        </w:r>
        <w:r>
          <w:t>13</w:t>
        </w:r>
        <w:r>
          <w:fldChar w:fldCharType="end"/>
        </w:r>
      </w:hyperlink>
    </w:p>
    <w:p>
      <w:pPr>
        <w:pStyle w:val="TOC2"/>
        <w:tabs>
          <w:tab w:val="right" w:leader="dot" w:pos="8306"/>
        </w:tabs>
      </w:pPr>
      <w:hyperlink w:anchor="_Toc6649" w:history="1">
        <w:r>
          <w:rPr>
            <w:rFonts w:ascii="仿宋" w:eastAsia="仿宋" w:hAnsi="仿宋" w:cs="仿宋" w:hint="eastAsia"/>
            <w:lang w:eastAsia="zh-CN"/>
          </w:rPr>
          <w:t>(五)、选址综合评价</w:t>
        </w:r>
        <w:r>
          <w:tab/>
        </w:r>
        <w:r>
          <w:fldChar w:fldCharType="begin"/>
        </w:r>
        <w:r>
          <w:instrText xml:space="preserve"> PAGEREF _Toc6649 \h </w:instrText>
        </w:r>
        <w:r>
          <w:fldChar w:fldCharType="separate"/>
        </w:r>
        <w:r>
          <w:t>14</w:t>
        </w:r>
        <w:r>
          <w:fldChar w:fldCharType="end"/>
        </w:r>
      </w:hyperlink>
    </w:p>
    <w:p>
      <w:pPr>
        <w:pStyle w:val="TOC1"/>
        <w:tabs>
          <w:tab w:val="right" w:leader="dot" w:pos="8306"/>
        </w:tabs>
      </w:pPr>
      <w:hyperlink w:anchor="_Toc23496" w:history="1">
        <w:r>
          <w:rPr>
            <w:rFonts w:ascii="仿宋" w:eastAsia="仿宋" w:hAnsi="仿宋" w:cs="仿宋" w:hint="eastAsia"/>
            <w:lang w:eastAsia="zh-CN"/>
          </w:rPr>
          <w:t>五、血氧饱和度分析仪项目危机管理</w:t>
        </w:r>
        <w:r>
          <w:tab/>
        </w:r>
        <w:r>
          <w:fldChar w:fldCharType="begin"/>
        </w:r>
        <w:r>
          <w:instrText xml:space="preserve"> PAGEREF _Toc23496 \h </w:instrText>
        </w:r>
        <w:r>
          <w:fldChar w:fldCharType="separate"/>
        </w:r>
        <w:r>
          <w:t>16</w:t>
        </w:r>
        <w:r>
          <w:fldChar w:fldCharType="end"/>
        </w:r>
      </w:hyperlink>
    </w:p>
    <w:p>
      <w:pPr>
        <w:pStyle w:val="TOC2"/>
        <w:tabs>
          <w:tab w:val="right" w:leader="dot" w:pos="8306"/>
        </w:tabs>
      </w:pPr>
      <w:hyperlink w:anchor="_Toc8066" w:history="1">
        <w:r>
          <w:rPr>
            <w:rFonts w:ascii="仿宋" w:eastAsia="仿宋" w:hAnsi="仿宋" w:cs="仿宋" w:hint="eastAsia"/>
            <w:lang w:eastAsia="zh-CN"/>
          </w:rPr>
          <w:t>(一)、危机预警与识别</w:t>
        </w:r>
        <w:r>
          <w:tab/>
        </w:r>
        <w:r>
          <w:fldChar w:fldCharType="begin"/>
        </w:r>
        <w:r>
          <w:instrText xml:space="preserve"> PAGEREF _Toc8066 \h </w:instrText>
        </w:r>
        <w:r>
          <w:fldChar w:fldCharType="separate"/>
        </w:r>
        <w:r>
          <w:t>16</w:t>
        </w:r>
        <w:r>
          <w:fldChar w:fldCharType="end"/>
        </w:r>
      </w:hyperlink>
    </w:p>
    <w:p>
      <w:pPr>
        <w:pStyle w:val="TOC2"/>
        <w:tabs>
          <w:tab w:val="right" w:leader="dot" w:pos="8306"/>
        </w:tabs>
      </w:pPr>
      <w:hyperlink w:anchor="_Toc8016" w:history="1">
        <w:r>
          <w:rPr>
            <w:rFonts w:ascii="仿宋" w:eastAsia="仿宋" w:hAnsi="仿宋" w:cs="仿宋" w:hint="eastAsia"/>
            <w:lang w:eastAsia="zh-CN"/>
          </w:rPr>
          <w:t>(二)、危机应对与恢复</w:t>
        </w:r>
        <w:r>
          <w:tab/>
        </w:r>
        <w:r>
          <w:fldChar w:fldCharType="begin"/>
        </w:r>
        <w:r>
          <w:instrText xml:space="preserve"> PAGEREF _Toc8016 \h </w:instrText>
        </w:r>
        <w:r>
          <w:fldChar w:fldCharType="separate"/>
        </w:r>
        <w:r>
          <w:t>17</w:t>
        </w:r>
        <w:r>
          <w:fldChar w:fldCharType="end"/>
        </w:r>
      </w:hyperlink>
    </w:p>
    <w:p>
      <w:pPr>
        <w:pStyle w:val="TOC1"/>
        <w:tabs>
          <w:tab w:val="right" w:leader="dot" w:pos="8306"/>
        </w:tabs>
      </w:pPr>
      <w:hyperlink w:anchor="_Toc19364" w:history="1">
        <w:r>
          <w:rPr>
            <w:rFonts w:ascii="仿宋" w:eastAsia="仿宋" w:hAnsi="仿宋" w:cs="仿宋" w:hint="eastAsia"/>
            <w:lang w:eastAsia="zh-CN"/>
          </w:rPr>
          <w:t>六、血氧饱和度分析仪项目建设背景及必要性分析</w:t>
        </w:r>
        <w:r>
          <w:tab/>
        </w:r>
        <w:r>
          <w:fldChar w:fldCharType="begin"/>
        </w:r>
        <w:r>
          <w:instrText xml:space="preserve"> PAGEREF _Toc19364 \h </w:instrText>
        </w:r>
        <w:r>
          <w:fldChar w:fldCharType="separate"/>
        </w:r>
        <w:r>
          <w:t>18</w:t>
        </w:r>
        <w:r>
          <w:fldChar w:fldCharType="end"/>
        </w:r>
      </w:hyperlink>
    </w:p>
    <w:p>
      <w:pPr>
        <w:pStyle w:val="TOC2"/>
        <w:tabs>
          <w:tab w:val="right" w:leader="dot" w:pos="8306"/>
        </w:tabs>
      </w:pPr>
      <w:hyperlink w:anchor="_Toc23903" w:history="1">
        <w:r>
          <w:rPr>
            <w:rFonts w:ascii="仿宋" w:eastAsia="仿宋" w:hAnsi="仿宋" w:cs="仿宋" w:hint="eastAsia"/>
            <w:lang w:eastAsia="zh-CN"/>
          </w:rPr>
          <w:t>(一)、血氧饱和度分析仪项目背景分析</w:t>
        </w:r>
        <w:r>
          <w:tab/>
        </w:r>
        <w:r>
          <w:fldChar w:fldCharType="begin"/>
        </w:r>
        <w:r>
          <w:instrText xml:space="preserve"> PAGEREF _Toc23903 \h </w:instrText>
        </w:r>
        <w:r>
          <w:fldChar w:fldCharType="separate"/>
        </w:r>
        <w:r>
          <w:t>18</w:t>
        </w:r>
        <w:r>
          <w:fldChar w:fldCharType="end"/>
        </w:r>
      </w:hyperlink>
    </w:p>
    <w:p>
      <w:pPr>
        <w:pStyle w:val="TOC2"/>
        <w:tabs>
          <w:tab w:val="right" w:leader="dot" w:pos="8306"/>
        </w:tabs>
      </w:pPr>
      <w:hyperlink w:anchor="_Toc22073" w:history="1">
        <w:r>
          <w:rPr>
            <w:rFonts w:ascii="仿宋" w:eastAsia="仿宋" w:hAnsi="仿宋" w:cs="仿宋" w:hint="eastAsia"/>
            <w:lang w:eastAsia="zh-CN"/>
          </w:rPr>
          <w:t>(二)、血氧饱和度分析仪项目建设必要性分析</w:t>
        </w:r>
        <w:r>
          <w:tab/>
        </w:r>
        <w:r>
          <w:fldChar w:fldCharType="begin"/>
        </w:r>
        <w:r>
          <w:instrText xml:space="preserve"> PAGEREF _Toc22073 \h </w:instrText>
        </w:r>
        <w:r>
          <w:fldChar w:fldCharType="separate"/>
        </w:r>
        <w:r>
          <w:t>20</w:t>
        </w:r>
        <w:r>
          <w:fldChar w:fldCharType="end"/>
        </w:r>
      </w:hyperlink>
    </w:p>
    <w:p>
      <w:pPr>
        <w:pStyle w:val="TOC1"/>
        <w:tabs>
          <w:tab w:val="right" w:leader="dot" w:pos="8306"/>
        </w:tabs>
      </w:pPr>
      <w:hyperlink w:anchor="_Toc19194" w:history="1">
        <w:r>
          <w:rPr>
            <w:rFonts w:ascii="仿宋" w:eastAsia="仿宋" w:hAnsi="仿宋" w:cs="仿宋" w:hint="eastAsia"/>
            <w:lang w:eastAsia="zh-CN"/>
          </w:rPr>
          <w:t>七、血氧饱和度分析仪项目社会影响</w:t>
        </w:r>
        <w:r>
          <w:tab/>
        </w:r>
        <w:r>
          <w:fldChar w:fldCharType="begin"/>
        </w:r>
        <w:r>
          <w:instrText xml:space="preserve"> PAGEREF _Toc19194 \h </w:instrText>
        </w:r>
        <w:r>
          <w:fldChar w:fldCharType="separate"/>
        </w:r>
        <w:r>
          <w:t>21</w:t>
        </w:r>
        <w:r>
          <w:fldChar w:fldCharType="end"/>
        </w:r>
      </w:hyperlink>
    </w:p>
    <w:p>
      <w:pPr>
        <w:pStyle w:val="TOC2"/>
        <w:tabs>
          <w:tab w:val="right" w:leader="dot" w:pos="8306"/>
        </w:tabs>
      </w:pPr>
      <w:hyperlink w:anchor="_Toc21118" w:history="1">
        <w:r>
          <w:rPr>
            <w:rFonts w:ascii="仿宋" w:eastAsia="仿宋" w:hAnsi="仿宋" w:cs="仿宋" w:hint="eastAsia"/>
            <w:lang w:eastAsia="zh-CN"/>
          </w:rPr>
          <w:t>(一)、社会责任与义务</w:t>
        </w:r>
        <w:r>
          <w:tab/>
        </w:r>
        <w:r>
          <w:fldChar w:fldCharType="begin"/>
        </w:r>
        <w:r>
          <w:instrText xml:space="preserve"> PAGEREF _Toc21118 \h </w:instrText>
        </w:r>
        <w:r>
          <w:fldChar w:fldCharType="separate"/>
        </w:r>
        <w:r>
          <w:t>21</w:t>
        </w:r>
        <w:r>
          <w:fldChar w:fldCharType="end"/>
        </w:r>
      </w:hyperlink>
    </w:p>
    <w:p>
      <w:pPr>
        <w:pStyle w:val="TOC2"/>
        <w:tabs>
          <w:tab w:val="right" w:leader="dot" w:pos="8306"/>
        </w:tabs>
      </w:pPr>
      <w:hyperlink w:anchor="_Toc16265" w:history="1">
        <w:r>
          <w:rPr>
            <w:rFonts w:ascii="仿宋" w:eastAsia="仿宋" w:hAnsi="仿宋" w:cs="仿宋" w:hint="eastAsia"/>
            <w:lang w:eastAsia="zh-CN"/>
          </w:rPr>
          <w:t>(二)、社会参与与沟通</w:t>
        </w:r>
        <w:r>
          <w:tab/>
        </w:r>
        <w:r>
          <w:fldChar w:fldCharType="begin"/>
        </w:r>
        <w:r>
          <w:instrText xml:space="preserve"> PAGEREF _Toc16265 \h </w:instrText>
        </w:r>
        <w:r>
          <w:fldChar w:fldCharType="separate"/>
        </w:r>
        <w:r>
          <w:t>22</w:t>
        </w:r>
        <w:r>
          <w:fldChar w:fldCharType="end"/>
        </w:r>
      </w:hyperlink>
    </w:p>
    <w:p>
      <w:pPr>
        <w:pStyle w:val="TOC1"/>
        <w:tabs>
          <w:tab w:val="right" w:leader="dot" w:pos="8306"/>
        </w:tabs>
      </w:pPr>
      <w:hyperlink w:anchor="_Toc3797" w:history="1">
        <w:r>
          <w:rPr>
            <w:rFonts w:ascii="仿宋" w:eastAsia="仿宋" w:hAnsi="仿宋" w:cs="仿宋" w:hint="eastAsia"/>
            <w:lang w:eastAsia="zh-CN"/>
          </w:rPr>
          <w:t>八、血氧饱和度分析仪项目人力资源培养与发展</w:t>
        </w:r>
        <w:r>
          <w:tab/>
        </w:r>
        <w:r>
          <w:fldChar w:fldCharType="begin"/>
        </w:r>
        <w:r>
          <w:instrText xml:space="preserve"> PAGEREF _Toc3797 \h </w:instrText>
        </w:r>
        <w:r>
          <w:fldChar w:fldCharType="separate"/>
        </w:r>
        <w:r>
          <w:t>23</w:t>
        </w:r>
        <w:r>
          <w:fldChar w:fldCharType="end"/>
        </w:r>
      </w:hyperlink>
    </w:p>
    <w:p>
      <w:pPr>
        <w:pStyle w:val="TOC2"/>
        <w:tabs>
          <w:tab w:val="right" w:leader="dot" w:pos="8306"/>
        </w:tabs>
      </w:pPr>
      <w:hyperlink w:anchor="_Toc14874" w:history="1">
        <w:r>
          <w:rPr>
            <w:rFonts w:ascii="仿宋" w:eastAsia="仿宋" w:hAnsi="仿宋" w:cs="仿宋" w:hint="eastAsia"/>
            <w:lang w:eastAsia="zh-CN"/>
          </w:rPr>
          <w:t>(一)、人才需求与规划</w:t>
        </w:r>
        <w:r>
          <w:tab/>
        </w:r>
        <w:r>
          <w:fldChar w:fldCharType="begin"/>
        </w:r>
        <w:r>
          <w:instrText xml:space="preserve"> PAGEREF _Toc14874 \h </w:instrText>
        </w:r>
        <w:r>
          <w:fldChar w:fldCharType="separate"/>
        </w:r>
        <w:r>
          <w:t>23</w:t>
        </w:r>
        <w:r>
          <w:fldChar w:fldCharType="end"/>
        </w:r>
      </w:hyperlink>
    </w:p>
    <w:p>
      <w:pPr>
        <w:pStyle w:val="TOC2"/>
        <w:tabs>
          <w:tab w:val="right" w:leader="dot" w:pos="8306"/>
        </w:tabs>
      </w:pPr>
      <w:hyperlink w:anchor="_Toc6010" w:history="1">
        <w:r>
          <w:rPr>
            <w:rFonts w:ascii="仿宋" w:eastAsia="仿宋" w:hAnsi="仿宋" w:cs="仿宋" w:hint="eastAsia"/>
            <w:lang w:eastAsia="zh-CN"/>
          </w:rPr>
          <w:t>(二)、培训与发展计划</w:t>
        </w:r>
        <w:r>
          <w:tab/>
        </w:r>
        <w:r>
          <w:fldChar w:fldCharType="begin"/>
        </w:r>
        <w:r>
          <w:instrText xml:space="preserve"> PAGEREF _Toc6010 \h </w:instrText>
        </w:r>
        <w:r>
          <w:fldChar w:fldCharType="separate"/>
        </w:r>
        <w:r>
          <w:t>24</w:t>
        </w:r>
        <w:r>
          <w:fldChar w:fldCharType="end"/>
        </w:r>
      </w:hyperlink>
    </w:p>
    <w:p>
      <w:pPr>
        <w:pStyle w:val="TOC1"/>
        <w:tabs>
          <w:tab w:val="right" w:leader="dot" w:pos="8306"/>
        </w:tabs>
      </w:pPr>
      <w:hyperlink w:anchor="_Toc8637" w:history="1">
        <w:r>
          <w:rPr>
            <w:rFonts w:ascii="仿宋" w:eastAsia="仿宋" w:hAnsi="仿宋" w:cs="仿宋" w:hint="eastAsia"/>
            <w:lang w:eastAsia="zh-CN"/>
          </w:rPr>
          <w:t>九、血氧饱和度分析仪项目财务管理</w:t>
        </w:r>
        <w:r>
          <w:tab/>
        </w:r>
        <w:r>
          <w:fldChar w:fldCharType="begin"/>
        </w:r>
        <w:r>
          <w:instrText xml:space="preserve"> PAGEREF _Toc8637 \h </w:instrText>
        </w:r>
        <w:r>
          <w:fldChar w:fldCharType="separate"/>
        </w:r>
        <w:r>
          <w:t>24</w:t>
        </w:r>
        <w:r>
          <w:fldChar w:fldCharType="end"/>
        </w:r>
      </w:hyperlink>
    </w:p>
    <w:p>
      <w:pPr>
        <w:pStyle w:val="TOC2"/>
        <w:tabs>
          <w:tab w:val="right" w:leader="dot" w:pos="8306"/>
        </w:tabs>
      </w:pPr>
      <w:hyperlink w:anchor="_Toc7165" w:history="1">
        <w:r>
          <w:rPr>
            <w:rFonts w:ascii="仿宋" w:eastAsia="仿宋" w:hAnsi="仿宋" w:cs="仿宋" w:hint="eastAsia"/>
            <w:lang w:eastAsia="zh-CN"/>
          </w:rPr>
          <w:t>(一)、资金需求大</w:t>
        </w:r>
        <w:r>
          <w:tab/>
        </w:r>
        <w:r>
          <w:fldChar w:fldCharType="begin"/>
        </w:r>
        <w:r>
          <w:instrText xml:space="preserve"> PAGEREF _Toc7165 \h </w:instrText>
        </w:r>
        <w:r>
          <w:fldChar w:fldCharType="separate"/>
        </w:r>
        <w:r>
          <w:t>24</w:t>
        </w:r>
        <w:r>
          <w:fldChar w:fldCharType="end"/>
        </w:r>
      </w:hyperlink>
    </w:p>
    <w:p>
      <w:pPr>
        <w:pStyle w:val="TOC2"/>
        <w:tabs>
          <w:tab w:val="right" w:leader="dot" w:pos="8306"/>
        </w:tabs>
      </w:pPr>
      <w:hyperlink w:anchor="_Toc8594" w:history="1">
        <w:r>
          <w:rPr>
            <w:rFonts w:ascii="仿宋" w:eastAsia="仿宋" w:hAnsi="仿宋" w:cs="仿宋" w:hint="eastAsia"/>
            <w:lang w:eastAsia="zh-CN"/>
          </w:rPr>
          <w:t>(二)、研发周期长</w:t>
        </w:r>
        <w:r>
          <w:tab/>
        </w:r>
        <w:r>
          <w:fldChar w:fldCharType="begin"/>
        </w:r>
        <w:r>
          <w:instrText xml:space="preserve"> PAGEREF _Toc8594 \h </w:instrText>
        </w:r>
        <w:r>
          <w:fldChar w:fldCharType="separate"/>
        </w:r>
        <w:r>
          <w:t>25</w:t>
        </w:r>
        <w:r>
          <w:fldChar w:fldCharType="end"/>
        </w:r>
      </w:hyperlink>
    </w:p>
    <w:p>
      <w:pPr>
        <w:pStyle w:val="TOC2"/>
        <w:tabs>
          <w:tab w:val="right" w:leader="dot" w:pos="8306"/>
        </w:tabs>
      </w:pPr>
      <w:hyperlink w:anchor="_Toc13701" w:history="1">
        <w:r>
          <w:rPr>
            <w:rFonts w:ascii="仿宋" w:eastAsia="仿宋" w:hAnsi="仿宋" w:cs="仿宋" w:hint="eastAsia"/>
            <w:lang w:eastAsia="zh-CN"/>
          </w:rPr>
          <w:t>(三)、市场风险大</w:t>
        </w:r>
        <w:r>
          <w:tab/>
        </w:r>
        <w:r>
          <w:fldChar w:fldCharType="begin"/>
        </w:r>
        <w:r>
          <w:instrText xml:space="preserve"> PAGEREF _Toc13701 \h </w:instrText>
        </w:r>
        <w:r>
          <w:fldChar w:fldCharType="separate"/>
        </w:r>
        <w:r>
          <w:t>27</w:t>
        </w:r>
        <w:r>
          <w:fldChar w:fldCharType="end"/>
        </w:r>
      </w:hyperlink>
    </w:p>
    <w:p>
      <w:pPr>
        <w:pStyle w:val="TOC2"/>
        <w:tabs>
          <w:tab w:val="right" w:leader="dot" w:pos="8306"/>
        </w:tabs>
      </w:pPr>
      <w:hyperlink w:anchor="_Toc18055" w:history="1">
        <w:r>
          <w:rPr>
            <w:rFonts w:ascii="仿宋" w:eastAsia="仿宋" w:hAnsi="仿宋" w:cs="仿宋" w:hint="eastAsia"/>
            <w:lang w:eastAsia="zh-CN"/>
          </w:rPr>
          <w:t>(四)、利润率高</w:t>
        </w:r>
        <w:r>
          <w:tab/>
        </w:r>
        <w:r>
          <w:fldChar w:fldCharType="begin"/>
        </w:r>
        <w:r>
          <w:instrText xml:space="preserve"> PAGEREF _Toc18055 \h </w:instrText>
        </w:r>
        <w:r>
          <w:fldChar w:fldCharType="separate"/>
        </w:r>
        <w:r>
          <w:t>29</w:t>
        </w:r>
        <w:r>
          <w:fldChar w:fldCharType="end"/>
        </w:r>
      </w:hyperlink>
    </w:p>
    <w:p>
      <w:pPr>
        <w:pStyle w:val="TOC1"/>
        <w:tabs>
          <w:tab w:val="right" w:leader="dot" w:pos="8306"/>
        </w:tabs>
      </w:pPr>
      <w:hyperlink w:anchor="_Toc15393" w:history="1">
        <w:r>
          <w:rPr>
            <w:rFonts w:ascii="仿宋" w:eastAsia="仿宋" w:hAnsi="仿宋" w:cs="仿宋" w:hint="eastAsia"/>
            <w:lang w:eastAsia="zh-CN"/>
          </w:rPr>
          <w:t>十、血氧饱和度分析仪项目环境影响分析</w:t>
        </w:r>
        <w:r>
          <w:tab/>
        </w:r>
        <w:r>
          <w:fldChar w:fldCharType="begin"/>
        </w:r>
        <w:r>
          <w:instrText xml:space="preserve"> PAGEREF _Toc15393 \h </w:instrText>
        </w:r>
        <w:r>
          <w:fldChar w:fldCharType="separate"/>
        </w:r>
        <w:r>
          <w:t>32</w:t>
        </w:r>
        <w:r>
          <w:fldChar w:fldCharType="end"/>
        </w:r>
      </w:hyperlink>
    </w:p>
    <w:p>
      <w:pPr>
        <w:pStyle w:val="TOC2"/>
        <w:tabs>
          <w:tab w:val="right" w:leader="dot" w:pos="8306"/>
        </w:tabs>
      </w:pPr>
      <w:hyperlink w:anchor="_Toc29662" w:history="1">
        <w:r>
          <w:rPr>
            <w:rFonts w:ascii="仿宋" w:eastAsia="仿宋" w:hAnsi="仿宋" w:cs="仿宋" w:hint="eastAsia"/>
            <w:lang w:eastAsia="zh-CN"/>
          </w:rPr>
          <w:t>(一)、建设区域环境质量现状</w:t>
        </w:r>
        <w:r>
          <w:tab/>
        </w:r>
        <w:r>
          <w:fldChar w:fldCharType="begin"/>
        </w:r>
        <w:r>
          <w:instrText xml:space="preserve"> PAGEREF _Toc29662 \h </w:instrText>
        </w:r>
        <w:r>
          <w:fldChar w:fldCharType="separate"/>
        </w:r>
        <w:r>
          <w:t>32</w:t>
        </w:r>
        <w:r>
          <w:fldChar w:fldCharType="end"/>
        </w:r>
      </w:hyperlink>
    </w:p>
    <w:p>
      <w:pPr>
        <w:pStyle w:val="TOC2"/>
        <w:tabs>
          <w:tab w:val="right" w:leader="dot" w:pos="8306"/>
        </w:tabs>
      </w:pPr>
      <w:hyperlink w:anchor="_Toc3001" w:history="1">
        <w:r>
          <w:rPr>
            <w:rFonts w:ascii="仿宋" w:eastAsia="仿宋" w:hAnsi="仿宋" w:cs="仿宋" w:hint="eastAsia"/>
            <w:lang w:eastAsia="zh-CN"/>
          </w:rPr>
          <w:t>(二)、建设期环境保护</w:t>
        </w:r>
        <w:r>
          <w:tab/>
        </w:r>
        <w:r>
          <w:fldChar w:fldCharType="begin"/>
        </w:r>
        <w:r>
          <w:instrText xml:space="preserve"> PAGEREF _Toc3001 \h </w:instrText>
        </w:r>
        <w:r>
          <w:fldChar w:fldCharType="separate"/>
        </w:r>
        <w:r>
          <w:t>33</w:t>
        </w:r>
        <w:r>
          <w:fldChar w:fldCharType="end"/>
        </w:r>
      </w:hyperlink>
    </w:p>
    <w:p>
      <w:pPr>
        <w:pStyle w:val="TOC2"/>
        <w:tabs>
          <w:tab w:val="right" w:leader="dot" w:pos="8306"/>
        </w:tabs>
      </w:pPr>
      <w:hyperlink w:anchor="_Toc11495" w:history="1">
        <w:r>
          <w:rPr>
            <w:rFonts w:ascii="仿宋" w:eastAsia="仿宋" w:hAnsi="仿宋" w:cs="仿宋" w:hint="eastAsia"/>
            <w:lang w:eastAsia="zh-CN"/>
          </w:rPr>
          <w:t>(三)、运营期环境保护</w:t>
        </w:r>
        <w:r>
          <w:tab/>
        </w:r>
        <w:r>
          <w:fldChar w:fldCharType="begin"/>
        </w:r>
        <w:r>
          <w:instrText xml:space="preserve"> PAGEREF _Toc11495 \h </w:instrText>
        </w:r>
        <w:r>
          <w:fldChar w:fldCharType="separate"/>
        </w:r>
        <w:r>
          <w:t>34</w:t>
        </w:r>
        <w:r>
          <w:fldChar w:fldCharType="end"/>
        </w:r>
      </w:hyperlink>
    </w:p>
    <w:p>
      <w:pPr>
        <w:pStyle w:val="TOC2"/>
        <w:tabs>
          <w:tab w:val="right" w:leader="dot" w:pos="8306"/>
        </w:tabs>
      </w:pPr>
      <w:hyperlink w:anchor="_Toc23891" w:history="1">
        <w:r>
          <w:rPr>
            <w:rFonts w:ascii="仿宋" w:eastAsia="仿宋" w:hAnsi="仿宋" w:cs="仿宋" w:hint="eastAsia"/>
            <w:lang w:eastAsia="zh-CN"/>
          </w:rPr>
          <w:t>(四)、血氧饱和度分析仪项目建设对区域经济的影响</w:t>
        </w:r>
        <w:r>
          <w:tab/>
        </w:r>
        <w:r>
          <w:fldChar w:fldCharType="begin"/>
        </w:r>
        <w:r>
          <w:instrText xml:space="preserve"> PAGEREF _Toc23891 \h </w:instrText>
        </w:r>
        <w:r>
          <w:fldChar w:fldCharType="separate"/>
        </w:r>
        <w:r>
          <w:t>36</w:t>
        </w:r>
        <w:r>
          <w:fldChar w:fldCharType="end"/>
        </w:r>
      </w:hyperlink>
    </w:p>
    <w:p>
      <w:pPr>
        <w:pStyle w:val="TOC2"/>
        <w:tabs>
          <w:tab w:val="right" w:leader="dot" w:pos="8306"/>
        </w:tabs>
      </w:pPr>
      <w:hyperlink w:anchor="_Toc26009" w:history="1">
        <w:r>
          <w:rPr>
            <w:rFonts w:ascii="仿宋" w:eastAsia="仿宋" w:hAnsi="仿宋" w:cs="仿宋" w:hint="eastAsia"/>
            <w:lang w:eastAsia="zh-CN"/>
          </w:rPr>
          <w:t>(五)、废弃物处理</w:t>
        </w:r>
        <w:r>
          <w:tab/>
        </w:r>
        <w:r>
          <w:fldChar w:fldCharType="begin"/>
        </w:r>
        <w:r>
          <w:instrText xml:space="preserve"> PAGEREF _Toc26009 \h </w:instrText>
        </w:r>
        <w:r>
          <w:fldChar w:fldCharType="separate"/>
        </w:r>
        <w:r>
          <w:t>38</w:t>
        </w:r>
        <w:r>
          <w:fldChar w:fldCharType="end"/>
        </w:r>
      </w:hyperlink>
    </w:p>
    <w:p>
      <w:pPr>
        <w:pStyle w:val="TOC2"/>
        <w:tabs>
          <w:tab w:val="right" w:leader="dot" w:pos="8306"/>
        </w:tabs>
      </w:pPr>
      <w:hyperlink w:anchor="_Toc16339" w:history="1">
        <w:r>
          <w:rPr>
            <w:rFonts w:ascii="仿宋" w:eastAsia="仿宋" w:hAnsi="仿宋" w:cs="仿宋" w:hint="eastAsia"/>
            <w:lang w:eastAsia="zh-CN"/>
          </w:rPr>
          <w:t>(六)、特殊环境影响分析</w:t>
        </w:r>
        <w:r>
          <w:tab/>
        </w:r>
        <w:r>
          <w:fldChar w:fldCharType="begin"/>
        </w:r>
        <w:r>
          <w:instrText xml:space="preserve"> PAGEREF _Toc16339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72" w:history="1">
        <w:r>
          <w:rPr>
            <w:rFonts w:ascii="仿宋" w:eastAsia="仿宋" w:hAnsi="仿宋" w:cs="仿宋" w:hint="eastAsia"/>
            <w:lang w:eastAsia="zh-CN"/>
          </w:rPr>
          <w:t>(七)、清洁生产</w:t>
        </w:r>
        <w:r>
          <w:tab/>
        </w:r>
        <w:r>
          <w:fldChar w:fldCharType="begin"/>
        </w:r>
        <w:r>
          <w:instrText xml:space="preserve"> PAGEREF _Toc22772 \h </w:instrText>
        </w:r>
        <w:r>
          <w:fldChar w:fldCharType="separate"/>
        </w:r>
        <w:r>
          <w:t>40</w:t>
        </w:r>
        <w:r>
          <w:fldChar w:fldCharType="end"/>
        </w:r>
      </w:hyperlink>
    </w:p>
    <w:p>
      <w:pPr>
        <w:pStyle w:val="TOC2"/>
        <w:tabs>
          <w:tab w:val="right" w:leader="dot" w:pos="8306"/>
        </w:tabs>
      </w:pPr>
      <w:hyperlink w:anchor="_Toc21337" w:history="1">
        <w:r>
          <w:rPr>
            <w:rFonts w:ascii="仿宋" w:eastAsia="仿宋" w:hAnsi="仿宋" w:cs="仿宋" w:hint="eastAsia"/>
            <w:lang w:eastAsia="zh-CN"/>
          </w:rPr>
          <w:t>(八)、环境保护综合评价</w:t>
        </w:r>
        <w:r>
          <w:tab/>
        </w:r>
        <w:r>
          <w:fldChar w:fldCharType="begin"/>
        </w:r>
        <w:r>
          <w:instrText xml:space="preserve"> PAGEREF _Toc21337 \h </w:instrText>
        </w:r>
        <w:r>
          <w:fldChar w:fldCharType="separate"/>
        </w:r>
        <w:r>
          <w:t>41</w:t>
        </w:r>
        <w:r>
          <w:fldChar w:fldCharType="end"/>
        </w:r>
      </w:hyperlink>
    </w:p>
    <w:p>
      <w:pPr>
        <w:pStyle w:val="TOC1"/>
        <w:tabs>
          <w:tab w:val="right" w:leader="dot" w:pos="8306"/>
        </w:tabs>
      </w:pPr>
      <w:hyperlink w:anchor="_Toc6979" w:history="1">
        <w:r>
          <w:rPr>
            <w:rFonts w:ascii="仿宋" w:eastAsia="仿宋" w:hAnsi="仿宋" w:cs="仿宋" w:hint="eastAsia"/>
            <w:lang w:eastAsia="zh-CN"/>
          </w:rPr>
          <w:t>十一、血氧饱和度分析仪项目人力资源管理</w:t>
        </w:r>
        <w:r>
          <w:tab/>
        </w:r>
        <w:r>
          <w:fldChar w:fldCharType="begin"/>
        </w:r>
        <w:r>
          <w:instrText xml:space="preserve"> PAGEREF _Toc6979 \h </w:instrText>
        </w:r>
        <w:r>
          <w:fldChar w:fldCharType="separate"/>
        </w:r>
        <w:r>
          <w:t>43</w:t>
        </w:r>
        <w:r>
          <w:fldChar w:fldCharType="end"/>
        </w:r>
      </w:hyperlink>
    </w:p>
    <w:p>
      <w:pPr>
        <w:pStyle w:val="TOC2"/>
        <w:tabs>
          <w:tab w:val="right" w:leader="dot" w:pos="8306"/>
        </w:tabs>
      </w:pPr>
      <w:hyperlink w:anchor="_Toc17639" w:history="1">
        <w:r>
          <w:rPr>
            <w:rFonts w:ascii="仿宋" w:eastAsia="仿宋" w:hAnsi="仿宋" w:cs="仿宋" w:hint="eastAsia"/>
            <w:lang w:eastAsia="zh-CN"/>
          </w:rPr>
          <w:t>(一)、建立健全的预算管理制度</w:t>
        </w:r>
        <w:r>
          <w:tab/>
        </w:r>
        <w:r>
          <w:fldChar w:fldCharType="begin"/>
        </w:r>
        <w:r>
          <w:instrText xml:space="preserve"> PAGEREF _Toc17639 \h </w:instrText>
        </w:r>
        <w:r>
          <w:fldChar w:fldCharType="separate"/>
        </w:r>
        <w:r>
          <w:t>43</w:t>
        </w:r>
        <w:r>
          <w:fldChar w:fldCharType="end"/>
        </w:r>
      </w:hyperlink>
    </w:p>
    <w:p>
      <w:pPr>
        <w:pStyle w:val="TOC2"/>
        <w:tabs>
          <w:tab w:val="right" w:leader="dot" w:pos="8306"/>
        </w:tabs>
      </w:pPr>
      <w:hyperlink w:anchor="_Toc4036" w:history="1">
        <w:r>
          <w:rPr>
            <w:rFonts w:ascii="仿宋" w:eastAsia="仿宋" w:hAnsi="仿宋" w:cs="仿宋" w:hint="eastAsia"/>
            <w:lang w:eastAsia="zh-CN"/>
          </w:rPr>
          <w:t>(二)、加强资金流动监控</w:t>
        </w:r>
        <w:r>
          <w:tab/>
        </w:r>
        <w:r>
          <w:fldChar w:fldCharType="begin"/>
        </w:r>
        <w:r>
          <w:instrText xml:space="preserve"> PAGEREF _Toc4036 \h </w:instrText>
        </w:r>
        <w:r>
          <w:fldChar w:fldCharType="separate"/>
        </w:r>
        <w:r>
          <w:t>45</w:t>
        </w:r>
        <w:r>
          <w:fldChar w:fldCharType="end"/>
        </w:r>
      </w:hyperlink>
    </w:p>
    <w:p>
      <w:pPr>
        <w:pStyle w:val="TOC2"/>
        <w:tabs>
          <w:tab w:val="right" w:leader="dot" w:pos="8306"/>
        </w:tabs>
      </w:pPr>
      <w:hyperlink w:anchor="_Toc13312" w:history="1">
        <w:r>
          <w:rPr>
            <w:rFonts w:ascii="仿宋" w:eastAsia="仿宋" w:hAnsi="仿宋" w:cs="仿宋" w:hint="eastAsia"/>
            <w:lang w:eastAsia="zh-CN"/>
          </w:rPr>
          <w:t>(三)、制定完善的风险控制机制</w:t>
        </w:r>
        <w:r>
          <w:tab/>
        </w:r>
        <w:r>
          <w:fldChar w:fldCharType="begin"/>
        </w:r>
        <w:r>
          <w:instrText xml:space="preserve"> PAGEREF _Toc13312 \h </w:instrText>
        </w:r>
        <w:r>
          <w:fldChar w:fldCharType="separate"/>
        </w:r>
        <w:r>
          <w:t>46</w:t>
        </w:r>
        <w:r>
          <w:fldChar w:fldCharType="end"/>
        </w:r>
      </w:hyperlink>
    </w:p>
    <w:p>
      <w:pPr>
        <w:pStyle w:val="TOC2"/>
        <w:tabs>
          <w:tab w:val="right" w:leader="dot" w:pos="8306"/>
        </w:tabs>
      </w:pPr>
      <w:hyperlink w:anchor="_Toc25665" w:history="1">
        <w:r>
          <w:rPr>
            <w:rFonts w:ascii="仿宋" w:eastAsia="仿宋" w:hAnsi="仿宋" w:cs="仿宋" w:hint="eastAsia"/>
            <w:lang w:eastAsia="zh-CN"/>
          </w:rPr>
          <w:t>(四)、优化成本管理</w:t>
        </w:r>
        <w:r>
          <w:tab/>
        </w:r>
        <w:r>
          <w:fldChar w:fldCharType="begin"/>
        </w:r>
        <w:r>
          <w:instrText xml:space="preserve"> PAGEREF _Toc25665 \h </w:instrText>
        </w:r>
        <w:r>
          <w:fldChar w:fldCharType="separate"/>
        </w:r>
        <w:r>
          <w:t>47</w:t>
        </w:r>
        <w:r>
          <w:fldChar w:fldCharType="end"/>
        </w:r>
      </w:hyperlink>
    </w:p>
    <w:p>
      <w:pPr>
        <w:pStyle w:val="TOC1"/>
        <w:tabs>
          <w:tab w:val="right" w:leader="dot" w:pos="8306"/>
        </w:tabs>
      </w:pPr>
      <w:hyperlink w:anchor="_Toc14930" w:history="1">
        <w:r>
          <w:rPr>
            <w:rFonts w:ascii="仿宋" w:eastAsia="仿宋" w:hAnsi="仿宋" w:cs="仿宋" w:hint="eastAsia"/>
            <w:lang w:eastAsia="zh-CN"/>
          </w:rPr>
          <w:t>十二、血氧饱和度分析仪项目计划安排</w:t>
        </w:r>
        <w:r>
          <w:tab/>
        </w:r>
        <w:r>
          <w:fldChar w:fldCharType="begin"/>
        </w:r>
        <w:r>
          <w:instrText xml:space="preserve"> PAGEREF _Toc14930 \h </w:instrText>
        </w:r>
        <w:r>
          <w:fldChar w:fldCharType="separate"/>
        </w:r>
        <w:r>
          <w:t>49</w:t>
        </w:r>
        <w:r>
          <w:fldChar w:fldCharType="end"/>
        </w:r>
      </w:hyperlink>
    </w:p>
    <w:p>
      <w:pPr>
        <w:pStyle w:val="TOC2"/>
        <w:tabs>
          <w:tab w:val="right" w:leader="dot" w:pos="8306"/>
        </w:tabs>
      </w:pPr>
      <w:hyperlink w:anchor="_Toc2704" w:history="1">
        <w:r>
          <w:rPr>
            <w:rFonts w:ascii="仿宋" w:eastAsia="仿宋" w:hAnsi="仿宋" w:cs="仿宋" w:hint="eastAsia"/>
            <w:lang w:eastAsia="zh-CN"/>
          </w:rPr>
          <w:t>(一)、建设周期</w:t>
        </w:r>
        <w:r>
          <w:tab/>
        </w:r>
        <w:r>
          <w:fldChar w:fldCharType="begin"/>
        </w:r>
        <w:r>
          <w:instrText xml:space="preserve"> PAGEREF _Toc2704 \h </w:instrText>
        </w:r>
        <w:r>
          <w:fldChar w:fldCharType="separate"/>
        </w:r>
        <w:r>
          <w:t>49</w:t>
        </w:r>
        <w:r>
          <w:fldChar w:fldCharType="end"/>
        </w:r>
      </w:hyperlink>
    </w:p>
    <w:p>
      <w:pPr>
        <w:pStyle w:val="TOC2"/>
        <w:tabs>
          <w:tab w:val="right" w:leader="dot" w:pos="8306"/>
        </w:tabs>
      </w:pPr>
      <w:hyperlink w:anchor="_Toc19891" w:history="1">
        <w:r>
          <w:rPr>
            <w:rFonts w:ascii="仿宋" w:eastAsia="仿宋" w:hAnsi="仿宋" w:cs="仿宋" w:hint="eastAsia"/>
            <w:lang w:eastAsia="zh-CN"/>
          </w:rPr>
          <w:t>(二)、建设进度</w:t>
        </w:r>
        <w:r>
          <w:tab/>
        </w:r>
        <w:r>
          <w:fldChar w:fldCharType="begin"/>
        </w:r>
        <w:r>
          <w:instrText xml:space="preserve"> PAGEREF _Toc19891 \h </w:instrText>
        </w:r>
        <w:r>
          <w:fldChar w:fldCharType="separate"/>
        </w:r>
        <w:r>
          <w:t>50</w:t>
        </w:r>
        <w:r>
          <w:fldChar w:fldCharType="end"/>
        </w:r>
      </w:hyperlink>
    </w:p>
    <w:p>
      <w:pPr>
        <w:pStyle w:val="TOC2"/>
        <w:tabs>
          <w:tab w:val="right" w:leader="dot" w:pos="8306"/>
        </w:tabs>
      </w:pPr>
      <w:hyperlink w:anchor="_Toc10021" w:history="1">
        <w:r>
          <w:rPr>
            <w:rFonts w:ascii="仿宋" w:eastAsia="仿宋" w:hAnsi="仿宋" w:cs="仿宋" w:hint="eastAsia"/>
            <w:lang w:eastAsia="zh-CN"/>
          </w:rPr>
          <w:t>(三)、进度安排注意事项</w:t>
        </w:r>
        <w:r>
          <w:tab/>
        </w:r>
        <w:r>
          <w:fldChar w:fldCharType="begin"/>
        </w:r>
        <w:r>
          <w:instrText xml:space="preserve"> PAGEREF _Toc10021 \h </w:instrText>
        </w:r>
        <w:r>
          <w:fldChar w:fldCharType="separate"/>
        </w:r>
        <w:r>
          <w:t>51</w:t>
        </w:r>
        <w:r>
          <w:fldChar w:fldCharType="end"/>
        </w:r>
      </w:hyperlink>
    </w:p>
    <w:p>
      <w:pPr>
        <w:pStyle w:val="TOC2"/>
        <w:tabs>
          <w:tab w:val="right" w:leader="dot" w:pos="8306"/>
        </w:tabs>
      </w:pPr>
      <w:hyperlink w:anchor="_Toc14065" w:history="1">
        <w:r>
          <w:rPr>
            <w:rFonts w:ascii="仿宋" w:eastAsia="仿宋" w:hAnsi="仿宋" w:cs="仿宋" w:hint="eastAsia"/>
            <w:lang w:eastAsia="zh-CN"/>
          </w:rPr>
          <w:t>(四)、人力资源配置</w:t>
        </w:r>
        <w:r>
          <w:tab/>
        </w:r>
        <w:r>
          <w:fldChar w:fldCharType="begin"/>
        </w:r>
        <w:r>
          <w:instrText xml:space="preserve"> PAGEREF _Toc14065 \h </w:instrText>
        </w:r>
        <w:r>
          <w:fldChar w:fldCharType="separate"/>
        </w:r>
        <w:r>
          <w:t>52</w:t>
        </w:r>
        <w:r>
          <w:fldChar w:fldCharType="end"/>
        </w:r>
      </w:hyperlink>
    </w:p>
    <w:p>
      <w:pPr>
        <w:pStyle w:val="TOC1"/>
        <w:tabs>
          <w:tab w:val="right" w:leader="dot" w:pos="8306"/>
        </w:tabs>
      </w:pPr>
      <w:hyperlink w:anchor="_Toc25876" w:history="1">
        <w:r>
          <w:rPr>
            <w:rFonts w:ascii="仿宋" w:eastAsia="仿宋" w:hAnsi="仿宋" w:cs="仿宋" w:hint="eastAsia"/>
            <w:lang w:eastAsia="zh-CN"/>
          </w:rPr>
          <w:t>十三、血氧饱和度分析仪项目治理与监督</w:t>
        </w:r>
        <w:r>
          <w:tab/>
        </w:r>
        <w:r>
          <w:fldChar w:fldCharType="begin"/>
        </w:r>
        <w:r>
          <w:instrText xml:space="preserve"> PAGEREF _Toc25876 \h </w:instrText>
        </w:r>
        <w:r>
          <w:fldChar w:fldCharType="separate"/>
        </w:r>
        <w:r>
          <w:t>53</w:t>
        </w:r>
        <w:r>
          <w:fldChar w:fldCharType="end"/>
        </w:r>
      </w:hyperlink>
    </w:p>
    <w:p>
      <w:pPr>
        <w:pStyle w:val="TOC2"/>
        <w:tabs>
          <w:tab w:val="right" w:leader="dot" w:pos="8306"/>
        </w:tabs>
      </w:pPr>
      <w:hyperlink w:anchor="_Toc27723" w:history="1">
        <w:r>
          <w:rPr>
            <w:rFonts w:ascii="仿宋" w:eastAsia="仿宋" w:hAnsi="仿宋" w:cs="仿宋" w:hint="eastAsia"/>
            <w:lang w:eastAsia="zh-CN"/>
          </w:rPr>
          <w:t>(一)、血氧饱和度分析仪项目治理结构</w:t>
        </w:r>
        <w:r>
          <w:tab/>
        </w:r>
        <w:r>
          <w:fldChar w:fldCharType="begin"/>
        </w:r>
        <w:r>
          <w:instrText xml:space="preserve"> PAGEREF _Toc27723 \h </w:instrText>
        </w:r>
        <w:r>
          <w:fldChar w:fldCharType="separate"/>
        </w:r>
        <w:r>
          <w:t>53</w:t>
        </w:r>
        <w:r>
          <w:fldChar w:fldCharType="end"/>
        </w:r>
      </w:hyperlink>
    </w:p>
    <w:p>
      <w:pPr>
        <w:pStyle w:val="TOC2"/>
        <w:tabs>
          <w:tab w:val="right" w:leader="dot" w:pos="8306"/>
        </w:tabs>
      </w:pPr>
      <w:hyperlink w:anchor="_Toc25392" w:history="1">
        <w:r>
          <w:rPr>
            <w:rFonts w:ascii="仿宋" w:eastAsia="仿宋" w:hAnsi="仿宋" w:cs="仿宋" w:hint="eastAsia"/>
            <w:lang w:eastAsia="zh-CN"/>
          </w:rPr>
          <w:t>(二)、监督与审计</w:t>
        </w:r>
        <w:r>
          <w:tab/>
        </w:r>
        <w:r>
          <w:fldChar w:fldCharType="begin"/>
        </w:r>
        <w:r>
          <w:instrText xml:space="preserve"> PAGEREF _Toc25392 \h </w:instrText>
        </w:r>
        <w:r>
          <w:fldChar w:fldCharType="separate"/>
        </w:r>
        <w:r>
          <w:t>55</w:t>
        </w:r>
        <w:r>
          <w:fldChar w:fldCharType="end"/>
        </w:r>
      </w:hyperlink>
    </w:p>
    <w:p>
      <w:pPr>
        <w:pStyle w:val="TOC1"/>
        <w:tabs>
          <w:tab w:val="right" w:leader="dot" w:pos="8306"/>
        </w:tabs>
      </w:pPr>
      <w:hyperlink w:anchor="_Toc21648" w:history="1">
        <w:r>
          <w:rPr>
            <w:rFonts w:ascii="仿宋" w:eastAsia="仿宋" w:hAnsi="仿宋" w:cs="仿宋" w:hint="eastAsia"/>
            <w:lang w:eastAsia="zh-CN"/>
          </w:rPr>
          <w:t>十四、风险识别与分类</w:t>
        </w:r>
        <w:r>
          <w:tab/>
        </w:r>
        <w:r>
          <w:fldChar w:fldCharType="begin"/>
        </w:r>
        <w:r>
          <w:instrText xml:space="preserve"> PAGEREF _Toc21648 \h </w:instrText>
        </w:r>
        <w:r>
          <w:fldChar w:fldCharType="separate"/>
        </w:r>
        <w:r>
          <w:t>56</w:t>
        </w:r>
        <w:r>
          <w:fldChar w:fldCharType="end"/>
        </w:r>
      </w:hyperlink>
    </w:p>
    <w:p>
      <w:pPr>
        <w:pStyle w:val="TOC2"/>
        <w:tabs>
          <w:tab w:val="right" w:leader="dot" w:pos="8306"/>
        </w:tabs>
      </w:pPr>
      <w:hyperlink w:anchor="_Toc19253" w:history="1">
        <w:r>
          <w:rPr>
            <w:rFonts w:ascii="仿宋" w:eastAsia="仿宋" w:hAnsi="仿宋" w:cs="仿宋" w:hint="eastAsia"/>
            <w:lang w:eastAsia="zh-CN"/>
          </w:rPr>
          <w:t>(一)、风险识别</w:t>
        </w:r>
        <w:r>
          <w:tab/>
        </w:r>
        <w:r>
          <w:fldChar w:fldCharType="begin"/>
        </w:r>
        <w:r>
          <w:instrText xml:space="preserve"> PAGEREF _Toc19253 \h </w:instrText>
        </w:r>
        <w:r>
          <w:fldChar w:fldCharType="separate"/>
        </w:r>
        <w:r>
          <w:t>56</w:t>
        </w:r>
        <w:r>
          <w:fldChar w:fldCharType="end"/>
        </w:r>
      </w:hyperlink>
    </w:p>
    <w:p>
      <w:pPr>
        <w:pStyle w:val="TOC2"/>
        <w:tabs>
          <w:tab w:val="right" w:leader="dot" w:pos="8306"/>
        </w:tabs>
      </w:pPr>
      <w:hyperlink w:anchor="_Toc24617" w:history="1">
        <w:r>
          <w:rPr>
            <w:rFonts w:ascii="仿宋" w:eastAsia="仿宋" w:hAnsi="仿宋" w:cs="仿宋" w:hint="eastAsia"/>
            <w:lang w:eastAsia="zh-CN"/>
          </w:rPr>
          <w:t>(二)、风险分类</w:t>
        </w:r>
        <w:r>
          <w:tab/>
        </w:r>
        <w:r>
          <w:fldChar w:fldCharType="begin"/>
        </w:r>
        <w:r>
          <w:instrText xml:space="preserve"> PAGEREF _Toc24617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87"/>
      <w:r>
        <w:rPr>
          <w:rFonts w:ascii="仿宋" w:eastAsia="仿宋" w:hAnsi="仿宋" w:cs="仿宋" w:hint="eastAsia"/>
          <w:sz w:val="28"/>
          <w:lang w:eastAsia="zh-CN"/>
        </w:rPr>
        <w:t>一、血氧饱和度分析仪项目可持续发展</w:t>
      </w:r>
      <w:bookmarkEnd w:id="2"/>
    </w:p>
    <w:p>
      <w:pPr>
        <w:pStyle w:val="Heading2"/>
        <w:rPr>
          <w:rFonts w:ascii="仿宋" w:eastAsia="仿宋" w:hAnsi="仿宋" w:cs="仿宋" w:hint="eastAsia"/>
          <w:lang w:eastAsia="zh-CN"/>
        </w:rPr>
      </w:pPr>
      <w:bookmarkStart w:id="3" w:name="_Toc1745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氧饱和度分析仪项目中，血氧饱和度分析仪项目团队着眼于未来，明确了可持续发展的战略方向。制定的具体可持续发展目标包括降低资源使用、采用环保技术、最大化社会效益等。这一步骤不仅有助于血氧饱和度分析仪项目在环保和社会责任方面达到最高标准，也为未来提供了明确的指引，确保血氧饱和度分析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可持续实践的融入血氧饱和度分析仪项目管理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血氧饱和度分析仪项目管理周期。从血氧饱和度分析仪项目规划开始，血氧饱和度分析仪项目团队就考虑了环境和社会的因素。在执行阶段，血氧饱和度分析仪项目团队积极推动绿色技术的应用，优化资源利用。此外，关注员工的社会责任，通过培训和沟通活动提高员工对可持续发展的认知，使他们能够在日常工作中践行可持续实践。这些举措不仅为血氧饱和度分析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980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血氧饱和度分析仪项目的可持续发展理念，我们深信环保与社会责任是血氧饱和度分析仪项目成功的关键支柱。在血氧饱和度分析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血氧饱和度分析仪项目团队通过引入先进的环保技术、建立高效的废物处理系统以及推动能源节约措施，积极履行环保责任。定期的环保监测和评估确保血氧饱和度分析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血氧饱和度分析仪项目不仅致力于自身可持续发展，还注重对社会的回馈。通过支持社区血氧饱和度分析仪项目、参与慈善事业、提供培训机会等方式，血氧饱和度分析仪项目积极履行社会责任。与当地社区建立积极互动，关注员工的工作与生活平衡，以及员工的身心健康，是血氧饱和度分析仪项目在社会责任层面的关键举措。这样的实践不仅增强了血氧饱和度分析仪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895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4357"/>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血氧饱和度分析仪项目的主要产品是XXXX，预计年产值为XXX万元。这一产品在市场中占据着重要的地位，其广泛的应用范围使得该血氧饱和度分析仪项目的市场前景非常广阔。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血氧饱和度分析仪项目的xxx产品作为重要的原材料之一，将在多个领域发挥关键作用。其在建筑、交通、能源等方面的广泛应用将为整个产业链提供强大的支持，形成产业协同效应。血氧饱和度分析仪项目的年产值XXX万XXX万XXX万万元不仅反映了其在市场上的巨大潜力，更预示着它对国民经济的积极贡献。这种关联度高、涉及面广的产业关系，使得该血氧饱和度分析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3189"/>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氧饱和度分析仪项目总征地面积为XXXX平方米，相当于约XX.XX亩，其中净用地面积为XXXX平方米，红线范围内相当于约XX.XX亩。这一用地规模充分考虑了血氧饱和度分析仪项目的建设需求，保障了血氧饱和度分析仪项目在合适的空间内得以充分发展。血氧饱和度分析仪项目规划的总建筑面积为XXXX平方米，其中主体工程建设占XXXX平方米，计容建筑面积达XXXX平方米。预计建筑工程的投资将达到XXXX万元，为血氧饱和度分析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血氧饱和度分析仪项目计划购置的设备共计XXXX台（套），设备购置费用为XXXX万元。这一设备购置计划充分考虑到血氧饱和度分析仪项目的生产需求和技术要求，确保了血氧饱和度分析仪项目在生产运营中具备先进的技术装备和高效的生产能力。设备的合理配置将为血氧饱和度分析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血氧饱和度分析仪项目计划总投资为XXXX万元，预计年实现营业收入为XXXX万元。这一产能规模的设定旨在确保血氧饱和度分析仪项目能够在投资与回报之间取得平衡，实现长期可持续的发展。血氧饱和度分析仪项目的总投资充分考虑到各个方面的需求，包括用地建设、设备购置等多个环节，以确保血氧饱和度分析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1718"/>
      <w:r>
        <w:rPr>
          <w:rFonts w:ascii="仿宋" w:eastAsia="仿宋" w:hAnsi="仿宋" w:cs="仿宋" w:hint="eastAsia"/>
          <w:sz w:val="28"/>
          <w:lang w:eastAsia="zh-CN"/>
        </w:rPr>
        <w:t>三、血氧饱和度分析仪项目绩效评估</w:t>
      </w:r>
      <w:bookmarkEnd w:id="8"/>
    </w:p>
    <w:p>
      <w:pPr>
        <w:pStyle w:val="Heading2"/>
        <w:rPr>
          <w:rFonts w:ascii="仿宋" w:eastAsia="仿宋" w:hAnsi="仿宋" w:cs="仿宋" w:hint="eastAsia"/>
          <w:lang w:eastAsia="zh-CN"/>
        </w:rPr>
      </w:pPr>
      <w:bookmarkStart w:id="9" w:name="_Toc4242"/>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血氧饱和度分析仪项目中，我们设计了一套全面的绩效评估指标，以确保血氧饱和度分析仪项目的可控和成功交付。这些指标跨足血氧饱和度分析仪项目目标、成本、进度和质量等多个维度，为我们提供了全面洞察血氧饱和度分析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血氧饱和度分析仪项目目标达成率是我们关注的首要指标。我们设定了明确的目标，并通过定期监测和评估，迅速发现并应对潜在的目标偏差。这为血氧饱和度分析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成本绩效是另一个核心关注点。通过实际成本与预算成本的对比分析，我们深入了解成本差异的原因，及时调整资源分配，保持血氧饱和度分析仪项目在经济效益方面的合理水平。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血氧饱和度分析仪项目进度作为关键的绩效指标之一，得到了精心的关注。我们制定了详细的血氧饱和度分析仪项目进度计划，并设立了进度符合度指标，确保实际进度与计划进度保持一致。这使我们能够快速发现和解决潜在的进度问题，保持血氧饱和度分析仪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血氧饱和度分析仪项目绩效的不可或缺的一环。我们引入了一系列的质量标准和客户满意度指标，以确保血氧饱和度分析仪项目交付的成果在质量上达到或超越预期水平。通过持续监测这些指标，我们努力提升血氧饱和度分析仪项目整体质量水平，为血氧饱和度分析仪项目的成功交付提供有力保障。通过这些科学且全面的绩效评估，我们能够更好地引导血氧饱和度分析仪项目的持续改进，确保血氧饱和度分析仪项目目标的顺利达成。</w:t>
      </w:r>
    </w:p>
    <w:p>
      <w:pPr>
        <w:pStyle w:val="Heading2"/>
        <w:ind w:firstLine="560" w:firstLineChars="200"/>
        <w:rPr>
          <w:rFonts w:ascii="仿宋" w:eastAsia="仿宋" w:hAnsi="仿宋" w:cs="仿宋" w:hint="eastAsia"/>
          <w:sz w:val="28"/>
          <w:lang w:eastAsia="zh-CN"/>
        </w:rPr>
      </w:pPr>
      <w:bookmarkStart w:id="10" w:name="_Toc20693"/>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绩效评估是血氧饱和度分析仪项目中的关键环节，为确保血氧饱和度分析仪项目达到预期目标，我们采用了多层次、多维度的绩效评估方法。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血氧饱和度分析仪项目的战略目标对齐，确保每个决策和行动都与血氧饱和度分析仪项目整体目标保持一致。团队会定期召开战略对齐会议，审视当前工作与血氧饱和度分析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血氧饱和度分析仪项目进度、质量、成本和风险等方面。这些指标通过数据收集和分析，为血氧饱和度分析仪项目管理团队提供了客观的评估依据。例如，我们通过血氧饱和度分析仪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不仅仅停留在血氧饱和度分析仪项目内部，还考虑了血氧饱和度分析仪项目对外部环境的影响。我们定期进行干系人满意度调查，以了解各利益相关方对血氧饱和度分析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这种多层次、多角度的绩效评估方法，使得我们能够全面了解血氧饱和度分析仪项目的运行状态，及时做出调整，确保血氧饱和度分析仪项目在不断变化的环境中保持稳健前行。</w:t>
      </w:r>
    </w:p>
    <w:p>
      <w:pPr>
        <w:pStyle w:val="Heading2"/>
        <w:ind w:firstLine="560" w:firstLineChars="200"/>
        <w:rPr>
          <w:rFonts w:ascii="仿宋" w:eastAsia="仿宋" w:hAnsi="仿宋" w:cs="仿宋" w:hint="eastAsia"/>
          <w:sz w:val="28"/>
          <w:lang w:eastAsia="zh-CN"/>
        </w:rPr>
      </w:pPr>
      <w:bookmarkStart w:id="11" w:name="_Toc32299"/>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为了确保血氧饱和度分析仪项目的有效管理和不断优化，我们采用了精心设计的绩效评估周期。这个周期旨在实现灵活、实时和全面的评估，以适应血氧饱和度分析仪项目执行中的各种挑战。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血氧饱和度分析仪项目的不同需求，分为短期、中期和长期。短期评估关注每个迭代或工作周期，以及时发现和解决当前任务中的问题。中期评估涵盖几个迭代，深入了解整体血氧饱和度分析仪项目的趋势和性能。长期评估则着眼于整个血氧饱和度分析仪项目阶段，确保血氧饱和度分析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血氧饱和度分析仪项目管理工具和协作平台，团队成员能够随时更新和分享血氧饱和度分析仪项目数据。这种实时性的反馈机制使我们能够及时察觉潜在问题，快速调整，保持血氧饱和度分析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血氧饱和度分析仪项目的决策制定密不可分。每个周期的血氧饱和度分析仪项目回顾会议成为集体总结经验、识别问题深层次原因并找到创新解决方案的平台。这种定期的反思与调整机制使血氧饱和度分析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2537"/>
      <w:r>
        <w:rPr>
          <w:rFonts w:ascii="仿宋" w:eastAsia="仿宋" w:hAnsi="仿宋" w:cs="仿宋" w:hint="eastAsia"/>
          <w:sz w:val="28"/>
          <w:lang w:eastAsia="zh-CN"/>
        </w:rPr>
        <w:t>四、血氧饱和度分析仪项目选址可行性分析</w:t>
      </w:r>
      <w:bookmarkEnd w:id="12"/>
    </w:p>
    <w:p>
      <w:pPr>
        <w:pStyle w:val="Heading2"/>
        <w:rPr>
          <w:rFonts w:ascii="仿宋" w:eastAsia="仿宋" w:hAnsi="仿宋" w:cs="仿宋" w:hint="eastAsia"/>
          <w:lang w:eastAsia="zh-CN"/>
        </w:rPr>
      </w:pPr>
      <w:bookmarkStart w:id="13" w:name="_Toc6283"/>
      <w:r>
        <w:rPr>
          <w:rFonts w:ascii="仿宋" w:eastAsia="仿宋" w:hAnsi="仿宋" w:cs="仿宋" w:hint="eastAsia"/>
          <w:lang w:eastAsia="zh-CN"/>
        </w:rPr>
        <w:t>(一)、血氧饱和度分析仪项目选址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该血氧饱和度分析仪项目选址位于XX省XX市XX区XXX街道</w:t>
      </w:r>
    </w:p>
    <w:p>
      <w:pPr>
        <w:pStyle w:val="Heading2"/>
        <w:ind w:firstLine="560" w:firstLineChars="200"/>
        <w:rPr>
          <w:rFonts w:ascii="仿宋" w:eastAsia="仿宋" w:hAnsi="仿宋" w:cs="仿宋" w:hint="eastAsia"/>
          <w:sz w:val="28"/>
          <w:lang w:eastAsia="zh-CN"/>
        </w:rPr>
      </w:pPr>
      <w:bookmarkStart w:id="14" w:name="_Toc20536"/>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血氧饱和度分析仪项目的征地面积将根据血氧饱和度分析仪项目的实际规模和需求进行精确规划。具体面积XXX平方米，旨在确保血氧饱和度分析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净用地面积是在征地面积基础上去除不可利用面积后的实际可开发用地。具体面积XXX平方米，考虑到环保、交通、安全等多方面因素，以确保血氧饱和度分析仪项目在整体利用效率上达到最优。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血氧饱和度分析仪项目计划建设的建筑总规模具体面积XXX平方米。这一规模的确定综合考虑了血氧饱和度分析仪项目的性质、规模，以及城市规划的相关要求，确保建筑布局与周边环境协调一致。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绿地率是血氧饱和度分析仪项目用地中被规划为绿地的比例。具体面积XXX平方米，旨在通过合理规划绿地，改善血氧饱和度分析仪项目周边环境，提升居民生活质量，并符合城市整体绿化规划。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容积率是用地上可以建设的建筑总体积与用地面积之比。具体面积XXX，通过合理的容积率规划，确保血氧饱和度分析仪项目建筑规模与周边环境和谐共生。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血氧饱和度分析仪项目选址与当地城市规划相一致，具体面积XXX平方米。通过与城市规划部门深入沟通，确保血氧饱和度分析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血氧饱和度分析仪项目选址符合当地产业政策，具体面积XXX平方米。这包括血氧饱和度分析仪项目对当地经济的促进作用，以及对相关产业的带动效应，确保血氧饱和度分析仪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用地总体要求必须符合环保和可持续发展的原则，具体面积XXX平方米。通过采用绿色建筑设计、节能减排等措施，确保血氧饱和度分析仪项目在建设和运营过程中对环境的影响最小化，达到可持续发展的要求。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确保血氧饱和度分析仪项目选址具备必要的公共设施配套，具体面积XXX平方米。这包括交通便利性、教育、医疗等基础设施，以提高居民生活品质，使得血氧饱和度分析仪项目选址更具吸引力。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考虑用地总体要求对当地社会稳定性的影响，具体面积XXX平方米。通过深入了解当地社区反馈，确保血氧饱和度分析仪项目的选址和建设过程对当地社会和谐稳定产生积极作用。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血氧饱和度分析仪项目选址不仅符合法规和规划，还在实际操作中具有可行性。这一全面规划将为血氧饱和度分析仪项目的成功实施提供坚实的基础，确保血氧饱和度分析仪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5941"/>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氧饱和度分析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血氧饱和度分析仪项目的设备规划和空间设计中，我们将采取灵活设备布局的措施。设备布局将根据实际需求进行灵活设计，避免不必要的浪费。通过合理规划设备摆放位置，我们将提高设备的利用率，减少设备间距，以确保血氧饱和度分析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血氧饱和度分析仪项目内部引入共享设施的概念，例如共享会议室、办公区等。通过这种方式，我们可以减少对资源的重复建设，提高资源共享效率，从而减小血氧饱和度分析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6531"/>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 在血氧饱和度分析仪项目的总图布置中，我们将不同功能区域进行明确的规划，以最大程度满足血氧饱和度分析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664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血氧饱和度分析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血氧饱和度分析仪项目对环境的影响是综合评价的重要因素之一。我们将详细考虑选址周边的自然环境、生态保护区、水源地等情况，确保血氧饱和度分析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对选址的评价还需充分考虑当地政府的产业政策和法规。我们将详细了解血氧饱和度分析仪项目所在地的相关政策，确保血氧饱和度分析仪项目的规划和运营与当地法规相符，降低不必要的法律风险。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考虑到社会稳定性对企业运营的重要性，我们将评估选址地区的社会安全情况、劳工关系、社区反馈等方面，以确保血氧饱和度分析仪项目的建设和运营不会受到社会稳定性的负面影响。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最后，我们将综合考虑用地成本，包括土地购置费用、土地开发成本等。通过对用地成本的详细评估，我们能够做出更为精确的经济效益分析，为血氧饱和度分析仪项目的投资决策提供有力支持。</w:t>
      </w:r>
    </w:p>
    <w:p>
      <w:pPr>
        <w:pStyle w:val="Heading1"/>
        <w:ind w:firstLine="560" w:firstLineChars="200"/>
        <w:rPr>
          <w:rFonts w:ascii="仿宋" w:eastAsia="仿宋" w:hAnsi="仿宋" w:cs="仿宋" w:hint="eastAsia"/>
          <w:sz w:val="28"/>
          <w:lang w:eastAsia="zh-CN"/>
        </w:rPr>
      </w:pPr>
      <w:bookmarkStart w:id="18" w:name="_Toc23496"/>
      <w:r>
        <w:rPr>
          <w:rFonts w:ascii="仿宋" w:eastAsia="仿宋" w:hAnsi="仿宋" w:cs="仿宋" w:hint="eastAsia"/>
          <w:sz w:val="28"/>
          <w:lang w:eastAsia="zh-CN"/>
        </w:rPr>
        <w:t>五、血氧饱和度分析仪项目危机管理</w:t>
      </w:r>
      <w:bookmarkEnd w:id="18"/>
    </w:p>
    <w:p>
      <w:pPr>
        <w:pStyle w:val="Heading2"/>
        <w:rPr>
          <w:rFonts w:ascii="仿宋" w:eastAsia="仿宋" w:hAnsi="仿宋" w:cs="仿宋" w:hint="eastAsia"/>
          <w:lang w:eastAsia="zh-CN"/>
        </w:rPr>
      </w:pPr>
      <w:bookmarkStart w:id="19" w:name="_Toc8066"/>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血氧饱和度分析仪项目危机管理中，危机预警与识别是确保血氧饱和度分析仪项目稳健运行的核心步骤。通过建立全面的监测机制，血氧饱和度分析仪项目团队旨在及时发现和理解潜在的风险和危机因素，以便采取及时的预防和应对措施，确保血氧饱和度分析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血氧饱和度分析仪项目团队全面分析了整个血氧饱和度分析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血氧饱和度分析仪项目团队着重于明确定义血氧饱和度分析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血氧饱和度分析仪项目进展的持续监控，团队能够及时发现潜在问题并作出迅速反应。血氧饱和度分析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https://d.book118.com/286020005204010101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血氧饱和度分析仪项目规划设计纲要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DA6D35"/>
    <w:rsid w:val="44DA6D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6020005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2024-03-02T22:45:00Z</dcterms:created>
  <dcterms:modified xsi:type="dcterms:W3CDTF">2024-03-02T22:45:32Z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E43ED382BEB7498392FFF7CB4547D8BA_11</vt:lpwstr>
  </property>
  <property fmtid="{D5CDD505-2E9C-101B-9397-08002B2CF9AE}" pid="3" name="KSOProductBuildVer">
    <vt:lpwstr>2052-12.1.0.16388</vt:lpwstr>
  </property>
</Properties>
</file>