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colors1.xml" ContentType="application/vnd.ms-office.chartcolorstyle+xml"/>
  <Override PartName="/word/charts/chart/colors2.xml" ContentType="application/vnd.ms-office.chartcolorstyle+xml"/>
  <Override PartName="/word/charts/chart/style1.xml" ContentType="application/vnd.ms-office.chartstyle+xml"/>
  <Override PartName="/word/charts/chart/style2.xml" ContentType="application/vnd.ms-office.chartstyle+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embeddings/Microsoft_Excel_Worksheet1.xlsx" ContentType="application/vnd.openxmlformats-officedocument.spreadsheetml.sheet"/>
  <Override PartName="/word/embeddings/Microsoft_Excel_Worksheet2.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幼圆" w:eastAsia="幼圆" w:hAnsi="幼圆" w:cs="幼圆" w:hint="eastAsia"/>
          <w:b/>
          <w:bCs/>
          <w:sz w:val="36"/>
          <w:szCs w:val="36"/>
        </w:rPr>
      </w:pPr>
      <w:bookmarkStart w:id="0" w:name="_Toc18353"/>
      <w:bookmarkStart w:id="1" w:name="_Toc8925"/>
      <w:bookmarkStart w:id="2" w:name="_GoBack"/>
      <w:r>
        <w:rPr>
          <w:rFonts w:ascii="幼圆" w:eastAsia="幼圆" w:hAnsi="幼圆" w:cs="幼圆" w:hint="eastAsia"/>
          <w:b/>
          <w:bCs/>
          <w:sz w:val="36"/>
          <w:szCs w:val="36"/>
          <w:lang w:eastAsia="zh-CN"/>
        </w:rPr>
        <w:t>S</w:t>
      </w:r>
      <w:r>
        <w:rPr>
          <w:rFonts w:ascii="幼圆" w:eastAsia="幼圆" w:hAnsi="幼圆" w:cs="幼圆" w:hint="eastAsia"/>
          <w:b/>
          <w:bCs/>
          <w:sz w:val="36"/>
          <w:szCs w:val="36"/>
          <w:lang w:val="en-US" w:eastAsia="zh-CN"/>
        </w:rPr>
        <w:t>市高校学生体育消费研究</w:t>
      </w:r>
      <w:bookmarkEnd w:id="2"/>
    </w:p>
    <w:bookmarkEnd w:id="0"/>
    <w:bookmarkEnd w:id="1"/>
    <w:sdt>
      <w:sdtPr>
        <w:rPr>
          <w:rFonts w:ascii="幼圆" w:eastAsia="幼圆" w:hAnsi="幼圆" w:cs="幼圆" w:hint="eastAsia"/>
          <w:b/>
          <w:bCs/>
          <w:sz w:val="30"/>
          <w:szCs w:val="30"/>
          <w:lang w:val="en-US" w:eastAsia="zh-CN"/>
        </w:rPr>
        <w:id w:val="147471679"/>
        <w:docPartObj>
          <w:docPartGallery w:val="Table of Contents"/>
          <w:docPartUnique/>
        </w:docPartObj>
        <w15:color w:val="DBDBDB"/>
      </w:sdtPr>
      <w:sdtEndPr>
        <w:rPr>
          <w:rFonts w:ascii="幼圆" w:eastAsia="幼圆" w:hAnsi="幼圆" w:cs="幼圆" w:hint="eastAsia"/>
          <w:b/>
          <w:bCs/>
          <w:sz w:val="30"/>
          <w:szCs w:val="30"/>
          <w:lang w:val="en-US" w:eastAsia="zh-CN"/>
        </w:rPr>
      </w:sdtEndPr>
      <w:sdtContent>
        <w:p>
          <w:pPr>
            <w:spacing w:line="360" w:lineRule="auto"/>
            <w:jc w:val="both"/>
            <w:outlineLvl w:val="0"/>
            <w:rPr>
              <w:rFonts w:ascii="幼圆" w:eastAsia="幼圆" w:hAnsi="幼圆" w:cs="幼圆" w:hint="eastAsia"/>
              <w:b/>
              <w:bCs/>
              <w:sz w:val="30"/>
              <w:szCs w:val="30"/>
            </w:rPr>
          </w:pPr>
          <w:bookmarkStart w:id="3" w:name="_Toc16394"/>
          <w:r>
            <w:rPr>
              <w:rFonts w:ascii="幼圆" w:eastAsia="幼圆" w:hAnsi="幼圆" w:cs="幼圆" w:hint="eastAsia"/>
              <w:b/>
              <w:bCs/>
              <w:sz w:val="30"/>
              <w:szCs w:val="30"/>
              <w:lang w:val="en-US" w:eastAsia="zh-CN"/>
            </w:rPr>
            <w:t>目录</w:t>
          </w:r>
          <w:bookmarkEnd w:id="3"/>
        </w:p>
        <w:p>
          <w:pPr>
            <w:pStyle w:val="TOC1"/>
            <w:tabs>
              <w:tab w:val="right" w:leader="dot" w:pos="8958"/>
            </w:tabs>
            <w:rPr>
              <w:rFonts w:ascii="幼圆" w:eastAsia="幼圆" w:hAnsi="幼圆" w:cs="幼圆" w:hint="eastAsia"/>
            </w:rPr>
          </w:pPr>
          <w:r>
            <w:rPr>
              <w:rFonts w:ascii="幼圆" w:eastAsia="幼圆" w:hAnsi="幼圆" w:cs="幼圆" w:hint="eastAsia"/>
            </w:rPr>
            <w:fldChar w:fldCharType="begin"/>
          </w:r>
          <w:r>
            <w:rPr>
              <w:rFonts w:ascii="幼圆" w:eastAsia="幼圆" w:hAnsi="幼圆" w:cs="幼圆" w:hint="eastAsia"/>
            </w:rPr>
            <w:instrText xml:space="preserve">TOC \o "1-3" \h \u </w:instrText>
          </w:r>
          <w:r>
            <w:rPr>
              <w:rFonts w:ascii="幼圆" w:eastAsia="幼圆" w:hAnsi="幼圆" w:cs="幼圆" w:hint="eastAsia"/>
            </w:rPr>
            <w:fldChar w:fldCharType="separate"/>
          </w:r>
          <w:hyperlink w:anchor="_Toc16743" w:history="1">
            <w:r>
              <w:rPr>
                <w:rFonts w:ascii="幼圆" w:eastAsia="幼圆" w:hAnsi="幼圆" w:cs="幼圆" w:hint="eastAsia"/>
                <w:bCs/>
                <w:szCs w:val="30"/>
                <w:lang w:val="en-US" w:eastAsia="zh-CN"/>
              </w:rPr>
              <w:t>1 前言</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_Toc16743 \h </w:instrText>
            </w:r>
            <w:r>
              <w:rPr>
                <w:rFonts w:ascii="幼圆" w:eastAsia="幼圆" w:hAnsi="幼圆" w:cs="幼圆" w:hint="eastAsia"/>
              </w:rPr>
              <w:fldChar w:fldCharType="separate"/>
            </w:r>
            <w:r>
              <w:rPr>
                <w:rFonts w:ascii="幼圆" w:eastAsia="幼圆" w:hAnsi="幼圆" w:cs="幼圆" w:hint="eastAsia"/>
              </w:rPr>
              <w:t>1</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pPr>
          <w:hyperlink w:anchor="_Toc30760" w:history="1">
            <w:r>
              <w:rPr>
                <w:rFonts w:ascii="幼圆" w:eastAsia="幼圆" w:hAnsi="幼圆" w:cs="幼圆" w:hint="eastAsia"/>
                <w:bCs w:val="0"/>
                <w:szCs w:val="28"/>
                <w:lang w:val="en-US" w:eastAsia="zh-CN"/>
              </w:rPr>
              <w:t>1.1 研究目的</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_Toc30760 \h </w:instrText>
            </w:r>
            <w:r>
              <w:rPr>
                <w:rFonts w:ascii="幼圆" w:eastAsia="幼圆" w:hAnsi="幼圆" w:cs="幼圆" w:hint="eastAsia"/>
              </w:rPr>
              <w:fldChar w:fldCharType="separate"/>
            </w:r>
            <w:r>
              <w:rPr>
                <w:rFonts w:ascii="幼圆" w:eastAsia="幼圆" w:hAnsi="幼圆" w:cs="幼圆" w:hint="eastAsia"/>
              </w:rPr>
              <w:t>1</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pPr>
          <w:hyperlink w:anchor="_Toc1545" w:history="1">
            <w:r>
              <w:rPr>
                <w:rFonts w:ascii="幼圆" w:eastAsia="幼圆" w:hAnsi="幼圆" w:cs="幼圆" w:hint="eastAsia"/>
                <w:bCs w:val="0"/>
                <w:szCs w:val="28"/>
                <w:lang w:val="en-US" w:eastAsia="zh-CN"/>
              </w:rPr>
              <w:t>1.2 研究意义</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_Toc1545 \h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hyperlink>
        </w:p>
        <w:p>
          <w:pPr>
            <w:pStyle w:val="TOC1"/>
            <w:tabs>
              <w:tab w:val="right" w:leader="dot" w:pos="8958"/>
            </w:tabs>
            <w:rPr>
              <w:rFonts w:ascii="幼圆" w:eastAsia="幼圆" w:hAnsi="幼圆" w:cs="幼圆" w:hint="eastAsia"/>
            </w:rPr>
          </w:pPr>
          <w:hyperlink w:anchor="_Toc24039" w:history="1">
            <w:r>
              <w:rPr>
                <w:rFonts w:ascii="幼圆" w:eastAsia="幼圆" w:hAnsi="幼圆" w:cs="幼圆" w:hint="eastAsia"/>
                <w:bCs/>
                <w:szCs w:val="30"/>
                <w:lang w:val="en-US" w:eastAsia="zh-CN"/>
              </w:rPr>
              <w:t>2 国内外研究现状</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_Toc24039 \h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pPr>
          <w:hyperlink w:anchor="_Toc18941" w:history="1">
            <w:r>
              <w:rPr>
                <w:rFonts w:ascii="幼圆" w:eastAsia="幼圆" w:hAnsi="幼圆" w:cs="幼圆" w:hint="eastAsia"/>
                <w:bCs w:val="0"/>
                <w:szCs w:val="28"/>
                <w:lang w:val="en-US" w:eastAsia="zh-CN"/>
              </w:rPr>
              <w:t>2.1 相关概念界定</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_Toc18941 \h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540" w:history="1">
            <w:r>
              <w:rPr>
                <w:rFonts w:ascii="幼圆" w:eastAsia="幼圆" w:hAnsi="幼圆" w:cs="幼圆" w:hint="eastAsia"/>
                <w:bCs w:val="0"/>
                <w:szCs w:val="24"/>
                <w:highlight w:val="none"/>
                <w:lang w:val="en-US" w:eastAsia="zh-CN"/>
              </w:rPr>
              <w:t>2.1.1 消费</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_Toc540 \h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7751" w:history="1">
            <w:r>
              <w:rPr>
                <w:rFonts w:ascii="幼圆" w:eastAsia="幼圆" w:hAnsi="幼圆" w:cs="幼圆" w:hint="eastAsia"/>
                <w:bCs w:val="0"/>
                <w:szCs w:val="24"/>
                <w:highlight w:val="none"/>
                <w:lang w:val="en-US" w:eastAsia="zh-CN"/>
              </w:rPr>
              <w:t>2.1.2 体育消费</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_Toc7751 \h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pPr>
          <w:hyperlink w:anchor="_Toc3871" w:history="1">
            <w:r>
              <w:rPr>
                <w:rFonts w:ascii="幼圆" w:eastAsia="幼圆" w:hAnsi="幼圆" w:cs="幼圆" w:hint="eastAsia"/>
                <w:bCs w:val="0"/>
                <w:szCs w:val="28"/>
                <w:lang w:val="en-US" w:eastAsia="zh-CN"/>
              </w:rPr>
              <w:t>2.2　国内研究现状</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_Toc3871 \h </w:instrText>
            </w:r>
            <w:r>
              <w:rPr>
                <w:rFonts w:ascii="幼圆" w:eastAsia="幼圆" w:hAnsi="幼圆" w:cs="幼圆" w:hint="eastAsia"/>
              </w:rPr>
              <w:fldChar w:fldCharType="separate"/>
            </w:r>
            <w:r>
              <w:rPr>
                <w:rFonts w:ascii="幼圆" w:eastAsia="幼圆" w:hAnsi="幼圆" w:cs="幼圆" w:hint="eastAsia"/>
              </w:rPr>
              <w:t>3</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pPr>
          <w:hyperlink w:anchor="_Toc29630" w:history="1">
            <w:r>
              <w:rPr>
                <w:rFonts w:ascii="幼圆" w:eastAsia="幼圆" w:hAnsi="幼圆" w:cs="幼圆" w:hint="eastAsia"/>
                <w:bCs w:val="0"/>
                <w:szCs w:val="28"/>
                <w:lang w:val="en-US" w:eastAsia="zh-CN"/>
              </w:rPr>
              <w:t>2.3  国外研究现状</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_Toc29630 \h </w:instrText>
            </w:r>
            <w:r>
              <w:rPr>
                <w:rFonts w:ascii="幼圆" w:eastAsia="幼圆" w:hAnsi="幼圆" w:cs="幼圆" w:hint="eastAsia"/>
              </w:rPr>
              <w:fldChar w:fldCharType="separate"/>
            </w:r>
            <w:r>
              <w:rPr>
                <w:rFonts w:ascii="幼圆" w:eastAsia="幼圆" w:hAnsi="幼圆" w:cs="幼圆" w:hint="eastAsia"/>
              </w:rPr>
              <w:t>3</w:t>
            </w:r>
            <w:r>
              <w:rPr>
                <w:rFonts w:ascii="幼圆" w:eastAsia="幼圆" w:hAnsi="幼圆" w:cs="幼圆" w:hint="eastAsia"/>
              </w:rPr>
              <w:fldChar w:fldCharType="end"/>
            </w:r>
          </w:hyperlink>
        </w:p>
        <w:p>
          <w:pPr>
            <w:pStyle w:val="TOC1"/>
            <w:tabs>
              <w:tab w:val="right" w:leader="dot" w:pos="8958"/>
            </w:tabs>
            <w:rPr>
              <w:rFonts w:ascii="幼圆" w:eastAsia="幼圆" w:hAnsi="幼圆" w:cs="幼圆" w:hint="eastAsia"/>
            </w:rPr>
          </w:pPr>
          <w:hyperlink w:anchor="_Toc19163" w:history="1">
            <w:r>
              <w:rPr>
                <w:rFonts w:ascii="幼圆" w:eastAsia="幼圆" w:hAnsi="幼圆" w:cs="幼圆" w:hint="eastAsia"/>
                <w:bCs/>
                <w:szCs w:val="30"/>
                <w:lang w:val="en-US" w:eastAsia="zh-CN"/>
              </w:rPr>
              <w:t>3  研究对象与方法</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_Toc19163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pPr>
          <w:hyperlink w:anchor="_Toc30536" w:history="1">
            <w:r>
              <w:rPr>
                <w:rFonts w:ascii="幼圆" w:eastAsia="幼圆" w:hAnsi="幼圆" w:cs="幼圆" w:hint="eastAsia"/>
                <w:bCs w:val="0"/>
                <w:szCs w:val="28"/>
                <w:lang w:val="en-US" w:eastAsia="zh-CN"/>
              </w:rPr>
              <w:t>3.1 研究对象</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_Toc30536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pPr>
          <w:hyperlink w:anchor="_Toc23197" w:history="1">
            <w:r>
              <w:rPr>
                <w:rFonts w:ascii="幼圆" w:eastAsia="幼圆" w:hAnsi="幼圆" w:cs="幼圆" w:hint="eastAsia"/>
                <w:bCs w:val="0"/>
                <w:szCs w:val="28"/>
                <w:lang w:val="en-US" w:eastAsia="zh-CN"/>
              </w:rPr>
              <w:t>3.2 研究方法</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_Toc23197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15611" w:history="1">
            <w:r>
              <w:rPr>
                <w:rFonts w:ascii="幼圆" w:eastAsia="幼圆" w:hAnsi="幼圆" w:cs="幼圆" w:hint="eastAsia"/>
                <w:bCs w:val="0"/>
                <w:szCs w:val="24"/>
                <w:highlight w:val="none"/>
                <w:lang w:val="en-US" w:eastAsia="zh-CN"/>
              </w:rPr>
              <w:t>3.2.1 文献资料法</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_Toc15611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24123" w:history="1">
            <w:r>
              <w:rPr>
                <w:rFonts w:ascii="幼圆" w:eastAsia="幼圆" w:hAnsi="幼圆" w:cs="幼圆" w:hint="eastAsia"/>
                <w:bCs w:val="0"/>
                <w:szCs w:val="24"/>
                <w:highlight w:val="none"/>
                <w:lang w:val="en-US" w:eastAsia="zh-CN"/>
              </w:rPr>
              <w:t>3.2.2 访谈法</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_Toc24123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6429" w:history="1">
            <w:r>
              <w:rPr>
                <w:rFonts w:ascii="幼圆" w:eastAsia="幼圆" w:hAnsi="幼圆" w:cs="幼圆" w:hint="eastAsia"/>
                <w:bCs w:val="0"/>
                <w:szCs w:val="24"/>
                <w:highlight w:val="none"/>
                <w:lang w:val="en-US" w:eastAsia="zh-CN"/>
              </w:rPr>
              <w:t>3.2.3 问卷调查法</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_Toc6429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25987" w:history="1">
            <w:r>
              <w:rPr>
                <w:rFonts w:ascii="幼圆" w:eastAsia="幼圆" w:hAnsi="幼圆" w:cs="幼圆" w:hint="eastAsia"/>
                <w:bCs w:val="0"/>
                <w:szCs w:val="24"/>
                <w:highlight w:val="none"/>
                <w:lang w:val="en-US" w:eastAsia="zh-CN"/>
              </w:rPr>
              <w:t>3.2.4 数理统计法</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_Toc25987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15966" w:history="1">
            <w:r>
              <w:rPr>
                <w:rFonts w:ascii="幼圆" w:eastAsia="幼圆" w:hAnsi="幼圆" w:cs="幼圆" w:hint="eastAsia"/>
                <w:bCs w:val="0"/>
                <w:szCs w:val="24"/>
                <w:highlight w:val="none"/>
                <w:lang w:val="en-US" w:eastAsia="zh-CN"/>
              </w:rPr>
              <w:t>3.2.5 逻辑分析法</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_Toc15966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TOC1"/>
            <w:tabs>
              <w:tab w:val="right" w:leader="dot" w:pos="8958"/>
            </w:tabs>
            <w:rPr>
              <w:rFonts w:ascii="幼圆" w:eastAsia="幼圆" w:hAnsi="幼圆" w:cs="幼圆" w:hint="eastAsia"/>
            </w:rPr>
          </w:pPr>
          <w:hyperlink w:anchor="_Toc6677" w:history="1">
            <w:r>
              <w:rPr>
                <w:rFonts w:ascii="幼圆" w:eastAsia="幼圆" w:hAnsi="幼圆" w:cs="幼圆" w:hint="eastAsia"/>
                <w:bCs/>
                <w:szCs w:val="30"/>
                <w:lang w:val="en-US" w:eastAsia="zh-CN"/>
              </w:rPr>
              <w:t>4  结果与分析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_Toc6677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pPr>
          <w:hyperlink w:anchor="_Toc13002" w:history="1">
            <w:r>
              <w:rPr>
                <w:rFonts w:ascii="幼圆" w:eastAsia="幼圆" w:hAnsi="幼圆" w:cs="幼圆" w:hint="eastAsia"/>
                <w:bCs w:val="0"/>
                <w:szCs w:val="28"/>
                <w:lang w:val="en-US" w:eastAsia="zh-CN"/>
              </w:rPr>
              <w:t>4.1 S市高校学生基本情况分析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_Toc13002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2321" w:history="1">
            <w:r>
              <w:rPr>
                <w:rFonts w:ascii="幼圆" w:eastAsia="幼圆" w:hAnsi="幼圆" w:cs="幼圆" w:hint="eastAsia"/>
                <w:bCs w:val="0"/>
                <w:szCs w:val="24"/>
                <w:highlight w:val="none"/>
                <w:lang w:val="en-US" w:eastAsia="zh-CN"/>
              </w:rPr>
              <w:t>4.1.1 性别情况分析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_Toc2321 \h </w:instrText>
            </w:r>
            <w:r>
              <w:rPr>
                <w:rFonts w:ascii="幼圆" w:eastAsia="幼圆" w:hAnsi="幼圆" w:cs="幼圆" w:hint="eastAsia"/>
              </w:rPr>
              <w:fldChar w:fldCharType="separate"/>
            </w:r>
            <w:r>
              <w:rPr>
                <w:rFonts w:ascii="幼圆" w:eastAsia="幼圆" w:hAnsi="幼圆" w:cs="幼圆" w:hint="eastAsia"/>
              </w:rPr>
              <w:t>5</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31030" w:history="1">
            <w:r>
              <w:rPr>
                <w:rFonts w:ascii="幼圆" w:eastAsia="幼圆" w:hAnsi="幼圆" w:cs="幼圆" w:hint="eastAsia"/>
                <w:bCs w:val="0"/>
                <w:szCs w:val="24"/>
                <w:highlight w:val="none"/>
                <w:lang w:val="en-US" w:eastAsia="zh-CN"/>
              </w:rPr>
              <w:t>4.1.2 生源结构调查分析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_Toc31030 \h </w:instrText>
            </w:r>
            <w:r>
              <w:rPr>
                <w:rFonts w:ascii="幼圆" w:eastAsia="幼圆" w:hAnsi="幼圆" w:cs="幼圆" w:hint="eastAsia"/>
              </w:rPr>
              <w:fldChar w:fldCharType="separate"/>
            </w:r>
            <w:r>
              <w:rPr>
                <w:rFonts w:ascii="幼圆" w:eastAsia="幼圆" w:hAnsi="幼圆" w:cs="幼圆" w:hint="eastAsia"/>
              </w:rPr>
              <w:t>5</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4936" w:history="1">
            <w:r>
              <w:rPr>
                <w:rFonts w:ascii="幼圆" w:eastAsia="幼圆" w:hAnsi="幼圆" w:cs="幼圆" w:hint="eastAsia"/>
                <w:bCs w:val="0"/>
                <w:szCs w:val="24"/>
                <w:highlight w:val="none"/>
                <w:lang w:val="en-US" w:eastAsia="zh-CN"/>
              </w:rPr>
              <w:t>4.1.3 喜爱体育运动程度调查分析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_Toc4936 \h </w:instrText>
            </w:r>
            <w:r>
              <w:rPr>
                <w:rFonts w:ascii="幼圆" w:eastAsia="幼圆" w:hAnsi="幼圆" w:cs="幼圆" w:hint="eastAsia"/>
              </w:rPr>
              <w:fldChar w:fldCharType="separate"/>
            </w:r>
            <w:r>
              <w:rPr>
                <w:rFonts w:ascii="幼圆" w:eastAsia="幼圆" w:hAnsi="幼圆" w:cs="幼圆" w:hint="eastAsia"/>
              </w:rPr>
              <w:t>6</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pPr>
          <w:hyperlink w:anchor="_Toc31551" w:history="1">
            <w:r>
              <w:rPr>
                <w:rFonts w:ascii="幼圆" w:eastAsia="幼圆" w:hAnsi="幼圆" w:cs="幼圆" w:hint="eastAsia"/>
                <w:bCs w:val="0"/>
                <w:szCs w:val="28"/>
                <w:lang w:val="en-US" w:eastAsia="zh-CN"/>
              </w:rPr>
              <w:t>4.2 S市高校学生体育消费基本情况</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_Toc31551 \h </w:instrText>
            </w:r>
            <w:r>
              <w:rPr>
                <w:rFonts w:ascii="幼圆" w:eastAsia="幼圆" w:hAnsi="幼圆" w:cs="幼圆" w:hint="eastAsia"/>
              </w:rPr>
              <w:fldChar w:fldCharType="separate"/>
            </w:r>
            <w:r>
              <w:rPr>
                <w:rFonts w:ascii="幼圆" w:eastAsia="幼圆" w:hAnsi="幼圆" w:cs="幼圆" w:hint="eastAsia"/>
              </w:rPr>
              <w:t>7</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32712" w:history="1">
            <w:r>
              <w:rPr>
                <w:rFonts w:ascii="幼圆" w:eastAsia="幼圆" w:hAnsi="幼圆" w:cs="幼圆" w:hint="eastAsia"/>
                <w:bCs w:val="0"/>
                <w:szCs w:val="24"/>
                <w:highlight w:val="none"/>
                <w:lang w:val="en-US" w:eastAsia="zh-CN"/>
              </w:rPr>
              <w:t>4.2.1消费水平调查分析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_Toc32712 \h </w:instrText>
            </w:r>
            <w:r>
              <w:rPr>
                <w:rFonts w:ascii="幼圆" w:eastAsia="幼圆" w:hAnsi="幼圆" w:cs="幼圆" w:hint="eastAsia"/>
              </w:rPr>
              <w:fldChar w:fldCharType="separate"/>
            </w:r>
            <w:r>
              <w:rPr>
                <w:rFonts w:ascii="幼圆" w:eastAsia="幼圆" w:hAnsi="幼圆" w:cs="幼圆" w:hint="eastAsia"/>
              </w:rPr>
              <w:t>7</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24592" w:history="1">
            <w:r>
              <w:rPr>
                <w:rFonts w:ascii="幼圆" w:eastAsia="幼圆" w:hAnsi="幼圆" w:cs="幼圆" w:hint="eastAsia"/>
                <w:bCs w:val="0"/>
                <w:szCs w:val="24"/>
                <w:highlight w:val="none"/>
                <w:lang w:val="en-US" w:eastAsia="zh-CN"/>
              </w:rPr>
              <w:t>4.2.2 体育消费情况调查分析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_Toc24592 \h </w:instrText>
            </w:r>
            <w:r>
              <w:rPr>
                <w:rFonts w:ascii="幼圆" w:eastAsia="幼圆" w:hAnsi="幼圆" w:cs="幼圆" w:hint="eastAsia"/>
              </w:rPr>
              <w:fldChar w:fldCharType="separate"/>
            </w:r>
            <w:r>
              <w:rPr>
                <w:rFonts w:ascii="幼圆" w:eastAsia="幼圆" w:hAnsi="幼圆" w:cs="幼圆" w:hint="eastAsia"/>
              </w:rPr>
              <w:t>8</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19456" w:history="1">
            <w:r>
              <w:rPr>
                <w:rFonts w:ascii="幼圆" w:eastAsia="幼圆" w:hAnsi="幼圆" w:cs="幼圆" w:hint="eastAsia"/>
                <w:bCs w:val="0"/>
                <w:szCs w:val="24"/>
                <w:highlight w:val="none"/>
                <w:lang w:val="en-US" w:eastAsia="zh-CN"/>
              </w:rPr>
              <w:t>4.2.3 不同性别大学生的体育消费情况</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_Toc19456 \h </w:instrText>
            </w:r>
            <w:r>
              <w:rPr>
                <w:rFonts w:ascii="幼圆" w:eastAsia="幼圆" w:hAnsi="幼圆" w:cs="幼圆" w:hint="eastAsia"/>
              </w:rPr>
              <w:fldChar w:fldCharType="separate"/>
            </w:r>
            <w:r>
              <w:rPr>
                <w:rFonts w:ascii="幼圆" w:eastAsia="幼圆" w:hAnsi="幼圆" w:cs="幼圆" w:hint="eastAsia"/>
              </w:rPr>
              <w:t>8</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7818" w:history="1">
            <w:r>
              <w:rPr>
                <w:rFonts w:ascii="幼圆" w:eastAsia="幼圆" w:hAnsi="幼圆" w:cs="幼圆" w:hint="eastAsia"/>
                <w:bCs w:val="0"/>
                <w:szCs w:val="24"/>
                <w:highlight w:val="none"/>
                <w:lang w:val="en-US" w:eastAsia="zh-CN"/>
              </w:rPr>
              <w:t>4.2.4 不同年级大学生的体育消费情况</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_Toc7818 \h </w:instrText>
            </w:r>
            <w:r>
              <w:rPr>
                <w:rFonts w:ascii="幼圆" w:eastAsia="幼圆" w:hAnsi="幼圆" w:cs="幼圆" w:hint="eastAsia"/>
              </w:rPr>
              <w:fldChar w:fldCharType="separate"/>
            </w:r>
            <w:r>
              <w:rPr>
                <w:rFonts w:ascii="幼圆" w:eastAsia="幼圆" w:hAnsi="幼圆" w:cs="幼圆" w:hint="eastAsia"/>
              </w:rPr>
              <w:t>9</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28111" w:history="1">
            <w:r>
              <w:rPr>
                <w:rFonts w:ascii="幼圆" w:eastAsia="幼圆" w:hAnsi="幼圆" w:cs="幼圆" w:hint="eastAsia"/>
                <w:bCs w:val="0"/>
                <w:szCs w:val="24"/>
                <w:highlight w:val="none"/>
                <w:lang w:val="en-US" w:eastAsia="zh-CN"/>
              </w:rPr>
              <w:t>4.2.5 不同生源结构大学生的体育消费情况</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_Toc28111 \h </w:instrText>
            </w:r>
            <w:r>
              <w:rPr>
                <w:rFonts w:ascii="幼圆" w:eastAsia="幼圆" w:hAnsi="幼圆" w:cs="幼圆" w:hint="eastAsia"/>
              </w:rPr>
              <w:fldChar w:fldCharType="separate"/>
            </w:r>
            <w:r>
              <w:rPr>
                <w:rFonts w:ascii="幼圆" w:eastAsia="幼圆" w:hAnsi="幼圆" w:cs="幼圆" w:hint="eastAsia"/>
              </w:rPr>
              <w:t>10</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pPr>
          <w:hyperlink w:anchor="_Toc19847" w:history="1">
            <w:r>
              <w:rPr>
                <w:rFonts w:ascii="幼圆" w:eastAsia="幼圆" w:hAnsi="幼圆" w:cs="幼圆" w:hint="eastAsia"/>
                <w:bCs w:val="0"/>
                <w:szCs w:val="28"/>
                <w:lang w:val="en-US" w:eastAsia="zh-CN"/>
              </w:rPr>
              <w:t>4.3 S市高校学生体育消费动机</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_Toc19847 \h </w:instrText>
            </w:r>
            <w:r>
              <w:rPr>
                <w:rFonts w:ascii="幼圆" w:eastAsia="幼圆" w:hAnsi="幼圆" w:cs="幼圆" w:hint="eastAsia"/>
              </w:rPr>
              <w:fldChar w:fldCharType="separate"/>
            </w:r>
            <w:r>
              <w:rPr>
                <w:rFonts w:ascii="幼圆" w:eastAsia="幼圆" w:hAnsi="幼圆" w:cs="幼圆" w:hint="eastAsia"/>
              </w:rPr>
              <w:t>11</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7992" w:history="1">
            <w:r>
              <w:rPr>
                <w:rFonts w:ascii="幼圆" w:eastAsia="幼圆" w:hAnsi="幼圆" w:cs="幼圆" w:hint="eastAsia"/>
                <w:bCs w:val="0"/>
                <w:szCs w:val="24"/>
                <w:highlight w:val="none"/>
                <w:lang w:val="en-US" w:eastAsia="zh-CN"/>
              </w:rPr>
              <w:t>4.3.1 体育消费的整体动机</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_Toc7992 \h </w:instrText>
            </w:r>
            <w:r>
              <w:rPr>
                <w:rFonts w:ascii="幼圆" w:eastAsia="幼圆" w:hAnsi="幼圆" w:cs="幼圆" w:hint="eastAsia"/>
              </w:rPr>
              <w:fldChar w:fldCharType="separate"/>
            </w:r>
            <w:r>
              <w:rPr>
                <w:rFonts w:ascii="幼圆" w:eastAsia="幼圆" w:hAnsi="幼圆" w:cs="幼圆" w:hint="eastAsia"/>
              </w:rPr>
              <w:t>12</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2890" w:history="1">
            <w:r>
              <w:rPr>
                <w:rFonts w:ascii="幼圆" w:eastAsia="幼圆" w:hAnsi="幼圆" w:cs="幼圆" w:hint="eastAsia"/>
                <w:bCs w:val="0"/>
                <w:szCs w:val="24"/>
                <w:highlight w:val="none"/>
                <w:lang w:val="en-US" w:eastAsia="zh-CN"/>
              </w:rPr>
              <w:t>4.3.2 不同性别大学生的体育消费动机</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_Toc2890 \h </w:instrText>
            </w:r>
            <w:r>
              <w:rPr>
                <w:rFonts w:ascii="幼圆" w:eastAsia="幼圆" w:hAnsi="幼圆" w:cs="幼圆" w:hint="eastAsia"/>
              </w:rPr>
              <w:fldChar w:fldCharType="separate"/>
            </w:r>
            <w:r>
              <w:rPr>
                <w:rFonts w:ascii="幼圆" w:eastAsia="幼圆" w:hAnsi="幼圆" w:cs="幼圆" w:hint="eastAsia"/>
              </w:rPr>
              <w:t>12</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18581" w:history="1">
            <w:r>
              <w:rPr>
                <w:rFonts w:ascii="幼圆" w:eastAsia="幼圆" w:hAnsi="幼圆" w:cs="幼圆" w:hint="eastAsia"/>
                <w:bCs w:val="0"/>
                <w:szCs w:val="24"/>
                <w:highlight w:val="none"/>
                <w:lang w:val="en-US" w:eastAsia="zh-CN"/>
              </w:rPr>
              <w:t>4.3.3 不同年级大学生的体育消费动机</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_Toc18581 \h </w:instrText>
            </w:r>
            <w:r>
              <w:rPr>
                <w:rFonts w:ascii="幼圆" w:eastAsia="幼圆" w:hAnsi="幼圆" w:cs="幼圆" w:hint="eastAsia"/>
              </w:rPr>
              <w:fldChar w:fldCharType="separate"/>
            </w:r>
            <w:r>
              <w:rPr>
                <w:rFonts w:ascii="幼圆" w:eastAsia="幼圆" w:hAnsi="幼圆" w:cs="幼圆" w:hint="eastAsia"/>
              </w:rPr>
              <w:t>13</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23901" w:history="1">
            <w:r>
              <w:rPr>
                <w:rFonts w:ascii="幼圆" w:eastAsia="幼圆" w:hAnsi="幼圆" w:cs="幼圆" w:hint="eastAsia"/>
                <w:bCs w:val="0"/>
                <w:szCs w:val="24"/>
                <w:highlight w:val="none"/>
                <w:lang w:val="en-US" w:eastAsia="zh-CN"/>
              </w:rPr>
              <w:t>4.3.4 不同生源结构大学生的体育消费动机</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_Toc23901 \h </w:instrText>
            </w:r>
            <w:r>
              <w:rPr>
                <w:rFonts w:ascii="幼圆" w:eastAsia="幼圆" w:hAnsi="幼圆" w:cs="幼圆" w:hint="eastAsia"/>
              </w:rPr>
              <w:fldChar w:fldCharType="separate"/>
            </w:r>
            <w:r>
              <w:rPr>
                <w:rFonts w:ascii="幼圆" w:eastAsia="幼圆" w:hAnsi="幼圆" w:cs="幼圆" w:hint="eastAsia"/>
              </w:rPr>
              <w:t>14</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pPr>
          <w:hyperlink w:anchor="_Toc1405" w:history="1">
            <w:r>
              <w:rPr>
                <w:rFonts w:ascii="幼圆" w:eastAsia="幼圆" w:hAnsi="幼圆" w:cs="幼圆" w:hint="eastAsia"/>
                <w:bCs w:val="0"/>
                <w:szCs w:val="28"/>
                <w:lang w:val="en-US" w:eastAsia="zh-CN"/>
              </w:rPr>
              <w:t>4.4 S市高校学生体育消费结构调查</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_Toc1405 \h </w:instrText>
            </w:r>
            <w:r>
              <w:rPr>
                <w:rFonts w:ascii="幼圆" w:eastAsia="幼圆" w:hAnsi="幼圆" w:cs="幼圆" w:hint="eastAsia"/>
              </w:rPr>
              <w:fldChar w:fldCharType="separate"/>
            </w:r>
            <w:r>
              <w:rPr>
                <w:rFonts w:ascii="幼圆" w:eastAsia="幼圆" w:hAnsi="幼圆" w:cs="幼圆" w:hint="eastAsia"/>
              </w:rPr>
              <w:t>15</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13415" w:history="1">
            <w:r>
              <w:rPr>
                <w:rFonts w:ascii="幼圆" w:eastAsia="幼圆" w:hAnsi="幼圆" w:cs="幼圆" w:hint="eastAsia"/>
                <w:bCs w:val="0"/>
                <w:szCs w:val="24"/>
                <w:highlight w:val="none"/>
                <w:lang w:val="en-US" w:eastAsia="zh-CN"/>
              </w:rPr>
              <w:t>4.4.1 整体消费结构调查</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_Toc13415 \h </w:instrText>
            </w:r>
            <w:r>
              <w:rPr>
                <w:rFonts w:ascii="幼圆" w:eastAsia="幼圆" w:hAnsi="幼圆" w:cs="幼圆" w:hint="eastAsia"/>
              </w:rPr>
              <w:fldChar w:fldCharType="separate"/>
            </w:r>
            <w:r>
              <w:rPr>
                <w:rFonts w:ascii="幼圆" w:eastAsia="幼圆" w:hAnsi="幼圆" w:cs="幼圆" w:hint="eastAsia"/>
              </w:rPr>
              <w:t>16</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25016" w:history="1">
            <w:r>
              <w:rPr>
                <w:rFonts w:ascii="幼圆" w:eastAsia="幼圆" w:hAnsi="幼圆" w:cs="幼圆" w:hint="eastAsia"/>
                <w:bCs w:val="0"/>
                <w:szCs w:val="24"/>
                <w:highlight w:val="none"/>
                <w:lang w:val="en-US" w:eastAsia="zh-CN"/>
              </w:rPr>
              <w:t>4.4.2 不同性别大学生的体育消费结构</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_Toc25016 \h </w:instrText>
            </w:r>
            <w:r>
              <w:rPr>
                <w:rFonts w:ascii="幼圆" w:eastAsia="幼圆" w:hAnsi="幼圆" w:cs="幼圆" w:hint="eastAsia"/>
              </w:rPr>
              <w:fldChar w:fldCharType="separate"/>
            </w:r>
            <w:r>
              <w:rPr>
                <w:rFonts w:ascii="幼圆" w:eastAsia="幼圆" w:hAnsi="幼圆" w:cs="幼圆" w:hint="eastAsia"/>
              </w:rPr>
              <w:t>17</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23498" w:history="1">
            <w:r>
              <w:rPr>
                <w:rFonts w:ascii="幼圆" w:eastAsia="幼圆" w:hAnsi="幼圆" w:cs="幼圆" w:hint="eastAsia"/>
                <w:bCs w:val="0"/>
                <w:szCs w:val="24"/>
                <w:highlight w:val="none"/>
                <w:lang w:val="en-US" w:eastAsia="zh-CN"/>
              </w:rPr>
              <w:t>4.4.3 不同年级大学生的体育消费结构</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_Toc23498 \h </w:instrText>
            </w:r>
            <w:r>
              <w:rPr>
                <w:rFonts w:ascii="幼圆" w:eastAsia="幼圆" w:hAnsi="幼圆" w:cs="幼圆" w:hint="eastAsia"/>
              </w:rPr>
              <w:fldChar w:fldCharType="separate"/>
            </w:r>
            <w:r>
              <w:rPr>
                <w:rFonts w:ascii="幼圆" w:eastAsia="幼圆" w:hAnsi="幼圆" w:cs="幼圆" w:hint="eastAsia"/>
              </w:rPr>
              <w:t>17</w:t>
            </w:r>
            <w:r>
              <w:rPr>
                <w:rFonts w:ascii="幼圆" w:eastAsia="幼圆" w:hAnsi="幼圆" w:cs="幼圆" w:hint="eastAsia"/>
              </w:rPr>
              <w:fldChar w:fldCharType="end"/>
            </w:r>
          </w:hyperlink>
        </w:p>
        <w:p>
          <w:pPr>
            <w:pStyle w:val="TOC3"/>
            <w:tabs>
              <w:tab w:val="right" w:leader="dot" w:pos="8958"/>
            </w:tabs>
            <w:rPr>
              <w:rFonts w:ascii="幼圆" w:eastAsia="幼圆" w:hAnsi="幼圆" w:cs="幼圆" w:hint="eastAsia"/>
            </w:rPr>
          </w:pPr>
          <w:hyperlink w:anchor="_Toc5877" w:history="1">
            <w:r>
              <w:rPr>
                <w:rFonts w:ascii="幼圆" w:eastAsia="幼圆" w:hAnsi="幼圆" w:cs="幼圆" w:hint="eastAsia"/>
                <w:bCs w:val="0"/>
                <w:szCs w:val="24"/>
                <w:highlight w:val="none"/>
                <w:lang w:val="en-US" w:eastAsia="zh-CN"/>
              </w:rPr>
              <w:t>4.4.4 不同生源结构大学生的体育消费结构</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_Toc5877 \h </w:instrText>
            </w:r>
            <w:r>
              <w:rPr>
                <w:rFonts w:ascii="幼圆" w:eastAsia="幼圆" w:hAnsi="幼圆" w:cs="幼圆" w:hint="eastAsia"/>
              </w:rPr>
              <w:fldChar w:fldCharType="separate"/>
            </w:r>
            <w:r>
              <w:rPr>
                <w:rFonts w:ascii="幼圆" w:eastAsia="幼圆" w:hAnsi="幼圆" w:cs="幼圆" w:hint="eastAsia"/>
              </w:rPr>
              <w:t>18</w:t>
            </w:r>
            <w:r>
              <w:rPr>
                <w:rFonts w:ascii="幼圆" w:eastAsia="幼圆" w:hAnsi="幼圆" w:cs="幼圆" w:hint="eastAsia"/>
              </w:rPr>
              <w:fldChar w:fldCharType="end"/>
            </w:r>
          </w:hyperlink>
        </w:p>
        <w:p>
          <w:pPr>
            <w:pStyle w:val="TOC1"/>
            <w:tabs>
              <w:tab w:val="right" w:leader="dot" w:pos="8958"/>
            </w:tabs>
            <w:rPr>
              <w:rFonts w:ascii="幼圆" w:eastAsia="幼圆" w:hAnsi="幼圆" w:cs="幼圆" w:hint="eastAsia"/>
            </w:rPr>
          </w:pPr>
          <w:hyperlink w:anchor="_Toc6912" w:history="1">
            <w:r>
              <w:rPr>
                <w:rFonts w:ascii="幼圆" w:eastAsia="幼圆" w:hAnsi="幼圆" w:cs="幼圆" w:hint="eastAsia"/>
                <w:bCs/>
                <w:szCs w:val="30"/>
                <w:lang w:val="en-US" w:eastAsia="zh-CN"/>
              </w:rPr>
              <w:t>5 结论与建议</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_Toc6912 \h </w:instrText>
            </w:r>
            <w:r>
              <w:rPr>
                <w:rFonts w:ascii="幼圆" w:eastAsia="幼圆" w:hAnsi="幼圆" w:cs="幼圆" w:hint="eastAsia"/>
              </w:rPr>
              <w:fldChar w:fldCharType="separate"/>
            </w:r>
            <w:r>
              <w:rPr>
                <w:rFonts w:ascii="幼圆" w:eastAsia="幼圆" w:hAnsi="幼圆" w:cs="幼圆" w:hint="eastAsia"/>
              </w:rPr>
              <w:t>19</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pPr>
          <w:hyperlink w:anchor="_Toc6438" w:history="1">
            <w:r>
              <w:rPr>
                <w:rFonts w:ascii="幼圆" w:eastAsia="幼圆" w:hAnsi="幼圆" w:cs="幼圆" w:hint="eastAsia"/>
                <w:bCs w:val="0"/>
                <w:szCs w:val="28"/>
                <w:lang w:val="en-US" w:eastAsia="zh-CN"/>
              </w:rPr>
              <w:t>5.1 结论</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_Toc6438 \h </w:instrText>
            </w:r>
            <w:r>
              <w:rPr>
                <w:rFonts w:ascii="幼圆" w:eastAsia="幼圆" w:hAnsi="幼圆" w:cs="幼圆" w:hint="eastAsia"/>
              </w:rPr>
              <w:fldChar w:fldCharType="separate"/>
            </w:r>
            <w:r>
              <w:rPr>
                <w:rFonts w:ascii="幼圆" w:eastAsia="幼圆" w:hAnsi="幼圆" w:cs="幼圆" w:hint="eastAsia"/>
              </w:rPr>
              <w:t>19</w:t>
            </w:r>
            <w:r>
              <w:rPr>
                <w:rFonts w:ascii="幼圆" w:eastAsia="幼圆" w:hAnsi="幼圆" w:cs="幼圆" w:hint="eastAsia"/>
              </w:rPr>
              <w:fldChar w:fldCharType="end"/>
            </w:r>
          </w:hyperlink>
        </w:p>
        <w:p>
          <w:pPr>
            <w:pStyle w:val="TOC2"/>
            <w:tabs>
              <w:tab w:val="right" w:leader="dot" w:pos="8958"/>
            </w:tabs>
            <w:rPr>
              <w:rFonts w:ascii="幼圆" w:eastAsia="幼圆" w:hAnsi="幼圆" w:cs="幼圆" w:hint="eastAsia"/>
            </w:rPr>
            <w:sectPr>
              <w:headerReference w:type="default" r:id="rId5"/>
              <w:footerReference w:type="default" r:id="rId6"/>
              <w:pgSz w:w="11906" w:h="16838"/>
              <w:pgMar w:top="1361" w:right="1474" w:bottom="1247" w:left="1474" w:header="851" w:footer="992" w:gutter="0"/>
              <w:pgBorders>
                <w:top w:val="none" w:sz="0" w:space="0" w:color="auto"/>
                <w:left w:val="none" w:sz="0" w:space="0" w:color="auto"/>
                <w:bottom w:val="none" w:sz="0" w:space="0" w:color="auto"/>
                <w:right w:val="none" w:sz="0" w:space="0" w:color="auto"/>
              </w:pgBorders>
              <w:pgNumType w:fmt="decimal" w:start="1"/>
              <w:cols w:num="1" w:space="425"/>
              <w:docGrid w:type="lines" w:linePitch="312" w:charSpace="0"/>
            </w:sectPr>
          </w:pPr>
          <w:hyperlink w:anchor="_Toc16147" w:history="1">
            <w:r>
              <w:rPr>
                <w:rFonts w:ascii="幼圆" w:eastAsia="幼圆" w:hAnsi="幼圆" w:cs="幼圆" w:hint="eastAsia"/>
                <w:bCs w:val="0"/>
                <w:szCs w:val="28"/>
                <w:lang w:val="en-US" w:eastAsia="zh-CN"/>
              </w:rPr>
              <w:t>5.2 建议</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_Toc16147 \h </w:instrText>
            </w:r>
            <w:r>
              <w:rPr>
                <w:rFonts w:ascii="幼圆" w:eastAsia="幼圆" w:hAnsi="幼圆" w:cs="幼圆" w:hint="eastAsia"/>
              </w:rPr>
              <w:fldChar w:fldCharType="separate"/>
            </w:r>
            <w:r>
              <w:rPr>
                <w:rFonts w:ascii="幼圆" w:eastAsia="幼圆" w:hAnsi="幼圆" w:cs="幼圆" w:hint="eastAsia"/>
              </w:rPr>
              <w:t>20</w:t>
            </w:r>
            <w:r>
              <w:rPr>
                <w:rFonts w:ascii="幼圆" w:eastAsia="幼圆" w:hAnsi="幼圆" w:cs="幼圆" w:hint="eastAsia"/>
              </w:rPr>
              <w:fldChar w:fldCharType="end"/>
            </w:r>
          </w:hyperlink>
        </w:p>
      </w:sdtContent>
    </w:sdt>
    <w:sdt>
      <w:sdtPr>
        <w:rPr>
          <w:rFonts w:ascii="幼圆" w:eastAsia="幼圆" w:hAnsi="幼圆" w:cs="幼圆" w:hint="eastAsia"/>
          <w:b/>
          <w:bCs/>
          <w:sz w:val="30"/>
          <w:szCs w:val="30"/>
          <w:lang w:val="en-US" w:eastAsia="zh-CN"/>
        </w:rPr>
        <w:id w:val="55202330"/>
        <w:docPartObj>
          <w:docPartGallery w:val="Table of Contents"/>
          <w:docPartUnique/>
        </w:docPartObj>
        <w15:color w:val="DBDBDB"/>
      </w:sdtPr>
      <w:sdtEndPr>
        <w:rPr>
          <w:rFonts w:ascii="幼圆" w:eastAsia="幼圆" w:hAnsi="幼圆" w:cs="幼圆" w:hint="eastAsia"/>
          <w:b/>
          <w:bCs/>
          <w:sz w:val="30"/>
          <w:szCs w:val="30"/>
          <w:lang w:val="en-US" w:eastAsia="zh-CN"/>
        </w:rPr>
      </w:sdtEndPr>
      <w:sdtContent>
        <w:p>
          <w:pPr>
            <w:pStyle w:val="TOC1"/>
            <w:tabs>
              <w:tab w:val="right" w:leader="dot" w:pos="8958"/>
            </w:tabs>
            <w:rPr>
              <w:rFonts w:ascii="幼圆" w:eastAsia="幼圆" w:hAnsi="幼圆" w:cs="幼圆" w:hint="eastAsia"/>
            </w:rPr>
          </w:pPr>
          <w:hyperlink w:anchor="_Toc28321" w:history="1">
            <w:r>
              <w:rPr>
                <w:rFonts w:ascii="幼圆" w:eastAsia="幼圆" w:hAnsi="幼圆" w:cs="幼圆" w:hint="eastAsia"/>
                <w:bCs w:val="0"/>
                <w:szCs w:val="24"/>
                <w:highlight w:val="none"/>
                <w:lang w:val="en-US" w:eastAsia="zh-CN"/>
              </w:rPr>
              <w:t>参考文献</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_Toc28321 \h </w:instrText>
            </w:r>
            <w:r>
              <w:rPr>
                <w:rFonts w:ascii="幼圆" w:eastAsia="幼圆" w:hAnsi="幼圆" w:cs="幼圆" w:hint="eastAsia"/>
              </w:rPr>
              <w:fldChar w:fldCharType="separate"/>
            </w:r>
            <w:r>
              <w:rPr>
                <w:rFonts w:ascii="幼圆" w:eastAsia="幼圆" w:hAnsi="幼圆" w:cs="幼圆" w:hint="eastAsia"/>
              </w:rPr>
              <w:t>20</w:t>
            </w:r>
            <w:r>
              <w:rPr>
                <w:rFonts w:ascii="幼圆" w:eastAsia="幼圆" w:hAnsi="幼圆" w:cs="幼圆" w:hint="eastAsia"/>
              </w:rPr>
              <w:fldChar w:fldCharType="end"/>
            </w:r>
          </w:hyperlink>
        </w:p>
        <w:p>
          <w:pPr>
            <w:pStyle w:val="TOC1"/>
            <w:tabs>
              <w:tab w:val="right" w:leader="dot" w:pos="8958"/>
            </w:tabs>
            <w:rPr>
              <w:rFonts w:ascii="幼圆" w:eastAsia="幼圆" w:hAnsi="幼圆" w:cs="幼圆" w:hint="eastAsia"/>
            </w:rPr>
          </w:pPr>
          <w:hyperlink w:anchor="_Toc31362" w:history="1">
            <w:r>
              <w:rPr>
                <w:rFonts w:ascii="幼圆" w:eastAsia="幼圆" w:hAnsi="幼圆" w:cs="幼圆" w:hint="eastAsia"/>
                <w:bCs w:val="0"/>
                <w:szCs w:val="30"/>
                <w:lang w:val="en-US" w:eastAsia="zh-CN"/>
              </w:rPr>
              <w:t>附录</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_Toc31362 \h </w:instrText>
            </w:r>
            <w:r>
              <w:rPr>
                <w:rFonts w:ascii="幼圆" w:eastAsia="幼圆" w:hAnsi="幼圆" w:cs="幼圆" w:hint="eastAsia"/>
              </w:rPr>
              <w:fldChar w:fldCharType="separate"/>
            </w:r>
            <w:r>
              <w:rPr>
                <w:rFonts w:ascii="幼圆" w:eastAsia="幼圆" w:hAnsi="幼圆" w:cs="幼圆" w:hint="eastAsia"/>
              </w:rPr>
              <w:t>23</w:t>
            </w:r>
            <w:r>
              <w:rPr>
                <w:rFonts w:ascii="幼圆" w:eastAsia="幼圆" w:hAnsi="幼圆" w:cs="幼圆" w:hint="eastAsia"/>
              </w:rPr>
              <w:fldChar w:fldCharType="end"/>
            </w:r>
          </w:hyperlink>
        </w:p>
        <w:p>
          <w:pPr>
            <w:rPr>
              <w:rFonts w:ascii="幼圆" w:eastAsia="幼圆" w:hAnsi="幼圆" w:cs="幼圆" w:hint="eastAsia"/>
            </w:rPr>
          </w:pPr>
          <w:r>
            <w:rPr>
              <w:rFonts w:ascii="幼圆" w:eastAsia="幼圆" w:hAnsi="幼圆" w:cs="幼圆" w:hint="eastAsia"/>
            </w:rPr>
            <w:fldChar w:fldCharType="end"/>
          </w:r>
          <w:bookmarkStart w:id="4" w:name="_Toc16743"/>
        </w:p>
      </w:sdtContent>
    </w:sdt>
    <w:p>
      <w:pPr>
        <w:spacing w:line="360" w:lineRule="auto"/>
        <w:jc w:val="both"/>
        <w:outlineLvl w:val="0"/>
        <w:rPr>
          <w:rFonts w:ascii="幼圆" w:eastAsia="幼圆" w:hAnsi="幼圆" w:cs="幼圆" w:hint="eastAsia"/>
          <w:b/>
          <w:bCs/>
          <w:sz w:val="30"/>
          <w:szCs w:val="30"/>
        </w:rPr>
      </w:pPr>
      <w:r>
        <w:rPr>
          <w:rFonts w:ascii="幼圆" w:eastAsia="幼圆" w:hAnsi="幼圆" w:cs="幼圆" w:hint="eastAsia"/>
          <w:b/>
          <w:bCs/>
          <w:sz w:val="30"/>
          <w:szCs w:val="30"/>
          <w:lang w:val="en-US" w:eastAsia="zh-CN"/>
        </w:rPr>
        <w:t>1 前言</w:t>
      </w:r>
      <w:bookmarkEnd w:id="4"/>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b w:val="0"/>
          <w:bCs w:val="0"/>
          <w:sz w:val="24"/>
          <w:szCs w:val="24"/>
          <w:highlight w:val="none"/>
        </w:rPr>
      </w:pPr>
      <w:r>
        <w:rPr>
          <w:rFonts w:ascii="幼圆" w:eastAsia="幼圆" w:hAnsi="幼圆" w:cs="幼圆" w:hint="eastAsia"/>
          <w:b w:val="0"/>
          <w:bCs w:val="0"/>
          <w:sz w:val="24"/>
          <w:szCs w:val="24"/>
          <w:highlight w:val="none"/>
          <w:lang w:val="en-US" w:eastAsia="zh-CN"/>
        </w:rPr>
        <w:t>我们从出生到现在，在生活中在不停消耗各种资源，主动或者被动地进行消费。从原始社会的物物交易，到现在千奇百怪的交易方式，随着社会的不断发展，人们的消费行为已经成为了基本的生活行为。越来越多的人受到亚健康的危害，人们开始重视对身体健康的投资，对健身美体的意识和观念也逐渐成熟，体育消费慢慢进入人们的视野，许多专家也从不同角度对体育消费进行研究调查，并取得相对成熟的结论。但是对体育消费行为的研究相对较少。体育消费是新时代推动我国高质量发展、深化供给侧结构性改革的关键着力点。本文以S市高校学生作为调查对象，从大学生体育消费现状入手，希望通过调研，全面系统的了解S市高校学生的体育消费行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b w:val="0"/>
          <w:bCs w:val="0"/>
          <w:sz w:val="24"/>
          <w:szCs w:val="24"/>
          <w:highlight w:val="none"/>
        </w:rPr>
      </w:pPr>
      <w:r>
        <w:rPr>
          <w:rFonts w:ascii="幼圆" w:eastAsia="幼圆" w:hAnsi="幼圆" w:cs="幼圆" w:hint="eastAsia"/>
          <w:b w:val="0"/>
          <w:bCs w:val="0"/>
          <w:sz w:val="24"/>
          <w:szCs w:val="24"/>
          <w:highlight w:val="none"/>
          <w:lang w:val="en-US" w:eastAsia="zh-CN"/>
        </w:rPr>
        <w:t>近几年，为进一步扩大体育消费规模、提高体育消费水平、改善体育消费结构，国家频频发布有关体育消费的政策文件，如国务院印发的《关于加快发展体育产业促进体育消费的若干意见》、国家体育总局印发的《进一步促进体育消费的行动计划（2019-2020）》、国务院办公厅印发的《关于促进全民健身和体育消费推动体育产业高质量发展的意见》以及国家体育总局印发的促进体育消费试点工作实施方案。这些政策的大力扶持使体育产业快速发展，体育消费市场逐渐壮大，使得体育消费已成为国民消费结构的重要组成部分，体育产业也成为我国第三产业的重要组成部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b w:val="0"/>
          <w:bCs w:val="0"/>
          <w:sz w:val="24"/>
          <w:szCs w:val="24"/>
          <w:highlight w:val="none"/>
        </w:rPr>
      </w:pPr>
      <w:r>
        <w:rPr>
          <w:rFonts w:ascii="幼圆" w:eastAsia="幼圆" w:hAnsi="幼圆" w:cs="幼圆" w:hint="eastAsia"/>
          <w:b w:val="0"/>
          <w:bCs w:val="0"/>
          <w:sz w:val="24"/>
          <w:szCs w:val="24"/>
          <w:highlight w:val="none"/>
          <w:lang w:val="en-US" w:eastAsia="zh-CN"/>
        </w:rPr>
        <w:t>处于新时代下的大学生群体相对于社会中其他社会群体，存在一定特殊性，他们的消费行为和观念较为前卫。本文着眼于S市四所普通高校，针对S市高校学生有关体育消费行为进行调研，通过此次对体育消费现状的分析找到存在的问题，并得到相应的建议知道S市大学生进行理性消费，使学生们养成良好的消费观念。大学生是未来社会发展的主力军，也是体育消费的主要群体之一，他们的体育价值观、消费动机和消费效用观将对体育市场的发展产生巨大的影响。由此可见，本次针对S市高校学生进行的体育消费调查研究是很有必要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b w:val="0"/>
          <w:bCs w:val="0"/>
          <w:sz w:val="24"/>
          <w:szCs w:val="24"/>
          <w:highlight w:val="none"/>
        </w:rPr>
        <w:sectPr>
          <w:headerReference w:type="default" r:id="rId7"/>
          <w:footerReference w:type="default" r:id="rId8"/>
          <w:type w:val="nextPage"/>
          <w:pgSz w:w="11906" w:h="16838"/>
          <w:pgMar w:top="1361" w:right="1474" w:bottom="1247" w:left="1474" w:header="851" w:footer="992" w:gutter="0"/>
          <w:pgBorders>
            <w:top w:val="none" w:sz="0" w:space="0" w:color="auto"/>
            <w:left w:val="none" w:sz="0" w:space="0" w:color="auto"/>
            <w:bottom w:val="none" w:sz="0" w:space="0" w:color="auto"/>
            <w:right w:val="none" w:sz="0" w:space="0" w:color="auto"/>
          </w:pgBorders>
          <w:pgNumType w:fmt="decimal" w:start="2"/>
          <w:cols w:num="1" w:space="425"/>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b w:val="0"/>
          <w:bCs w:val="0"/>
          <w:sz w:val="24"/>
          <w:szCs w:val="24"/>
          <w:highlight w:val="none"/>
        </w:rPr>
      </w:pPr>
      <w:r>
        <w:rPr>
          <w:rFonts w:ascii="幼圆" w:eastAsia="幼圆" w:hAnsi="幼圆" w:cs="幼圆" w:hint="eastAsia"/>
          <w:b w:val="0"/>
          <w:bCs w:val="0"/>
          <w:sz w:val="24"/>
          <w:szCs w:val="24"/>
          <w:highlight w:val="none"/>
          <w:lang w:val="en-US" w:eastAsia="zh-CN"/>
        </w:rPr>
        <w:t>从其他角度来说，高校学生体育消费行为中出现的许多问题，不仅仅是单纯的经济学问题，也是大学生心理问题的具体体现，也是大学生适应社会的一种表现。从大学生的体育消费行为中，可以反映出每个人不同的自我发展，也能侧面反映出大学生的消费观、人生观、价值观等的发展趋势。本文希望在调查分析中找到正确合理的解决办法，深化“终身体育”的理念，养成科学合理的体育习惯。</w:t>
      </w:r>
    </w:p>
    <w:p>
      <w:pPr>
        <w:spacing w:line="360" w:lineRule="auto"/>
        <w:jc w:val="both"/>
        <w:outlineLvl w:val="1"/>
        <w:rPr>
          <w:rFonts w:ascii="幼圆" w:eastAsia="幼圆" w:hAnsi="幼圆" w:cs="幼圆" w:hint="eastAsia"/>
          <w:b w:val="0"/>
          <w:bCs w:val="0"/>
          <w:sz w:val="28"/>
          <w:szCs w:val="28"/>
        </w:rPr>
      </w:pPr>
      <w:bookmarkStart w:id="5" w:name="_Toc30760"/>
      <w:r>
        <w:rPr>
          <w:rFonts w:ascii="幼圆" w:eastAsia="幼圆" w:hAnsi="幼圆" w:cs="幼圆" w:hint="eastAsia"/>
          <w:b w:val="0"/>
          <w:bCs w:val="0"/>
          <w:sz w:val="28"/>
          <w:szCs w:val="28"/>
          <w:lang w:val="en-US" w:eastAsia="zh-CN"/>
        </w:rPr>
        <w:t>1.1 研究目的</w:t>
      </w:r>
      <w:bookmarkEnd w:id="5"/>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b w:val="0"/>
          <w:bCs w:val="0"/>
          <w:sz w:val="24"/>
          <w:szCs w:val="24"/>
          <w:highlight w:val="none"/>
        </w:rPr>
      </w:pPr>
      <w:r>
        <w:rPr>
          <w:rFonts w:ascii="幼圆" w:eastAsia="幼圆" w:hAnsi="幼圆" w:cs="幼圆" w:hint="eastAsia"/>
          <w:b w:val="0"/>
          <w:bCs w:val="0"/>
          <w:sz w:val="24"/>
          <w:szCs w:val="24"/>
          <w:highlight w:val="none"/>
          <w:lang w:val="en-US" w:eastAsia="zh-CN"/>
        </w:rPr>
        <w:t>现代大学生具有较高的文化素养、灵活且合乎逻辑的思维方式、鲜明的个性特点，随着大学生一步步融入社会，注定给社会带来新的动力，他们在体育消费市场中有很高的比重。本文对S市高校学生的体育消费行为进行调查，了解S市高校学生的体育消费意识、动机，体育消费结构、水平及影响体育消费的种种因素。一方面，帮助大学生认识自己的体育消费意识，纠正体育消费中的错误观点，提出合理有效的建议；另一方面，找到影响大学生体育消费的因素，为进一步开发大学生体育消费市场，促进体育产业的发展。</w:t>
      </w:r>
    </w:p>
    <w:p>
      <w:pPr>
        <w:spacing w:line="360" w:lineRule="auto"/>
        <w:jc w:val="both"/>
        <w:outlineLvl w:val="1"/>
        <w:rPr>
          <w:rFonts w:ascii="幼圆" w:eastAsia="幼圆" w:hAnsi="幼圆" w:cs="幼圆" w:hint="eastAsia"/>
          <w:b w:val="0"/>
          <w:bCs w:val="0"/>
          <w:sz w:val="28"/>
          <w:szCs w:val="28"/>
        </w:rPr>
      </w:pPr>
      <w:bookmarkStart w:id="6" w:name="_Toc1545"/>
      <w:r>
        <w:rPr>
          <w:rFonts w:ascii="幼圆" w:eastAsia="幼圆" w:hAnsi="幼圆" w:cs="幼圆" w:hint="eastAsia"/>
          <w:b w:val="0"/>
          <w:bCs w:val="0"/>
          <w:sz w:val="28"/>
          <w:szCs w:val="28"/>
          <w:lang w:val="en-US" w:eastAsia="zh-CN"/>
        </w:rPr>
        <w:t>1.2 研究意义</w:t>
      </w:r>
      <w:bookmarkEnd w:id="6"/>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b w:val="0"/>
          <w:bCs w:val="0"/>
          <w:sz w:val="24"/>
          <w:szCs w:val="24"/>
          <w:highlight w:val="none"/>
        </w:rPr>
      </w:pPr>
      <w:r>
        <w:rPr>
          <w:rFonts w:ascii="幼圆" w:eastAsia="幼圆" w:hAnsi="幼圆" w:cs="幼圆" w:hint="eastAsia"/>
          <w:b w:val="0"/>
          <w:bCs w:val="0"/>
          <w:sz w:val="24"/>
          <w:szCs w:val="24"/>
          <w:highlight w:val="none"/>
          <w:lang w:val="en-US" w:eastAsia="zh-CN"/>
        </w:rPr>
        <w:t>当前中国正处于一个快速发展的阶段，人民生活水平不断提高，使得人们的生活方式发生了翻天覆地的变化，越来越多的人开始追求健康、绿色的生活，“花钱买健康”的观念深入人心，成为一种时尚，引领了潮流。大学生又是走在时尚道路前列，就会不同程度参与到体育消费中来。但是大学生由于缺少生活经验，会不自觉地出现盲目、攀比心理等，就会直接影响大学生体育消费理念的发展。因此本文针对S市高校学生的体育消费行为进行研究，可以找到大学生体育消费存在的问题，帮助大学生正确认识体育消费行为，纠正其中的不良做法，促进形成良好体育消费观念，养成合理的体育运动习惯。同时，研究大学生的体育消费行为对于体育产业的发展起到促进作用。</w:t>
      </w:r>
    </w:p>
    <w:p>
      <w:pPr>
        <w:spacing w:line="360" w:lineRule="auto"/>
        <w:jc w:val="both"/>
        <w:outlineLvl w:val="0"/>
        <w:rPr>
          <w:rFonts w:ascii="幼圆" w:eastAsia="幼圆" w:hAnsi="幼圆" w:cs="幼圆" w:hint="eastAsia"/>
          <w:b/>
          <w:bCs/>
          <w:sz w:val="30"/>
          <w:szCs w:val="30"/>
        </w:rPr>
      </w:pPr>
      <w:bookmarkStart w:id="7" w:name="_Toc24039"/>
      <w:r>
        <w:rPr>
          <w:rFonts w:ascii="幼圆" w:eastAsia="幼圆" w:hAnsi="幼圆" w:cs="幼圆" w:hint="eastAsia"/>
          <w:b/>
          <w:bCs/>
          <w:sz w:val="30"/>
          <w:szCs w:val="30"/>
          <w:lang w:val="en-US" w:eastAsia="zh-CN"/>
        </w:rPr>
        <w:t>2 国内外研究现状</w:t>
      </w:r>
      <w:bookmarkEnd w:id="7"/>
    </w:p>
    <w:p>
      <w:pPr>
        <w:spacing w:line="360" w:lineRule="auto"/>
        <w:jc w:val="both"/>
        <w:outlineLvl w:val="1"/>
        <w:rPr>
          <w:rFonts w:ascii="幼圆" w:eastAsia="幼圆" w:hAnsi="幼圆" w:cs="幼圆" w:hint="eastAsia"/>
          <w:b w:val="0"/>
          <w:bCs w:val="0"/>
          <w:sz w:val="28"/>
          <w:szCs w:val="28"/>
        </w:rPr>
      </w:pPr>
      <w:bookmarkStart w:id="8" w:name="_Toc18941"/>
      <w:r>
        <w:rPr>
          <w:rFonts w:ascii="幼圆" w:eastAsia="幼圆" w:hAnsi="幼圆" w:cs="幼圆" w:hint="eastAsia"/>
          <w:b w:val="0"/>
          <w:bCs w:val="0"/>
          <w:sz w:val="28"/>
          <w:szCs w:val="28"/>
          <w:lang w:val="en-US" w:eastAsia="zh-CN"/>
        </w:rPr>
        <w:t>2.1 相关概念界定</w:t>
      </w:r>
      <w:bookmarkEnd w:id="8"/>
    </w:p>
    <w:p>
      <w:pPr>
        <w:spacing w:line="360" w:lineRule="auto"/>
        <w:jc w:val="both"/>
        <w:outlineLvl w:val="2"/>
        <w:rPr>
          <w:rFonts w:ascii="幼圆" w:eastAsia="幼圆" w:hAnsi="幼圆" w:cs="幼圆" w:hint="eastAsia"/>
          <w:b w:val="0"/>
          <w:bCs w:val="0"/>
          <w:sz w:val="24"/>
          <w:szCs w:val="24"/>
          <w:highlight w:val="none"/>
        </w:rPr>
      </w:pPr>
      <w:bookmarkStart w:id="9" w:name="_Toc540"/>
      <w:r>
        <w:rPr>
          <w:rFonts w:ascii="幼圆" w:eastAsia="幼圆" w:hAnsi="幼圆" w:cs="幼圆" w:hint="eastAsia"/>
          <w:b w:val="0"/>
          <w:bCs w:val="0"/>
          <w:sz w:val="24"/>
          <w:szCs w:val="24"/>
          <w:highlight w:val="none"/>
          <w:lang w:val="en-US" w:eastAsia="zh-CN"/>
        </w:rPr>
        <w:t>2.1.1 消费</w:t>
      </w:r>
      <w:bookmarkEnd w:id="9"/>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b w:val="0"/>
          <w:bCs w:val="0"/>
          <w:sz w:val="24"/>
          <w:szCs w:val="24"/>
          <w:highlight w:val="none"/>
        </w:rPr>
        <w:sectPr>
          <w:headerReference w:type="default" r:id="rId9"/>
          <w:footerReference w:type="default" r:id="rId10"/>
          <w:type w:val="nextPage"/>
          <w:pgSz w:w="11906" w:h="16838"/>
          <w:pgMar w:top="1361" w:right="1474" w:bottom="1247" w:left="1474" w:header="851" w:footer="992" w:gutter="0"/>
          <w:pgBorders>
            <w:top w:val="none" w:sz="0" w:space="0" w:color="auto"/>
            <w:left w:val="none" w:sz="0" w:space="0" w:color="auto"/>
            <w:bottom w:val="none" w:sz="0" w:space="0" w:color="auto"/>
            <w:right w:val="none" w:sz="0" w:space="0" w:color="auto"/>
          </w:pgBorders>
          <w:pgNumType w:fmt="decimal" w:start="3"/>
          <w:cols w:num="1" w:space="425"/>
          <w:titlePg w:val="0"/>
          <w:docGrid w:type="lines" w:linePitch="312" w:charSpace="0"/>
        </w:sectPr>
      </w:pPr>
      <w:r>
        <w:rPr>
          <w:rFonts w:ascii="幼圆" w:eastAsia="幼圆" w:hAnsi="幼圆" w:cs="幼圆" w:hint="eastAsia"/>
          <w:b w:val="0"/>
          <w:bCs w:val="0"/>
          <w:sz w:val="24"/>
          <w:szCs w:val="24"/>
          <w:highlight w:val="none"/>
          <w:lang w:val="en-US" w:eastAsia="zh-CN"/>
        </w:rPr>
        <w:t>消费</w:t>
      </w:r>
      <w:r>
        <w:rPr>
          <w:rFonts w:ascii="幼圆" w:eastAsia="幼圆" w:hAnsi="幼圆" w:cs="幼圆" w:hint="eastAsia"/>
          <w:b w:val="0"/>
          <w:bCs w:val="0"/>
          <w:sz w:val="24"/>
          <w:szCs w:val="24"/>
          <w:highlight w:val="none"/>
          <w:lang w:val="en-US" w:eastAsia="zh-CN"/>
        </w:rPr>
        <w:t>是</w:t>
      </w:r>
      <w:hyperlink r:id="rId11" w:tgtFrame="https://baike.so.com/doc/_blank" w:history="1">
        <w:r>
          <w:rPr>
            <w:rFonts w:ascii="幼圆" w:eastAsia="幼圆" w:hAnsi="幼圆" w:cs="幼圆" w:hint="eastAsia"/>
            <w:b w:val="0"/>
            <w:bCs w:val="0"/>
            <w:sz w:val="24"/>
            <w:szCs w:val="24"/>
            <w:highlight w:val="none"/>
            <w:lang w:val="en-US" w:eastAsia="zh-CN"/>
          </w:rPr>
          <w:t>社会再生产</w:t>
        </w:r>
      </w:hyperlink>
      <w:r>
        <w:rPr>
          <w:rFonts w:ascii="幼圆" w:eastAsia="幼圆" w:hAnsi="幼圆" w:cs="幼圆" w:hint="eastAsia"/>
          <w:b w:val="0"/>
          <w:bCs w:val="0"/>
          <w:sz w:val="24"/>
          <w:szCs w:val="24"/>
          <w:highlight w:val="none"/>
          <w:lang w:val="en-US" w:eastAsia="zh-CN"/>
        </w:rPr>
        <w:t>过程中的一个重要</w:t>
      </w:r>
      <w:hyperlink r:id="rId12" w:tgtFrame="https://baike.so.com/doc/_blank" w:history="1">
        <w:r>
          <w:rPr>
            <w:rFonts w:ascii="幼圆" w:eastAsia="幼圆" w:hAnsi="幼圆" w:cs="幼圆" w:hint="eastAsia"/>
            <w:b w:val="0"/>
            <w:bCs w:val="0"/>
            <w:sz w:val="24"/>
            <w:szCs w:val="24"/>
            <w:highlight w:val="none"/>
            <w:lang w:val="en-US" w:eastAsia="zh-CN"/>
          </w:rPr>
          <w:t>环节</w:t>
        </w:r>
      </w:hyperlink>
      <w:r>
        <w:rPr>
          <w:rFonts w:ascii="幼圆" w:eastAsia="幼圆" w:hAnsi="幼圆" w:cs="幼圆" w:hint="eastAsia"/>
          <w:b w:val="0"/>
          <w:bCs w:val="0"/>
          <w:sz w:val="24"/>
          <w:szCs w:val="24"/>
          <w:highlight w:val="none"/>
          <w:lang w:val="en-US" w:eastAsia="zh-CN"/>
        </w:rPr>
        <w:t>，也是最终环节。它是指利用社会产品来满足人们各种需要的过程。消费又分为生产消费和</w:t>
      </w:r>
      <w:hyperlink r:id="rId13" w:tgtFrame="https://baike.so.com/doc/_blank" w:history="1">
        <w:r>
          <w:rPr>
            <w:rFonts w:ascii="幼圆" w:eastAsia="幼圆" w:hAnsi="幼圆" w:cs="幼圆" w:hint="eastAsia"/>
            <w:b w:val="0"/>
            <w:bCs w:val="0"/>
            <w:sz w:val="24"/>
            <w:szCs w:val="24"/>
            <w:highlight w:val="none"/>
            <w:lang w:val="en-US" w:eastAsia="zh-CN"/>
          </w:rPr>
          <w:t>个人消费</w:t>
        </w:r>
      </w:hyperlink>
      <w:r>
        <w:rPr>
          <w:rFonts w:ascii="幼圆" w:eastAsia="幼圆" w:hAnsi="幼圆" w:cs="幼圆" w:hint="eastAsia"/>
          <w:b w:val="0"/>
          <w:bCs w:val="0"/>
          <w:sz w:val="24"/>
          <w:szCs w:val="24"/>
          <w:highlight w:val="none"/>
          <w:lang w:val="en-US" w:eastAsia="zh-CN"/>
        </w:rPr>
        <w:t>。前者指</w:t>
      </w:r>
      <w:hyperlink r:id="rId14" w:tgtFrame="https://baike.so.com/doc/_blank" w:history="1">
        <w:r>
          <w:rPr>
            <w:rFonts w:ascii="幼圆" w:eastAsia="幼圆" w:hAnsi="幼圆" w:cs="幼圆" w:hint="eastAsia"/>
            <w:b w:val="0"/>
            <w:bCs w:val="0"/>
            <w:sz w:val="24"/>
            <w:szCs w:val="24"/>
            <w:highlight w:val="none"/>
            <w:lang w:val="en-US" w:eastAsia="zh-CN"/>
          </w:rPr>
          <w:t>物质资料生产</w:t>
        </w:r>
      </w:hyperlink>
      <w:r>
        <w:rPr>
          <w:rFonts w:ascii="幼圆" w:eastAsia="幼圆" w:hAnsi="幼圆" w:cs="幼圆" w:hint="eastAsia"/>
          <w:b w:val="0"/>
          <w:bCs w:val="0"/>
          <w:sz w:val="24"/>
          <w:szCs w:val="24"/>
          <w:highlight w:val="none"/>
          <w:lang w:val="en-US" w:eastAsia="zh-CN"/>
        </w:rPr>
        <w:t>过程中的</w:t>
      </w:r>
      <w:hyperlink r:id="rId15" w:tgtFrame="https://baike.so.com/doc/_blank" w:history="1">
        <w:r>
          <w:rPr>
            <w:rFonts w:ascii="幼圆" w:eastAsia="幼圆" w:hAnsi="幼圆" w:cs="幼圆" w:hint="eastAsia"/>
            <w:b w:val="0"/>
            <w:bCs w:val="0"/>
            <w:sz w:val="24"/>
            <w:szCs w:val="24"/>
            <w:highlight w:val="none"/>
            <w:lang w:val="en-US" w:eastAsia="zh-CN"/>
          </w:rPr>
          <w:t>生产资料</w:t>
        </w:r>
      </w:hyperlink>
      <w:r>
        <w:rPr>
          <w:rFonts w:ascii="幼圆" w:eastAsia="幼圆" w:hAnsi="幼圆" w:cs="幼圆" w:hint="eastAsia"/>
          <w:b w:val="0"/>
          <w:bCs w:val="0"/>
          <w:sz w:val="24"/>
          <w:szCs w:val="24"/>
          <w:highlight w:val="none"/>
          <w:lang w:val="en-US" w:eastAsia="zh-CN"/>
        </w:rPr>
        <w:t>和生活劳动的使用和消耗。后者是指人们把生产出来的物质资料和</w:t>
      </w:r>
      <w:hyperlink r:id="rId16" w:tgtFrame="https://baike.so.com/doc/_blank" w:history="1">
        <w:r>
          <w:rPr>
            <w:rFonts w:ascii="幼圆" w:eastAsia="幼圆" w:hAnsi="幼圆" w:cs="幼圆" w:hint="eastAsia"/>
            <w:b w:val="0"/>
            <w:bCs w:val="0"/>
            <w:sz w:val="24"/>
            <w:szCs w:val="24"/>
            <w:highlight w:val="none"/>
            <w:lang w:val="en-US" w:eastAsia="zh-CN"/>
          </w:rPr>
          <w:t>精神产品</w:t>
        </w:r>
      </w:hyperlink>
      <w:r>
        <w:rPr>
          <w:rFonts w:ascii="幼圆" w:eastAsia="幼圆" w:hAnsi="幼圆" w:cs="幼圆" w:hint="eastAsia"/>
          <w:b w:val="0"/>
          <w:bCs w:val="0"/>
          <w:sz w:val="24"/>
          <w:szCs w:val="24"/>
          <w:highlight w:val="none"/>
          <w:lang w:val="en-US" w:eastAsia="zh-CN"/>
        </w:rPr>
        <w:t>用于满足个人生活需要的行为和过程，是“生产过程以外执行生活职能</w:t>
      </w:r>
      <w:r>
        <w:rPr>
          <w:rFonts w:ascii="幼圆" w:eastAsia="幼圆" w:hAnsi="幼圆" w:cs="幼圆" w:hint="eastAsia"/>
          <w:b w:val="0"/>
          <w:bCs w:val="0"/>
          <w:sz w:val="24"/>
          <w:szCs w:val="24"/>
          <w:highlight w:val="none"/>
          <w:lang w:val="en-US" w:eastAsia="zh-CN"/>
        </w:rPr>
        <w:t>”</w:t>
      </w:r>
      <w:r>
        <w:rPr>
          <w:rFonts w:ascii="幼圆" w:eastAsia="幼圆" w:hAnsi="幼圆" w:cs="幼圆" w:hint="eastAsia"/>
          <w:b w:val="0"/>
          <w:bCs w:val="0"/>
          <w:sz w:val="24"/>
          <w:szCs w:val="24"/>
          <w:highlight w:val="none"/>
          <w:vertAlign w:val="superscript"/>
          <w:lang w:val="en-US" w:eastAsia="zh-CN"/>
        </w:rPr>
        <w:t>[1]</w:t>
      </w:r>
      <w:r>
        <w:rPr>
          <w:rFonts w:ascii="幼圆" w:eastAsia="幼圆" w:hAnsi="幼圆" w:cs="幼圆" w:hint="eastAsia"/>
          <w:b w:val="0"/>
          <w:bCs w:val="0"/>
          <w:sz w:val="24"/>
          <w:szCs w:val="24"/>
          <w:highlight w:val="none"/>
          <w:lang w:val="en-US" w:eastAsia="zh-CN"/>
        </w:rPr>
        <w:t>。它是恢复人们劳动力和劳动力再生产必不可少的条件。体育消费是消费中必不可少的一部分，是经济快速发展，社会文明进步的产物、要求、结果和重要标志。</w:t>
      </w:r>
    </w:p>
    <w:p>
      <w:pPr>
        <w:spacing w:line="360" w:lineRule="auto"/>
        <w:jc w:val="both"/>
        <w:outlineLvl w:val="2"/>
        <w:rPr>
          <w:rFonts w:ascii="幼圆" w:eastAsia="幼圆" w:hAnsi="幼圆" w:cs="幼圆" w:hint="eastAsia"/>
          <w:b w:val="0"/>
          <w:bCs w:val="0"/>
          <w:sz w:val="24"/>
          <w:szCs w:val="24"/>
          <w:highlight w:val="none"/>
        </w:rPr>
      </w:pPr>
      <w:bookmarkStart w:id="10" w:name="_Toc7751"/>
      <w:r>
        <w:rPr>
          <w:rFonts w:ascii="幼圆" w:eastAsia="幼圆" w:hAnsi="幼圆" w:cs="幼圆" w:hint="eastAsia"/>
          <w:b w:val="0"/>
          <w:bCs w:val="0"/>
          <w:sz w:val="24"/>
          <w:szCs w:val="24"/>
          <w:highlight w:val="none"/>
          <w:lang w:val="en-US" w:eastAsia="zh-CN"/>
        </w:rPr>
        <w:t>2.1.2 体育消费</w:t>
      </w:r>
      <w:bookmarkEnd w:id="10"/>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体育消费是消费中的重要组成部分，是经济快速发展、社会文明进步的产物、要求、结果和重要标志。体育消费的概念是指人们在</w:t>
      </w:r>
      <w:r>
        <w:rPr>
          <w:rFonts w:ascii="幼圆" w:eastAsia="幼圆" w:hAnsi="幼圆" w:cs="幼圆" w:hint="eastAsia"/>
          <w:sz w:val="24"/>
          <w:szCs w:val="24"/>
          <w:lang w:val="en-US" w:eastAsia="zh-CN"/>
        </w:rPr>
        <w:t>一</w:t>
      </w:r>
      <w:r>
        <w:rPr>
          <w:rFonts w:ascii="幼圆" w:eastAsia="幼圆" w:hAnsi="幼圆" w:cs="幼圆" w:hint="eastAsia"/>
          <w:sz w:val="24"/>
          <w:szCs w:val="24"/>
        </w:rPr>
        <w:t>定的经济关系中，为了满足生理、心理和社会需要采取不同的方式直接消耗体育资料(包括体育物质、精神产品和劳务)以及在相关的体育活动中间接消耗其它资料的过程，它是体育消费行为外显行为当中的部分内容</w:t>
      </w:r>
      <w:r>
        <w:rPr>
          <w:rFonts w:ascii="幼圆" w:eastAsia="幼圆" w:hAnsi="幼圆" w:cs="幼圆" w:hint="eastAsia"/>
          <w:b w:val="0"/>
          <w:bCs w:val="0"/>
          <w:sz w:val="24"/>
          <w:szCs w:val="24"/>
          <w:highlight w:val="none"/>
          <w:vertAlign w:val="superscript"/>
          <w:lang w:val="en-US" w:eastAsia="zh-CN"/>
        </w:rPr>
        <w:t>[2]</w:t>
      </w:r>
      <w:r>
        <w:rPr>
          <w:rFonts w:ascii="幼圆" w:eastAsia="幼圆" w:hAnsi="幼圆" w:cs="幼圆" w:hint="eastAsia"/>
          <w:sz w:val="24"/>
          <w:szCs w:val="24"/>
        </w:rPr>
        <w:t>。体育消费作为物质和精神消费的结合体，简单地说就是</w:t>
      </w:r>
      <w:r>
        <w:rPr>
          <w:rFonts w:ascii="幼圆" w:eastAsia="幼圆" w:hAnsi="幼圆" w:cs="幼圆" w:hint="eastAsia"/>
          <w:sz w:val="24"/>
          <w:szCs w:val="24"/>
          <w:lang w:val="en-US" w:eastAsia="zh-CN"/>
        </w:rPr>
        <w:t>一</w:t>
      </w:r>
      <w:r>
        <w:rPr>
          <w:rFonts w:ascii="幼圆" w:eastAsia="幼圆" w:hAnsi="幼圆" w:cs="幼圆" w:hint="eastAsia"/>
          <w:sz w:val="24"/>
          <w:szCs w:val="24"/>
        </w:rPr>
        <w:t>种体育文化的消费或是</w:t>
      </w:r>
      <w:r>
        <w:rPr>
          <w:rFonts w:ascii="幼圆" w:eastAsia="幼圆" w:hAnsi="幼圆" w:cs="幼圆" w:hint="eastAsia"/>
          <w:sz w:val="24"/>
          <w:szCs w:val="24"/>
          <w:lang w:val="en-US" w:eastAsia="zh-CN"/>
        </w:rPr>
        <w:t>由</w:t>
      </w:r>
      <w:r>
        <w:rPr>
          <w:rFonts w:ascii="幼圆" w:eastAsia="幼圆" w:hAnsi="幼圆" w:cs="幼圆" w:hint="eastAsia"/>
          <w:sz w:val="24"/>
          <w:szCs w:val="24"/>
        </w:rPr>
        <w:t>体育文化而引发的一种消费活动。它不仅是人们月常生活中不可缺少的基本消费活动，而且也是满足人们发展和享受需要的较高层次的消费活动。体育消费是体育产业、体育经济存在和发展的动力。它包括物质产品和服务产品的消费两大类。体育物质产品的消费又称实物型体育消费，它是指人们用货币购买各种与体育活动有关的物质消费</w:t>
      </w:r>
      <w:r>
        <w:rPr>
          <w:rFonts w:ascii="幼圆" w:eastAsia="幼圆" w:hAnsi="幼圆" w:cs="幼圆" w:hint="eastAsia"/>
          <w:sz w:val="24"/>
          <w:szCs w:val="24"/>
          <w:lang w:val="en-US" w:eastAsia="zh-CN"/>
        </w:rPr>
        <w:t>资料</w:t>
      </w:r>
      <w:r>
        <w:rPr>
          <w:rFonts w:ascii="幼圆" w:eastAsia="幼圆" w:hAnsi="幼圆" w:cs="幼圆" w:hint="eastAsia"/>
          <w:sz w:val="24"/>
          <w:szCs w:val="24"/>
        </w:rPr>
        <w:t>的行为。实物型体育消费是人们体育消费的有机组成部分，是衡量体育消费水平的重要指标;体育服务产品的消费又称非实物型消费，是指人们用货币购买各类体育服务消费资料的行为。它分为观赏型消费、参与型消费等。</w:t>
      </w:r>
    </w:p>
    <w:p>
      <w:pPr>
        <w:spacing w:line="360" w:lineRule="auto"/>
        <w:jc w:val="both"/>
        <w:outlineLvl w:val="1"/>
        <w:rPr>
          <w:rFonts w:ascii="幼圆" w:eastAsia="幼圆" w:hAnsi="幼圆" w:cs="幼圆" w:hint="eastAsia"/>
          <w:b w:val="0"/>
          <w:bCs w:val="0"/>
          <w:sz w:val="28"/>
          <w:szCs w:val="28"/>
        </w:rPr>
      </w:pPr>
      <w:bookmarkStart w:id="11" w:name="_Toc3871"/>
      <w:hyperlink w:anchor="_Toc24419" w:history="1">
        <w:r>
          <w:rPr>
            <w:rFonts w:ascii="幼圆" w:eastAsia="幼圆" w:hAnsi="幼圆" w:cs="幼圆" w:hint="eastAsia"/>
            <w:b w:val="0"/>
            <w:bCs w:val="0"/>
            <w:sz w:val="28"/>
            <w:szCs w:val="28"/>
            <w:lang w:val="en-US" w:eastAsia="zh-CN"/>
          </w:rPr>
          <w:t>2.2　国内研究现状</w:t>
        </w:r>
      </w:hyperlink>
      <w:bookmarkEnd w:id="1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lang w:eastAsia="zh-CN"/>
        </w:rPr>
        <w:t>在我国，伴随体育价值观的改变，体育健身观念的建立及全民健身运动的推广，体育消费作为一种人们满足了基本的生存消费之后，追求发展和享受更高层次需求满足的消费活动，</w:t>
      </w:r>
      <w:r>
        <w:rPr>
          <w:rFonts w:ascii="幼圆" w:eastAsia="幼圆" w:hAnsi="幼圆" w:cs="幼圆" w:hint="eastAsia"/>
          <w:sz w:val="24"/>
          <w:szCs w:val="24"/>
          <w:lang w:val="en-US" w:eastAsia="zh-CN"/>
        </w:rPr>
        <w:t>已</w:t>
      </w:r>
      <w:r>
        <w:rPr>
          <w:rFonts w:ascii="幼圆" w:eastAsia="幼圆" w:hAnsi="幼圆" w:cs="幼圆" w:hint="eastAsia"/>
          <w:sz w:val="24"/>
          <w:szCs w:val="24"/>
          <w:lang w:eastAsia="zh-CN"/>
        </w:rPr>
        <w:t>在人们生活消费中占据一定的比重，有逐步扩大的趋势，众多学者从社会学</w:t>
      </w:r>
      <w:r>
        <w:rPr>
          <w:rFonts w:ascii="幼圆" w:eastAsia="幼圆" w:hAnsi="幼圆" w:cs="幼圆" w:hint="eastAsia"/>
          <w:sz w:val="24"/>
          <w:szCs w:val="24"/>
          <w:lang w:eastAsia="zh-CN"/>
        </w:rPr>
        <w:t>、</w:t>
      </w:r>
      <w:r>
        <w:rPr>
          <w:rFonts w:ascii="幼圆" w:eastAsia="幼圆" w:hAnsi="幼圆" w:cs="幼圆" w:hint="eastAsia"/>
          <w:sz w:val="24"/>
          <w:szCs w:val="24"/>
          <w:lang w:val="en-US" w:eastAsia="zh-CN"/>
        </w:rPr>
        <w:t>心</w:t>
      </w:r>
      <w:r>
        <w:rPr>
          <w:rFonts w:ascii="幼圆" w:eastAsia="幼圆" w:hAnsi="幼圆" w:cs="幼圆" w:hint="eastAsia"/>
          <w:sz w:val="24"/>
          <w:szCs w:val="24"/>
          <w:lang w:eastAsia="zh-CN"/>
        </w:rPr>
        <w:t>理学</w:t>
      </w:r>
      <w:r>
        <w:rPr>
          <w:rFonts w:ascii="幼圆" w:eastAsia="幼圆" w:hAnsi="幼圆" w:cs="幼圆" w:hint="eastAsia"/>
          <w:sz w:val="24"/>
          <w:szCs w:val="24"/>
          <w:lang w:eastAsia="zh-CN"/>
        </w:rPr>
        <w:t>、</w:t>
      </w:r>
      <w:r>
        <w:rPr>
          <w:rFonts w:ascii="幼圆" w:eastAsia="幼圆" w:hAnsi="幼圆" w:cs="幼圆" w:hint="eastAsia"/>
          <w:sz w:val="24"/>
          <w:szCs w:val="24"/>
          <w:lang w:eastAsia="zh-CN"/>
        </w:rPr>
        <w:t>经济学等角度对</w:t>
      </w:r>
      <w:r>
        <w:rPr>
          <w:rFonts w:ascii="幼圆" w:eastAsia="幼圆" w:hAnsi="幼圆" w:cs="幼圆" w:hint="eastAsia"/>
          <w:sz w:val="24"/>
          <w:szCs w:val="24"/>
          <w:lang w:val="en-US" w:eastAsia="zh-CN"/>
        </w:rPr>
        <w:t>体育</w:t>
      </w:r>
      <w:r>
        <w:rPr>
          <w:rFonts w:ascii="幼圆" w:eastAsia="幼圆" w:hAnsi="幼圆" w:cs="幼圆" w:hint="eastAsia"/>
          <w:sz w:val="24"/>
          <w:szCs w:val="24"/>
          <w:lang w:eastAsia="zh-CN"/>
        </w:rPr>
        <w:t>消费进行了大量的理论和实证研究，并取得了丰硕的研究成果，我国学者在20世纪90年代后开始对</w:t>
      </w:r>
      <w:r>
        <w:rPr>
          <w:rFonts w:ascii="幼圆" w:eastAsia="幼圆" w:hAnsi="幼圆" w:cs="幼圆" w:hint="eastAsia"/>
          <w:sz w:val="24"/>
          <w:szCs w:val="24"/>
          <w:lang w:val="en-US" w:eastAsia="zh-CN"/>
        </w:rPr>
        <w:t>体育</w:t>
      </w:r>
      <w:r>
        <w:rPr>
          <w:rFonts w:ascii="幼圆" w:eastAsia="幼圆" w:hAnsi="幼圆" w:cs="幼圆" w:hint="eastAsia"/>
          <w:sz w:val="24"/>
          <w:szCs w:val="24"/>
          <w:lang w:eastAsia="zh-CN"/>
        </w:rPr>
        <w:t>消费的研究有所关注，随着国外体育社会学思想观念的大量引进</w:t>
      </w:r>
      <w:r>
        <w:rPr>
          <w:rFonts w:ascii="幼圆" w:eastAsia="幼圆" w:hAnsi="幼圆" w:cs="幼圆" w:hint="eastAsia"/>
          <w:sz w:val="24"/>
          <w:szCs w:val="24"/>
          <w:lang w:eastAsia="zh-CN"/>
        </w:rPr>
        <w:t>，</w:t>
      </w:r>
      <w:r>
        <w:rPr>
          <w:rFonts w:ascii="幼圆" w:eastAsia="幼圆" w:hAnsi="幼圆" w:cs="幼圆" w:hint="eastAsia"/>
          <w:sz w:val="24"/>
          <w:szCs w:val="24"/>
          <w:lang w:eastAsia="zh-CN"/>
        </w:rPr>
        <w:t>我国许多理论工作者把目光投向体育消费</w:t>
      </w:r>
      <w:r>
        <w:rPr>
          <w:rFonts w:ascii="幼圆" w:eastAsia="幼圆" w:hAnsi="幼圆" w:cs="幼圆" w:hint="eastAsia"/>
          <w:sz w:val="24"/>
          <w:szCs w:val="24"/>
          <w:lang w:eastAsia="zh-CN"/>
        </w:rPr>
        <w:t>。</w:t>
      </w:r>
      <w:r>
        <w:rPr>
          <w:rFonts w:ascii="幼圆" w:eastAsia="幼圆" w:hAnsi="幼圆" w:cs="幼圆" w:hint="eastAsia"/>
          <w:sz w:val="24"/>
          <w:szCs w:val="24"/>
          <w:lang w:val="en-US" w:eastAsia="zh-CN"/>
        </w:rPr>
        <w:t>目前对大学生消费状况的调查研究，通过文献检索得到的结果大致可分为两类，一类是调查性研究，一大部分是各大高校负责学生工作的老师或者学生自制调查问卷，为了解在校学生消费内容和消费结构上是否存在不合理现象进行研究。另一类是理论研究，有些研究消费行为学和心理学的理论专家，根据已有的调查数据或社会现象对大学生的消费行为作出分析和预测</w:t>
      </w:r>
    </w:p>
    <w:p>
      <w:pPr>
        <w:spacing w:line="360" w:lineRule="auto"/>
        <w:jc w:val="both"/>
        <w:outlineLvl w:val="1"/>
        <w:rPr>
          <w:rFonts w:ascii="幼圆" w:eastAsia="幼圆" w:hAnsi="幼圆" w:cs="幼圆" w:hint="eastAsia"/>
          <w:b w:val="0"/>
          <w:bCs w:val="0"/>
          <w:sz w:val="28"/>
          <w:szCs w:val="28"/>
        </w:rPr>
      </w:pPr>
      <w:bookmarkStart w:id="12" w:name="_Toc29630"/>
      <w:hyperlink w:anchor="_Toc29420" w:history="1">
        <w:r>
          <w:rPr>
            <w:rFonts w:ascii="幼圆" w:eastAsia="幼圆" w:hAnsi="幼圆" w:cs="幼圆" w:hint="eastAsia"/>
            <w:b w:val="0"/>
            <w:bCs w:val="0"/>
            <w:sz w:val="28"/>
            <w:szCs w:val="28"/>
            <w:lang w:val="en-US" w:eastAsia="zh-CN"/>
          </w:rPr>
          <w:t>2.3  国外研究现状</w:t>
        </w:r>
      </w:hyperlink>
      <w:bookmarkEnd w:id="12"/>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sectPr>
          <w:headerReference w:type="default" r:id="rId17"/>
          <w:footerReference w:type="default" r:id="rId18"/>
          <w:type w:val="nextPage"/>
          <w:pgSz w:w="11906" w:h="16838"/>
          <w:pgMar w:top="1361" w:right="1474" w:bottom="1247" w:left="1474" w:header="851" w:footer="992" w:gutter="0"/>
          <w:pgBorders>
            <w:top w:val="none" w:sz="0" w:space="0" w:color="auto"/>
            <w:left w:val="none" w:sz="0" w:space="0" w:color="auto"/>
            <w:bottom w:val="none" w:sz="0" w:space="0" w:color="auto"/>
            <w:right w:val="none" w:sz="0" w:space="0" w:color="auto"/>
          </w:pgBorders>
          <w:pgNumType w:fmt="decimal" w:start="4"/>
          <w:cols w:num="1" w:space="425"/>
          <w:titlePg w:val="0"/>
          <w:docGrid w:type="lines" w:linePitch="312" w:charSpace="0"/>
        </w:sectPr>
      </w:pPr>
      <w:r>
        <w:rPr>
          <w:rFonts w:ascii="幼圆" w:eastAsia="幼圆" w:hAnsi="幼圆" w:cs="幼圆" w:hint="eastAsia"/>
          <w:sz w:val="24"/>
          <w:szCs w:val="24"/>
          <w:lang w:val="en-US" w:eastAsia="zh-CN"/>
        </w:rPr>
        <w:t>国外对体育消费的研究大多集中于体育消费心理和体育消费行为等方面。主要包括体育消费动机研究，近年来对体育消费动机的研究多集中于不同项目中男女或不同种族体育动机的对比</w:t>
      </w:r>
      <w:r>
        <w:rPr>
          <w:rFonts w:ascii="幼圆" w:eastAsia="幼圆" w:hAnsi="幼圆" w:cs="幼圆" w:hint="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lang w:val="en-US" w:eastAsia="zh-CN"/>
        </w:rPr>
        <w:t>国外体育动机方面消遣娱乐因素排在首位，而经济因素对体育消费影响较低，欧美经济发达国家的体育消费已达到很高水平，人们用于体育消费的开支通常占整个社会消遣和娱乐的30%~40%，欧美发达国家人均</w:t>
      </w:r>
      <w:r>
        <w:rPr>
          <w:rFonts w:ascii="幼圆" w:eastAsia="幼圆" w:hAnsi="幼圆" w:cs="幼圆" w:hint="eastAsia"/>
          <w:sz w:val="24"/>
          <w:szCs w:val="24"/>
          <w:lang w:eastAsia="zh-CN"/>
        </w:rPr>
        <w:t>体育</w:t>
      </w:r>
      <w:r>
        <w:rPr>
          <w:rFonts w:ascii="幼圆" w:eastAsia="幼圆" w:hAnsi="幼圆" w:cs="幼圆" w:hint="eastAsia"/>
          <w:sz w:val="24"/>
          <w:szCs w:val="24"/>
          <w:lang w:val="en-US" w:eastAsia="zh-CN"/>
        </w:rPr>
        <w:t>消费每年300~500美元，对大学生体育消费研究比较少，通过数据库检索未发现相关研究</w:t>
      </w:r>
      <w:r>
        <w:rPr>
          <w:rFonts w:ascii="幼圆" w:eastAsia="幼圆" w:hAnsi="幼圆" w:cs="幼圆" w:hint="eastAsia"/>
          <w:sz w:val="24"/>
          <w:szCs w:val="24"/>
          <w:lang w:eastAsia="zh-CN"/>
        </w:rPr>
        <w:t>。</w:t>
      </w:r>
    </w:p>
    <w:p>
      <w:pPr>
        <w:spacing w:line="360" w:lineRule="auto"/>
        <w:jc w:val="both"/>
        <w:outlineLvl w:val="0"/>
        <w:rPr>
          <w:rFonts w:ascii="幼圆" w:eastAsia="幼圆" w:hAnsi="幼圆" w:cs="幼圆" w:hint="eastAsia"/>
          <w:b/>
          <w:bCs/>
          <w:sz w:val="30"/>
          <w:szCs w:val="30"/>
        </w:rPr>
      </w:pPr>
      <w:bookmarkStart w:id="13" w:name="_Toc19163"/>
      <w:r>
        <w:rPr>
          <w:rFonts w:ascii="幼圆" w:eastAsia="幼圆" w:hAnsi="幼圆" w:cs="幼圆" w:hint="eastAsia"/>
          <w:b/>
          <w:bCs/>
          <w:sz w:val="30"/>
          <w:szCs w:val="30"/>
          <w:lang w:val="en-US" w:eastAsia="zh-CN"/>
        </w:rPr>
        <w:t>3  研究对象与方法</w:t>
      </w:r>
      <w:bookmarkEnd w:id="13"/>
    </w:p>
    <w:p>
      <w:pPr>
        <w:spacing w:line="360" w:lineRule="auto"/>
        <w:jc w:val="both"/>
        <w:outlineLvl w:val="1"/>
        <w:rPr>
          <w:rFonts w:ascii="幼圆" w:eastAsia="幼圆" w:hAnsi="幼圆" w:cs="幼圆" w:hint="eastAsia"/>
          <w:b w:val="0"/>
          <w:bCs w:val="0"/>
          <w:sz w:val="28"/>
          <w:szCs w:val="28"/>
        </w:rPr>
      </w:pPr>
      <w:bookmarkStart w:id="14" w:name="_Toc30536"/>
      <w:r>
        <w:rPr>
          <w:rFonts w:ascii="幼圆" w:eastAsia="幼圆" w:hAnsi="幼圆" w:cs="幼圆" w:hint="eastAsia"/>
          <w:b w:val="0"/>
          <w:bCs w:val="0"/>
          <w:sz w:val="28"/>
          <w:szCs w:val="28"/>
          <w:lang w:val="en-US" w:eastAsia="zh-CN"/>
        </w:rPr>
        <w:t>3.1 研究对象</w:t>
      </w:r>
      <w:bookmarkEnd w:id="14"/>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lang w:val="en-US" w:eastAsia="zh-CN"/>
        </w:rPr>
        <w:t xml:space="preserve">本文以S市高校学生体育消费现状为研究对象，抽样调查了山东体育学院、齐鲁工业大学、山东师范大学、山东财经大学320名大学生的体育消费影响因素进行研究，其中包括四所高校各年级各20人。 </w:t>
      </w:r>
    </w:p>
    <w:p>
      <w:pPr>
        <w:spacing w:line="360" w:lineRule="auto"/>
        <w:jc w:val="both"/>
        <w:outlineLvl w:val="1"/>
        <w:rPr>
          <w:rFonts w:ascii="幼圆" w:eastAsia="幼圆" w:hAnsi="幼圆" w:cs="幼圆" w:hint="eastAsia"/>
          <w:b w:val="0"/>
          <w:bCs w:val="0"/>
          <w:sz w:val="28"/>
          <w:szCs w:val="28"/>
        </w:rPr>
      </w:pPr>
      <w:bookmarkStart w:id="15" w:name="_Toc23197"/>
      <w:r>
        <w:rPr>
          <w:rFonts w:ascii="幼圆" w:eastAsia="幼圆" w:hAnsi="幼圆" w:cs="幼圆" w:hint="eastAsia"/>
          <w:b w:val="0"/>
          <w:bCs w:val="0"/>
          <w:sz w:val="28"/>
          <w:szCs w:val="28"/>
          <w:lang w:val="en-US" w:eastAsia="zh-CN"/>
        </w:rPr>
        <w:t>3.2 研究方法</w:t>
      </w:r>
      <w:bookmarkEnd w:id="15"/>
    </w:p>
    <w:p>
      <w:pPr>
        <w:spacing w:line="360" w:lineRule="auto"/>
        <w:jc w:val="both"/>
        <w:outlineLvl w:val="2"/>
        <w:rPr>
          <w:rFonts w:ascii="幼圆" w:eastAsia="幼圆" w:hAnsi="幼圆" w:cs="幼圆" w:hint="eastAsia"/>
          <w:b w:val="0"/>
          <w:bCs w:val="0"/>
          <w:sz w:val="24"/>
          <w:szCs w:val="24"/>
          <w:highlight w:val="none"/>
        </w:rPr>
      </w:pPr>
      <w:bookmarkStart w:id="16" w:name="_Toc15611"/>
      <w:r>
        <w:rPr>
          <w:rFonts w:ascii="幼圆" w:eastAsia="幼圆" w:hAnsi="幼圆" w:cs="幼圆" w:hint="eastAsia"/>
          <w:b w:val="0"/>
          <w:bCs w:val="0"/>
          <w:sz w:val="24"/>
          <w:szCs w:val="24"/>
          <w:highlight w:val="none"/>
          <w:lang w:val="en-US" w:eastAsia="zh-CN"/>
        </w:rPr>
        <w:t>3.2.1 文献资料法</w:t>
      </w:r>
      <w:bookmarkEnd w:id="16"/>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lang w:val="en-US" w:eastAsia="zh-CN"/>
        </w:rPr>
        <w:t>根据本研究的主要内容，通过运用中国知网、万方数据库以及山东体育学院图书馆平台系统以“大学生体育消费”“体育消费影响因素”等关键词进行相关文献查阅。</w:t>
      </w:r>
    </w:p>
    <w:p>
      <w:pPr>
        <w:spacing w:line="360" w:lineRule="auto"/>
        <w:jc w:val="both"/>
        <w:outlineLvl w:val="2"/>
        <w:rPr>
          <w:rFonts w:ascii="幼圆" w:eastAsia="幼圆" w:hAnsi="幼圆" w:cs="幼圆" w:hint="eastAsia"/>
          <w:b w:val="0"/>
          <w:bCs w:val="0"/>
          <w:sz w:val="24"/>
          <w:szCs w:val="24"/>
          <w:highlight w:val="none"/>
        </w:rPr>
      </w:pPr>
      <w:bookmarkStart w:id="17" w:name="_Toc24123"/>
      <w:r>
        <w:rPr>
          <w:rFonts w:ascii="幼圆" w:eastAsia="幼圆" w:hAnsi="幼圆" w:cs="幼圆" w:hint="eastAsia"/>
          <w:b w:val="0"/>
          <w:bCs w:val="0"/>
          <w:sz w:val="24"/>
          <w:szCs w:val="24"/>
          <w:highlight w:val="none"/>
          <w:lang w:val="en-US" w:eastAsia="zh-CN"/>
        </w:rPr>
        <w:t>3.2.2 访谈法</w:t>
      </w:r>
      <w:bookmarkEnd w:id="17"/>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lang w:val="en-US" w:eastAsia="zh-CN"/>
        </w:rPr>
        <w:t>向有关专家进行体育消费方面的咨询，并通过对S市部分高校学生进行询问，了解S市高校学生体育消费的现状，并以此为依据设计调查问卷。</w:t>
      </w:r>
    </w:p>
    <w:p>
      <w:pPr>
        <w:spacing w:line="360" w:lineRule="auto"/>
        <w:jc w:val="both"/>
        <w:outlineLvl w:val="2"/>
        <w:rPr>
          <w:rFonts w:ascii="幼圆" w:eastAsia="幼圆" w:hAnsi="幼圆" w:cs="幼圆" w:hint="eastAsia"/>
          <w:b w:val="0"/>
          <w:bCs w:val="0"/>
          <w:sz w:val="24"/>
          <w:szCs w:val="24"/>
          <w:highlight w:val="none"/>
        </w:rPr>
      </w:pPr>
      <w:bookmarkStart w:id="18" w:name="_Toc6429"/>
      <w:r>
        <w:rPr>
          <w:rFonts w:ascii="幼圆" w:eastAsia="幼圆" w:hAnsi="幼圆" w:cs="幼圆" w:hint="eastAsia"/>
          <w:b w:val="0"/>
          <w:bCs w:val="0"/>
          <w:sz w:val="24"/>
          <w:szCs w:val="24"/>
          <w:highlight w:val="none"/>
          <w:lang w:val="en-US" w:eastAsia="zh-CN"/>
        </w:rPr>
        <w:t>3.2.3 问卷调查法</w:t>
      </w:r>
      <w:bookmarkEnd w:id="18"/>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bookmarkStart w:id="19" w:name="_Toc17126"/>
      <w:bookmarkStart w:id="20" w:name="_Toc29741"/>
      <w:bookmarkStart w:id="21" w:name="_Toc5460"/>
      <w:bookmarkStart w:id="22" w:name="_Toc21716"/>
      <w:r>
        <w:rPr>
          <w:rFonts w:ascii="幼圆" w:eastAsia="幼圆" w:hAnsi="幼圆" w:cs="幼圆" w:hint="eastAsia"/>
          <w:sz w:val="24"/>
          <w:szCs w:val="24"/>
          <w:lang w:val="en-US" w:eastAsia="zh-CN"/>
        </w:rPr>
        <w:t>为了解S市高校学生体育消费现状，为增加论文真实性，采用分层抽样的方法向山东体育学院、齐鲁工业大学、山东师范大学、山东财经大学学生</w:t>
      </w:r>
      <w:bookmarkEnd w:id="19"/>
      <w:bookmarkEnd w:id="20"/>
      <w:bookmarkEnd w:id="21"/>
      <w:bookmarkEnd w:id="22"/>
      <w:r>
        <w:rPr>
          <w:rFonts w:ascii="幼圆" w:eastAsia="幼圆" w:hAnsi="幼圆" w:cs="幼圆" w:hint="eastAsia"/>
          <w:sz w:val="24"/>
          <w:szCs w:val="24"/>
          <w:lang w:val="en-US" w:eastAsia="zh-CN"/>
        </w:rPr>
        <w:t>发放320份问卷。</w:t>
      </w:r>
    </w:p>
    <w:p>
      <w:pPr>
        <w:spacing w:line="360" w:lineRule="auto"/>
        <w:jc w:val="both"/>
        <w:outlineLvl w:val="2"/>
        <w:rPr>
          <w:rFonts w:ascii="幼圆" w:eastAsia="幼圆" w:hAnsi="幼圆" w:cs="幼圆" w:hint="eastAsia"/>
          <w:b w:val="0"/>
          <w:bCs w:val="0"/>
          <w:sz w:val="24"/>
          <w:szCs w:val="24"/>
          <w:highlight w:val="none"/>
        </w:rPr>
      </w:pPr>
      <w:bookmarkStart w:id="23" w:name="_Toc25987"/>
      <w:r>
        <w:rPr>
          <w:rFonts w:ascii="幼圆" w:eastAsia="幼圆" w:hAnsi="幼圆" w:cs="幼圆" w:hint="eastAsia"/>
          <w:b w:val="0"/>
          <w:bCs w:val="0"/>
          <w:sz w:val="24"/>
          <w:szCs w:val="24"/>
          <w:highlight w:val="none"/>
          <w:lang w:val="en-US" w:eastAsia="zh-CN"/>
        </w:rPr>
        <w:t>3.2.4 数理统计法</w:t>
      </w:r>
      <w:bookmarkEnd w:id="2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lang w:val="en-US" w:eastAsia="zh-CN"/>
        </w:rPr>
        <w:t>对回收的有效问卷进行整理统计，通过SPSS建立数据库，对所获取的数据进行整理统计分析。</w:t>
      </w:r>
    </w:p>
    <w:p>
      <w:pPr>
        <w:spacing w:line="360" w:lineRule="auto"/>
        <w:jc w:val="both"/>
        <w:outlineLvl w:val="2"/>
        <w:rPr>
          <w:rFonts w:ascii="幼圆" w:eastAsia="幼圆" w:hAnsi="幼圆" w:cs="幼圆" w:hint="eastAsia"/>
          <w:b w:val="0"/>
          <w:bCs w:val="0"/>
          <w:sz w:val="24"/>
          <w:szCs w:val="24"/>
          <w:highlight w:val="none"/>
        </w:rPr>
      </w:pPr>
      <w:bookmarkStart w:id="24" w:name="_Toc15966"/>
      <w:r>
        <w:rPr>
          <w:rFonts w:ascii="幼圆" w:eastAsia="幼圆" w:hAnsi="幼圆" w:cs="幼圆" w:hint="eastAsia"/>
          <w:b w:val="0"/>
          <w:bCs w:val="0"/>
          <w:sz w:val="24"/>
          <w:szCs w:val="24"/>
          <w:highlight w:val="none"/>
          <w:lang w:val="en-US" w:eastAsia="zh-CN"/>
        </w:rPr>
        <w:t>3.2.5 逻辑分析法</w:t>
      </w:r>
      <w:bookmarkEnd w:id="24"/>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lang w:val="en-US" w:eastAsia="zh-CN"/>
        </w:rPr>
        <w:t>通过大量的观察和数据的收集，进行比较分析和研究，并结合相关理论知识 对数据和信息进行深度分析，从而得出相应的结论。</w:t>
      </w:r>
    </w:p>
    <w:p>
      <w:pPr>
        <w:spacing w:line="360" w:lineRule="auto"/>
        <w:jc w:val="both"/>
        <w:outlineLvl w:val="0"/>
        <w:rPr>
          <w:rFonts w:ascii="幼圆" w:eastAsia="幼圆" w:hAnsi="幼圆" w:cs="幼圆" w:hint="eastAsia"/>
          <w:b/>
          <w:bCs/>
          <w:sz w:val="30"/>
          <w:szCs w:val="30"/>
        </w:rPr>
      </w:pPr>
      <w:bookmarkStart w:id="25" w:name="_Toc6677"/>
      <w:r>
        <w:rPr>
          <w:rFonts w:ascii="幼圆" w:eastAsia="幼圆" w:hAnsi="幼圆" w:cs="幼圆" w:hint="eastAsia"/>
          <w:b/>
          <w:bCs/>
          <w:sz w:val="30"/>
          <w:szCs w:val="30"/>
          <w:lang w:val="en-US" w:eastAsia="zh-CN"/>
        </w:rPr>
        <w:t>4  结果与分析</w:t>
      </w:r>
      <w:bookmarkEnd w:id="25"/>
    </w:p>
    <w:p>
      <w:pPr>
        <w:spacing w:line="360" w:lineRule="auto"/>
        <w:jc w:val="both"/>
        <w:outlineLvl w:val="1"/>
        <w:rPr>
          <w:rFonts w:ascii="幼圆" w:eastAsia="幼圆" w:hAnsi="幼圆" w:cs="幼圆" w:hint="eastAsia"/>
          <w:b w:val="0"/>
          <w:bCs w:val="0"/>
          <w:sz w:val="28"/>
          <w:szCs w:val="28"/>
        </w:rPr>
      </w:pPr>
      <w:bookmarkStart w:id="26" w:name="_Toc13002"/>
      <w:r>
        <w:rPr>
          <w:rFonts w:ascii="幼圆" w:eastAsia="幼圆" w:hAnsi="幼圆" w:cs="幼圆" w:hint="eastAsia"/>
          <w:b w:val="0"/>
          <w:bCs w:val="0"/>
          <w:sz w:val="28"/>
          <w:szCs w:val="28"/>
          <w:lang w:val="en-US" w:eastAsia="zh-CN"/>
        </w:rPr>
        <w:t>4.1 S市高校学生基本情况分析</w:t>
      </w:r>
      <w:bookmarkEnd w:id="26"/>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sectPr>
          <w:headerReference w:type="default" r:id="rId19"/>
          <w:footerReference w:type="default" r:id="rId20"/>
          <w:type w:val="nextPage"/>
          <w:pgSz w:w="11906" w:h="16838"/>
          <w:pgMar w:top="1361" w:right="1474" w:bottom="1247" w:left="1474" w:header="851" w:footer="992" w:gutter="0"/>
          <w:pgBorders>
            <w:top w:val="none" w:sz="0" w:space="0" w:color="auto"/>
            <w:left w:val="none" w:sz="0" w:space="0" w:color="auto"/>
            <w:bottom w:val="none" w:sz="0" w:space="0" w:color="auto"/>
            <w:right w:val="none" w:sz="0" w:space="0" w:color="auto"/>
          </w:pgBorders>
          <w:pgNumType w:fmt="decimal" w:start="5"/>
          <w:cols w:num="1" w:space="425"/>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lang w:val="en-US" w:eastAsia="zh-CN"/>
        </w:rPr>
        <w:t>调查对象涉及四所高校全部年级，其中大一学生74人，占总人数的23.1%；大二学生75人，占总人数的23.4%；大三学生85人，占总人数的26.6%；大四学生86人，占总人数的26.9%。（如图1）</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幼圆" w:eastAsia="幼圆" w:hAnsi="幼圆" w:cs="幼圆" w:hint="eastAsia"/>
          <w:sz w:val="24"/>
          <w:szCs w:val="24"/>
        </w:rPr>
      </w:pPr>
      <w:bookmarkStart w:id="27" w:name="_Toc18112"/>
      <w:r>
        <w:rPr>
          <w:rFonts w:ascii="幼圆" w:eastAsia="幼圆" w:hAnsi="幼圆" w:cs="幼圆" w:hint="eastAsia"/>
          <w:sz w:val="24"/>
          <w:szCs w:val="24"/>
          <w:lang w:val="en-US" w:eastAsia="zh-CN"/>
        </w:rPr>
        <w:drawing>
          <wp:inline distT="0" distB="0" distL="114300" distR="114300">
            <wp:extent cx="5386070" cy="3591560"/>
            <wp:effectExtent l="4445" t="4445" r="19685" b="1587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bookmarkEnd w:id="27"/>
    </w:p>
    <w:p>
      <w:pPr>
        <w:spacing w:line="360" w:lineRule="auto"/>
        <w:jc w:val="center"/>
        <w:rPr>
          <w:rFonts w:ascii="幼圆" w:eastAsia="幼圆" w:hAnsi="幼圆" w:cs="幼圆" w:hint="eastAsia"/>
          <w:b w:val="0"/>
          <w:bCs w:val="0"/>
          <w:szCs w:val="21"/>
          <w:highlight w:val="none"/>
        </w:rPr>
      </w:pPr>
      <w:r>
        <w:rPr>
          <w:rFonts w:ascii="幼圆" w:eastAsia="幼圆" w:hAnsi="幼圆" w:cs="幼圆" w:hint="eastAsia"/>
          <w:b w:val="0"/>
          <w:bCs w:val="0"/>
          <w:sz w:val="21"/>
          <w:szCs w:val="21"/>
          <w:highlight w:val="none"/>
          <w:lang w:val="en-US" w:eastAsia="zh-CN"/>
        </w:rPr>
        <w:t>图1 年级分布统计表（N=320）</w:t>
      </w:r>
    </w:p>
    <w:p>
      <w:pPr>
        <w:spacing w:line="360" w:lineRule="auto"/>
        <w:jc w:val="both"/>
        <w:outlineLvl w:val="2"/>
        <w:rPr>
          <w:rFonts w:ascii="幼圆" w:eastAsia="幼圆" w:hAnsi="幼圆" w:cs="幼圆" w:hint="eastAsia"/>
          <w:b w:val="0"/>
          <w:bCs w:val="0"/>
          <w:sz w:val="24"/>
          <w:szCs w:val="24"/>
          <w:highlight w:val="none"/>
        </w:rPr>
      </w:pPr>
      <w:bookmarkStart w:id="28" w:name="_Toc2321"/>
      <w:r>
        <w:rPr>
          <w:rFonts w:ascii="幼圆" w:eastAsia="幼圆" w:hAnsi="幼圆" w:cs="幼圆" w:hint="eastAsia"/>
          <w:b w:val="0"/>
          <w:bCs w:val="0"/>
          <w:sz w:val="24"/>
          <w:szCs w:val="24"/>
          <w:highlight w:val="none"/>
          <w:lang w:val="en-US" w:eastAsia="zh-CN"/>
        </w:rPr>
        <w:t>4.1.1 性别情况分析</w:t>
      </w:r>
      <w:bookmarkEnd w:id="28"/>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lang w:val="en-US" w:eastAsia="zh-CN"/>
        </w:rPr>
        <w:t>在所有调查对象中，男生172人，占总人数的53.8%，女生148人，占总人数的46.2%。</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lang w:val="en-US" w:eastAsia="zh-CN"/>
        </w:rPr>
        <w:t>由于学生的性别不同，他们的生活习惯和心理状态也各不相同，这就会导致体育消费的结果也不相同。由调查得知，由于生活和学习环境的不同，每个大学生养成的生活习惯和消费习惯也不相同。大学时期的女生比之前任何阶段的女生大多都更加注重自己的穿着打扮，追求优美的身材，性格多内向且喜静，她们多会选择对抗性小的运动，所以我们很少会在球场上看到女生打球，通宵看球赛的也大多是男生。而大学时期的男生，他们更加活跃爱动，好奇心还强，他们希望通过运动拥有健硕的身材，拥有熟练的技术，所以他们大多选择对抗性强且充满力量的运动，我们就很少看到男生出现在瑜伽馆，也很少有男生会纠结运动时的着装度颜色和整体搭配，因此，不同性别的学生会由于心理的不同，产生不同的体育消费行为。</w:t>
      </w:r>
    </w:p>
    <w:p>
      <w:pPr>
        <w:spacing w:line="360" w:lineRule="auto"/>
        <w:jc w:val="both"/>
        <w:outlineLvl w:val="2"/>
        <w:rPr>
          <w:rFonts w:ascii="幼圆" w:eastAsia="幼圆" w:hAnsi="幼圆" w:cs="幼圆" w:hint="eastAsia"/>
          <w:b w:val="0"/>
          <w:bCs w:val="0"/>
          <w:sz w:val="24"/>
          <w:szCs w:val="24"/>
          <w:highlight w:val="none"/>
        </w:rPr>
      </w:pPr>
      <w:bookmarkStart w:id="29" w:name="_Toc31030"/>
      <w:r>
        <w:rPr>
          <w:rFonts w:ascii="幼圆" w:eastAsia="幼圆" w:hAnsi="幼圆" w:cs="幼圆" w:hint="eastAsia"/>
          <w:b w:val="0"/>
          <w:bCs w:val="0"/>
          <w:sz w:val="24"/>
          <w:szCs w:val="24"/>
          <w:highlight w:val="none"/>
          <w:lang w:val="en-US" w:eastAsia="zh-CN"/>
        </w:rPr>
        <w:t>4.1.2 生源结构调查分析</w:t>
      </w:r>
      <w:bookmarkEnd w:id="29"/>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sectPr>
          <w:headerReference w:type="default" r:id="rId22"/>
          <w:footerReference w:type="default" r:id="rId23"/>
          <w:type w:val="nextPage"/>
          <w:pgSz w:w="11906" w:h="16838"/>
          <w:pgMar w:top="1361" w:right="1474" w:bottom="1247" w:left="1474" w:header="851" w:footer="992" w:gutter="0"/>
          <w:pgBorders>
            <w:top w:val="none" w:sz="0" w:space="0" w:color="auto"/>
            <w:left w:val="none" w:sz="0" w:space="0" w:color="auto"/>
            <w:bottom w:val="none" w:sz="0" w:space="0" w:color="auto"/>
            <w:right w:val="none" w:sz="0" w:space="0" w:color="auto"/>
          </w:pgBorders>
          <w:pgNumType w:fmt="decimal" w:start="6"/>
          <w:cols w:num="1" w:space="425"/>
          <w:titlePg w:val="0"/>
          <w:docGrid w:type="lines" w:linePitch="312" w:charSpace="0"/>
        </w:sectPr>
      </w:pPr>
      <w:r>
        <w:rPr>
          <w:rFonts w:ascii="幼圆" w:eastAsia="幼圆" w:hAnsi="幼圆" w:cs="幼圆" w:hint="eastAsia"/>
          <w:sz w:val="24"/>
          <w:szCs w:val="24"/>
          <w:lang w:val="en-US" w:eastAsia="zh-CN"/>
        </w:rPr>
        <w:t>在学生生源调查中显示，城镇地区189人，占被调查人数的59.1%，农村131人，占被调查人口的40.9%。</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lang w:val="en-US" w:eastAsia="zh-CN"/>
        </w:rPr>
        <w:t>在当今时代下，农村的体育发展在城市的体育发展中较为落伍。在城镇中，我们会看到健身路径的建立与改造城区建设过程中体育设施配套建设、郊野公园和城郊绿道的建设以及许多的户外特色体育营地的运营。随着80年代的改革开放，90年代的体制改革，21世纪的社会主义新农村建设以后，我国农村体育现代化也越来越好，尽管仍然存在一定的差距，但是这个差距正在逐渐变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lang w:val="en-US" w:eastAsia="zh-CN"/>
        </w:rPr>
        <w:t>我国农村体育现代化理论的发展轨迹表明了目前农村地区的体育设施不够完善的事实，在这个前提下，学生们都来自不同的地区，也就是说不同的生源结构也会对大学生的体育消费产生影响</w:t>
      </w:r>
      <w:r>
        <w:rPr>
          <w:rFonts w:ascii="幼圆" w:eastAsia="幼圆" w:hAnsi="幼圆" w:cs="幼圆" w:hint="eastAsia"/>
          <w:b w:val="0"/>
          <w:bCs w:val="0"/>
          <w:sz w:val="24"/>
          <w:szCs w:val="24"/>
          <w:highlight w:val="none"/>
          <w:vertAlign w:val="superscript"/>
          <w:lang w:val="en-US" w:eastAsia="zh-CN"/>
        </w:rPr>
        <w:t>[3]</w:t>
      </w:r>
      <w:r>
        <w:rPr>
          <w:rFonts w:ascii="幼圆" w:eastAsia="幼圆" w:hAnsi="幼圆" w:cs="幼圆" w:hint="eastAsia"/>
          <w:sz w:val="24"/>
          <w:szCs w:val="24"/>
          <w:lang w:val="en-US" w:eastAsia="zh-CN"/>
        </w:rPr>
        <w:t>。学生生活的地区不同，形成的生活习惯也不相同，就会不同程度的影响他们的体育消费。由调查得知，一些农村学生习惯于早睡早起，有勤俭节约的习惯，在生活用品的使用中会很仔细，在体育消费中投入相对较少。而一些城市中长大的孩子，生活习惯跟消费观念会有所不同，他们在进行体育消费时，购买力会相对较强。</w:t>
      </w:r>
    </w:p>
    <w:p>
      <w:pPr>
        <w:spacing w:line="360" w:lineRule="auto"/>
        <w:jc w:val="both"/>
        <w:outlineLvl w:val="2"/>
        <w:rPr>
          <w:rFonts w:ascii="幼圆" w:eastAsia="幼圆" w:hAnsi="幼圆" w:cs="幼圆" w:hint="eastAsia"/>
          <w:b w:val="0"/>
          <w:bCs w:val="0"/>
          <w:sz w:val="24"/>
          <w:szCs w:val="24"/>
          <w:highlight w:val="none"/>
        </w:rPr>
      </w:pPr>
      <w:bookmarkStart w:id="30" w:name="_Toc4936"/>
      <w:r>
        <w:rPr>
          <w:rFonts w:ascii="幼圆" w:eastAsia="幼圆" w:hAnsi="幼圆" w:cs="幼圆" w:hint="eastAsia"/>
          <w:b w:val="0"/>
          <w:bCs w:val="0"/>
          <w:sz w:val="24"/>
          <w:szCs w:val="24"/>
          <w:highlight w:val="none"/>
          <w:lang w:val="en-US" w:eastAsia="zh-CN"/>
        </w:rPr>
        <w:t>4.1.3 喜爱体育运动程度调查分析</w:t>
      </w:r>
      <w:bookmarkEnd w:id="30"/>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bookmarkStart w:id="31" w:name="_Toc19596"/>
      <w:r>
        <w:rPr>
          <w:rFonts w:ascii="幼圆" w:eastAsia="幼圆" w:hAnsi="幼圆" w:cs="幼圆" w:hint="eastAsia"/>
          <w:sz w:val="24"/>
          <w:szCs w:val="24"/>
          <w:lang w:val="en-US" w:eastAsia="zh-CN"/>
        </w:rPr>
        <w:drawing>
          <wp:inline distT="0" distB="0" distL="114300" distR="114300">
            <wp:extent cx="5080000" cy="3810000"/>
            <wp:effectExtent l="4445" t="4445" r="5715" b="1079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bookmarkEnd w:id="31"/>
    </w:p>
    <w:p>
      <w:pPr>
        <w:spacing w:line="360" w:lineRule="auto"/>
        <w:jc w:val="center"/>
        <w:rPr>
          <w:rFonts w:ascii="幼圆" w:eastAsia="幼圆" w:hAnsi="幼圆" w:cs="幼圆" w:hint="eastAsia"/>
          <w:b w:val="0"/>
          <w:bCs w:val="0"/>
          <w:szCs w:val="21"/>
          <w:highlight w:val="none"/>
        </w:rPr>
      </w:pPr>
      <w:r>
        <w:rPr>
          <w:rFonts w:ascii="幼圆" w:eastAsia="幼圆" w:hAnsi="幼圆" w:cs="幼圆" w:hint="eastAsia"/>
          <w:b w:val="0"/>
          <w:bCs w:val="0"/>
          <w:sz w:val="21"/>
          <w:szCs w:val="21"/>
          <w:highlight w:val="none"/>
          <w:lang w:val="en-US" w:eastAsia="zh-CN"/>
        </w:rPr>
        <w:t>图3 喜爱体育运动程度统计表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br/>
      </w:r>
      <w:r>
        <w:rPr>
          <w:rFonts w:ascii="幼圆" w:eastAsia="幼圆" w:hAnsi="幼圆" w:cs="幼圆" w:hint="eastAsia"/>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5" w:history="1">
        <w:r>
          <w:rPr>
            <w:rFonts w:ascii="SimSun" w:eastAsia="SimSun" w:hAnsi="SimSun" w:cs="SimSun"/>
            <w:b/>
            <w:bCs/>
            <w:color w:val="0000EE"/>
            <w:kern w:val="0"/>
            <w:sz w:val="30"/>
            <w:szCs w:val="30"/>
            <w:u w:val="single" w:color="0000EE"/>
          </w:rPr>
          <w:t>https://d.book118.com/286030234055010042</w:t>
        </w:r>
      </w:hyperlink>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幼圆" w:eastAsia="幼圆" w:hAnsi="幼圆" w:cs="幼圆" w:hint="eastAsia"/>
          <w:sz w:val="24"/>
          <w:szCs w:val="24"/>
        </w:rPr>
      </w:pPr>
    </w:p>
    <w:sectPr>
      <w:headerReference w:type="default" r:id="rId26"/>
      <w:footerReference w:type="default" r:id="rId27"/>
      <w:type w:val="nextPage"/>
      <w:pgSz w:w="11906" w:h="16838"/>
      <w:pgMar w:top="1361" w:right="1474" w:bottom="1247" w:left="1474" w:header="851" w:footer="992" w:gutter="0"/>
      <w:pgBorders>
        <w:top w:val="none" w:sz="0" w:space="0" w:color="auto"/>
        <w:left w:val="none" w:sz="0" w:space="0" w:color="auto"/>
        <w:bottom w:val="none" w:sz="0" w:space="0" w:color="auto"/>
        <w:right w:val="none" w:sz="0" w:space="0" w:color="auto"/>
      </w:pgBorders>
      <w:pgNumType w:fmt="decimal"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30863086"/>
                            <w:richText/>
                          </w:sdtPr>
                          <w:sdtContent>
                            <w:p>
                              <w:pPr>
                                <w:pStyle w:val="Footer"/>
                                <w:jc w:val="center"/>
                              </w:pPr>
                              <w:r>
                                <w:fldChar w:fldCharType="begin"/>
                              </w:r>
                              <w:r>
                                <w:instrText>PAGE   \* MERGEFORMAT</w:instrText>
                              </w:r>
                              <w:r>
                                <w:fldChar w:fldCharType="separate"/>
                              </w:r>
                              <w:r>
                                <w:rPr>
                                  <w:lang w:val="zh-CN"/>
                                </w:rPr>
                                <w:t>1</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sdt>
                    <w:sdtPr>
                      <w:id w:val="1653109921"/>
                      <w:richText/>
                    </w:sdtPr>
                    <w:sdtContent>
                      <w:p>
                        <w:pPr>
                          <w:pStyle w:val="Footer"/>
                          <w:jc w:val="center"/>
                        </w:pPr>
                        <w:r>
                          <w:fldChar w:fldCharType="begin"/>
                        </w:r>
                        <w:r>
                          <w:instrText>PAGE   \* MERGEFORMAT</w:instrText>
                        </w:r>
                        <w:r>
                          <w:fldChar w:fldCharType="separate"/>
                        </w:r>
                        <w:r>
                          <w:rPr>
                            <w:lang w:val="zh-CN"/>
                          </w:rPr>
                          <w:t>1</w:t>
                        </w:r>
                        <w:r>
                          <w:fldChar w:fldCharType="end"/>
                        </w:r>
                      </w:p>
                    </w:sdtContent>
                  </w:sdt>
                  <w:p/>
                </w:txbxContent>
              </v:textbox>
              <w10:wrap anchorx="margin"/>
            </v:shape>
          </w:pict>
        </mc:Fallback>
      </mc:AlternateContent>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65900523"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50829617"/>
                            <w:richText/>
                          </w:sdtPr>
                          <w:sdtContent>
                            <w:p>
                              <w:pPr>
                                <w:pStyle w:val="Footer"/>
                                <w:jc w:val="center"/>
                              </w:pPr>
                              <w:r>
                                <w:fldChar w:fldCharType="begin"/>
                              </w:r>
                              <w:r>
                                <w:instrText>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sdt>
                    <w:sdtPr>
                      <w:id w:val="396974473"/>
                      <w:richText/>
                    </w:sdtPr>
                    <w:sdtContent>
                      <w:p>
                        <w:pPr>
                          <w:pStyle w:val="Footer"/>
                          <w:jc w:val="center"/>
                        </w:pPr>
                        <w:r>
                          <w:fldChar w:fldCharType="begin"/>
                        </w:r>
                        <w:r>
                          <w:instrText>PAGE   \* MERGEFORMAT</w:instrText>
                        </w:r>
                        <w:r>
                          <w:fldChar w:fldCharType="separate"/>
                        </w:r>
                        <w:r>
                          <w:rPr>
                            <w:lang w:val="zh-CN"/>
                          </w:rPr>
                          <w:t>2</w:t>
                        </w:r>
                        <w:r>
                          <w:fldChar w:fldCharType="end"/>
                        </w:r>
                      </w:p>
                    </w:sdtContent>
                  </w:sdt>
                  <w:p/>
                </w:txbxContent>
              </v:textbox>
              <w10:wrap anchorx="margin"/>
            </v:shape>
          </w:pict>
        </mc:Fallback>
      </mc:AlternateContent>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6801436"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841722290"/>
                            <w:richText/>
                          </w:sdtPr>
                          <w:sdtContent>
                            <w:p>
                              <w:pPr>
                                <w:pStyle w:val="Footer"/>
                                <w:jc w:val="center"/>
                              </w:pPr>
                              <w:r>
                                <w:fldChar w:fldCharType="begin"/>
                              </w:r>
                              <w:r>
                                <w:instrText>PAGE   \* MERGEFORMAT</w:instrText>
                              </w:r>
                              <w:r>
                                <w:fldChar w:fldCharType="separate"/>
                              </w:r>
                              <w:r>
                                <w:rPr>
                                  <w:lang w:val="zh-CN"/>
                                </w:rPr>
                                <w:t>4</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sdt>
                    <w:sdtPr>
                      <w:id w:val="451046973"/>
                      <w:richText/>
                    </w:sdtPr>
                    <w:sdtContent>
                      <w:p>
                        <w:pPr>
                          <w:pStyle w:val="Footer"/>
                          <w:jc w:val="center"/>
                        </w:pPr>
                        <w:r>
                          <w:fldChar w:fldCharType="begin"/>
                        </w:r>
                        <w:r>
                          <w:instrText>PAGE   \* MERGEFORMAT</w:instrText>
                        </w:r>
                        <w:r>
                          <w:fldChar w:fldCharType="separate"/>
                        </w:r>
                        <w:r>
                          <w:rPr>
                            <w:lang w:val="zh-CN"/>
                          </w:rPr>
                          <w:t>4</w:t>
                        </w:r>
                        <w:r>
                          <w:fldChar w:fldCharType="end"/>
                        </w:r>
                      </w:p>
                    </w:sdtContent>
                  </w:sdt>
                  <w:p/>
                </w:txbxContent>
              </v:textbox>
              <w10:wrap anchorx="margin"/>
            </v:shape>
          </w:pict>
        </mc:Fallback>
      </mc:AlternateContent>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1164163"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6726577"/>
                            <w:richText/>
                          </w:sdtPr>
                          <w:sdtContent>
                            <w:p>
                              <w:pPr>
                                <w:pStyle w:val="Footer"/>
                                <w:jc w:val="center"/>
                              </w:pPr>
                              <w:r>
                                <w:fldChar w:fldCharType="begin"/>
                              </w:r>
                              <w:r>
                                <w:instrText>PAGE   \* MERGEFORMAT</w:instrText>
                              </w:r>
                              <w:r>
                                <w:fldChar w:fldCharType="separate"/>
                              </w:r>
                              <w:r>
                                <w:rPr>
                                  <w:lang w:val="zh-CN"/>
                                </w:rPr>
                                <w:t>4</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sdt>
                    <w:sdtPr>
                      <w:id w:val="2120768062"/>
                      <w:richText/>
                    </w:sdtPr>
                    <w:sdtContent>
                      <w:p>
                        <w:pPr>
                          <w:pStyle w:val="Footer"/>
                          <w:jc w:val="center"/>
                        </w:pPr>
                        <w:r>
                          <w:fldChar w:fldCharType="begin"/>
                        </w:r>
                        <w:r>
                          <w:instrText>PAGE   \* MERGEFORMAT</w:instrText>
                        </w:r>
                        <w:r>
                          <w:fldChar w:fldCharType="separate"/>
                        </w:r>
                        <w:r>
                          <w:rPr>
                            <w:lang w:val="zh-CN"/>
                          </w:rPr>
                          <w:t>4</w:t>
                        </w:r>
                        <w:r>
                          <w:fldChar w:fldCharType="end"/>
                        </w:r>
                      </w:p>
                    </w:sdtContent>
                  </w:sdt>
                  <w:p/>
                </w:txbxContent>
              </v:textbox>
              <w10:wrap anchorx="margin"/>
            </v:shape>
          </w:pict>
        </mc:Fallback>
      </mc:AlternateContent>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3627490"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54144703"/>
                            <w:richText/>
                          </w:sdtPr>
                          <w:sdtContent>
                            <w:p>
                              <w:pPr>
                                <w:pStyle w:val="Footer"/>
                                <w:jc w:val="center"/>
                              </w:pPr>
                              <w:r>
                                <w:fldChar w:fldCharType="begin"/>
                              </w:r>
                              <w:r>
                                <w:instrText>PAGE   \* MERGEFORMAT</w:instrText>
                              </w:r>
                              <w:r>
                                <w:fldChar w:fldCharType="separate"/>
                              </w:r>
                              <w:r>
                                <w:rPr>
                                  <w:lang w:val="zh-CN"/>
                                </w:rPr>
                                <w:t>5</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sdt>
                    <w:sdtPr>
                      <w:id w:val="1531029491"/>
                      <w:richText/>
                    </w:sdtPr>
                    <w:sdtContent>
                      <w:p>
                        <w:pPr>
                          <w:pStyle w:val="Footer"/>
                          <w:jc w:val="center"/>
                        </w:pPr>
                        <w:r>
                          <w:fldChar w:fldCharType="begin"/>
                        </w:r>
                        <w:r>
                          <w:instrText>PAGE   \* MERGEFORMAT</w:instrText>
                        </w:r>
                        <w:r>
                          <w:fldChar w:fldCharType="separate"/>
                        </w:r>
                        <w:r>
                          <w:rPr>
                            <w:lang w:val="zh-CN"/>
                          </w:rPr>
                          <w:t>5</w:t>
                        </w:r>
                        <w:r>
                          <w:fldChar w:fldCharType="end"/>
                        </w:r>
                      </w:p>
                    </w:sdtContent>
                  </w:sdt>
                  <w:p/>
                </w:txbxContent>
              </v:textbox>
              <w10:wrap anchorx="margin"/>
            </v:shape>
          </w:pict>
        </mc:Fallback>
      </mc:AlternateContent>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12598025"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53091391"/>
                            <w:richText/>
                          </w:sdtPr>
                          <w:sdtContent>
                            <w:p>
                              <w:pPr>
                                <w:pStyle w:val="Footer"/>
                                <w:jc w:val="center"/>
                              </w:pPr>
                              <w:r>
                                <w:fldChar w:fldCharType="begin"/>
                              </w:r>
                              <w:r>
                                <w:instrText>PAGE   \* MERGEFORMAT</w:instrText>
                              </w:r>
                              <w:r>
                                <w:fldChar w:fldCharType="separate"/>
                              </w:r>
                              <w:r>
                                <w:rPr>
                                  <w:lang w:val="zh-CN"/>
                                </w:rPr>
                                <w:t>7</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sdt>
                    <w:sdtPr>
                      <w:id w:val="658119500"/>
                      <w:richText/>
                    </w:sdtPr>
                    <w:sdtContent>
                      <w:p>
                        <w:pPr>
                          <w:pStyle w:val="Footer"/>
                          <w:jc w:val="center"/>
                        </w:pPr>
                        <w:r>
                          <w:fldChar w:fldCharType="begin"/>
                        </w:r>
                        <w:r>
                          <w:instrText>PAGE   \* MERGEFORMAT</w:instrText>
                        </w:r>
                        <w:r>
                          <w:fldChar w:fldCharType="separate"/>
                        </w:r>
                        <w:r>
                          <w:rPr>
                            <w:lang w:val="zh-CN"/>
                          </w:rPr>
                          <w:t>7</w:t>
                        </w:r>
                        <w:r>
                          <w:fldChar w:fldCharType="end"/>
                        </w:r>
                      </w:p>
                    </w:sdtContent>
                  </w:sdt>
                  <w:p/>
                </w:txbxContent>
              </v:textbox>
              <w10:wrap anchorx="margin"/>
            </v:shape>
          </w:pict>
        </mc:Fallback>
      </mc:AlternateContent>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9623538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15526256"/>
                            <w:richText/>
                          </w:sdtPr>
                          <w:sdtContent>
                            <w:p>
                              <w:pPr>
                                <w:pStyle w:val="Footer"/>
                                <w:jc w:val="center"/>
                              </w:pPr>
                              <w:r>
                                <w:fldChar w:fldCharType="begin"/>
                              </w:r>
                              <w:r>
                                <w:instrText>PAGE   \* MERGEFORMAT</w:instrText>
                              </w:r>
                              <w:r>
                                <w:fldChar w:fldCharType="separate"/>
                              </w:r>
                              <w:r>
                                <w:rPr>
                                  <w:lang w:val="zh-CN"/>
                                </w:rPr>
                                <w:t>7</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sdt>
                    <w:sdtPr>
                      <w:id w:val="870350836"/>
                      <w:richText/>
                    </w:sdtPr>
                    <w:sdtContent>
                      <w:p>
                        <w:pPr>
                          <w:pStyle w:val="Footer"/>
                          <w:jc w:val="center"/>
                        </w:pPr>
                        <w:r>
                          <w:fldChar w:fldCharType="begin"/>
                        </w:r>
                        <w:r>
                          <w:instrText>PAGE   \* MERGEFORMAT</w:instrText>
                        </w:r>
                        <w:r>
                          <w:fldChar w:fldCharType="separate"/>
                        </w:r>
                        <w:r>
                          <w:rPr>
                            <w:lang w:val="zh-CN"/>
                          </w:rPr>
                          <w:t>7</w:t>
                        </w:r>
                        <w:r>
                          <w:fldChar w:fldCharType="end"/>
                        </w:r>
                      </w:p>
                    </w:sdtContent>
                  </w:sdt>
                  <w:p/>
                </w:txbxContent>
              </v:textbox>
              <w10:wrap anchorx="margin"/>
            </v:shape>
          </w:pict>
        </mc:Fallback>
      </mc:AlternateContent>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6F3788D"/>
    <w:multiLevelType w:val="singleLevel"/>
    <w:tmpl w:val="36F3788D"/>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FF1CD8"/>
    <w:rsid w:val="00C57C9C"/>
    <w:rsid w:val="085C7E5C"/>
    <w:rsid w:val="08606F70"/>
    <w:rsid w:val="099C263F"/>
    <w:rsid w:val="0AC27AB4"/>
    <w:rsid w:val="0B920440"/>
    <w:rsid w:val="0F605DF0"/>
    <w:rsid w:val="101F32A9"/>
    <w:rsid w:val="116B51A7"/>
    <w:rsid w:val="11FA58BE"/>
    <w:rsid w:val="161810F6"/>
    <w:rsid w:val="1797090D"/>
    <w:rsid w:val="17F7787D"/>
    <w:rsid w:val="1B614E72"/>
    <w:rsid w:val="1C9255F9"/>
    <w:rsid w:val="1D3B0AE2"/>
    <w:rsid w:val="1D48424E"/>
    <w:rsid w:val="1DA47F4D"/>
    <w:rsid w:val="1DC01F4B"/>
    <w:rsid w:val="1E1255FD"/>
    <w:rsid w:val="1E875CF5"/>
    <w:rsid w:val="1F161C03"/>
    <w:rsid w:val="1F396706"/>
    <w:rsid w:val="218A60CB"/>
    <w:rsid w:val="21C06832"/>
    <w:rsid w:val="221B56B0"/>
    <w:rsid w:val="229D3271"/>
    <w:rsid w:val="247F0F7A"/>
    <w:rsid w:val="29892F59"/>
    <w:rsid w:val="2A6C5813"/>
    <w:rsid w:val="2C6B021D"/>
    <w:rsid w:val="30341C5A"/>
    <w:rsid w:val="30552914"/>
    <w:rsid w:val="315A74B0"/>
    <w:rsid w:val="368B3EAB"/>
    <w:rsid w:val="37CA4106"/>
    <w:rsid w:val="37D426C6"/>
    <w:rsid w:val="38D41AC3"/>
    <w:rsid w:val="39006EEF"/>
    <w:rsid w:val="3A27160E"/>
    <w:rsid w:val="3E050F24"/>
    <w:rsid w:val="404552A0"/>
    <w:rsid w:val="41256AF1"/>
    <w:rsid w:val="41304CD2"/>
    <w:rsid w:val="41AC44C7"/>
    <w:rsid w:val="42AF37AF"/>
    <w:rsid w:val="44CB36F4"/>
    <w:rsid w:val="45656F8D"/>
    <w:rsid w:val="47006263"/>
    <w:rsid w:val="531746C5"/>
    <w:rsid w:val="54DA2F1C"/>
    <w:rsid w:val="56441CEF"/>
    <w:rsid w:val="56CF4B36"/>
    <w:rsid w:val="56DB5C39"/>
    <w:rsid w:val="5CFF1CD8"/>
    <w:rsid w:val="5EB608DD"/>
    <w:rsid w:val="5EC257D7"/>
    <w:rsid w:val="601A25FA"/>
    <w:rsid w:val="631D1BF9"/>
    <w:rsid w:val="675C4FF3"/>
    <w:rsid w:val="67BC0550"/>
    <w:rsid w:val="6A455206"/>
    <w:rsid w:val="6B060D09"/>
    <w:rsid w:val="6C2E0599"/>
    <w:rsid w:val="6C915922"/>
    <w:rsid w:val="6F5B7B4B"/>
    <w:rsid w:val="714B3736"/>
    <w:rsid w:val="715B227C"/>
    <w:rsid w:val="73120B2E"/>
    <w:rsid w:val="7351320F"/>
    <w:rsid w:val="77E57C63"/>
    <w:rsid w:val="78952853"/>
    <w:rsid w:val="7C0E3BF7"/>
    <w:rsid w:val="7CD24250"/>
  </w:rsids>
  <w:docVars>
    <w:docVar w:name="commondata" w:val="eyJoZGlkIjoiNWFhMWI5MDQwNDBiYWI1ZmY5ZTQxYWNiYzY0MTdmZD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TOC3">
    <w:name w:val="toc 3"/>
    <w:basedOn w:val="Normal"/>
    <w:next w:val="Normal"/>
    <w:pPr>
      <w:ind w:left="840" w:leftChars="400"/>
    </w:p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qFormat/>
    <w:pPr>
      <w:ind w:left="420" w:leftChars="200"/>
    </w:pPr>
  </w:style>
  <w:style w:type="paragraph" w:styleId="NormalWeb">
    <w:name w:val="Normal (Web)"/>
    <w:basedOn w:val="Normal"/>
    <w:qFormat/>
    <w:rPr>
      <w:sz w:val="24"/>
    </w:r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autoRedefine/>
    <w:qFormat/>
    <w:rPr>
      <w:color w:val="0000FF"/>
      <w:u w:val="single"/>
    </w:rPr>
  </w:style>
  <w:style w:type="paragraph" w:customStyle="1" w:styleId="WPSOffice3">
    <w:name w:val="WPSOffice手动目录 3"/>
    <w:uiPriority w:val="99"/>
    <w:qFormat/>
    <w:pPr>
      <w:ind w:left="400" w:leftChars="400"/>
    </w:pPr>
    <w:rPr>
      <w:rFonts w:ascii="Times New Roman" w:eastAsia="宋体" w:hAnsi="Times New Roman" w:cs="Times New Roman"/>
      <w:kern w:val="0"/>
      <w:sz w:val="20"/>
      <w:szCs w:val="20"/>
      <w:lang w:val="en-US" w:eastAsia="zh-CN" w:bidi="ar-SA"/>
    </w:rPr>
  </w:style>
  <w:style w:type="paragraph" w:customStyle="1" w:styleId="WPSOffice1">
    <w:name w:val="WPSOffice手动目录 1"/>
    <w:autoRedefine/>
    <w:uiPriority w:val="99"/>
    <w:qFormat/>
    <w:rPr>
      <w:rFonts w:ascii="Times New Roman" w:eastAsia="宋体" w:hAnsi="Times New Roman" w:cs="Times New Roman"/>
      <w:kern w:val="0"/>
      <w:sz w:val="20"/>
      <w:szCs w:val="20"/>
      <w:lang w:val="en-US" w:eastAsia="zh-CN" w:bidi="ar-SA"/>
    </w:rPr>
  </w:style>
  <w:style w:type="paragraph" w:customStyle="1" w:styleId="WPSOffice2">
    <w:name w:val="WPSOffice手动目录 2"/>
    <w:autoRedefine/>
    <w:uiPriority w:val="99"/>
    <w:qFormat/>
    <w:pPr>
      <w:ind w:left="200" w:leftChars="200"/>
    </w:pPr>
    <w:rPr>
      <w:rFonts w:ascii="Times New Roman" w:eastAsia="宋体" w:hAnsi="Times New Roman" w:cs="Times New Roman"/>
      <w:kern w:val="0"/>
      <w:sz w:val="20"/>
      <w:szCs w:val="20"/>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s://baike.so.com/doc/4676162-4889886.html" TargetMode="External" /><Relationship Id="rId12" Type="http://schemas.openxmlformats.org/officeDocument/2006/relationships/hyperlink" Target="https://baike.so.com/doc/5699810-5912523.html" TargetMode="External" /><Relationship Id="rId13" Type="http://schemas.openxmlformats.org/officeDocument/2006/relationships/hyperlink" Target="https://baike.so.com/doc/6690157-6904062.html" TargetMode="External" /><Relationship Id="rId14" Type="http://schemas.openxmlformats.org/officeDocument/2006/relationships/hyperlink" Target="https://baike.so.com/doc/5996952-6209924.html" TargetMode="External" /><Relationship Id="rId15" Type="http://schemas.openxmlformats.org/officeDocument/2006/relationships/hyperlink" Target="https://baike.so.com/doc/723478-765953.html" TargetMode="External" /><Relationship Id="rId16" Type="http://schemas.openxmlformats.org/officeDocument/2006/relationships/hyperlink" Target="https://baike.so.com/doc/7861813-8135908.html" TargetMode="External" /><Relationship Id="rId17" Type="http://schemas.openxmlformats.org/officeDocument/2006/relationships/header" Target="header4.xml" /><Relationship Id="rId18" Type="http://schemas.openxmlformats.org/officeDocument/2006/relationships/footer" Target="footer4.xml" /><Relationship Id="rId19" Type="http://schemas.openxmlformats.org/officeDocument/2006/relationships/header" Target="header5.xml" /><Relationship Id="rId2" Type="http://schemas.openxmlformats.org/officeDocument/2006/relationships/webSettings" Target="webSettings.xml" /><Relationship Id="rId20" Type="http://schemas.openxmlformats.org/officeDocument/2006/relationships/footer" Target="footer5.xml" /><Relationship Id="rId21" Type="http://schemas.openxmlformats.org/officeDocument/2006/relationships/chart" Target="charts/chart1.xml" /><Relationship Id="rId22" Type="http://schemas.openxmlformats.org/officeDocument/2006/relationships/header" Target="header6.xml" /><Relationship Id="rId23" Type="http://schemas.openxmlformats.org/officeDocument/2006/relationships/footer" Target="footer6.xml" /><Relationship Id="rId24" Type="http://schemas.openxmlformats.org/officeDocument/2006/relationships/chart" Target="charts/chart2.xml" /><Relationship Id="rId25" Type="http://schemas.openxmlformats.org/officeDocument/2006/relationships/hyperlink" Target="https://d.book118.com/286030234055010042" TargetMode="External" /><Relationship Id="rId26" Type="http://schemas.openxmlformats.org/officeDocument/2006/relationships/header" Target="header7.xml" /><Relationship Id="rId27" Type="http://schemas.openxmlformats.org/officeDocument/2006/relationships/footer" Target="footer7.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Worksheet1.xlsx" /><Relationship Id="rId2" Type="http://schemas.openxmlformats.org/officeDocument/2006/relationships/themeOverride" Target="../theme/themeOverride1.xml" /><Relationship Id="rId3" Type="http://schemas.microsoft.com/office/2011/relationships/chartColorStyle" Target="chart/colors1.xml" /><Relationship Id="rId4" Type="http://schemas.microsoft.com/office/2011/relationships/chartStyle" Target="chart/style1.xml" /></Relationships>
</file>

<file path=word/charts/_rels/chart2.xml.rels><?xml version="1.0" encoding="utf-8" standalone="yes"?><Relationships xmlns="http://schemas.openxmlformats.org/package/2006/relationships"><Relationship Id="rId1" Type="http://schemas.openxmlformats.org/officeDocument/2006/relationships/package" Target="../embeddings/Microsoft_Excel_Worksheet2.xlsx" /><Relationship Id="rId2" Type="http://schemas.openxmlformats.org/officeDocument/2006/relationships/themeOverride" Target="../theme/themeOverride2.xml" /><Relationship Id="rId3" Type="http://schemas.microsoft.com/office/2011/relationships/chartColorStyle" Target="chart/colors2.xml" /><Relationship Id="rId4" Type="http://schemas.microsoft.com/office/2011/relationships/chartStyle" Target="chart/style2.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dist="0" dir="0" sx="100000" sy="100000" kx="0" ky="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dist="0" dir="0" sx="102000" sy="102000" kx="0" ky="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chart/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人数</c:v>
                </c:pt>
              </c:strCache>
            </c:strRef>
          </c:tx>
          <c:spPr>
            <a:solidFill>
              <a:schemeClr val="bg1"/>
            </a:solidFill>
            <a:ln>
              <a:solidFill>
                <a:schemeClr val="tx1"/>
              </a:solidFill>
            </a:ln>
          </c:spPr>
          <c:explosion val="0"/>
          <c:dPt>
            <c:idx val="0"/>
            <c:bubble3D val="0"/>
            <c:spPr>
              <a:solidFill>
                <a:schemeClr val="bg1"/>
              </a:solidFill>
              <a:ln>
                <a:solidFill>
                  <a:schemeClr val="tx1"/>
                </a:solidFill>
              </a:ln>
              <a:effectLst>
                <a:outerShdw blurRad="317500" dist="0" dir="0" sx="100000" sy="100000" kx="0" ky="0" algn="ctr" rotWithShape="0">
                  <a:prstClr val="black">
                    <a:alpha val="25000"/>
                  </a:prstClr>
                </a:outerShdw>
              </a:effectLst>
            </c:spPr>
          </c:dPt>
          <c:dPt>
            <c:idx val="1"/>
            <c:bubble3D val="0"/>
            <c:spPr>
              <a:solidFill>
                <a:schemeClr val="bg1"/>
              </a:solidFill>
              <a:ln>
                <a:solidFill>
                  <a:schemeClr val="tx1"/>
                </a:solidFill>
              </a:ln>
              <a:effectLst>
                <a:outerShdw blurRad="317500" dist="0" dir="0" sx="100000" sy="100000" kx="0" ky="0" algn="ctr" rotWithShape="0">
                  <a:prstClr val="black">
                    <a:alpha val="25000"/>
                  </a:prstClr>
                </a:outerShdw>
              </a:effectLst>
            </c:spPr>
          </c:dPt>
          <c:dPt>
            <c:idx val="2"/>
            <c:bubble3D val="0"/>
            <c:spPr>
              <a:solidFill>
                <a:schemeClr val="bg1"/>
              </a:solidFill>
              <a:ln>
                <a:solidFill>
                  <a:schemeClr val="tx1"/>
                </a:solidFill>
              </a:ln>
              <a:effectLst>
                <a:outerShdw blurRad="317500" dist="0" dir="0" sx="100000" sy="100000" kx="0" ky="0" algn="ctr" rotWithShape="0">
                  <a:prstClr val="black">
                    <a:alpha val="25000"/>
                  </a:prstClr>
                </a:outerShdw>
              </a:effectLst>
            </c:spPr>
          </c:dPt>
          <c:dPt>
            <c:idx val="3"/>
            <c:bubble3D val="0"/>
            <c:spPr>
              <a:solidFill>
                <a:schemeClr val="bg1"/>
              </a:solidFill>
              <a:ln>
                <a:solidFill>
                  <a:schemeClr val="tx1"/>
                </a:solidFill>
              </a:ln>
              <a:effectLst>
                <a:outerShdw blurRad="317500" dist="0" dir="0" sx="100000" sy="100000" kx="0" ky="0" algn="ctr" rotWithShape="0">
                  <a:prstClr val="black">
                    <a:alpha val="25000"/>
                  </a:prstClr>
                </a:outerShdw>
              </a:effectLst>
            </c:spPr>
          </c:dPt>
          <c:dLbls>
            <c:dLbl>
              <c:idx val="0"/>
              <c:layout>
                <c:manualLayout>
                  <c:x val="-0.0999574935004397"/>
                  <c:y val="0.18031356583235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0878330582409809"/>
                      <c:h val="0.142680339462518"/>
                    </c:manualLayout>
                  </c15:layout>
                </c:ext>
              </c:extLst>
            </c:dLbl>
            <c:dLbl>
              <c:idx val="1"/>
              <c:layout>
                <c:manualLayout>
                  <c:x val="-0.105846959669655"/>
                  <c:y val="-0.11503960138686"/>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0914878566375855"/>
                      <c:h val="0.11987270155587"/>
                    </c:manualLayout>
                  </c15:layout>
                </c:ext>
              </c:extLst>
            </c:dLbl>
            <c:dLbl>
              <c:idx val="2"/>
              <c:layout>
                <c:manualLayout>
                  <c:x val="0.0913157315736555"/>
                  <c:y val="-0.18906722590096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0806413581702429"/>
                      <c:h val="0.126768033946252"/>
                    </c:manualLayout>
                  </c15:layout>
                </c:ext>
              </c:extLst>
            </c:dLbl>
            <c:dLbl>
              <c:idx val="3"/>
              <c:layout>
                <c:manualLayout>
                  <c:x val="0.114184246711258"/>
                  <c:y val="0.17078420245319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0921952369724122"/>
                      <c:h val="0.112977369165488"/>
                    </c:manualLayout>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cap="none" spc="0" normalizeH="0" baseline="0">
                    <a:solidFill>
                      <a:schemeClr val="tx1"/>
                    </a:solidFill>
                    <a:uFill>
                      <a:solidFill>
                        <a:schemeClr val="bg1"/>
                      </a:solidFill>
                    </a:u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showLeaderLines val="1"/>
                <c15:leaderLines>
                  <c:spPr>
                    <a:ln w="9525">
                      <a:solidFill>
                        <a:schemeClr val="dk1">
                          <a:lumMod val="35000"/>
                          <a:lumOff val="65000"/>
                        </a:schemeClr>
                      </a:solidFill>
                      <a:round/>
                    </a:ln>
                    <a:effectLst/>
                  </c:spPr>
                </c15:leaderLines>
              </c:ext>
            </c:extLst>
          </c:dLbls>
          <c:cat>
            <c:strRef>
              <c:f>Sheet1!$A$2:$A$5</c:f>
              <c:strCache>
                <c:ptCount val="4"/>
                <c:pt idx="0">
                  <c:v>大一</c:v>
                </c:pt>
                <c:pt idx="1">
                  <c:v>大二</c:v>
                </c:pt>
                <c:pt idx="2">
                  <c:v>大三</c:v>
                </c:pt>
                <c:pt idx="3">
                  <c:v>大四</c:v>
                </c:pt>
              </c:strCache>
            </c:strRef>
          </c:cat>
          <c:val>
            <c:numRef>
              <c:f>Sheet1!$B$2:$B$5</c:f>
              <c:numCache>
                <c:formatCode>General</c:formatCode>
                <c:ptCount val="4"/>
                <c:pt idx="0">
                  <c:v>74</c:v>
                </c:pt>
                <c:pt idx="1">
                  <c:v>75</c:v>
                </c:pt>
                <c:pt idx="2">
                  <c:v>85</c:v>
                </c:pt>
                <c:pt idx="3">
                  <c:v>86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solidFill>
          <a:schemeClr val="lt1">
            <a:alpha val="78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chart>
  <c:spPr>
    <a:pattFill prst="dkDnDiag">
      <a:fgClr>
        <a:schemeClr val="lt1">
          <a:lumMod val="95000"/>
        </a:schemeClr>
      </a:fgClr>
      <a:bgClr>
        <a:schemeClr val="lt1"/>
      </a:bgClr>
    </a:pattFill>
    <a:ln w="9525">
      <a:solidFill>
        <a:schemeClr val="dk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人数</c:v>
                </c:pt>
              </c:strCache>
            </c:strRef>
          </c:tx>
          <c:spPr>
            <a:solidFill>
              <a:schemeClr val="bg1"/>
            </a:solidFill>
            <a:ln w="19050">
              <a:solidFill>
                <a:schemeClr val="tx1"/>
              </a:solidFill>
            </a:ln>
          </c:spPr>
          <c:explosion val="0"/>
          <c:dPt>
            <c:idx val="0"/>
            <c:bubble3D val="0"/>
            <c:spPr>
              <a:solidFill>
                <a:schemeClr val="bg1"/>
              </a:solidFill>
              <a:ln w="19050">
                <a:solidFill>
                  <a:schemeClr val="tx1"/>
                </a:solidFill>
              </a:ln>
              <a:effectLst/>
            </c:spPr>
          </c:dPt>
          <c:dPt>
            <c:idx val="1"/>
            <c:bubble3D val="0"/>
            <c:spPr>
              <a:solidFill>
                <a:schemeClr val="bg1"/>
              </a:solidFill>
              <a:ln w="19050">
                <a:solidFill>
                  <a:schemeClr val="tx1"/>
                </a:solidFill>
              </a:ln>
              <a:effectLst/>
            </c:spPr>
          </c:dPt>
          <c:dPt>
            <c:idx val="2"/>
            <c:bubble3D val="0"/>
            <c:spPr>
              <a:solidFill>
                <a:schemeClr val="bg1"/>
              </a:solidFill>
              <a:ln w="19050">
                <a:solidFill>
                  <a:schemeClr val="tx1"/>
                </a:solidFill>
              </a:ln>
              <a:effectLst/>
            </c:spPr>
          </c:dPt>
          <c:dPt>
            <c:idx val="3"/>
            <c:bubble3D val="0"/>
            <c:spPr>
              <a:solidFill>
                <a:schemeClr val="bg1"/>
              </a:solidFill>
              <a:ln w="19050">
                <a:solidFill>
                  <a:schemeClr val="tx1"/>
                </a:solidFill>
              </a:ln>
              <a:effectLst/>
            </c:spPr>
          </c:dPt>
          <c:dPt>
            <c:idx val="4"/>
            <c:bubble3D val="0"/>
            <c:spPr>
              <a:solidFill>
                <a:schemeClr val="bg1"/>
              </a:solidFill>
              <a:ln w="19050">
                <a:solidFill>
                  <a:schemeClr val="tx1"/>
                </a:solidFill>
              </a:ln>
              <a:effectLst/>
            </c:spPr>
          </c:dPt>
          <c:dLbls>
            <c:dLbl>
              <c:idx val="0"/>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64625"/>
                      <c:h val="0.147833333333333"/>
                    </c:manualLayout>
                  </c15:layout>
                </c:ext>
              </c:extLst>
            </c:dLbl>
            <c:dLbl>
              <c:idx val="1"/>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50625"/>
                      <c:h val="0.158"/>
                    </c:manualLayout>
                  </c15:layout>
                </c:ext>
              </c:extLst>
            </c:dLbl>
            <c:dLbl>
              <c:idx val="2"/>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4025"/>
                      <c:h val="0.178333333333333"/>
                    </c:manualLayout>
                  </c15:layout>
                </c:ext>
              </c:extLst>
            </c:dLbl>
            <c:dLbl>
              <c:idx val="3"/>
              <c:layout>
                <c:manualLayout>
                  <c:x val="-0.090989995809124"/>
                  <c:y val="0"/>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1175"/>
                      <c:h val="0.082"/>
                    </c:manualLayout>
                  </c15:layout>
                </c:ext>
              </c:extLst>
            </c:dLbl>
            <c:dLbl>
              <c:idx val="4"/>
              <c:layout>
                <c:manualLayout>
                  <c:x val="0.150578510057299"/>
                  <c:y val="0.0028333333333333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8425"/>
                      <c:h val="0.082"/>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Sheet1!$A$2:$A$6</c:f>
              <c:strCache>
                <c:ptCount val="5"/>
                <c:pt idx="0">
                  <c:v>非常喜欢</c:v>
                </c:pt>
                <c:pt idx="1">
                  <c:v>喜欢</c:v>
                </c:pt>
                <c:pt idx="2">
                  <c:v>一般</c:v>
                </c:pt>
                <c:pt idx="3">
                  <c:v>不喜欢</c:v>
                </c:pt>
                <c:pt idx="4">
                  <c:v>非常不喜欢</c:v>
                </c:pt>
              </c:strCache>
            </c:strRef>
          </c:cat>
          <c:val>
            <c:numRef>
              <c:f>Sheet1!$B$2:$B$6</c:f>
              <c:numCache>
                <c:formatCode>General</c:formatCode>
                <c:ptCount val="5"/>
                <c:pt idx="0">
                  <c:v>70</c:v>
                </c:pt>
                <c:pt idx="1">
                  <c:v>126</c:v>
                </c:pt>
                <c:pt idx="2">
                  <c:v>102</c:v>
                </c:pt>
                <c:pt idx="3">
                  <c:v>16</c:v>
                </c:pt>
                <c:pt idx="4">
                  <c:v>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xmlns:a="http://schemas.openxmlformats.org/drawingml/2006/main"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xmlns:a="http://schemas.openxmlformats.org/drawingml/2006/main"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xmlns:a="http://schemas.openxmlformats.org/drawingml/2006/main"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xmlns:a="http://schemas.openxmlformats.org/drawingml/2006/main"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ABEEL</cp:lastModifiedBy>
  <cp:revision>1</cp:revision>
  <dcterms:created xsi:type="dcterms:W3CDTF">2021-03-21T07:20:00Z</dcterms:created>
  <dcterms:modified xsi:type="dcterms:W3CDTF">2024-01-28T14:52:27Z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4576C96E6FC540E0A70C066D83CA22C0_13</vt:lpwstr>
  </property>
  <property fmtid="{D5CDD505-2E9C-101B-9397-08002B2CF9AE}" pid="3" name="KSOProductBuildVer">
    <vt:lpwstr>2052-12.1.0.16120</vt:lpwstr>
  </property>
</Properties>
</file>