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8A0015" w14:paraId="3FFF7071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8A0015" w14:paraId="455FDAF7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8A0015" w14:paraId="47530DEA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8A0015" w:rsidRPr="008A0015" w14:paraId="0C9E4108" w14:textId="1CDF8ECA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8A0015">
        <w:rPr>
          <w:rFonts w:ascii="宋体" w:eastAsia="宋体" w:hAnsi="宋体" w:hint="eastAsia"/>
          <w:b/>
          <w:sz w:val="60"/>
        </w:rPr>
        <w:t>组合开关企业战略商业风险</w:t>
      </w:r>
    </w:p>
    <w:p w:rsidR="008A0015" w:rsidP="008A0015" w14:paraId="13FBB7D5" w14:textId="3EBDA636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8A0015">
        <w:rPr>
          <w:rFonts w:ascii="仿宋" w:eastAsia="仿宋" w:hAnsi="仿宋" w:hint="eastAsia"/>
          <w:b/>
          <w:sz w:val="40"/>
        </w:rPr>
        <w:t>目录</w:t>
      </w:r>
    </w:p>
    <w:p w:rsidR="008A0015" w14:paraId="61A12B17" w14:textId="0C967C05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前言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_Toc157938328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8A0015" w14:paraId="7EFEF694" w14:textId="4092A5F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一、发展规划分析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_Toc157938329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8A0015" w14:paraId="16469B2E" w14:textId="300E9D2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(一)、公司发展规划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_Toc157938330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8A0015" w14:paraId="2DBC00AA" w14:textId="7AA6836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(二)、保障措施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_Toc157938331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8A0015" w14:paraId="20724224" w14:textId="4988755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二、技术创新风险的探讨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_Toc157938332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8A0015" w14:paraId="5A602463" w14:textId="2E87A75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(一)、技术创新风险的探讨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_Toc157938333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8A0015" w14:paraId="3560C47B" w14:textId="4014A47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三、战略风险的含义及分类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_Toc157938334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8A0015" w14:paraId="5C5E6658" w14:textId="77B242E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(一)、战略风险的定义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_Toc157938335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8A0015" w14:paraId="2C8918A2" w14:textId="5C6E1E8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(二)、组合开关行业企业战略风险的分类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_Toc157938336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8A0015" w14:paraId="2282D073" w14:textId="418561E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四、组合开关行业企业业务流程管理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_Toc157938337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8A0015" w14:paraId="0F839E34" w14:textId="2E1B2B9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(一)、业务流程的建立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_Toc157938338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8A0015" w14:paraId="4758DCE0" w14:textId="544A18B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(二)、业务流程的优化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_Toc157938339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8A0015" w14:paraId="371E48C1" w14:textId="38CA344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(三)、业务流程的重组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_Toc157938340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8A0015" w14:paraId="1FD9E39D" w14:textId="36AF74D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五、人力资源风险管理的主要内容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_Toc157938341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8A0015" w14:paraId="04FDCD2A" w14:textId="0639E8E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(一)、人力资源风险管理的主要内容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_Toc157938342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8A0015" w14:paraId="17B4708B" w14:textId="7CBA44F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六、运营风险的含义及其主要内容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_Toc157938343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8A0015" w14:paraId="004E4563" w14:textId="2DEC770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(一)、战略风险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_Toc157938344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8A0015" w14:paraId="55C8A5FB" w14:textId="4A2CDE0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(二)、流程风险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_Toc157938345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8A0015" w14:paraId="0D945ED0" w14:textId="294F20E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(三)、人力资源风险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_Toc157938346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8A0015" w14:paraId="1005FE26" w14:textId="5F67C69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(四)、内部技术风险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_Toc157938347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8A0015" w14:paraId="50F3AE34" w14:textId="17FCF340">
      <w:pPr>
        <w:pStyle w:val="TOC1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七、员工培训与绩效提升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_Toc157938348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8A0015" w14:paraId="2F6ED5C9" w14:textId="0822F04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(一)、培训需求分析与计划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_Toc157938349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8A0015" w14:paraId="4A0C5224" w14:textId="459E161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(二)、绩效评价体系与激励机制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_Toc157938350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8A0015" w14:paraId="55B80BEA" w14:textId="028AF9B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(三)、职业发展规划与晋升通道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_Toc157938351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8A0015" w14:paraId="10ADEBE0" w14:textId="24E4E3B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(四)、员工满意度与团队凝聚力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_Toc157938352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8A0015" w14:paraId="7B3E9802" w14:textId="5D671E6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八、组合开关项目风险对策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_Toc157938353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8A0015" w14:paraId="2B5A884D" w14:textId="1D9C66B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(一)、政策风险对策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_Toc157938354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8A0015" w14:paraId="4B2BCA50" w14:textId="0AF0BEE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(二)、经济风险对策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_Toc157938355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8A0015" w14:paraId="69FD3ED2" w14:textId="2EA4411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(三)、环境风险对策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_Toc157938356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8A0015" w14:paraId="335FDD60" w14:textId="717759D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(四)、人才风险对策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_Toc157938357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8A0015" w14:paraId="7FBC729B" w14:textId="05737BA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(五)、社会责任风险对策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_Toc157938358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8A0015" w14:paraId="7B859021" w14:textId="267A46F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(六)、全球经济不确定性风险对策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_Toc157938359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8A0015" w14:paraId="4DF72A83" w14:textId="5D1E86A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(七)、供应链风险对策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_Toc157938360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8A0015" w14:paraId="1E26CC6B" w14:textId="09E89D5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(八)、网络安全风险对策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_Toc157938361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8A0015" w14:paraId="517CDCC4" w14:textId="538A712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九、战略实施的阶段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_Toc157938362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8A0015" w14:paraId="3E2E3860" w14:textId="1E17C30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(一)、战略实施的阶段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_Toc157938363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8A0015" w14:paraId="0E35874E" w14:textId="2480AEB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十、战略实施的基本原则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_Toc157938364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8A0015" w14:paraId="3694794D" w14:textId="2C53C65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(一)、战略实施的基本原则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_Toc157938365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8A0015" w14:paraId="78FE6120" w14:textId="24AFA31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十一、行业壁垒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_Toc157938366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8A0015" w14:paraId="51E106E1" w14:textId="20CE340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(一)、供应链整合壁垒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_Toc157938367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8A0015" w14:paraId="40D1C220" w14:textId="419EB90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(二)、网络效应壁垒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_Toc157938368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8A0015" w14:paraId="4A111E0A" w14:textId="628639C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(三)、法规合规壁垒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_Toc157938369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8A0015" w14:paraId="0DBA4C5D" w14:textId="6F47D310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(四)、专业人才壁垒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_Toc157938370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8A0015" w14:paraId="3F104063" w14:textId="5CE9F3B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(五)、品牌忠诚度壁垒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_Toc157938371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8A0015" w14:paraId="6D82DD12" w14:textId="32AF157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十二、产业环境分析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_Toc157938372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8A0015" w14:paraId="5067E3D7" w14:textId="138C47C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(一)、产业环境分析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_Toc157938373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8A0015" w14:paraId="3C9C82F3" w14:textId="17E145C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十三、差异化战略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_Toc157938374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8A0015" w14:paraId="5B5887EE" w14:textId="789C4C1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(一)、差异化战略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_Toc157938375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8A0015" w14:paraId="6E63A5A0" w14:textId="241BD41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十四、竞争优势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_Toc157938376 \h </w:instrText>
      </w:r>
      <w:r>
        <w:rPr>
          <w:noProof/>
        </w:rPr>
        <w:fldChar w:fldCharType="separate"/>
      </w:r>
      <w:r>
        <w:rPr>
          <w:noProof/>
        </w:rPr>
        <w:t>49</w:t>
      </w:r>
      <w:r>
        <w:rPr>
          <w:noProof/>
        </w:rPr>
        <w:fldChar w:fldCharType="end"/>
      </w:r>
    </w:p>
    <w:p w:rsidR="008A0015" w14:paraId="7FD5E81A" w14:textId="2804C28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(一)、竞争优势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_Toc157938377 \h </w:instrText>
      </w:r>
      <w:r>
        <w:rPr>
          <w:noProof/>
        </w:rPr>
        <w:fldChar w:fldCharType="separate"/>
      </w:r>
      <w:r>
        <w:rPr>
          <w:noProof/>
        </w:rPr>
        <w:t>49</w:t>
      </w:r>
      <w:r>
        <w:rPr>
          <w:noProof/>
        </w:rPr>
        <w:fldChar w:fldCharType="end"/>
      </w:r>
    </w:p>
    <w:p w:rsidR="008A0015" w14:paraId="4C362CC0" w14:textId="348637D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十五、战略的定性评价决策方法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_Toc157938378 \h </w:instrText>
      </w:r>
      <w:r>
        <w:rPr>
          <w:noProof/>
        </w:rPr>
        <w:fldChar w:fldCharType="separate"/>
      </w:r>
      <w:r>
        <w:rPr>
          <w:noProof/>
        </w:rPr>
        <w:t>51</w:t>
      </w:r>
      <w:r>
        <w:rPr>
          <w:noProof/>
        </w:rPr>
        <w:fldChar w:fldCharType="end"/>
      </w:r>
    </w:p>
    <w:p w:rsidR="008A0015" w14:paraId="555F8C9A" w14:textId="6D1022F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(一)、战略的定性评价决策方法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_Toc157938379 \h </w:instrText>
      </w:r>
      <w:r>
        <w:rPr>
          <w:noProof/>
        </w:rPr>
        <w:fldChar w:fldCharType="separate"/>
      </w:r>
      <w:r>
        <w:rPr>
          <w:noProof/>
        </w:rPr>
        <w:t>51</w:t>
      </w:r>
      <w:r>
        <w:rPr>
          <w:noProof/>
        </w:rPr>
        <w:fldChar w:fldCharType="end"/>
      </w:r>
    </w:p>
    <w:p w:rsidR="008A0015" w14:paraId="4DA1DB64" w14:textId="28F9BE4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十六、战略的建立与选择过程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_Toc157938380 \h </w:instrText>
      </w:r>
      <w:r>
        <w:rPr>
          <w:noProof/>
        </w:rPr>
        <w:fldChar w:fldCharType="separate"/>
      </w:r>
      <w:r>
        <w:rPr>
          <w:noProof/>
        </w:rPr>
        <w:t>52</w:t>
      </w:r>
      <w:r>
        <w:rPr>
          <w:noProof/>
        </w:rPr>
        <w:fldChar w:fldCharType="end"/>
      </w:r>
    </w:p>
    <w:p w:rsidR="008A0015" w14:paraId="556A774C" w14:textId="245DEA3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(一)、战略的建立与选择过程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_Toc157938381 \h </w:instrText>
      </w:r>
      <w:r>
        <w:rPr>
          <w:noProof/>
        </w:rPr>
        <w:fldChar w:fldCharType="separate"/>
      </w:r>
      <w:r>
        <w:rPr>
          <w:noProof/>
        </w:rPr>
        <w:t>52</w:t>
      </w:r>
      <w:r>
        <w:rPr>
          <w:noProof/>
        </w:rPr>
        <w:fldChar w:fldCharType="end"/>
      </w:r>
    </w:p>
    <w:p w:rsidR="008A0015" w14:paraId="706F94FE" w14:textId="162DA5D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十七、组合开关行业企业内外不同利益主体的影响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_Toc157938382 \h </w:instrText>
      </w:r>
      <w:r>
        <w:rPr>
          <w:noProof/>
        </w:rPr>
        <w:fldChar w:fldCharType="separate"/>
      </w:r>
      <w:r>
        <w:rPr>
          <w:noProof/>
        </w:rPr>
        <w:t>53</w:t>
      </w:r>
      <w:r>
        <w:rPr>
          <w:noProof/>
        </w:rPr>
        <w:fldChar w:fldCharType="end"/>
      </w:r>
    </w:p>
    <w:p w:rsidR="008A0015" w14:paraId="03B3D42E" w14:textId="661C4F3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(一)、组合开关行业企业内外不同利益主体的影响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_Toc157938383 \h </w:instrText>
      </w:r>
      <w:r>
        <w:rPr>
          <w:noProof/>
        </w:rPr>
        <w:fldChar w:fldCharType="separate"/>
      </w:r>
      <w:r>
        <w:rPr>
          <w:noProof/>
        </w:rPr>
        <w:t>53</w:t>
      </w:r>
      <w:r>
        <w:rPr>
          <w:noProof/>
        </w:rPr>
        <w:fldChar w:fldCharType="end"/>
      </w:r>
    </w:p>
    <w:p w:rsidR="008A0015" w14:paraId="24DF9E96" w14:textId="68BE594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十八、法人治理结构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_Toc157938384 \h </w:instrText>
      </w:r>
      <w:r>
        <w:rPr>
          <w:noProof/>
        </w:rPr>
        <w:fldChar w:fldCharType="separate"/>
      </w:r>
      <w:r>
        <w:rPr>
          <w:noProof/>
        </w:rPr>
        <w:t>54</w:t>
      </w:r>
      <w:r>
        <w:rPr>
          <w:noProof/>
        </w:rPr>
        <w:fldChar w:fldCharType="end"/>
      </w:r>
    </w:p>
    <w:p w:rsidR="008A0015" w14:paraId="31D3AAF9" w14:textId="3D5F74D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(一)、股东权利与责任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_Toc157938385 \h </w:instrText>
      </w:r>
      <w:r>
        <w:rPr>
          <w:noProof/>
        </w:rPr>
        <w:fldChar w:fldCharType="separate"/>
      </w:r>
      <w:r>
        <w:rPr>
          <w:noProof/>
        </w:rPr>
        <w:t>54</w:t>
      </w:r>
      <w:r>
        <w:rPr>
          <w:noProof/>
        </w:rPr>
        <w:fldChar w:fldCharType="end"/>
      </w:r>
    </w:p>
    <w:p w:rsidR="008A0015" w14:paraId="2052DB11" w14:textId="08A7AC5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(二)、董事角色与责任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_Toc157938386 \h </w:instrText>
      </w:r>
      <w:r>
        <w:rPr>
          <w:noProof/>
        </w:rPr>
        <w:fldChar w:fldCharType="separate"/>
      </w:r>
      <w:r>
        <w:rPr>
          <w:noProof/>
        </w:rPr>
        <w:t>55</w:t>
      </w:r>
      <w:r>
        <w:rPr>
          <w:noProof/>
        </w:rPr>
        <w:fldChar w:fldCharType="end"/>
      </w:r>
    </w:p>
    <w:p w:rsidR="008A0015" w14:paraId="25AACF07" w14:textId="455B99F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(三)、高级管理人员的角色和职责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_Toc157938387 \h </w:instrText>
      </w:r>
      <w:r>
        <w:rPr>
          <w:noProof/>
        </w:rPr>
        <w:fldChar w:fldCharType="separate"/>
      </w:r>
      <w:r>
        <w:rPr>
          <w:noProof/>
        </w:rPr>
        <w:t>56</w:t>
      </w:r>
      <w:r>
        <w:rPr>
          <w:noProof/>
        </w:rPr>
        <w:fldChar w:fldCharType="end"/>
      </w:r>
    </w:p>
    <w:p w:rsidR="008A0015" w14:paraId="24D50DB2" w14:textId="3D6803F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(四)、监事的角色和职责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_Toc157938388 \h </w:instrText>
      </w:r>
      <w:r>
        <w:rPr>
          <w:noProof/>
        </w:rPr>
        <w:fldChar w:fldCharType="separate"/>
      </w:r>
      <w:r>
        <w:rPr>
          <w:noProof/>
        </w:rPr>
        <w:t>56</w:t>
      </w:r>
      <w:r>
        <w:rPr>
          <w:noProof/>
        </w:rPr>
        <w:fldChar w:fldCharType="end"/>
      </w:r>
    </w:p>
    <w:p w:rsidR="008A0015" w14:paraId="1C7B2A73" w14:textId="3E22927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十九、战略风险的识别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_Toc157938389 \h </w:instrText>
      </w:r>
      <w:r>
        <w:rPr>
          <w:noProof/>
        </w:rPr>
        <w:fldChar w:fldCharType="separate"/>
      </w:r>
      <w:r>
        <w:rPr>
          <w:noProof/>
        </w:rPr>
        <w:t>57</w:t>
      </w:r>
      <w:r>
        <w:rPr>
          <w:noProof/>
        </w:rPr>
        <w:fldChar w:fldCharType="end"/>
      </w:r>
    </w:p>
    <w:p w:rsidR="008A0015" w14:paraId="3C184DE0" w14:textId="1E48E9A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(一)、组合开关行业企业在确定愿景及使命时的风险识别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_Toc157938390 \h </w:instrText>
      </w:r>
      <w:r>
        <w:rPr>
          <w:noProof/>
        </w:rPr>
        <w:fldChar w:fldCharType="separate"/>
      </w:r>
      <w:r>
        <w:rPr>
          <w:noProof/>
        </w:rPr>
        <w:t>57</w:t>
      </w:r>
      <w:r>
        <w:rPr>
          <w:noProof/>
        </w:rPr>
        <w:fldChar w:fldCharType="end"/>
      </w:r>
    </w:p>
    <w:p w:rsidR="008A0015" w14:paraId="0B706AE3" w14:textId="78F0067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(二)、制定组合开关行业企业战略目标的风险识别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_Toc157938391 \h </w:instrText>
      </w:r>
      <w:r>
        <w:rPr>
          <w:noProof/>
        </w:rPr>
        <w:fldChar w:fldCharType="separate"/>
      </w:r>
      <w:r>
        <w:rPr>
          <w:noProof/>
        </w:rPr>
        <w:t>57</w:t>
      </w:r>
      <w:r>
        <w:rPr>
          <w:noProof/>
        </w:rPr>
        <w:fldChar w:fldCharType="end"/>
      </w:r>
    </w:p>
    <w:p w:rsidR="008A0015" w14:paraId="72C13824" w14:textId="17A4BA94">
      <w:pPr>
        <w:pStyle w:val="TOC2"/>
        <w:tabs>
          <w:tab w:val="right" w:leader="dot" w:pos="8296"/>
        </w:tabs>
        <w:rPr>
          <w:noProof/>
        </w:rPr>
        <w:sectPr>
          <w:headerReference w:type="even" r:id="rId22"/>
          <w:headerReference w:type="default" r:id="rId23"/>
          <w:footerReference w:type="even" r:id="rId24"/>
          <w:footerReference w:type="default" r:id="rId25"/>
          <w:headerReference w:type="first" r:id="rId26"/>
          <w:footerReference w:type="first" r:id="rId27"/>
          <w:type w:val="nextPage"/>
          <w:pgSz w:w="11906" w:h="16838"/>
          <w:pgMar w:top="1440" w:right="1800" w:bottom="1440" w:left="1800" w:header="851" w:footer="992" w:gutter="0"/>
          <w:pgNumType w:start="4"/>
          <w:cols w:space="425"/>
          <w:titlePg w:val="0"/>
          <w:docGrid w:type="lines" w:linePitch="312"/>
        </w:sectPr>
      </w:pPr>
      <w:r>
        <w:rPr>
          <w:noProof/>
        </w:rPr>
        <w:t>(三)、组合开关行业企业战略分析的风险识别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_Toc157938392 \h </w:instrText>
      </w:r>
      <w:r>
        <w:rPr>
          <w:noProof/>
        </w:rPr>
        <w:fldChar w:fldCharType="separate"/>
      </w:r>
      <w:r>
        <w:rPr>
          <w:noProof/>
        </w:rPr>
        <w:t>58</w:t>
      </w:r>
      <w:r>
        <w:rPr>
          <w:noProof/>
        </w:rPr>
        <w:fldChar w:fldCharType="end"/>
      </w:r>
    </w:p>
    <w:p w:rsidR="008A0015" w14:paraId="7993A753" w14:textId="7FCB88B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(四)、组合开关行业企业战略选择的风险识别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_Toc157938393 \h </w:instrText>
      </w:r>
      <w:r>
        <w:rPr>
          <w:noProof/>
        </w:rPr>
        <w:fldChar w:fldCharType="separate"/>
      </w:r>
      <w:r>
        <w:rPr>
          <w:noProof/>
        </w:rPr>
        <w:t>58</w:t>
      </w:r>
      <w:r>
        <w:rPr>
          <w:noProof/>
        </w:rPr>
        <w:fldChar w:fldCharType="end"/>
      </w:r>
    </w:p>
    <w:p w:rsidR="008A0015" w14:paraId="30870ADF" w14:textId="106CF34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(五)、组合开关行业企业战略实施的风险识别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_Toc157938394 \h </w:instrText>
      </w:r>
      <w:r>
        <w:rPr>
          <w:noProof/>
        </w:rPr>
        <w:fldChar w:fldCharType="separate"/>
      </w:r>
      <w:r>
        <w:rPr>
          <w:noProof/>
        </w:rPr>
        <w:t>58</w:t>
      </w:r>
      <w:r>
        <w:rPr>
          <w:noProof/>
        </w:rPr>
        <w:fldChar w:fldCharType="end"/>
      </w:r>
    </w:p>
    <w:p w:rsidR="008A0015" w:rsidP="008A0015" w14:paraId="10FD9F9B" w14:textId="47B8E042">
      <w:pPr>
        <w:widowControl/>
        <w:jc w:val="center"/>
        <w:rPr>
          <w:b/>
          <w:bCs/>
          <w:kern w:val="44"/>
          <w:sz w:val="44"/>
          <w:szCs w:val="44"/>
        </w:rPr>
      </w:pPr>
      <w:r>
        <w:fldChar w:fldCharType="end"/>
      </w:r>
      <w:r>
        <w:rPr>
          <w:b/>
          <w:bCs/>
          <w:kern w:val="44"/>
          <w:sz w:val="44"/>
          <w:szCs w:val="44"/>
        </w:rPr>
        <w:br/>
      </w:r>
      <w:r>
        <w:rPr>
          <w:b/>
          <w:bCs/>
          <w:kern w:val="44"/>
          <w:sz w:val="44"/>
          <w:szCs w:val="44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28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https://d.book118.com/286122003222010043</w:t>
        </w:r>
      </w:hyperlink>
    </w:p>
    <w:p w:rsidR="008A0015" w:rsidP="008A0015">
      <w:pPr>
        <w:widowControl/>
        <w:jc w:val="center"/>
        <w:rPr>
          <w:b/>
          <w:bCs/>
          <w:kern w:val="44"/>
          <w:sz w:val="44"/>
          <w:szCs w:val="44"/>
        </w:rPr>
      </w:pPr>
    </w:p>
    <w:sectPr>
      <w:headerReference w:type="even" r:id="rId29"/>
      <w:headerReference w:type="default" r:id="rId30"/>
      <w:footerReference w:type="even" r:id="rId31"/>
      <w:footerReference w:type="default" r:id="rId32"/>
      <w:headerReference w:type="first" r:id="rId33"/>
      <w:footerReference w:type="first" r:id="rId34"/>
      <w:type w:val="nextPage"/>
      <w:pgSz w:w="11906" w:h="16838"/>
      <w:pgMar w:top="1440" w:right="1800" w:bottom="1440" w:left="1800" w:header="851" w:footer="992" w:gutter="0"/>
      <w:pgNumType w:start="5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A0015" w:rsidP="00F16CD2" w14:paraId="2916E51E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8A0015" w14:paraId="1993B5FC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A0015" w:rsidP="00F16CD2" w14:paraId="6E6065C5" w14:textId="764DAFE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8A0015" w14:paraId="26314C29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A0015" w14:paraId="6C8EC9AD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A0015" w:rsidP="00F16CD2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8A0015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A0015" w:rsidP="00F16CD2" w14:textId="764DAFE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8A0015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A0015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A0015" w:rsidP="00F16CD2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8A0015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A0015" w:rsidP="00F16CD2" w14:textId="764DAFE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8A0015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A0015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A0015" w:rsidP="00F16CD2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8A0015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A0015" w:rsidP="00F16CD2" w14:textId="764DAFE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8A0015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A0015" w14:textId="77777777">
    <w:pPr>
      <w:pStyle w:val="Footer"/>
    </w:pP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A0015" w:rsidP="00F16CD2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8A0015" w14:textId="77777777">
    <w:pPr>
      <w:pStyle w:val="Footer"/>
    </w:pP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A0015" w:rsidP="00F16CD2" w14:textId="764DAFE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 w:rsidR="008A0015" w14:textId="77777777">
    <w:pPr>
      <w:pStyle w:val="Footer"/>
    </w:pP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A0015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A0015" w14:paraId="004762F1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A0015" w:rsidRPr="008A0015" w:rsidP="008A0015" w14:paraId="4552506A" w14:textId="3CDBD6C7">
    <w:pPr>
      <w:pStyle w:val="Header"/>
      <w:rPr>
        <w:rFonts w:ascii="仿宋" w:eastAsia="仿宋" w:hAnsi="仿宋"/>
      </w:rPr>
    </w:pPr>
    <w:r w:rsidRPr="008A0015">
      <w:rPr>
        <w:rFonts w:ascii="仿宋" w:eastAsia="仿宋" w:hAnsi="仿宋" w:hint="eastAsia"/>
      </w:rPr>
      <w:t>组合开关企业战略商业风险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A0015" w14:paraId="53BA27D6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A0015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A0015" w:rsidRPr="008A0015" w:rsidP="008A0015" w14:textId="3CDBD6C7">
    <w:pPr>
      <w:pStyle w:val="Header"/>
      <w:rPr>
        <w:rFonts w:ascii="仿宋" w:eastAsia="仿宋" w:hAnsi="仿宋"/>
      </w:rPr>
    </w:pPr>
    <w:r w:rsidRPr="008A0015">
      <w:rPr>
        <w:rFonts w:ascii="仿宋" w:eastAsia="仿宋" w:hAnsi="仿宋" w:hint="eastAsia"/>
      </w:rPr>
      <w:t>组合开关企业战略商业风险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A0015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A0015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A0015" w:rsidRPr="008A0015" w:rsidP="008A0015" w14:textId="3CDBD6C7">
    <w:pPr>
      <w:pStyle w:val="Header"/>
      <w:rPr>
        <w:rFonts w:ascii="仿宋" w:eastAsia="仿宋" w:hAnsi="仿宋"/>
      </w:rPr>
    </w:pPr>
    <w:r w:rsidRPr="008A0015">
      <w:rPr>
        <w:rFonts w:ascii="仿宋" w:eastAsia="仿宋" w:hAnsi="仿宋" w:hint="eastAsia"/>
      </w:rPr>
      <w:t>组合开关企业战略商业风险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A0015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A0015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A0015" w:rsidRPr="008A0015" w:rsidP="008A0015" w14:textId="3CDBD6C7">
    <w:pPr>
      <w:pStyle w:val="Header"/>
      <w:rPr>
        <w:rFonts w:ascii="仿宋" w:eastAsia="仿宋" w:hAnsi="仿宋"/>
      </w:rPr>
    </w:pPr>
    <w:r w:rsidRPr="008A0015">
      <w:rPr>
        <w:rFonts w:ascii="仿宋" w:eastAsia="仿宋" w:hAnsi="仿宋" w:hint="eastAsia"/>
      </w:rPr>
      <w:t>组合开关企业战略商业风险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A0015" w14:textId="77777777">
    <w:pPr>
      <w:pStyle w:val="Head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A0015" w14:textId="77777777">
    <w:pPr>
      <w:pStyle w:val="Header"/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A0015" w:rsidRPr="008A0015" w:rsidP="008A0015" w14:textId="3CDBD6C7">
    <w:pPr>
      <w:pStyle w:val="Header"/>
      <w:rPr>
        <w:rFonts w:ascii="仿宋" w:eastAsia="仿宋" w:hAnsi="仿宋"/>
      </w:rPr>
    </w:pPr>
    <w:r w:rsidRPr="008A0015">
      <w:rPr>
        <w:rFonts w:ascii="仿宋" w:eastAsia="仿宋" w:hAnsi="仿宋" w:hint="eastAsia"/>
      </w:rPr>
      <w:t>组合开关企业战略商业风险</w:t>
    </w: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A0015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0015"/>
    <w:rsid w:val="008A0015"/>
    <w:rsid w:val="00F16CD2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3F6C4A8E"/>
  <w15:chartTrackingRefBased/>
  <w15:docId w15:val="{DD867E88-735F-4177-AAAA-433425461E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8A0015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8A0015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8A0015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8A0015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8A0015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8A0015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8A001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8A0015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8A0015"/>
  </w:style>
  <w:style w:type="paragraph" w:styleId="TOC1">
    <w:name w:val="toc 1"/>
    <w:basedOn w:val="Normal"/>
    <w:next w:val="Normal"/>
    <w:autoRedefine/>
    <w:uiPriority w:val="39"/>
    <w:unhideWhenUsed/>
    <w:rsid w:val="008A0015"/>
  </w:style>
  <w:style w:type="paragraph" w:styleId="TOC2">
    <w:name w:val="toc 2"/>
    <w:basedOn w:val="Normal"/>
    <w:next w:val="Normal"/>
    <w:autoRedefine/>
    <w:uiPriority w:val="39"/>
    <w:unhideWhenUsed/>
    <w:rsid w:val="008A0015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eader" Target="header10.xml" /><Relationship Id="rId23" Type="http://schemas.openxmlformats.org/officeDocument/2006/relationships/header" Target="header11.xml" /><Relationship Id="rId24" Type="http://schemas.openxmlformats.org/officeDocument/2006/relationships/footer" Target="footer10.xml" /><Relationship Id="rId25" Type="http://schemas.openxmlformats.org/officeDocument/2006/relationships/footer" Target="footer11.xml" /><Relationship Id="rId26" Type="http://schemas.openxmlformats.org/officeDocument/2006/relationships/header" Target="header12.xml" /><Relationship Id="rId27" Type="http://schemas.openxmlformats.org/officeDocument/2006/relationships/footer" Target="footer12.xml" /><Relationship Id="rId28" Type="http://schemas.openxmlformats.org/officeDocument/2006/relationships/hyperlink" Target="https://d.book118.com/286122003222010043" TargetMode="External" /><Relationship Id="rId29" Type="http://schemas.openxmlformats.org/officeDocument/2006/relationships/header" Target="header13.xml" /><Relationship Id="rId3" Type="http://schemas.openxmlformats.org/officeDocument/2006/relationships/fontTable" Target="fontTable.xml" /><Relationship Id="rId30" Type="http://schemas.openxmlformats.org/officeDocument/2006/relationships/header" Target="header14.xml" /><Relationship Id="rId31" Type="http://schemas.openxmlformats.org/officeDocument/2006/relationships/footer" Target="footer13.xml" /><Relationship Id="rId32" Type="http://schemas.openxmlformats.org/officeDocument/2006/relationships/footer" Target="footer14.xml" /><Relationship Id="rId33" Type="http://schemas.openxmlformats.org/officeDocument/2006/relationships/header" Target="header15.xml" /><Relationship Id="rId34" Type="http://schemas.openxmlformats.org/officeDocument/2006/relationships/footer" Target="footer15.xml" /><Relationship Id="rId35" Type="http://schemas.openxmlformats.org/officeDocument/2006/relationships/theme" Target="theme/theme1.xml" /><Relationship Id="rId36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4646</Words>
  <Characters>26485</Characters>
  <Application>Microsoft Office Word</Application>
  <DocSecurity>0</DocSecurity>
  <Lines>220</Lines>
  <Paragraphs>62</Paragraphs>
  <ScaleCrop>false</ScaleCrop>
  <Company/>
  <LinksUpToDate>false</LinksUpToDate>
  <CharactersWithSpaces>31069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15655379906@163.com</dc:creator>
  <cp:lastModifiedBy>15655379906@163.com</cp:lastModifiedBy>
  <cp:revision>1</cp:revision>
  <dcterms:created xsi:type="dcterms:W3CDTF">2024-02-04T03:24:00Z</dcterms:created>
  <dcterms:modified xsi:type="dcterms:W3CDTF">2024-02-04T03:25:00Z</dcterms:modified>
</cp:coreProperties>
</file>