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全钢丝子午胎成形机行业相关公司筹备报告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_Toc26165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二、全钢丝子午胎成形机项目概况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(二)、全钢丝子午胎成形机项目提出的理由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(三)、全钢丝子午胎成形机项目选址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(六)、全钢丝子午胎成形机项目投资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eastAsia="zh-CN"/>
          </w:rPr>
          <w:t>(七)、全钢丝子午胎成形机项目进度规划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(九)、全钢丝子午胎成形机项目综合评价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(一)、全钢丝子午胎成形机项目选址原则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(五)、全钢丝子午胎成形机项目选址综合评价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(一)、全钢丝子午胎成形机项目背景分析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(二)、全钢丝子午胎成形机项目建设必要性分析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(五)、全钢丝子午胎成形机项目总投资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_Toc24325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十、全钢丝子午胎成形机项目经济效益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_Toc14243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7" w:history="1">
        <w:r>
          <w:rPr>
            <w:rFonts w:ascii="仿宋" w:eastAsia="仿宋" w:hAnsi="仿宋" w:cs="仿宋" w:hint="eastAsia"/>
            <w:lang w:eastAsia="zh-CN"/>
          </w:rPr>
          <w:t>(三)、全钢丝子午胎成形机项目盈利能力分析</w:t>
        </w:r>
        <w:r>
          <w:tab/>
        </w:r>
        <w:r>
          <w:fldChar w:fldCharType="begin"/>
        </w:r>
        <w:r>
          <w:instrText xml:space="preserve"> PAGEREF _Toc5917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(二)、合作全钢丝子午胎成形机项目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_Toc23439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_Toc16421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十四、全钢丝子午胎成形机项目总结分析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6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82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https://d.book118.com/286152144232010035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全钢丝子午胎成形机行业相关公司筹备报告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全钢丝子午胎成形机行业相关公司筹备报告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全钢丝子午胎成形机行业相关公司筹备报告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全钢丝子午胎成形机行业相关公司筹备报告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全钢丝子午胎成形机行业相关公司筹备报告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6152144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2024-01-01T22:56:00Z</dcterms:created>
  <dcterms:modified xsi:type="dcterms:W3CDTF">2024-01-01T22:57:03Z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C0C79E42B8D043B9A66967588C58C6FA_11</vt:lpwstr>
  </property>
  <property fmtid="{D5CDD505-2E9C-101B-9397-08002B2CF9AE}" pid="3" name="KSOProductBuildVer">
    <vt:lpwstr>2052-12.1.0.16120</vt:lpwstr>
  </property>
</Properties>
</file>