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文化、体育及娱乐用品批发服务项目规划设计蓝图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 w:history="1">
        <w:r>
          <w:rPr>
            <w:rFonts w:ascii="仿宋" w:eastAsia="仿宋" w:hAnsi="仿宋" w:cs="仿宋" w:hint="eastAsia"/>
            <w:lang w:eastAsia="zh-CN"/>
          </w:rPr>
          <w:t>序言</w:t>
        </w:r>
        <w:r>
          <w:tab/>
        </w:r>
        <w:r>
          <w:fldChar w:fldCharType="begin"/>
        </w:r>
        <w:r>
          <w:instrText xml:space="preserve"> PAGEREF _Toc2295 \h </w:instrText>
        </w:r>
        <w:r>
          <w:fldChar w:fldCharType="separate"/>
        </w:r>
        <w:r>
          <w:t>3</w:t>
        </w:r>
        <w:r>
          <w:fldChar w:fldCharType="end"/>
        </w:r>
      </w:hyperlink>
    </w:p>
    <w:p>
      <w:pPr>
        <w:pStyle w:val="TOC1"/>
        <w:tabs>
          <w:tab w:val="right" w:leader="dot" w:pos="8306"/>
        </w:tabs>
      </w:pPr>
      <w:hyperlink w:anchor="_Toc2466" w:history="1">
        <w:r>
          <w:rPr>
            <w:rFonts w:ascii="仿宋" w:eastAsia="仿宋" w:hAnsi="仿宋" w:cs="仿宋" w:hint="eastAsia"/>
            <w:lang w:eastAsia="zh-CN"/>
          </w:rPr>
          <w:t>一、文化、体育及娱乐用品批发服务项目危机管理</w:t>
        </w:r>
        <w:r>
          <w:tab/>
        </w:r>
        <w:r>
          <w:fldChar w:fldCharType="begin"/>
        </w:r>
        <w:r>
          <w:instrText xml:space="preserve"> PAGEREF _Toc2466 \h </w:instrText>
        </w:r>
        <w:r>
          <w:fldChar w:fldCharType="separate"/>
        </w:r>
        <w:r>
          <w:t>3</w:t>
        </w:r>
        <w:r>
          <w:fldChar w:fldCharType="end"/>
        </w:r>
      </w:hyperlink>
    </w:p>
    <w:p>
      <w:pPr>
        <w:pStyle w:val="TOC2"/>
        <w:tabs>
          <w:tab w:val="right" w:leader="dot" w:pos="8306"/>
        </w:tabs>
      </w:pPr>
      <w:hyperlink w:anchor="_Toc9995" w:history="1">
        <w:r>
          <w:rPr>
            <w:rFonts w:ascii="仿宋" w:eastAsia="仿宋" w:hAnsi="仿宋" w:cs="仿宋" w:hint="eastAsia"/>
            <w:lang w:eastAsia="zh-CN"/>
          </w:rPr>
          <w:t>(一)、危机预警与识别</w:t>
        </w:r>
        <w:r>
          <w:tab/>
        </w:r>
        <w:r>
          <w:fldChar w:fldCharType="begin"/>
        </w:r>
        <w:r>
          <w:instrText xml:space="preserve"> PAGEREF _Toc9995 \h </w:instrText>
        </w:r>
        <w:r>
          <w:fldChar w:fldCharType="separate"/>
        </w:r>
        <w:r>
          <w:t>3</w:t>
        </w:r>
        <w:r>
          <w:fldChar w:fldCharType="end"/>
        </w:r>
      </w:hyperlink>
    </w:p>
    <w:p>
      <w:pPr>
        <w:pStyle w:val="TOC2"/>
        <w:tabs>
          <w:tab w:val="right" w:leader="dot" w:pos="8306"/>
        </w:tabs>
      </w:pPr>
      <w:hyperlink w:anchor="_Toc4291" w:history="1">
        <w:r>
          <w:rPr>
            <w:rFonts w:ascii="仿宋" w:eastAsia="仿宋" w:hAnsi="仿宋" w:cs="仿宋" w:hint="eastAsia"/>
            <w:lang w:eastAsia="zh-CN"/>
          </w:rPr>
          <w:t>(二)、危机应对与恢复</w:t>
        </w:r>
        <w:r>
          <w:tab/>
        </w:r>
        <w:r>
          <w:fldChar w:fldCharType="begin"/>
        </w:r>
        <w:r>
          <w:instrText xml:space="preserve"> PAGEREF _Toc4291 \h </w:instrText>
        </w:r>
        <w:r>
          <w:fldChar w:fldCharType="separate"/>
        </w:r>
        <w:r>
          <w:t>4</w:t>
        </w:r>
        <w:r>
          <w:fldChar w:fldCharType="end"/>
        </w:r>
      </w:hyperlink>
    </w:p>
    <w:p>
      <w:pPr>
        <w:pStyle w:val="TOC1"/>
        <w:tabs>
          <w:tab w:val="right" w:leader="dot" w:pos="8306"/>
        </w:tabs>
      </w:pPr>
      <w:hyperlink w:anchor="_Toc27958" w:history="1">
        <w:r>
          <w:rPr>
            <w:rFonts w:ascii="仿宋" w:eastAsia="仿宋" w:hAnsi="仿宋" w:cs="仿宋" w:hint="eastAsia"/>
            <w:lang w:eastAsia="zh-CN"/>
          </w:rPr>
          <w:t>二、产品规划分析</w:t>
        </w:r>
        <w:r>
          <w:tab/>
        </w:r>
        <w:r>
          <w:fldChar w:fldCharType="begin"/>
        </w:r>
        <w:r>
          <w:instrText xml:space="preserve"> PAGEREF _Toc27958 \h </w:instrText>
        </w:r>
        <w:r>
          <w:fldChar w:fldCharType="separate"/>
        </w:r>
        <w:r>
          <w:t>6</w:t>
        </w:r>
        <w:r>
          <w:fldChar w:fldCharType="end"/>
        </w:r>
      </w:hyperlink>
    </w:p>
    <w:p>
      <w:pPr>
        <w:pStyle w:val="TOC2"/>
        <w:tabs>
          <w:tab w:val="right" w:leader="dot" w:pos="8306"/>
        </w:tabs>
      </w:pPr>
      <w:hyperlink w:anchor="_Toc11447" w:history="1">
        <w:r>
          <w:rPr>
            <w:rFonts w:ascii="仿宋" w:eastAsia="仿宋" w:hAnsi="仿宋" w:cs="仿宋" w:hint="eastAsia"/>
            <w:lang w:eastAsia="zh-CN"/>
          </w:rPr>
          <w:t>(一)、产品规划</w:t>
        </w:r>
        <w:r>
          <w:tab/>
        </w:r>
        <w:r>
          <w:fldChar w:fldCharType="begin"/>
        </w:r>
        <w:r>
          <w:instrText xml:space="preserve"> PAGEREF _Toc11447 \h </w:instrText>
        </w:r>
        <w:r>
          <w:fldChar w:fldCharType="separate"/>
        </w:r>
        <w:r>
          <w:t>6</w:t>
        </w:r>
        <w:r>
          <w:fldChar w:fldCharType="end"/>
        </w:r>
      </w:hyperlink>
    </w:p>
    <w:p>
      <w:pPr>
        <w:pStyle w:val="TOC2"/>
        <w:tabs>
          <w:tab w:val="right" w:leader="dot" w:pos="8306"/>
        </w:tabs>
      </w:pPr>
      <w:hyperlink w:anchor="_Toc19095" w:history="1">
        <w:r>
          <w:rPr>
            <w:rFonts w:ascii="仿宋" w:eastAsia="仿宋" w:hAnsi="仿宋" w:cs="仿宋" w:hint="eastAsia"/>
            <w:lang w:eastAsia="zh-CN"/>
          </w:rPr>
          <w:t>(二)、建设规模</w:t>
        </w:r>
        <w:r>
          <w:tab/>
        </w:r>
        <w:r>
          <w:fldChar w:fldCharType="begin"/>
        </w:r>
        <w:r>
          <w:instrText xml:space="preserve"> PAGEREF _Toc19095 \h </w:instrText>
        </w:r>
        <w:r>
          <w:fldChar w:fldCharType="separate"/>
        </w:r>
        <w:r>
          <w:t>7</w:t>
        </w:r>
        <w:r>
          <w:fldChar w:fldCharType="end"/>
        </w:r>
      </w:hyperlink>
    </w:p>
    <w:p>
      <w:pPr>
        <w:pStyle w:val="TOC1"/>
        <w:tabs>
          <w:tab w:val="right" w:leader="dot" w:pos="8306"/>
        </w:tabs>
      </w:pPr>
      <w:hyperlink w:anchor="_Toc2817" w:history="1">
        <w:r>
          <w:rPr>
            <w:rFonts w:ascii="仿宋" w:eastAsia="仿宋" w:hAnsi="仿宋" w:cs="仿宋" w:hint="eastAsia"/>
            <w:lang w:eastAsia="zh-CN"/>
          </w:rPr>
          <w:t>三、文化、体育及娱乐用品批发服务项目可持续发展</w:t>
        </w:r>
        <w:r>
          <w:tab/>
        </w:r>
        <w:r>
          <w:fldChar w:fldCharType="begin"/>
        </w:r>
        <w:r>
          <w:instrText xml:space="preserve"> PAGEREF _Toc2817 \h </w:instrText>
        </w:r>
        <w:r>
          <w:fldChar w:fldCharType="separate"/>
        </w:r>
        <w:r>
          <w:t>8</w:t>
        </w:r>
        <w:r>
          <w:fldChar w:fldCharType="end"/>
        </w:r>
      </w:hyperlink>
    </w:p>
    <w:p>
      <w:pPr>
        <w:pStyle w:val="TOC2"/>
        <w:tabs>
          <w:tab w:val="right" w:leader="dot" w:pos="8306"/>
        </w:tabs>
      </w:pPr>
      <w:hyperlink w:anchor="_Toc11797" w:history="1">
        <w:r>
          <w:rPr>
            <w:rFonts w:ascii="仿宋" w:eastAsia="仿宋" w:hAnsi="仿宋" w:cs="仿宋" w:hint="eastAsia"/>
            <w:lang w:eastAsia="zh-CN"/>
          </w:rPr>
          <w:t>(一)、可持续战略与实践</w:t>
        </w:r>
        <w:r>
          <w:tab/>
        </w:r>
        <w:r>
          <w:fldChar w:fldCharType="begin"/>
        </w:r>
        <w:r>
          <w:instrText xml:space="preserve"> PAGEREF _Toc11797 \h </w:instrText>
        </w:r>
        <w:r>
          <w:fldChar w:fldCharType="separate"/>
        </w:r>
        <w:r>
          <w:t>8</w:t>
        </w:r>
        <w:r>
          <w:fldChar w:fldCharType="end"/>
        </w:r>
      </w:hyperlink>
    </w:p>
    <w:p>
      <w:pPr>
        <w:pStyle w:val="TOC2"/>
        <w:tabs>
          <w:tab w:val="right" w:leader="dot" w:pos="8306"/>
        </w:tabs>
      </w:pPr>
      <w:hyperlink w:anchor="_Toc16530" w:history="1">
        <w:r>
          <w:rPr>
            <w:rFonts w:ascii="仿宋" w:eastAsia="仿宋" w:hAnsi="仿宋" w:cs="仿宋" w:hint="eastAsia"/>
            <w:lang w:eastAsia="zh-CN"/>
          </w:rPr>
          <w:t>(二)、环保与社会责任</w:t>
        </w:r>
        <w:r>
          <w:tab/>
        </w:r>
        <w:r>
          <w:fldChar w:fldCharType="begin"/>
        </w:r>
        <w:r>
          <w:instrText xml:space="preserve"> PAGEREF _Toc16530 \h </w:instrText>
        </w:r>
        <w:r>
          <w:fldChar w:fldCharType="separate"/>
        </w:r>
        <w:r>
          <w:t>9</w:t>
        </w:r>
        <w:r>
          <w:fldChar w:fldCharType="end"/>
        </w:r>
      </w:hyperlink>
    </w:p>
    <w:p>
      <w:pPr>
        <w:pStyle w:val="TOC1"/>
        <w:tabs>
          <w:tab w:val="right" w:leader="dot" w:pos="8306"/>
        </w:tabs>
      </w:pPr>
      <w:hyperlink w:anchor="_Toc23520" w:history="1">
        <w:r>
          <w:rPr>
            <w:rFonts w:ascii="仿宋" w:eastAsia="仿宋" w:hAnsi="仿宋" w:cs="仿宋" w:hint="eastAsia"/>
            <w:lang w:eastAsia="zh-CN"/>
          </w:rPr>
          <w:t>四、文化、体育及娱乐用品批发服务项目概论</w:t>
        </w:r>
        <w:r>
          <w:tab/>
        </w:r>
        <w:r>
          <w:fldChar w:fldCharType="begin"/>
        </w:r>
        <w:r>
          <w:instrText xml:space="preserve"> PAGEREF _Toc23520 \h </w:instrText>
        </w:r>
        <w:r>
          <w:fldChar w:fldCharType="separate"/>
        </w:r>
        <w:r>
          <w:t>10</w:t>
        </w:r>
        <w:r>
          <w:fldChar w:fldCharType="end"/>
        </w:r>
      </w:hyperlink>
    </w:p>
    <w:p>
      <w:pPr>
        <w:pStyle w:val="TOC2"/>
        <w:tabs>
          <w:tab w:val="right" w:leader="dot" w:pos="8306"/>
        </w:tabs>
      </w:pPr>
      <w:hyperlink w:anchor="_Toc32726" w:history="1">
        <w:r>
          <w:rPr>
            <w:rFonts w:ascii="仿宋" w:eastAsia="仿宋" w:hAnsi="仿宋" w:cs="仿宋" w:hint="eastAsia"/>
            <w:lang w:eastAsia="zh-CN"/>
          </w:rPr>
          <w:t>(一)、文化、体育及娱乐用品批发服务项目概况</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10182" w:history="1">
        <w:r>
          <w:rPr>
            <w:rFonts w:ascii="仿宋" w:eastAsia="仿宋" w:hAnsi="仿宋" w:cs="仿宋" w:hint="eastAsia"/>
            <w:lang w:eastAsia="zh-CN"/>
          </w:rPr>
          <w:t>(二)、文化、体育及娱乐用品批发服务项目目标</w:t>
        </w:r>
        <w:r>
          <w:tab/>
        </w:r>
        <w:r>
          <w:fldChar w:fldCharType="begin"/>
        </w:r>
        <w:r>
          <w:instrText xml:space="preserve"> PAGEREF _Toc10182 \h </w:instrText>
        </w:r>
        <w:r>
          <w:fldChar w:fldCharType="separate"/>
        </w:r>
        <w:r>
          <w:t>12</w:t>
        </w:r>
        <w:r>
          <w:fldChar w:fldCharType="end"/>
        </w:r>
      </w:hyperlink>
    </w:p>
    <w:p>
      <w:pPr>
        <w:pStyle w:val="TOC2"/>
        <w:tabs>
          <w:tab w:val="right" w:leader="dot" w:pos="8306"/>
        </w:tabs>
      </w:pPr>
      <w:hyperlink w:anchor="_Toc21545" w:history="1">
        <w:r>
          <w:rPr>
            <w:rFonts w:ascii="仿宋" w:eastAsia="仿宋" w:hAnsi="仿宋" w:cs="仿宋" w:hint="eastAsia"/>
            <w:lang w:eastAsia="zh-CN"/>
          </w:rPr>
          <w:t>(三)、文化、体育及娱乐用品批发服务项目提出的理由</w:t>
        </w:r>
        <w:r>
          <w:tab/>
        </w:r>
        <w:r>
          <w:fldChar w:fldCharType="begin"/>
        </w:r>
        <w:r>
          <w:instrText xml:space="preserve"> PAGEREF _Toc21545 \h </w:instrText>
        </w:r>
        <w:r>
          <w:fldChar w:fldCharType="separate"/>
        </w:r>
        <w:r>
          <w:t>13</w:t>
        </w:r>
        <w:r>
          <w:fldChar w:fldCharType="end"/>
        </w:r>
      </w:hyperlink>
    </w:p>
    <w:p>
      <w:pPr>
        <w:pStyle w:val="TOC2"/>
        <w:tabs>
          <w:tab w:val="right" w:leader="dot" w:pos="8306"/>
        </w:tabs>
      </w:pPr>
      <w:hyperlink w:anchor="_Toc854" w:history="1">
        <w:r>
          <w:rPr>
            <w:rFonts w:ascii="仿宋" w:eastAsia="仿宋" w:hAnsi="仿宋" w:cs="仿宋" w:hint="eastAsia"/>
            <w:lang w:eastAsia="zh-CN"/>
          </w:rPr>
          <w:t>(四)、文化、体育及娱乐用品批发服务项目意义</w:t>
        </w:r>
        <w:r>
          <w:tab/>
        </w:r>
        <w:r>
          <w:fldChar w:fldCharType="begin"/>
        </w:r>
        <w:r>
          <w:instrText xml:space="preserve"> PAGEREF _Toc854 \h </w:instrText>
        </w:r>
        <w:r>
          <w:fldChar w:fldCharType="separate"/>
        </w:r>
        <w:r>
          <w:t>15</w:t>
        </w:r>
        <w:r>
          <w:fldChar w:fldCharType="end"/>
        </w:r>
      </w:hyperlink>
    </w:p>
    <w:p>
      <w:pPr>
        <w:pStyle w:val="TOC2"/>
        <w:tabs>
          <w:tab w:val="right" w:leader="dot" w:pos="8306"/>
        </w:tabs>
      </w:pPr>
      <w:hyperlink w:anchor="_Toc13824" w:history="1">
        <w:r>
          <w:rPr>
            <w:rFonts w:ascii="仿宋" w:eastAsia="仿宋" w:hAnsi="仿宋" w:cs="仿宋" w:hint="eastAsia"/>
            <w:lang w:eastAsia="zh-CN"/>
          </w:rPr>
          <w:t>(五)、文化、体育及娱乐用品批发服务项目背景</w:t>
        </w:r>
        <w:r>
          <w:tab/>
        </w:r>
        <w:r>
          <w:fldChar w:fldCharType="begin"/>
        </w:r>
        <w:r>
          <w:instrText xml:space="preserve"> PAGEREF _Toc13824 \h </w:instrText>
        </w:r>
        <w:r>
          <w:fldChar w:fldCharType="separate"/>
        </w:r>
        <w:r>
          <w:t>16</w:t>
        </w:r>
        <w:r>
          <w:fldChar w:fldCharType="end"/>
        </w:r>
      </w:hyperlink>
    </w:p>
    <w:p>
      <w:pPr>
        <w:pStyle w:val="TOC1"/>
        <w:tabs>
          <w:tab w:val="right" w:leader="dot" w:pos="8306"/>
        </w:tabs>
      </w:pPr>
      <w:hyperlink w:anchor="_Toc1506" w:history="1">
        <w:r>
          <w:rPr>
            <w:rFonts w:ascii="仿宋" w:eastAsia="仿宋" w:hAnsi="仿宋" w:cs="仿宋" w:hint="eastAsia"/>
            <w:lang w:eastAsia="zh-CN"/>
          </w:rPr>
          <w:t>五、文化、体育及娱乐用品批发服务项目绩效评估</w:t>
        </w:r>
        <w:r>
          <w:tab/>
        </w:r>
        <w:r>
          <w:fldChar w:fldCharType="begin"/>
        </w:r>
        <w:r>
          <w:instrText xml:space="preserve"> PAGEREF _Toc1506 \h </w:instrText>
        </w:r>
        <w:r>
          <w:fldChar w:fldCharType="separate"/>
        </w:r>
        <w:r>
          <w:t>17</w:t>
        </w:r>
        <w:r>
          <w:fldChar w:fldCharType="end"/>
        </w:r>
      </w:hyperlink>
    </w:p>
    <w:p>
      <w:pPr>
        <w:pStyle w:val="TOC2"/>
        <w:tabs>
          <w:tab w:val="right" w:leader="dot" w:pos="8306"/>
        </w:tabs>
      </w:pPr>
      <w:hyperlink w:anchor="_Toc9544" w:history="1">
        <w:r>
          <w:rPr>
            <w:rFonts w:ascii="仿宋" w:eastAsia="仿宋" w:hAnsi="仿宋" w:cs="仿宋" w:hint="eastAsia"/>
            <w:lang w:eastAsia="zh-CN"/>
          </w:rPr>
          <w:t>(一)、绩效评估指标</w:t>
        </w:r>
        <w:r>
          <w:tab/>
        </w:r>
        <w:r>
          <w:fldChar w:fldCharType="begin"/>
        </w:r>
        <w:r>
          <w:instrText xml:space="preserve"> PAGEREF _Toc9544 \h </w:instrText>
        </w:r>
        <w:r>
          <w:fldChar w:fldCharType="separate"/>
        </w:r>
        <w:r>
          <w:t>17</w:t>
        </w:r>
        <w:r>
          <w:fldChar w:fldCharType="end"/>
        </w:r>
      </w:hyperlink>
    </w:p>
    <w:p>
      <w:pPr>
        <w:pStyle w:val="TOC2"/>
        <w:tabs>
          <w:tab w:val="right" w:leader="dot" w:pos="8306"/>
        </w:tabs>
      </w:pPr>
      <w:hyperlink w:anchor="_Toc1511" w:history="1">
        <w:r>
          <w:rPr>
            <w:rFonts w:ascii="仿宋" w:eastAsia="仿宋" w:hAnsi="仿宋" w:cs="仿宋" w:hint="eastAsia"/>
            <w:lang w:eastAsia="zh-CN"/>
          </w:rPr>
          <w:t>(二)、绩效评估方法</w:t>
        </w:r>
        <w:r>
          <w:tab/>
        </w:r>
        <w:r>
          <w:fldChar w:fldCharType="begin"/>
        </w:r>
        <w:r>
          <w:instrText xml:space="preserve"> PAGEREF _Toc1511 \h </w:instrText>
        </w:r>
        <w:r>
          <w:fldChar w:fldCharType="separate"/>
        </w:r>
        <w:r>
          <w:t>19</w:t>
        </w:r>
        <w:r>
          <w:fldChar w:fldCharType="end"/>
        </w:r>
      </w:hyperlink>
    </w:p>
    <w:p>
      <w:pPr>
        <w:pStyle w:val="TOC2"/>
        <w:tabs>
          <w:tab w:val="right" w:leader="dot" w:pos="8306"/>
        </w:tabs>
      </w:pPr>
      <w:hyperlink w:anchor="_Toc9158" w:history="1">
        <w:r>
          <w:rPr>
            <w:rFonts w:ascii="仿宋" w:eastAsia="仿宋" w:hAnsi="仿宋" w:cs="仿宋" w:hint="eastAsia"/>
            <w:lang w:eastAsia="zh-CN"/>
          </w:rPr>
          <w:t>(三)、绩效评估周期</w:t>
        </w:r>
        <w:r>
          <w:tab/>
        </w:r>
        <w:r>
          <w:fldChar w:fldCharType="begin"/>
        </w:r>
        <w:r>
          <w:instrText xml:space="preserve"> PAGEREF _Toc9158 \h </w:instrText>
        </w:r>
        <w:r>
          <w:fldChar w:fldCharType="separate"/>
        </w:r>
        <w:r>
          <w:t>20</w:t>
        </w:r>
        <w:r>
          <w:fldChar w:fldCharType="end"/>
        </w:r>
      </w:hyperlink>
    </w:p>
    <w:p>
      <w:pPr>
        <w:pStyle w:val="TOC1"/>
        <w:tabs>
          <w:tab w:val="right" w:leader="dot" w:pos="8306"/>
        </w:tabs>
      </w:pPr>
      <w:hyperlink w:anchor="_Toc22117" w:history="1">
        <w:r>
          <w:rPr>
            <w:rFonts w:ascii="仿宋" w:eastAsia="仿宋" w:hAnsi="仿宋" w:cs="仿宋" w:hint="eastAsia"/>
            <w:lang w:eastAsia="zh-CN"/>
          </w:rPr>
          <w:t>六、文化、体育及娱乐用品批发服务项目文档管理</w:t>
        </w:r>
        <w:r>
          <w:tab/>
        </w:r>
        <w:r>
          <w:fldChar w:fldCharType="begin"/>
        </w:r>
        <w:r>
          <w:instrText xml:space="preserve"> PAGEREF _Toc22117 \h </w:instrText>
        </w:r>
        <w:r>
          <w:fldChar w:fldCharType="separate"/>
        </w:r>
        <w:r>
          <w:t>21</w:t>
        </w:r>
        <w:r>
          <w:fldChar w:fldCharType="end"/>
        </w:r>
      </w:hyperlink>
    </w:p>
    <w:p>
      <w:pPr>
        <w:pStyle w:val="TOC2"/>
        <w:tabs>
          <w:tab w:val="right" w:leader="dot" w:pos="8306"/>
        </w:tabs>
      </w:pPr>
      <w:hyperlink w:anchor="_Toc30595" w:history="1">
        <w:r>
          <w:rPr>
            <w:rFonts w:ascii="仿宋" w:eastAsia="仿宋" w:hAnsi="仿宋" w:cs="仿宋" w:hint="eastAsia"/>
            <w:lang w:eastAsia="zh-CN"/>
          </w:rPr>
          <w:t>(一)、文档编制与审查</w:t>
        </w:r>
        <w:r>
          <w:tab/>
        </w:r>
        <w:r>
          <w:fldChar w:fldCharType="begin"/>
        </w:r>
        <w:r>
          <w:instrText xml:space="preserve"> PAGEREF _Toc30595 \h </w:instrText>
        </w:r>
        <w:r>
          <w:fldChar w:fldCharType="separate"/>
        </w:r>
        <w:r>
          <w:t>21</w:t>
        </w:r>
        <w:r>
          <w:fldChar w:fldCharType="end"/>
        </w:r>
      </w:hyperlink>
    </w:p>
    <w:p>
      <w:pPr>
        <w:pStyle w:val="TOC2"/>
        <w:tabs>
          <w:tab w:val="right" w:leader="dot" w:pos="8306"/>
        </w:tabs>
      </w:pPr>
      <w:hyperlink w:anchor="_Toc4131" w:history="1">
        <w:r>
          <w:rPr>
            <w:rFonts w:ascii="仿宋" w:eastAsia="仿宋" w:hAnsi="仿宋" w:cs="仿宋" w:hint="eastAsia"/>
            <w:lang w:eastAsia="zh-CN"/>
          </w:rPr>
          <w:t>(二)、文档发布与分发</w:t>
        </w:r>
        <w:r>
          <w:tab/>
        </w:r>
        <w:r>
          <w:fldChar w:fldCharType="begin"/>
        </w:r>
        <w:r>
          <w:instrText xml:space="preserve"> PAGEREF _Toc4131 \h </w:instrText>
        </w:r>
        <w:r>
          <w:fldChar w:fldCharType="separate"/>
        </w:r>
        <w:r>
          <w:t>23</w:t>
        </w:r>
        <w:r>
          <w:fldChar w:fldCharType="end"/>
        </w:r>
      </w:hyperlink>
    </w:p>
    <w:p>
      <w:pPr>
        <w:pStyle w:val="TOC2"/>
        <w:tabs>
          <w:tab w:val="right" w:leader="dot" w:pos="8306"/>
        </w:tabs>
      </w:pPr>
      <w:hyperlink w:anchor="_Toc7560" w:history="1">
        <w:r>
          <w:rPr>
            <w:rFonts w:ascii="仿宋" w:eastAsia="仿宋" w:hAnsi="仿宋" w:cs="仿宋" w:hint="eastAsia"/>
            <w:lang w:eastAsia="zh-CN"/>
          </w:rPr>
          <w:t>(三)、文档存档与归档</w:t>
        </w:r>
        <w:r>
          <w:tab/>
        </w:r>
        <w:r>
          <w:fldChar w:fldCharType="begin"/>
        </w:r>
        <w:r>
          <w:instrText xml:space="preserve"> PAGEREF _Toc7560 \h </w:instrText>
        </w:r>
        <w:r>
          <w:fldChar w:fldCharType="separate"/>
        </w:r>
        <w:r>
          <w:t>23</w:t>
        </w:r>
        <w:r>
          <w:fldChar w:fldCharType="end"/>
        </w:r>
      </w:hyperlink>
    </w:p>
    <w:p>
      <w:pPr>
        <w:pStyle w:val="TOC1"/>
        <w:tabs>
          <w:tab w:val="right" w:leader="dot" w:pos="8306"/>
        </w:tabs>
      </w:pPr>
      <w:hyperlink w:anchor="_Toc19963" w:history="1">
        <w:r>
          <w:rPr>
            <w:rFonts w:ascii="仿宋" w:eastAsia="仿宋" w:hAnsi="仿宋" w:cs="仿宋" w:hint="eastAsia"/>
            <w:lang w:eastAsia="zh-CN"/>
          </w:rPr>
          <w:t>七、文化、体育及娱乐用品批发服务项目财务管理</w:t>
        </w:r>
        <w:r>
          <w:tab/>
        </w:r>
        <w:r>
          <w:fldChar w:fldCharType="begin"/>
        </w:r>
        <w:r>
          <w:instrText xml:space="preserve"> PAGEREF _Toc19963 \h </w:instrText>
        </w:r>
        <w:r>
          <w:fldChar w:fldCharType="separate"/>
        </w:r>
        <w:r>
          <w:t>25</w:t>
        </w:r>
        <w:r>
          <w:fldChar w:fldCharType="end"/>
        </w:r>
      </w:hyperlink>
    </w:p>
    <w:p>
      <w:pPr>
        <w:pStyle w:val="TOC2"/>
        <w:tabs>
          <w:tab w:val="right" w:leader="dot" w:pos="8306"/>
        </w:tabs>
      </w:pPr>
      <w:hyperlink w:anchor="_Toc22383" w:history="1">
        <w:r>
          <w:rPr>
            <w:rFonts w:ascii="仿宋" w:eastAsia="仿宋" w:hAnsi="仿宋" w:cs="仿宋" w:hint="eastAsia"/>
            <w:lang w:eastAsia="zh-CN"/>
          </w:rPr>
          <w:t>(一)、资金需求大</w:t>
        </w:r>
        <w:r>
          <w:tab/>
        </w:r>
        <w:r>
          <w:fldChar w:fldCharType="begin"/>
        </w:r>
        <w:r>
          <w:instrText xml:space="preserve"> PAGEREF _Toc22383 \h </w:instrText>
        </w:r>
        <w:r>
          <w:fldChar w:fldCharType="separate"/>
        </w:r>
        <w:r>
          <w:t>25</w:t>
        </w:r>
        <w:r>
          <w:fldChar w:fldCharType="end"/>
        </w:r>
      </w:hyperlink>
    </w:p>
    <w:p>
      <w:pPr>
        <w:pStyle w:val="TOC2"/>
        <w:tabs>
          <w:tab w:val="right" w:leader="dot" w:pos="8306"/>
        </w:tabs>
      </w:pPr>
      <w:hyperlink w:anchor="_Toc15518" w:history="1">
        <w:r>
          <w:rPr>
            <w:rFonts w:ascii="仿宋" w:eastAsia="仿宋" w:hAnsi="仿宋" w:cs="仿宋" w:hint="eastAsia"/>
            <w:lang w:eastAsia="zh-CN"/>
          </w:rPr>
          <w:t>(二)、研发周期长</w:t>
        </w:r>
        <w:r>
          <w:tab/>
        </w:r>
        <w:r>
          <w:fldChar w:fldCharType="begin"/>
        </w:r>
        <w:r>
          <w:instrText xml:space="preserve"> PAGEREF _Toc15518 \h </w:instrText>
        </w:r>
        <w:r>
          <w:fldChar w:fldCharType="separate"/>
        </w:r>
        <w:r>
          <w:t>26</w:t>
        </w:r>
        <w:r>
          <w:fldChar w:fldCharType="end"/>
        </w:r>
      </w:hyperlink>
    </w:p>
    <w:p>
      <w:pPr>
        <w:pStyle w:val="TOC2"/>
        <w:tabs>
          <w:tab w:val="right" w:leader="dot" w:pos="8306"/>
        </w:tabs>
      </w:pPr>
      <w:hyperlink w:anchor="_Toc21146" w:history="1">
        <w:r>
          <w:rPr>
            <w:rFonts w:ascii="仿宋" w:eastAsia="仿宋" w:hAnsi="仿宋" w:cs="仿宋" w:hint="eastAsia"/>
            <w:lang w:eastAsia="zh-CN"/>
          </w:rPr>
          <w:t>(三)、市场风险大</w:t>
        </w:r>
        <w:r>
          <w:tab/>
        </w:r>
        <w:r>
          <w:fldChar w:fldCharType="begin"/>
        </w:r>
        <w:r>
          <w:instrText xml:space="preserve"> PAGEREF _Toc21146 \h </w:instrText>
        </w:r>
        <w:r>
          <w:fldChar w:fldCharType="separate"/>
        </w:r>
        <w:r>
          <w:t>27</w:t>
        </w:r>
        <w:r>
          <w:fldChar w:fldCharType="end"/>
        </w:r>
      </w:hyperlink>
    </w:p>
    <w:p>
      <w:pPr>
        <w:pStyle w:val="TOC2"/>
        <w:tabs>
          <w:tab w:val="right" w:leader="dot" w:pos="8306"/>
        </w:tabs>
      </w:pPr>
      <w:hyperlink w:anchor="_Toc8570" w:history="1">
        <w:r>
          <w:rPr>
            <w:rFonts w:ascii="仿宋" w:eastAsia="仿宋" w:hAnsi="仿宋" w:cs="仿宋" w:hint="eastAsia"/>
            <w:lang w:eastAsia="zh-CN"/>
          </w:rPr>
          <w:t>(四)、利润率高</w:t>
        </w:r>
        <w:r>
          <w:tab/>
        </w:r>
        <w:r>
          <w:fldChar w:fldCharType="begin"/>
        </w:r>
        <w:r>
          <w:instrText xml:space="preserve"> PAGEREF _Toc8570 \h </w:instrText>
        </w:r>
        <w:r>
          <w:fldChar w:fldCharType="separate"/>
        </w:r>
        <w:r>
          <w:t>30</w:t>
        </w:r>
        <w:r>
          <w:fldChar w:fldCharType="end"/>
        </w:r>
      </w:hyperlink>
    </w:p>
    <w:p>
      <w:pPr>
        <w:pStyle w:val="TOC1"/>
        <w:tabs>
          <w:tab w:val="right" w:leader="dot" w:pos="8306"/>
        </w:tabs>
      </w:pPr>
      <w:hyperlink w:anchor="_Toc7698" w:history="1">
        <w:r>
          <w:rPr>
            <w:rFonts w:ascii="仿宋" w:eastAsia="仿宋" w:hAnsi="仿宋" w:cs="仿宋" w:hint="eastAsia"/>
            <w:lang w:eastAsia="zh-CN"/>
          </w:rPr>
          <w:t>八、生产安全保护</w:t>
        </w:r>
        <w:r>
          <w:tab/>
        </w:r>
        <w:r>
          <w:fldChar w:fldCharType="begin"/>
        </w:r>
        <w:r>
          <w:instrText xml:space="preserve"> PAGEREF _Toc7698 \h </w:instrText>
        </w:r>
        <w:r>
          <w:fldChar w:fldCharType="separate"/>
        </w:r>
        <w:r>
          <w:t>32</w:t>
        </w:r>
        <w:r>
          <w:fldChar w:fldCharType="end"/>
        </w:r>
      </w:hyperlink>
    </w:p>
    <w:p>
      <w:pPr>
        <w:pStyle w:val="TOC2"/>
        <w:tabs>
          <w:tab w:val="right" w:leader="dot" w:pos="8306"/>
        </w:tabs>
      </w:pPr>
      <w:hyperlink w:anchor="_Toc22934" w:history="1">
        <w:r>
          <w:rPr>
            <w:rFonts w:ascii="仿宋" w:eastAsia="仿宋" w:hAnsi="仿宋" w:cs="仿宋" w:hint="eastAsia"/>
            <w:lang w:eastAsia="zh-CN"/>
          </w:rPr>
          <w:t>(一)、消防安全</w:t>
        </w:r>
        <w:r>
          <w:tab/>
        </w:r>
        <w:r>
          <w:fldChar w:fldCharType="begin"/>
        </w:r>
        <w:r>
          <w:instrText xml:space="preserve"> PAGEREF _Toc22934 \h </w:instrText>
        </w:r>
        <w:r>
          <w:fldChar w:fldCharType="separate"/>
        </w:r>
        <w:r>
          <w:t>32</w:t>
        </w:r>
        <w:r>
          <w:fldChar w:fldCharType="end"/>
        </w:r>
      </w:hyperlink>
    </w:p>
    <w:p>
      <w:pPr>
        <w:pStyle w:val="TOC2"/>
        <w:tabs>
          <w:tab w:val="right" w:leader="dot" w:pos="8306"/>
        </w:tabs>
      </w:pPr>
      <w:hyperlink w:anchor="_Toc3155" w:history="1">
        <w:r>
          <w:rPr>
            <w:rFonts w:ascii="仿宋" w:eastAsia="仿宋" w:hAnsi="仿宋" w:cs="仿宋" w:hint="eastAsia"/>
            <w:lang w:eastAsia="zh-CN"/>
          </w:rPr>
          <w:t>(二)、防火防爆总图布置措施</w:t>
        </w:r>
        <w:r>
          <w:tab/>
        </w:r>
        <w:r>
          <w:fldChar w:fldCharType="begin"/>
        </w:r>
        <w:r>
          <w:instrText xml:space="preserve"> PAGEREF _Toc3155 \h </w:instrText>
        </w:r>
        <w:r>
          <w:fldChar w:fldCharType="separate"/>
        </w:r>
        <w:r>
          <w:t>34</w:t>
        </w:r>
        <w:r>
          <w:fldChar w:fldCharType="end"/>
        </w:r>
      </w:hyperlink>
    </w:p>
    <w:p>
      <w:pPr>
        <w:pStyle w:val="TOC2"/>
        <w:tabs>
          <w:tab w:val="right" w:leader="dot" w:pos="8306"/>
        </w:tabs>
      </w:pPr>
      <w:hyperlink w:anchor="_Toc6319" w:history="1">
        <w:r>
          <w:rPr>
            <w:rFonts w:ascii="仿宋" w:eastAsia="仿宋" w:hAnsi="仿宋" w:cs="仿宋" w:hint="eastAsia"/>
            <w:lang w:eastAsia="zh-CN"/>
          </w:rPr>
          <w:t>(三)、自然灾害防范措施</w:t>
        </w:r>
        <w:r>
          <w:tab/>
        </w:r>
        <w:r>
          <w:fldChar w:fldCharType="begin"/>
        </w:r>
        <w:r>
          <w:instrText xml:space="preserve"> PAGEREF _Toc6319 \h </w:instrText>
        </w:r>
        <w:r>
          <w:fldChar w:fldCharType="separate"/>
        </w:r>
        <w:r>
          <w:t>35</w:t>
        </w:r>
        <w:r>
          <w:fldChar w:fldCharType="end"/>
        </w:r>
      </w:hyperlink>
    </w:p>
    <w:p>
      <w:pPr>
        <w:pStyle w:val="TOC2"/>
        <w:tabs>
          <w:tab w:val="right" w:leader="dot" w:pos="8306"/>
        </w:tabs>
      </w:pPr>
      <w:hyperlink w:anchor="_Toc18583" w:history="1">
        <w:r>
          <w:rPr>
            <w:rFonts w:ascii="仿宋" w:eastAsia="仿宋" w:hAnsi="仿宋" w:cs="仿宋" w:hint="eastAsia"/>
            <w:lang w:eastAsia="zh-CN"/>
          </w:rPr>
          <w:t>(四)、安全色及安全标志使用要求</w:t>
        </w:r>
        <w:r>
          <w:tab/>
        </w:r>
        <w:r>
          <w:fldChar w:fldCharType="begin"/>
        </w:r>
        <w:r>
          <w:instrText xml:space="preserve"> PAGEREF _Toc18583 \h </w:instrText>
        </w:r>
        <w:r>
          <w:fldChar w:fldCharType="separate"/>
        </w:r>
        <w:r>
          <w:t>36</w:t>
        </w:r>
        <w:r>
          <w:fldChar w:fldCharType="end"/>
        </w:r>
      </w:hyperlink>
    </w:p>
    <w:p>
      <w:pPr>
        <w:pStyle w:val="TOC2"/>
        <w:tabs>
          <w:tab w:val="right" w:leader="dot" w:pos="8306"/>
        </w:tabs>
      </w:pPr>
      <w:hyperlink w:anchor="_Toc12758" w:history="1">
        <w:r>
          <w:rPr>
            <w:rFonts w:ascii="仿宋" w:eastAsia="仿宋" w:hAnsi="仿宋" w:cs="仿宋" w:hint="eastAsia"/>
            <w:lang w:eastAsia="zh-CN"/>
          </w:rPr>
          <w:t>(五)、防尘防毒措施</w:t>
        </w:r>
        <w:r>
          <w:tab/>
        </w:r>
        <w:r>
          <w:fldChar w:fldCharType="begin"/>
        </w:r>
        <w:r>
          <w:instrText xml:space="preserve"> PAGEREF _Toc12758 \h </w:instrText>
        </w:r>
        <w:r>
          <w:fldChar w:fldCharType="separate"/>
        </w:r>
        <w:r>
          <w:t>37</w:t>
        </w:r>
        <w:r>
          <w:fldChar w:fldCharType="end"/>
        </w:r>
      </w:hyperlink>
    </w:p>
    <w:p>
      <w:pPr>
        <w:pStyle w:val="TOC2"/>
        <w:tabs>
          <w:tab w:val="right" w:leader="dot" w:pos="8306"/>
        </w:tabs>
      </w:pPr>
      <w:hyperlink w:anchor="_Toc25440" w:history="1">
        <w:r>
          <w:rPr>
            <w:rFonts w:ascii="仿宋" w:eastAsia="仿宋" w:hAnsi="仿宋" w:cs="仿宋" w:hint="eastAsia"/>
            <w:lang w:eastAsia="zh-CN"/>
          </w:rPr>
          <w:t>(六)、防静电、触电防护及防雷措施</w:t>
        </w:r>
        <w:r>
          <w:tab/>
        </w:r>
        <w:r>
          <w:fldChar w:fldCharType="begin"/>
        </w:r>
        <w:r>
          <w:instrText xml:space="preserve"> PAGEREF _Toc25440 \h </w:instrText>
        </w:r>
        <w:r>
          <w:fldChar w:fldCharType="separate"/>
        </w:r>
        <w:r>
          <w:t>39</w:t>
        </w:r>
        <w:r>
          <w:fldChar w:fldCharType="end"/>
        </w:r>
      </w:hyperlink>
    </w:p>
    <w:p>
      <w:pPr>
        <w:pStyle w:val="TOC2"/>
        <w:tabs>
          <w:tab w:val="right" w:leader="dot" w:pos="8306"/>
        </w:tabs>
      </w:pPr>
      <w:hyperlink w:anchor="_Toc15965" w:history="1">
        <w:r>
          <w:rPr>
            <w:rFonts w:ascii="仿宋" w:eastAsia="仿宋" w:hAnsi="仿宋" w:cs="仿宋" w:hint="eastAsia"/>
            <w:lang w:eastAsia="zh-CN"/>
          </w:rPr>
          <w:t>(七)、机械设备安全保障措施</w:t>
        </w:r>
        <w:r>
          <w:tab/>
        </w:r>
        <w:r>
          <w:fldChar w:fldCharType="begin"/>
        </w:r>
        <w:r>
          <w:instrText xml:space="preserve"> PAGEREF _Toc15965 \h </w:instrText>
        </w:r>
        <w:r>
          <w:fldChar w:fldCharType="separate"/>
        </w:r>
        <w:r>
          <w:t>40</w:t>
        </w:r>
        <w:r>
          <w:fldChar w:fldCharType="end"/>
        </w:r>
      </w:hyperlink>
    </w:p>
    <w:p>
      <w:pPr>
        <w:pStyle w:val="TOC1"/>
        <w:tabs>
          <w:tab w:val="right" w:leader="dot" w:pos="8306"/>
        </w:tabs>
      </w:pPr>
      <w:hyperlink w:anchor="_Toc30790" w:history="1">
        <w:r>
          <w:rPr>
            <w:rFonts w:ascii="仿宋" w:eastAsia="仿宋" w:hAnsi="仿宋" w:cs="仿宋" w:hint="eastAsia"/>
            <w:lang w:eastAsia="zh-CN"/>
          </w:rPr>
          <w:t>九、文化、体育及娱乐用品批发服务项目创新与研发</w:t>
        </w:r>
        <w:r>
          <w:tab/>
        </w:r>
        <w:r>
          <w:fldChar w:fldCharType="begin"/>
        </w:r>
        <w:r>
          <w:instrText xml:space="preserve"> PAGEREF _Toc30790 \h </w:instrText>
        </w:r>
        <w:r>
          <w:fldChar w:fldCharType="separate"/>
        </w:r>
        <w:r>
          <w:t>42</w:t>
        </w:r>
        <w:r>
          <w:fldChar w:fldCharType="end"/>
        </w:r>
      </w:hyperlink>
    </w:p>
    <w:p>
      <w:pPr>
        <w:pStyle w:val="TOC2"/>
        <w:tabs>
          <w:tab w:val="right" w:leader="dot" w:pos="8306"/>
        </w:tabs>
      </w:pPr>
      <w:hyperlink w:anchor="_Toc23770" w:history="1">
        <w:r>
          <w:rPr>
            <w:rFonts w:ascii="仿宋" w:eastAsia="仿宋" w:hAnsi="仿宋" w:cs="仿宋" w:hint="eastAsia"/>
            <w:lang w:eastAsia="zh-CN"/>
          </w:rPr>
          <w:t>(一)、创新策略与方向</w:t>
        </w:r>
        <w:r>
          <w:tab/>
        </w:r>
        <w:r>
          <w:fldChar w:fldCharType="begin"/>
        </w:r>
        <w:r>
          <w:instrText xml:space="preserve"> PAGEREF _Toc23770 \h </w:instrText>
        </w:r>
        <w:r>
          <w:fldChar w:fldCharType="separate"/>
        </w:r>
        <w:r>
          <w:t>42</w:t>
        </w:r>
        <w:r>
          <w:fldChar w:fldCharType="end"/>
        </w:r>
      </w:hyperlink>
    </w:p>
    <w:p>
      <w:pPr>
        <w:pStyle w:val="TOC2"/>
        <w:tabs>
          <w:tab w:val="right" w:leader="dot" w:pos="8306"/>
        </w:tabs>
      </w:pPr>
      <w:hyperlink w:anchor="_Toc24414" w:history="1">
        <w:r>
          <w:rPr>
            <w:rFonts w:ascii="仿宋" w:eastAsia="仿宋" w:hAnsi="仿宋" w:cs="仿宋" w:hint="eastAsia"/>
            <w:lang w:eastAsia="zh-CN"/>
          </w:rPr>
          <w:t>(二)、研发规划与投入</w:t>
        </w:r>
        <w:r>
          <w:tab/>
        </w:r>
        <w:r>
          <w:fldChar w:fldCharType="begin"/>
        </w:r>
        <w:r>
          <w:instrText xml:space="preserve"> PAGEREF _Toc24414 \h </w:instrText>
        </w:r>
        <w:r>
          <w:fldChar w:fldCharType="separate"/>
        </w:r>
        <w:r>
          <w:t>43</w:t>
        </w:r>
        <w:r>
          <w:fldChar w:fldCharType="end"/>
        </w:r>
      </w:hyperlink>
    </w:p>
    <w:p>
      <w:pPr>
        <w:pStyle w:val="TOC1"/>
        <w:tabs>
          <w:tab w:val="right" w:leader="dot" w:pos="8306"/>
        </w:tabs>
      </w:pPr>
      <w:hyperlink w:anchor="_Toc20867" w:history="1">
        <w:r>
          <w:rPr>
            <w:rFonts w:ascii="仿宋" w:eastAsia="仿宋" w:hAnsi="仿宋" w:cs="仿宋" w:hint="eastAsia"/>
            <w:lang w:eastAsia="zh-CN"/>
          </w:rPr>
          <w:t>十、文化、体育及娱乐用品批发服务项目投资规划</w:t>
        </w:r>
        <w:r>
          <w:tab/>
        </w:r>
        <w:r>
          <w:fldChar w:fldCharType="begin"/>
        </w:r>
        <w:r>
          <w:instrText xml:space="preserve"> PAGEREF _Toc20867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6" w:history="1">
        <w:r>
          <w:rPr>
            <w:rFonts w:ascii="仿宋" w:eastAsia="仿宋" w:hAnsi="仿宋" w:cs="仿宋" w:hint="eastAsia"/>
            <w:lang w:eastAsia="zh-CN"/>
          </w:rPr>
          <w:t>(一)、文化、体育及娱乐用品批发服务项目总投资估算</w:t>
        </w:r>
        <w:r>
          <w:tab/>
        </w:r>
        <w:r>
          <w:fldChar w:fldCharType="begin"/>
        </w:r>
        <w:r>
          <w:instrText xml:space="preserve"> PAGEREF _Toc11956 \h </w:instrText>
        </w:r>
        <w:r>
          <w:fldChar w:fldCharType="separate"/>
        </w:r>
        <w:r>
          <w:t>45</w:t>
        </w:r>
        <w:r>
          <w:fldChar w:fldCharType="end"/>
        </w:r>
      </w:hyperlink>
    </w:p>
    <w:p>
      <w:pPr>
        <w:pStyle w:val="TOC2"/>
        <w:tabs>
          <w:tab w:val="right" w:leader="dot" w:pos="8306"/>
        </w:tabs>
      </w:pPr>
      <w:hyperlink w:anchor="_Toc23092" w:history="1">
        <w:r>
          <w:rPr>
            <w:rFonts w:ascii="仿宋" w:eastAsia="仿宋" w:hAnsi="仿宋" w:cs="仿宋" w:hint="eastAsia"/>
            <w:lang w:eastAsia="zh-CN"/>
          </w:rPr>
          <w:t>(二)、资金筹措</w:t>
        </w:r>
        <w:r>
          <w:tab/>
        </w:r>
        <w:r>
          <w:fldChar w:fldCharType="begin"/>
        </w:r>
        <w:r>
          <w:instrText xml:space="preserve"> PAGEREF _Toc23092 \h </w:instrText>
        </w:r>
        <w:r>
          <w:fldChar w:fldCharType="separate"/>
        </w:r>
        <w:r>
          <w:t>46</w:t>
        </w:r>
        <w:r>
          <w:fldChar w:fldCharType="end"/>
        </w:r>
      </w:hyperlink>
    </w:p>
    <w:p>
      <w:pPr>
        <w:pStyle w:val="TOC1"/>
        <w:tabs>
          <w:tab w:val="right" w:leader="dot" w:pos="8306"/>
        </w:tabs>
      </w:pPr>
      <w:hyperlink w:anchor="_Toc13481" w:history="1">
        <w:r>
          <w:rPr>
            <w:rFonts w:ascii="仿宋" w:eastAsia="仿宋" w:hAnsi="仿宋" w:cs="仿宋" w:hint="eastAsia"/>
            <w:lang w:eastAsia="zh-CN"/>
          </w:rPr>
          <w:t>十一、文化、体育及娱乐用品批发服务项目风险管理</w:t>
        </w:r>
        <w:r>
          <w:tab/>
        </w:r>
        <w:r>
          <w:fldChar w:fldCharType="begin"/>
        </w:r>
        <w:r>
          <w:instrText xml:space="preserve"> PAGEREF _Toc13481 \h </w:instrText>
        </w:r>
        <w:r>
          <w:fldChar w:fldCharType="separate"/>
        </w:r>
        <w:r>
          <w:t>47</w:t>
        </w:r>
        <w:r>
          <w:fldChar w:fldCharType="end"/>
        </w:r>
      </w:hyperlink>
    </w:p>
    <w:p>
      <w:pPr>
        <w:pStyle w:val="TOC2"/>
        <w:tabs>
          <w:tab w:val="right" w:leader="dot" w:pos="8306"/>
        </w:tabs>
      </w:pPr>
      <w:hyperlink w:anchor="_Toc23518" w:history="1">
        <w:r>
          <w:rPr>
            <w:rFonts w:ascii="仿宋" w:eastAsia="仿宋" w:hAnsi="仿宋" w:cs="仿宋" w:hint="eastAsia"/>
            <w:lang w:eastAsia="zh-CN"/>
          </w:rPr>
          <w:t>(一)、风险识别与评估</w:t>
        </w:r>
        <w:r>
          <w:tab/>
        </w:r>
        <w:r>
          <w:fldChar w:fldCharType="begin"/>
        </w:r>
        <w:r>
          <w:instrText xml:space="preserve"> PAGEREF _Toc23518 \h </w:instrText>
        </w:r>
        <w:r>
          <w:fldChar w:fldCharType="separate"/>
        </w:r>
        <w:r>
          <w:t>47</w:t>
        </w:r>
        <w:r>
          <w:fldChar w:fldCharType="end"/>
        </w:r>
      </w:hyperlink>
    </w:p>
    <w:p>
      <w:pPr>
        <w:pStyle w:val="TOC2"/>
        <w:tabs>
          <w:tab w:val="right" w:leader="dot" w:pos="8306"/>
        </w:tabs>
      </w:pPr>
      <w:hyperlink w:anchor="_Toc6711" w:history="1">
        <w:r>
          <w:rPr>
            <w:rFonts w:ascii="仿宋" w:eastAsia="仿宋" w:hAnsi="仿宋" w:cs="仿宋" w:hint="eastAsia"/>
            <w:lang w:eastAsia="zh-CN"/>
          </w:rPr>
          <w:t>(二)、风险应对策略</w:t>
        </w:r>
        <w:r>
          <w:tab/>
        </w:r>
        <w:r>
          <w:fldChar w:fldCharType="begin"/>
        </w:r>
        <w:r>
          <w:instrText xml:space="preserve"> PAGEREF _Toc6711 \h </w:instrText>
        </w:r>
        <w:r>
          <w:fldChar w:fldCharType="separate"/>
        </w:r>
        <w:r>
          <w:t>48</w:t>
        </w:r>
        <w:r>
          <w:fldChar w:fldCharType="end"/>
        </w:r>
      </w:hyperlink>
    </w:p>
    <w:p>
      <w:pPr>
        <w:pStyle w:val="TOC2"/>
        <w:tabs>
          <w:tab w:val="right" w:leader="dot" w:pos="8306"/>
        </w:tabs>
      </w:pPr>
      <w:hyperlink w:anchor="_Toc31791" w:history="1">
        <w:r>
          <w:rPr>
            <w:rFonts w:ascii="仿宋" w:eastAsia="仿宋" w:hAnsi="仿宋" w:cs="仿宋" w:hint="eastAsia"/>
            <w:lang w:eastAsia="zh-CN"/>
          </w:rPr>
          <w:t>(三)、风险监控与控制</w:t>
        </w:r>
        <w:r>
          <w:tab/>
        </w:r>
        <w:r>
          <w:fldChar w:fldCharType="begin"/>
        </w:r>
        <w:r>
          <w:instrText xml:space="preserve"> PAGEREF _Toc31791 \h </w:instrText>
        </w:r>
        <w:r>
          <w:fldChar w:fldCharType="separate"/>
        </w:r>
        <w:r>
          <w:t>50</w:t>
        </w:r>
        <w:r>
          <w:fldChar w:fldCharType="end"/>
        </w:r>
      </w:hyperlink>
    </w:p>
    <w:p>
      <w:pPr>
        <w:pStyle w:val="TOC1"/>
        <w:tabs>
          <w:tab w:val="right" w:leader="dot" w:pos="8306"/>
        </w:tabs>
      </w:pPr>
      <w:hyperlink w:anchor="_Toc5230" w:history="1">
        <w:r>
          <w:rPr>
            <w:rFonts w:ascii="仿宋" w:eastAsia="仿宋" w:hAnsi="仿宋" w:cs="仿宋" w:hint="eastAsia"/>
            <w:lang w:eastAsia="zh-CN"/>
          </w:rPr>
          <w:t>十二、文化、体育及娱乐用品批发服务项目经营效益</w:t>
        </w:r>
        <w:r>
          <w:tab/>
        </w:r>
        <w:r>
          <w:fldChar w:fldCharType="begin"/>
        </w:r>
        <w:r>
          <w:instrText xml:space="preserve"> PAGEREF _Toc5230 \h </w:instrText>
        </w:r>
        <w:r>
          <w:fldChar w:fldCharType="separate"/>
        </w:r>
        <w:r>
          <w:t>51</w:t>
        </w:r>
        <w:r>
          <w:fldChar w:fldCharType="end"/>
        </w:r>
      </w:hyperlink>
    </w:p>
    <w:p>
      <w:pPr>
        <w:pStyle w:val="TOC2"/>
        <w:tabs>
          <w:tab w:val="right" w:leader="dot" w:pos="8306"/>
        </w:tabs>
      </w:pPr>
      <w:hyperlink w:anchor="_Toc4527" w:history="1">
        <w:r>
          <w:rPr>
            <w:rFonts w:ascii="仿宋" w:eastAsia="仿宋" w:hAnsi="仿宋" w:cs="仿宋" w:hint="eastAsia"/>
            <w:lang w:eastAsia="zh-CN"/>
          </w:rPr>
          <w:t>(一)、经济评价财务测算</w:t>
        </w:r>
        <w:r>
          <w:tab/>
        </w:r>
        <w:r>
          <w:fldChar w:fldCharType="begin"/>
        </w:r>
        <w:r>
          <w:instrText xml:space="preserve"> PAGEREF _Toc4527 \h </w:instrText>
        </w:r>
        <w:r>
          <w:fldChar w:fldCharType="separate"/>
        </w:r>
        <w:r>
          <w:t>51</w:t>
        </w:r>
        <w:r>
          <w:fldChar w:fldCharType="end"/>
        </w:r>
      </w:hyperlink>
    </w:p>
    <w:p>
      <w:pPr>
        <w:pStyle w:val="TOC2"/>
        <w:tabs>
          <w:tab w:val="right" w:leader="dot" w:pos="8306"/>
        </w:tabs>
      </w:pPr>
      <w:hyperlink w:anchor="_Toc1693" w:history="1">
        <w:r>
          <w:rPr>
            <w:rFonts w:ascii="仿宋" w:eastAsia="仿宋" w:hAnsi="仿宋" w:cs="仿宋" w:hint="eastAsia"/>
            <w:lang w:eastAsia="zh-CN"/>
          </w:rPr>
          <w:t>(二)、文化、体育及娱乐用品批发服务项目盈利能力分析</w:t>
        </w:r>
        <w:r>
          <w:tab/>
        </w:r>
        <w:r>
          <w:fldChar w:fldCharType="begin"/>
        </w:r>
        <w:r>
          <w:instrText xml:space="preserve"> PAGEREF _Toc1693 \h </w:instrText>
        </w:r>
        <w:r>
          <w:fldChar w:fldCharType="separate"/>
        </w:r>
        <w:r>
          <w:t>53</w:t>
        </w:r>
        <w:r>
          <w:fldChar w:fldCharType="end"/>
        </w:r>
      </w:hyperlink>
    </w:p>
    <w:p>
      <w:pPr>
        <w:pStyle w:val="TOC1"/>
        <w:tabs>
          <w:tab w:val="right" w:leader="dot" w:pos="8306"/>
        </w:tabs>
      </w:pPr>
      <w:hyperlink w:anchor="_Toc26033" w:history="1">
        <w:r>
          <w:rPr>
            <w:rFonts w:ascii="仿宋" w:eastAsia="仿宋" w:hAnsi="仿宋" w:cs="仿宋" w:hint="eastAsia"/>
            <w:lang w:eastAsia="zh-CN"/>
          </w:rPr>
          <w:t>十三、文化、体育及娱乐用品批发服务项目工程方案分析</w:t>
        </w:r>
        <w:r>
          <w:tab/>
        </w:r>
        <w:r>
          <w:fldChar w:fldCharType="begin"/>
        </w:r>
        <w:r>
          <w:instrText xml:space="preserve"> PAGEREF _Toc26033 \h </w:instrText>
        </w:r>
        <w:r>
          <w:fldChar w:fldCharType="separate"/>
        </w:r>
        <w:r>
          <w:t>54</w:t>
        </w:r>
        <w:r>
          <w:fldChar w:fldCharType="end"/>
        </w:r>
      </w:hyperlink>
    </w:p>
    <w:p>
      <w:pPr>
        <w:pStyle w:val="TOC2"/>
        <w:tabs>
          <w:tab w:val="right" w:leader="dot" w:pos="8306"/>
        </w:tabs>
      </w:pPr>
      <w:hyperlink w:anchor="_Toc17160" w:history="1">
        <w:r>
          <w:rPr>
            <w:rFonts w:ascii="仿宋" w:eastAsia="仿宋" w:hAnsi="仿宋" w:cs="仿宋" w:hint="eastAsia"/>
            <w:lang w:eastAsia="zh-CN"/>
          </w:rPr>
          <w:t>(一)、建筑工程设计原则</w:t>
        </w:r>
        <w:r>
          <w:tab/>
        </w:r>
        <w:r>
          <w:fldChar w:fldCharType="begin"/>
        </w:r>
        <w:r>
          <w:instrText xml:space="preserve"> PAGEREF _Toc17160 \h </w:instrText>
        </w:r>
        <w:r>
          <w:fldChar w:fldCharType="separate"/>
        </w:r>
        <w:r>
          <w:t>54</w:t>
        </w:r>
        <w:r>
          <w:fldChar w:fldCharType="end"/>
        </w:r>
      </w:hyperlink>
    </w:p>
    <w:p>
      <w:pPr>
        <w:pStyle w:val="TOC2"/>
        <w:tabs>
          <w:tab w:val="right" w:leader="dot" w:pos="8306"/>
        </w:tabs>
      </w:pPr>
      <w:hyperlink w:anchor="_Toc24254" w:history="1">
        <w:r>
          <w:rPr>
            <w:rFonts w:ascii="仿宋" w:eastAsia="仿宋" w:hAnsi="仿宋" w:cs="仿宋" w:hint="eastAsia"/>
            <w:lang w:eastAsia="zh-CN"/>
          </w:rPr>
          <w:t>(二)、土建工程建设指标</w:t>
        </w:r>
        <w:r>
          <w:tab/>
        </w:r>
        <w:r>
          <w:fldChar w:fldCharType="begin"/>
        </w:r>
        <w:r>
          <w:instrText xml:space="preserve"> PAGEREF _Toc24254 \h </w:instrText>
        </w:r>
        <w:r>
          <w:fldChar w:fldCharType="separate"/>
        </w:r>
        <w:r>
          <w:t>57</w:t>
        </w:r>
        <w:r>
          <w:fldChar w:fldCharType="end"/>
        </w:r>
      </w:hyperlink>
    </w:p>
    <w:p>
      <w:pPr>
        <w:pStyle w:val="TOC1"/>
        <w:tabs>
          <w:tab w:val="right" w:leader="dot" w:pos="8306"/>
        </w:tabs>
      </w:pPr>
      <w:hyperlink w:anchor="_Toc17950" w:history="1">
        <w:r>
          <w:rPr>
            <w:rFonts w:ascii="仿宋" w:eastAsia="仿宋" w:hAnsi="仿宋" w:cs="仿宋" w:hint="eastAsia"/>
            <w:lang w:eastAsia="zh-CN"/>
          </w:rPr>
          <w:t>十四、利益相关者分析与沟通计划</w:t>
        </w:r>
        <w:r>
          <w:tab/>
        </w:r>
        <w:r>
          <w:fldChar w:fldCharType="begin"/>
        </w:r>
        <w:r>
          <w:instrText xml:space="preserve"> PAGEREF _Toc17950 \h </w:instrText>
        </w:r>
        <w:r>
          <w:fldChar w:fldCharType="separate"/>
        </w:r>
        <w:r>
          <w:t>59</w:t>
        </w:r>
        <w:r>
          <w:fldChar w:fldCharType="end"/>
        </w:r>
      </w:hyperlink>
    </w:p>
    <w:p>
      <w:pPr>
        <w:pStyle w:val="TOC2"/>
        <w:tabs>
          <w:tab w:val="right" w:leader="dot" w:pos="8306"/>
        </w:tabs>
      </w:pPr>
      <w:hyperlink w:anchor="_Toc8038" w:history="1">
        <w:r>
          <w:rPr>
            <w:rFonts w:ascii="仿宋" w:eastAsia="仿宋" w:hAnsi="仿宋" w:cs="仿宋" w:hint="eastAsia"/>
            <w:lang w:eastAsia="zh-CN"/>
          </w:rPr>
          <w:t>(一)、利益相关者分析</w:t>
        </w:r>
        <w:r>
          <w:tab/>
        </w:r>
        <w:r>
          <w:fldChar w:fldCharType="begin"/>
        </w:r>
        <w:r>
          <w:instrText xml:space="preserve"> PAGEREF _Toc8038 \h </w:instrText>
        </w:r>
        <w:r>
          <w:fldChar w:fldCharType="separate"/>
        </w:r>
        <w:r>
          <w:t>59</w:t>
        </w:r>
        <w:r>
          <w:fldChar w:fldCharType="end"/>
        </w:r>
      </w:hyperlink>
    </w:p>
    <w:p>
      <w:pPr>
        <w:pStyle w:val="TOC2"/>
        <w:tabs>
          <w:tab w:val="right" w:leader="dot" w:pos="8306"/>
        </w:tabs>
      </w:pPr>
      <w:hyperlink w:anchor="_Toc26761" w:history="1">
        <w:r>
          <w:rPr>
            <w:rFonts w:ascii="仿宋" w:eastAsia="仿宋" w:hAnsi="仿宋" w:cs="仿宋" w:hint="eastAsia"/>
            <w:lang w:eastAsia="zh-CN"/>
          </w:rPr>
          <w:t>(二)、沟通计划</w:t>
        </w:r>
        <w:r>
          <w:tab/>
        </w:r>
        <w:r>
          <w:fldChar w:fldCharType="begin"/>
        </w:r>
        <w:r>
          <w:instrText xml:space="preserve"> PAGEREF _Toc26761 \h </w:instrText>
        </w:r>
        <w:r>
          <w:fldChar w:fldCharType="separate"/>
        </w:r>
        <w:r>
          <w:t>60</w:t>
        </w:r>
        <w:r>
          <w:fldChar w:fldCharType="end"/>
        </w:r>
      </w:hyperlink>
    </w:p>
    <w:p>
      <w:pPr>
        <w:pStyle w:val="TOC1"/>
        <w:tabs>
          <w:tab w:val="right" w:leader="dot" w:pos="8306"/>
        </w:tabs>
      </w:pPr>
      <w:hyperlink w:anchor="_Toc17567" w:history="1">
        <w:r>
          <w:rPr>
            <w:rFonts w:ascii="仿宋" w:eastAsia="仿宋" w:hAnsi="仿宋" w:cs="仿宋" w:hint="eastAsia"/>
            <w:lang w:eastAsia="zh-CN"/>
          </w:rPr>
          <w:t>十五、供应链管理</w:t>
        </w:r>
        <w:r>
          <w:tab/>
        </w:r>
        <w:r>
          <w:fldChar w:fldCharType="begin"/>
        </w:r>
        <w:r>
          <w:instrText xml:space="preserve"> PAGEREF _Toc17567 \h </w:instrText>
        </w:r>
        <w:r>
          <w:fldChar w:fldCharType="separate"/>
        </w:r>
        <w:r>
          <w:t>61</w:t>
        </w:r>
        <w:r>
          <w:fldChar w:fldCharType="end"/>
        </w:r>
      </w:hyperlink>
    </w:p>
    <w:p>
      <w:pPr>
        <w:pStyle w:val="TOC2"/>
        <w:tabs>
          <w:tab w:val="right" w:leader="dot" w:pos="8306"/>
        </w:tabs>
      </w:pPr>
      <w:hyperlink w:anchor="_Toc9870" w:history="1">
        <w:r>
          <w:rPr>
            <w:rFonts w:ascii="仿宋" w:eastAsia="仿宋" w:hAnsi="仿宋" w:cs="仿宋" w:hint="eastAsia"/>
            <w:lang w:eastAsia="zh-CN"/>
          </w:rPr>
          <w:t>(一)、供应链战略规划</w:t>
        </w:r>
        <w:r>
          <w:tab/>
        </w:r>
        <w:r>
          <w:fldChar w:fldCharType="begin"/>
        </w:r>
        <w:r>
          <w:instrText xml:space="preserve"> PAGEREF _Toc9870 \h </w:instrText>
        </w:r>
        <w:r>
          <w:fldChar w:fldCharType="separate"/>
        </w:r>
        <w:r>
          <w:t>61</w:t>
        </w:r>
        <w:r>
          <w:fldChar w:fldCharType="end"/>
        </w:r>
      </w:hyperlink>
    </w:p>
    <w:p>
      <w:pPr>
        <w:pStyle w:val="TOC2"/>
        <w:tabs>
          <w:tab w:val="right" w:leader="dot" w:pos="8306"/>
        </w:tabs>
      </w:pPr>
      <w:hyperlink w:anchor="_Toc2074" w:history="1">
        <w:r>
          <w:rPr>
            <w:rFonts w:ascii="仿宋" w:eastAsia="仿宋" w:hAnsi="仿宋" w:cs="仿宋" w:hint="eastAsia"/>
            <w:lang w:eastAsia="zh-CN"/>
          </w:rPr>
          <w:t>(二)、供应商选择与合作</w:t>
        </w:r>
        <w:r>
          <w:tab/>
        </w:r>
        <w:r>
          <w:fldChar w:fldCharType="begin"/>
        </w:r>
        <w:r>
          <w:instrText xml:space="preserve"> PAGEREF _Toc2074 \h </w:instrText>
        </w:r>
        <w:r>
          <w:fldChar w:fldCharType="separate"/>
        </w:r>
        <w:r>
          <w:t>63</w:t>
        </w:r>
        <w:r>
          <w:fldChar w:fldCharType="end"/>
        </w:r>
      </w:hyperlink>
    </w:p>
    <w:p>
      <w:pPr>
        <w:pStyle w:val="TOC2"/>
        <w:tabs>
          <w:tab w:val="right" w:leader="dot" w:pos="8306"/>
        </w:tabs>
      </w:pPr>
      <w:hyperlink w:anchor="_Toc20374" w:history="1">
        <w:r>
          <w:rPr>
            <w:rFonts w:ascii="仿宋" w:eastAsia="仿宋" w:hAnsi="仿宋" w:cs="仿宋" w:hint="eastAsia"/>
            <w:lang w:eastAsia="zh-CN"/>
          </w:rPr>
          <w:t>(三)、物流与库存管理</w:t>
        </w:r>
        <w:r>
          <w:tab/>
        </w:r>
        <w:r>
          <w:fldChar w:fldCharType="begin"/>
        </w:r>
        <w:r>
          <w:instrText xml:space="preserve"> PAGEREF _Toc20374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6"/>
      <w:r>
        <w:rPr>
          <w:rFonts w:ascii="仿宋" w:eastAsia="仿宋" w:hAnsi="仿宋" w:cs="仿宋" w:hint="eastAsia"/>
          <w:sz w:val="28"/>
          <w:lang w:eastAsia="zh-CN"/>
        </w:rPr>
        <w:t>一、文化、体育及娱乐用品批发服务项目危机管理</w:t>
      </w:r>
      <w:bookmarkEnd w:id="2"/>
    </w:p>
    <w:p>
      <w:pPr>
        <w:pStyle w:val="Heading2"/>
        <w:rPr>
          <w:rFonts w:ascii="仿宋" w:eastAsia="仿宋" w:hAnsi="仿宋" w:cs="仿宋" w:hint="eastAsia"/>
          <w:lang w:eastAsia="zh-CN"/>
        </w:rPr>
      </w:pPr>
      <w:bookmarkStart w:id="3" w:name="_Toc99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文化、体育及娱乐用品批发服务项目危机管理中，危机预警与识别是确保文化、体育及娱乐用品批发服务项目稳健运行的核心步骤。通过建立全面的监测机制，文化、体育及娱乐用品批发服务项目团队旨在及时发现和理解潜在的风险和危机因素，以便采取及时的预防和应对措施，确保文化、体育及娱乐用品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文化、体育及娱乐用品批发服务项目团队全面分析了整个文化、体育及娱乐用品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化、体育及娱乐用品批发服务项目团队着重于明确定义文化、体育及娱乐用品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化、体育及娱乐用品批发服务项目进展的持续监控，团队能够及时发现潜在问题并作出迅速反应。文化、体育及娱乐用品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化、体育及娱乐用品批发服务项目得以更有序、可控地推进。</w:t>
      </w:r>
    </w:p>
    <w:p>
      <w:pPr>
        <w:pStyle w:val="Heading2"/>
        <w:ind w:firstLine="560" w:firstLineChars="200"/>
        <w:rPr>
          <w:rFonts w:ascii="仿宋" w:eastAsia="仿宋" w:hAnsi="仿宋" w:cs="仿宋" w:hint="eastAsia"/>
          <w:sz w:val="28"/>
          <w:lang w:eastAsia="zh-CN"/>
        </w:rPr>
      </w:pPr>
      <w:bookmarkStart w:id="4" w:name="_Toc429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在危机发生时，文化、体育及娱乐用品批发服务项目团队立即行动，成立了应急小组。该小组的任务是迅速制定并实施紧急应对措施，以最小化潜在损失。以下是采取的主要措施：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暂停文化、体育及娱乐用品批发服务项目进度：为遏制危机蔓延，文化、体育及娱乐用品批发服务项目暂时停止进行，以便全面评估当前状况。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资源重新分配：重新评估文化、体育及娱乐用品批发服务项目资源的分配，确保最大限度地减小损失。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实时沟通：与关键利益相关者建立实时沟通机制，向他们传递文化、体育及娱乐用品批发服务项目危机的实际状况，保障文化、体育及娱乐用品批发服务项目核心利益。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在紧急应对的同时，文化、体育及娱乐用品批发服务项目团队强调了团队协作和有效沟通的重要性。以下是团队协作的关键举措：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信息共享机制：建立了信息共享平台，确保团队成员能够及时获取文化、体育及娱乐用品批发服务项目危机的实时信息。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领导者沟通：文化、体育及娱乐用品批发服务项目领导者通过定期会议和即时沟通工具，指导团队应对危机，保持团队稳定运行。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随着危机得到初步控制，文化、体育及娱乐用品批发服务项目团队转向制定恢复计划，以确保文化、体育及娱乐用品批发服务项目能够从中迅速恢复。主要恢复计划包括：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修复受损的进度计划：重新评估文化、体育及娱乐用品批发服务项目进度，制定修复计划，确保文化、体育及娱乐用品批发服务项目尽快回归正常进程。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重新调整资源分配：优化资源分配，确保文化、体育及娱乐用品批发服务项目在有限资源下高效运转。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风险管理机制加强：对文化、体育及娱乐用品批发服务项目风险进行全面评估，制定更强化的风险管理策略，以预防未来可能的危机。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9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44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文化、体育及娱乐用品批发服务项目的主要产品是XXXX，预计年产值为XXX万元。这一产品在市场中占据着重要的地位，其广泛的应用范围使得该文化、体育及娱乐用品批发服务项目的市场前景非常广阔。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这一产业生态系统中，文化、体育及娱乐用品批发服务项目的xxx产品作为重要的原材料之一，将在多个领域发挥关键作用。其在建筑、交通、能源等方面的广泛应用将为整个产业链提供强大的支持，形成产业协同效应。文化、体育及娱乐用品批发服务项目的年产值XXX万XXX万XXX万万元不仅反映了其在市场上的巨大潜力，更预示着它对国民经济的积极贡献。这种关联度高、涉及面广的产业关系，使得该文化、体育及娱乐用品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09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总征地面积为XXXX平方米，相当于约XX.XX亩，其中净用地面积为XXXX平方米，红线范围内相当于约XX.XX亩。这一用地规模充分考虑了文化、体育及娱乐用品批发服务项目的建设需求，保障了文化、体育及娱乐用品批发服务项目在合适的空间内得以充分发展。文化、体育及娱乐用品批发服务项目规划的总建筑面积为XXXX平方米，其中主体工程建设占XXXX平方米，计容建筑面积达XXXX平方米。预计建筑工程的投资将达到XXXX万元，为文化、体育及娱乐用品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计划购置的设备共计XXXX台（套），设备购置费用为XXXX万元。这一设备购置计划充分考虑到文化、体育及娱乐用品批发服务项目的生产需求和技术要求，确保了文化、体育及娱乐用品批发服务项目在生产运营中具备先进的技术装备和高效的生产能力。设备的合理配置将为文化、体育及娱乐用品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计划总投资为XXXX万元，预计年实现营业收入为XXXX万元。这一产能规模的设定旨在确保文化、体育及娱乐用品批发服务项目能够在投资与回报之间取得平衡，实现长期可持续的发展。文化、体育及娱乐用品批发服务项目的总投资充分考虑到各个方面的需求，包括用地建设、设备购置等多个环节，以确保文化、体育及娱乐用品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17"/>
      <w:r>
        <w:rPr>
          <w:rFonts w:ascii="仿宋" w:eastAsia="仿宋" w:hAnsi="仿宋" w:cs="仿宋" w:hint="eastAsia"/>
          <w:sz w:val="28"/>
          <w:lang w:eastAsia="zh-CN"/>
        </w:rPr>
        <w:t>三、文化、体育及娱乐用品批发服务项目可持续发展</w:t>
      </w:r>
      <w:bookmarkEnd w:id="8"/>
    </w:p>
    <w:p>
      <w:pPr>
        <w:pStyle w:val="Heading2"/>
        <w:rPr>
          <w:rFonts w:ascii="仿宋" w:eastAsia="仿宋" w:hAnsi="仿宋" w:cs="仿宋" w:hint="eastAsia"/>
          <w:lang w:eastAsia="zh-CN"/>
        </w:rPr>
      </w:pPr>
      <w:bookmarkStart w:id="9" w:name="_Toc117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化、体育及娱乐用品批发服务项目中，文化、体育及娱乐用品批发服务项目团队着眼于未来，明确了可持续发展的战略方向。制定的具体可持续发展目标包括降低资源使用、采用环保技术、最大化社会效益等。这一步骤不仅有助于文化、体育及娱乐用品批发服务项目在环保和社会责任方面达到最高标准，也为未来提供了明确的指引，确保文化、体育及娱乐用品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可持续实践的融入文化、体育及娱乐用品批发服务项目管理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文化、体育及娱乐用品批发服务项目管理周期。从文化、体育及娱乐用品批发服务项目规划开始，文化、体育及娱乐用品批发服务项目团队就考虑了环境和社会的因素。在执行阶段，文化、体育及娱乐用品批发服务项目团队积极推动绿色技术的应用，优化资源利用。此外，关注员工的社会责任，通过培训和沟通活动提高员工对可持续发展的认知，使他们能够在日常工作中践行可持续实践。这些举措不仅为文化、体育及娱乐用品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5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文化、体育及娱乐用品批发服务项目的可持续发展理念，我们深信环保与社会责任是文化、体育及娱乐用品批发服务项目成功的关键支柱。在文化、体育及娱乐用品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团队通过引入先进的环保技术、建立高效的废物处理系统以及推动能源节约措施，积极履行环保责任。定期的环保监测和评估确保文化、体育及娱乐用品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体育及娱乐用品批发服务项目不仅致力于自身可持续发展，还注重对社会的回馈。通过支持社区文化、体育及娱乐用品批发服务项目、参与慈善事业、提供培训机会等方式，文化、体育及娱乐用品批发服务项目积极履行社会责任。与当地社区建立积极互动，关注员工的工作与生活平衡，以及员工的身心健康，是文化、体育及娱乐用品批发服务项目在社会责任层面的关键举措。这样的实践不仅增强了文化、体育及娱乐用品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520"/>
      <w:r>
        <w:rPr>
          <w:rFonts w:ascii="仿宋" w:eastAsia="仿宋" w:hAnsi="仿宋" w:cs="仿宋" w:hint="eastAsia"/>
          <w:sz w:val="28"/>
          <w:lang w:eastAsia="zh-CN"/>
        </w:rPr>
        <w:t>四、文化、体育及娱乐用品批发服务项目概论</w:t>
      </w:r>
      <w:bookmarkEnd w:id="11"/>
    </w:p>
    <w:p>
      <w:pPr>
        <w:pStyle w:val="Heading2"/>
        <w:rPr>
          <w:rFonts w:ascii="仿宋" w:eastAsia="仿宋" w:hAnsi="仿宋" w:cs="仿宋" w:hint="eastAsia"/>
          <w:lang w:eastAsia="zh-CN"/>
        </w:rPr>
      </w:pPr>
      <w:bookmarkStart w:id="12" w:name="_Toc32726"/>
      <w:r>
        <w:rPr>
          <w:rFonts w:ascii="仿宋" w:eastAsia="仿宋" w:hAnsi="仿宋" w:cs="仿宋" w:hint="eastAsia"/>
          <w:lang w:eastAsia="zh-CN"/>
        </w:rPr>
        <w:t>(一)、文化、体育及娱乐用品批发服务项目概况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起源追溯至对市场的深入洞察。市场的不断演变与变革为文化、体育及娱乐用品批发服务项目提供了难得的机遇。当前市场存在的需求缺口和变革的大环境共同构成了文化、体育及娱乐用品批发服务项目的背景。这个文化、体育及娱乐用品批发服务项目旨在充分利用市场机遇，填补行业中尚未满足的需求，为客户提供全新的解决方案。市场的变革和需求的增长使得这个文化、体育及娱乐用品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文化、体育及娱乐用品批发服务项目名称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正式命名为文化、体育及娱乐用品批发服务。这个名称不仅仅是一个标识，更代表了文化、体育及娱乐用品批发服务项目的核心理念和愿景。它蕴含着文化、体育及娱乐用品批发服务项目所要解决问题的关键字，具有强烈的表达和辨识度，为文化、体育及娱乐用品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文化、体育及娱乐用品批发服务项目目标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核心目标是提供一种全新、高效的解决方案，满足客户日益增长的需求。文化、体育及娱乐用品批发服务项目追求的不仅仅是满足市场需求，更是在市场中获得卓越的竞争优势。通过不断提升产品或服务的质量和创新水平，文化、体育及娱乐用品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文化、体育及娱乐用品批发服务项目范围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全面涵盖了产品研发、制造、市场推广和售后服务，确保从产品设计到最终用户体验的全方位关注。这一全面的文化、体育及娱乐用品批发服务项目范围是为了确保文化、体育及娱乐用品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文化、体育及娱乐用品批发服务项目时间表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计划在未来18个月内完成，包括研发、测试、市场试点和正式推出等不同阶段。这个时间表的合理设计是为了确保文化、体育及娱乐用品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文化、体育及娱乐用品批发服务项目预算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总预算估算为XX百万美元，主要分配在研发、市场推广、人员培训和运营等方面。这一充足的预算为文化、体育及娱乐用品批发服务项目提供了充足的资源，确保文化、体育及娱乐用品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文化、体育及娱乐用品批发服务项目风险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可能面临的风险包括市场接受度低、技术难题、竞争激烈等。文化、体育及娱乐用品批发服务项目团队已经制定了相应的风险应对计划，通过前瞻性的风险管理，确保文化、体育及娱乐用品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文化、体育及娱乐用品批发服务项目团队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汇聚了一支经验丰富、多领域专业素养的核心团队，确保文化、体育及娱乐用品批发服务项目在各个方面都能拥有高水平的执行力。团队的协同作战是文化、体育及娱乐用品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文化、体育及娱乐用品批发服务项目背景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背景根植于市场对更高效、创新产品的渴望，同时也受到科技发展对行业格局的深刻改变的影响。这为文化、体育及娱乐用品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文化、体育及娱乐用品批发服务项目现状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截至目前，文化、体育及娱乐用品批发服务项目已完成市场调研和技术验证，取得了初步的成功。这为文化、体育及娱乐用品批发服务项目在未来的发展奠定了坚实的基础，为更远大的目标打下了坚实的基石。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182"/>
      <w:r>
        <w:rPr>
          <w:rFonts w:ascii="仿宋" w:eastAsia="仿宋" w:hAnsi="仿宋" w:cs="仿宋" w:hint="eastAsia"/>
          <w:sz w:val="28"/>
          <w:lang w:eastAsia="zh-CN"/>
        </w:rPr>
        <w:t>(二)、文化、体育及娱乐用品批发服务项目目标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文化、体育及娱乐用品批发服务项目首要业务目标是在市场中占据有利地位，实现产品/服务的成功推广和销售。通过不断提升产品质量、创新性，文化、体育及娱乐用品批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化、体育及娱乐用品批发服务项目着眼于技术创新。通过持续的研发和技术升级，文化、体育及娱乐用品批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化、体育及娱乐用品批发服务项目设定了客户满意度目标。通过提供卓越的产品质量和优质的客户服务，文化、体育及娱乐用品批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注重社会责任和可持续发展。通过实施环保、社会责任文化、体育及娱乐用品批发服务项目，文化、体育及娱乐用品批发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团队是实现目标的核心驱动力。因此，文化、体育及娱乐用品批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545"/>
      <w:r>
        <w:rPr>
          <w:rFonts w:ascii="仿宋" w:eastAsia="仿宋" w:hAnsi="仿宋" w:cs="仿宋" w:hint="eastAsia"/>
          <w:sz w:val="28"/>
          <w:lang w:eastAsia="zh-CN"/>
        </w:rPr>
        <w:t>(三)、文化、体育及娱乐用品批发服务项目提出的理由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文化、体育及娱乐用品批发服务项目提出的理由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源于对市场机遇的深刻洞察。当前市场中存在的需求缺口和行业发展趋势表明，有巨大的商业机会等待被开发。通过准确捕捉市场机遇，文化、体育及娱乐用品批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理念基于对技术创新的信仰。通过持续的研发和技术投入，文化、体育及娱乐用品批发服务项目有望推出更具创新性的产品或服务。在科技飞速发展的当下，文化、体育及娱乐用品批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是为了增强企业的行业竞争力。通过提升产品或服务的质量和独特性，文化、体育及娱乐用品批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响应了消费者需求的变化。随着社会和科技的不断发展，消费者对产品和服务的需求也在发生变化。通过深入了解并及时回应消费者的新需求，文化、体育及娱乐用品批发服务项目将能够提供更符合市场潮流和客户期望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是企业战略发展规划的一部分。在面对日益激烈的市场竞争和不断变化的商业环境中，文化、体育及娱乐用品批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不仅仅是基于商业考量，还注重社会责任。通过推出环保、社会责任等方面的文化、体育及娱乐用品批发服务项目，文化、体育及娱乐用品批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提出反映了对利益相关者期望的关注。包括客户、员工、投资者等利益相关者在企业发展中都有着各自的期望，文化、体育及娱乐用品批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54"/>
      <w:r>
        <w:rPr>
          <w:rFonts w:ascii="仿宋" w:eastAsia="仿宋" w:hAnsi="仿宋" w:cs="仿宋" w:hint="eastAsia"/>
          <w:sz w:val="28"/>
          <w:lang w:eastAsia="zh-CN"/>
        </w:rPr>
        <w:t>(四)、文化、体育及娱乐用品批发服务项目意义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在实施文化、体育及娱乐用品批发服务项目的过程中，我们不仅仅是在追逐商业成功，更是为企业和社会的多个层面创造了深远的意义。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育及娱乐用品批发服务项目的首要意义在于提升企业的市场竞争力。通过持续的创新和对产品质量的高标准要求，文化、体育及娱乐用品批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体育及娱乐用品批发服务项目的推进将促使行业技术水平的提升。通过引入先进技术和创新性解决方案，文化、体育及娱乐用品批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化、体育及娱乐用品批发服务项目不仅创造了大量就业机会，提高了就业水平，还注重社会责任和环保。通过参与社会公益事业和推动环保文化、体育及娱乐用品批发服务项目，文化、体育及娱乐用品批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综合而言，文化、体育及娱乐用品批发服务项目意义重大，不仅推动了企业的发展，也为行业和社会的进步贡献了积极力量。这是一个全面而深刻的影响，将在未来产生可持续的正面效应。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824"/>
      <w:r>
        <w:rPr>
          <w:rFonts w:ascii="仿宋" w:eastAsia="仿宋" w:hAnsi="仿宋" w:cs="仿宋" w:hint="eastAsia"/>
          <w:sz w:val="28"/>
          <w:lang w:eastAsia="zh-CN"/>
        </w:rPr>
        <w:t>(五)、文化、体育及娱乐用品批发服务项目背景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文化、体育及娱乐用品批发服务项目的动因根植于对多方面因素的审慎考量。这个文化、体育及娱乐用品批发服务项目的提出并非孤立的决策，而是对企业所处背景深入思考的产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https://d.book118.com/287041040041006025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文化、体育及娱乐用品批发服务项目规划设计蓝图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C6EE2"/>
    <w:rsid w:val="5CFC6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41040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2024-01-02T03:31:00Z</dcterms:created>
  <dcterms:modified xsi:type="dcterms:W3CDTF">2024-01-02T03:31:33Z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88C08BC7034240819A96D5A83C5B6195_11</vt:lpwstr>
  </property>
  <property fmtid="{D5CDD505-2E9C-101B-9397-08002B2CF9AE}" pid="3" name="KSOProductBuildVer">
    <vt:lpwstr>2052-12.1.0.16120</vt:lpwstr>
  </property>
</Properties>
</file>