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/>
        <w:keepLines/>
        <w:spacing w:line="576" w:lineRule="auto"/>
        <w:outlineLvl w:val="0"/>
        <w:rPr>
          <w:rFonts w:ascii="黑体" w:eastAsia="黑体" w:hAnsi="黑体" w:cs="黑体"/>
          <w:kern w:val="44"/>
          <w:sz w:val="36"/>
          <w:szCs w:val="36"/>
        </w:rPr>
      </w:pPr>
      <w:bookmarkStart w:id="0" w:name="_Toc11836531"/>
      <w:r>
        <w:rPr>
          <w:rFonts w:ascii="黑体" w:eastAsia="黑体" w:hAnsi="黑体" w:cs="黑体" w:hint="eastAsia"/>
          <w:kern w:val="44"/>
          <w:sz w:val="36"/>
          <w:szCs w:val="36"/>
        </w:rPr>
        <w:t>1  税收筹划基础理论</w:t>
      </w:r>
      <w:bookmarkEnd w:id="0"/>
    </w:p>
    <w:p>
      <w:pPr>
        <w:keepNext/>
        <w:keepLines/>
        <w:spacing w:line="412" w:lineRule="auto"/>
        <w:outlineLvl w:val="1"/>
        <w:rPr>
          <w:rFonts w:ascii="黑体" w:eastAsia="黑体" w:hAnsi="黑体" w:cs="黑体"/>
          <w:sz w:val="30"/>
          <w:szCs w:val="30"/>
        </w:rPr>
      </w:pPr>
      <w:bookmarkStart w:id="1" w:name="_Toc11836532"/>
      <w:r>
        <w:rPr>
          <w:rFonts w:ascii="黑体" w:eastAsia="黑体" w:hAnsi="黑体" w:cs="黑体" w:hint="eastAsia"/>
          <w:sz w:val="30"/>
          <w:szCs w:val="30"/>
        </w:rPr>
        <w:t>1.1  纳税筹划概念</w:t>
      </w:r>
      <w:bookmarkEnd w:id="1"/>
    </w:p>
    <w:p>
      <w:pPr>
        <w:spacing w:line="360" w:lineRule="auto"/>
        <w:ind w:firstLine="480" w:firstLineChars="200"/>
        <w:rPr>
          <w:rFonts w:ascii="Times New Roman" w:hAnsi="Times New Roman"/>
          <w:sz w:val="24"/>
        </w:rPr>
      </w:pPr>
      <w:r>
        <w:rPr>
          <w:rFonts w:ascii="Calibri" w:eastAsia="宋体" w:hAnsi="Calibri" w:cs="Times New Roman" w:hint="eastAsia"/>
          <w:sz w:val="24"/>
          <w:szCs w:val="24"/>
        </w:rPr>
        <w:t>纳税筹划，是指在遵守现阶段税法的前提下，从公司自身实际情况出发，通过将公司对外涉税业务进行分析，找到公司纳税问题的所在，最后制定出完善且切实可行的纳税方案，达到合理节约税款以及最大程度减少税负的要求</w:t>
      </w:r>
      <w:r>
        <w:rPr>
          <w:rFonts w:ascii="Calibri" w:eastAsia="宋体" w:hAnsi="Calibri" w:cs="Times New Roman" w:hint="eastAsia"/>
          <w:sz w:val="24"/>
          <w:szCs w:val="24"/>
          <w:vertAlign w:val="superscript"/>
        </w:rPr>
        <w:t>[1]</w:t>
      </w:r>
      <w:r>
        <w:rPr>
          <w:rFonts w:ascii="Calibri" w:eastAsia="宋体" w:hAnsi="Calibri" w:cs="Times New Roman" w:hint="eastAsia"/>
          <w:sz w:val="24"/>
          <w:szCs w:val="24"/>
        </w:rPr>
        <w:t>。在纳税筹划的相关内容方面，目前</w:t>
      </w:r>
      <w:r>
        <w:rPr>
          <w:rFonts w:ascii="Times New Roman" w:eastAsia="宋体" w:hAnsi="Times New Roman" w:cs="Times New Roman"/>
          <w:sz w:val="24"/>
          <w:szCs w:val="24"/>
        </w:rPr>
        <w:t>广义的纳税筹划概念主要分为以下三个方面，分别为：</w:t>
      </w:r>
    </w:p>
    <w:p>
      <w:pPr>
        <w:spacing w:line="360" w:lineRule="auto"/>
        <w:ind w:firstLine="480" w:firstLineChars="200"/>
        <w:rPr>
          <w:rFonts w:ascii="Times New Roman" w:hAnsi="Times New Roman"/>
          <w:sz w:val="24"/>
        </w:rPr>
      </w:pPr>
      <w:r>
        <w:rPr>
          <w:rFonts w:ascii="Times New Roman" w:eastAsia="宋体" w:hAnsi="Times New Roman" w:cs="Times New Roman"/>
          <w:sz w:val="24"/>
          <w:szCs w:val="24"/>
        </w:rPr>
        <w:fldChar w:fldCharType="begin"/>
      </w:r>
      <w:r>
        <w:rPr>
          <w:rFonts w:ascii="Times New Roman" w:eastAsia="宋体" w:hAnsi="Times New Roman" w:cs="Times New Roman"/>
          <w:sz w:val="24"/>
          <w:szCs w:val="24"/>
        </w:rPr>
        <w:instrText xml:space="preserve"> = 1 \* GB2 \* MERGEFORMAT </w:instrText>
      </w:r>
      <w:r>
        <w:rPr>
          <w:rFonts w:ascii="Times New Roman" w:eastAsia="宋体" w:hAnsi="Times New Roman" w:cs="Times New Roman"/>
          <w:sz w:val="24"/>
          <w:szCs w:val="24"/>
        </w:rPr>
        <w:fldChar w:fldCharType="separate"/>
      </w:r>
      <w:r>
        <w:rPr>
          <w:rFonts w:ascii="Times New Roman" w:eastAsia="宋体" w:hAnsi="Times New Roman" w:cs="Times New Roman"/>
          <w:sz w:val="24"/>
          <w:szCs w:val="24"/>
        </w:rPr>
        <w:t>⑴</w:t>
      </w:r>
      <w:r>
        <w:rPr>
          <w:rFonts w:ascii="Times New Roman" w:eastAsia="宋体" w:hAnsi="Times New Roman" w:cs="Times New Roman"/>
          <w:sz w:val="24"/>
          <w:szCs w:val="24"/>
        </w:rPr>
        <w:fldChar w:fldCharType="end"/>
      </w:r>
      <w:r>
        <w:rPr>
          <w:rFonts w:ascii="Times New Roman" w:eastAsia="宋体" w:hAnsi="Times New Roman" w:cs="Times New Roman"/>
          <w:sz w:val="24"/>
          <w:szCs w:val="24"/>
        </w:rPr>
        <w:t>纳税筹划归根结底就是节约税款，即在遵守法律法规的前提下，充分利用我国税法的优惠政策，有效安排公司的筹资、投资等相关业务，达到节省税款的效果。纳税筹划从本质上来讲就等同于节税筹划</w:t>
      </w:r>
      <w:r>
        <w:rPr>
          <w:rFonts w:ascii="Calibri" w:eastAsia="宋体" w:hAnsi="Calibri" w:cs="Times New Roman" w:hint="eastAsia"/>
          <w:sz w:val="24"/>
          <w:szCs w:val="24"/>
          <w:vertAlign w:val="superscript"/>
        </w:rPr>
        <w:t>[2]</w:t>
      </w:r>
      <w:r>
        <w:rPr>
          <w:rFonts w:ascii="Times New Roman" w:eastAsia="宋体" w:hAnsi="Times New Roman" w:cs="Times New Roman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ascii="Times New Roman" w:hAnsi="Times New Roman"/>
          <w:sz w:val="24"/>
        </w:rPr>
      </w:pPr>
      <w:r>
        <w:rPr>
          <w:rFonts w:ascii="Times New Roman" w:eastAsia="宋体" w:hAnsi="Times New Roman" w:cs="Times New Roman"/>
          <w:sz w:val="24"/>
          <w:szCs w:val="24"/>
        </w:rPr>
        <w:fldChar w:fldCharType="begin"/>
      </w:r>
      <w:r>
        <w:rPr>
          <w:rFonts w:ascii="Times New Roman" w:eastAsia="宋体" w:hAnsi="Times New Roman" w:cs="Times New Roman"/>
          <w:sz w:val="24"/>
          <w:szCs w:val="24"/>
        </w:rPr>
        <w:instrText xml:space="preserve"> = 2 \* GB2 \* MERGEFORMAT </w:instrText>
      </w:r>
      <w:r>
        <w:rPr>
          <w:rFonts w:ascii="Times New Roman" w:eastAsia="宋体" w:hAnsi="Times New Roman" w:cs="Times New Roman"/>
          <w:sz w:val="24"/>
          <w:szCs w:val="24"/>
        </w:rPr>
        <w:fldChar w:fldCharType="separate"/>
      </w:r>
      <w:r>
        <w:rPr>
          <w:rFonts w:ascii="Times New Roman" w:eastAsia="宋体" w:hAnsi="Times New Roman" w:cs="Times New Roman"/>
          <w:sz w:val="24"/>
          <w:szCs w:val="24"/>
        </w:rPr>
        <w:t>⑵</w:t>
      </w:r>
      <w:r>
        <w:rPr>
          <w:rFonts w:ascii="Times New Roman" w:eastAsia="宋体" w:hAnsi="Times New Roman" w:cs="Times New Roman"/>
          <w:sz w:val="24"/>
          <w:szCs w:val="24"/>
        </w:rPr>
        <w:fldChar w:fldCharType="end"/>
      </w:r>
      <w:r>
        <w:rPr>
          <w:rFonts w:ascii="Times New Roman" w:eastAsia="宋体" w:hAnsi="Times New Roman" w:cs="Times New Roman"/>
          <w:sz w:val="24"/>
          <w:szCs w:val="24"/>
        </w:rPr>
        <w:t>纳税人可利用合法手段进行避税规划。在符合相关法律条文的基础上，利用税法中制定中存在的漏洞以及空白对税收进行筹划，从而获取利益</w:t>
      </w:r>
      <w:r>
        <w:rPr>
          <w:rFonts w:ascii="Calibri" w:eastAsia="宋体" w:hAnsi="Calibri" w:cs="Times New Roman" w:hint="eastAsia"/>
          <w:sz w:val="24"/>
          <w:szCs w:val="24"/>
          <w:vertAlign w:val="superscript"/>
        </w:rPr>
        <w:t>[3]</w:t>
      </w:r>
      <w:r>
        <w:rPr>
          <w:rFonts w:ascii="Times New Roman" w:eastAsia="宋体" w:hAnsi="Times New Roman" w:cs="Times New Roman"/>
          <w:sz w:val="24"/>
          <w:szCs w:val="24"/>
        </w:rPr>
        <w:t>。避税筹划与偷税逃税不同，是以遵守法律为前提的合法行为。</w:t>
      </w:r>
    </w:p>
    <w:p>
      <w:pPr>
        <w:spacing w:line="360" w:lineRule="auto"/>
        <w:ind w:firstLine="480" w:firstLineChars="200"/>
        <w:rPr>
          <w:rFonts w:ascii="Times New Roman" w:hAnsi="Times New Roman"/>
          <w:sz w:val="24"/>
        </w:rPr>
      </w:pPr>
      <w:r>
        <w:rPr>
          <w:rFonts w:ascii="Times New Roman" w:eastAsia="宋体" w:hAnsi="Times New Roman" w:cs="Times New Roman"/>
          <w:sz w:val="24"/>
          <w:szCs w:val="24"/>
        </w:rPr>
        <w:fldChar w:fldCharType="begin"/>
      </w:r>
      <w:r>
        <w:rPr>
          <w:rFonts w:ascii="Times New Roman" w:eastAsia="宋体" w:hAnsi="Times New Roman" w:cs="Times New Roman"/>
          <w:sz w:val="24"/>
          <w:szCs w:val="24"/>
        </w:rPr>
        <w:instrText xml:space="preserve"> = 3 \* GB2 \* MERGEFORMAT </w:instrText>
      </w:r>
      <w:r>
        <w:rPr>
          <w:rFonts w:ascii="Times New Roman" w:eastAsia="宋体" w:hAnsi="Times New Roman" w:cs="Times New Roman"/>
          <w:sz w:val="24"/>
          <w:szCs w:val="24"/>
        </w:rPr>
        <w:fldChar w:fldCharType="separate"/>
      </w:r>
      <w:r>
        <w:rPr>
          <w:rFonts w:ascii="Times New Roman" w:eastAsia="宋体" w:hAnsi="Times New Roman" w:cs="Times New Roman"/>
          <w:sz w:val="24"/>
          <w:szCs w:val="24"/>
        </w:rPr>
        <w:t>⑶</w:t>
      </w:r>
      <w:r>
        <w:rPr>
          <w:rFonts w:ascii="Times New Roman" w:eastAsia="宋体" w:hAnsi="Times New Roman" w:cs="Times New Roman"/>
          <w:sz w:val="24"/>
          <w:szCs w:val="24"/>
        </w:rPr>
        <w:fldChar w:fldCharType="end"/>
      </w:r>
      <w:r>
        <w:rPr>
          <w:rFonts w:ascii="Times New Roman" w:eastAsia="宋体" w:hAnsi="Times New Roman" w:cs="Times New Roman"/>
          <w:sz w:val="24"/>
          <w:szCs w:val="24"/>
        </w:rPr>
        <w:t>纳税筹划还可以通过对交易价格进行调节，从而将税负转移给他人，让他人上缴税费以达到自身减少</w:t>
      </w:r>
      <w:r>
        <w:rPr>
          <w:rFonts w:ascii="Times New Roman" w:eastAsia="宋体" w:hAnsi="Times New Roman" w:cs="Times New Roman" w:hint="eastAsia"/>
          <w:sz w:val="24"/>
          <w:szCs w:val="24"/>
        </w:rPr>
        <w:t>税收的效果</w:t>
      </w:r>
      <w:r>
        <w:rPr>
          <w:rFonts w:ascii="Calibri" w:eastAsia="宋体" w:hAnsi="Calibri" w:cs="Times New Roman" w:hint="eastAsia"/>
          <w:sz w:val="24"/>
          <w:szCs w:val="24"/>
          <w:vertAlign w:val="superscript"/>
        </w:rPr>
        <w:t>[4]</w:t>
      </w:r>
      <w:r>
        <w:rPr>
          <w:rFonts w:ascii="Times New Roman" w:eastAsia="宋体" w:hAnsi="Times New Roman" w:cs="Times New Roman" w:hint="eastAsia"/>
          <w:sz w:val="24"/>
          <w:szCs w:val="24"/>
        </w:rPr>
        <w:t>。与此同时，企业还可以通过认真准确的对账目进行梳理，及时足额的申报纳税等方式，避免受到税收方面处罚，更有利于企业的长久发展。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ascii="Calibri" w:eastAsia="宋体" w:hAnsi="Calibri" w:cs="Times New Roman" w:hint="eastAsia"/>
          <w:sz w:val="24"/>
          <w:szCs w:val="24"/>
        </w:rPr>
        <w:t>因此，论文认为税收筹划是在不违背法律法规以及相关规定的情况下，通过对公司对外涉税业务进行整理分析，从而找到问题的所在，寻找合理的解决方案，从而制定出完善且切实可行的纳税方案，最终达到合理节约税款以及最大程度减少税负的要求。</w:t>
      </w:r>
      <w:r>
        <w:rPr>
          <w:rFonts w:ascii="Calibri" w:eastAsia="宋体" w:hAnsi="Calibri" w:cs="Times New Roman" w:hint="eastAsia"/>
          <w:sz w:val="24"/>
          <w:szCs w:val="24"/>
        </w:rPr>
        <w:t></w:t>
      </w:r>
    </w:p>
    <w:p>
      <w:pPr>
        <w:keepNext/>
        <w:keepLines/>
        <w:spacing w:line="412" w:lineRule="auto"/>
        <w:outlineLvl w:val="1"/>
        <w:rPr>
          <w:rFonts w:ascii="黑体" w:eastAsia="黑体" w:hAnsi="黑体" w:cs="黑体"/>
          <w:sz w:val="30"/>
          <w:szCs w:val="30"/>
        </w:rPr>
      </w:pPr>
      <w:bookmarkStart w:id="2" w:name="_Toc11836533"/>
      <w:r>
        <w:rPr>
          <w:rFonts w:ascii="黑体" w:eastAsia="黑体" w:hAnsi="黑体" w:cs="黑体" w:hint="eastAsia"/>
          <w:sz w:val="30"/>
          <w:szCs w:val="30"/>
        </w:rPr>
        <w:t>1.2  纳税筹划特征</w:t>
      </w:r>
      <w:bookmarkEnd w:id="2"/>
    </w:p>
    <w:p>
      <w:pPr>
        <w:spacing w:line="360" w:lineRule="auto"/>
        <w:ind w:firstLine="480" w:firstLineChars="200"/>
        <w:rPr>
          <w:sz w:val="24"/>
        </w:rPr>
      </w:pPr>
      <w:r>
        <w:rPr>
          <w:rFonts w:ascii="Calibri" w:eastAsia="宋体" w:hAnsi="Calibri" w:cs="Times New Roman" w:hint="eastAsia"/>
          <w:sz w:val="24"/>
          <w:szCs w:val="24"/>
        </w:rPr>
        <w:t>纳税筹划并非公司内部的独立工作，而是纳税筹划具有很多的特点，比如说专业性和合法性以及风险性等。</w:t>
      </w:r>
    </w:p>
    <w:p>
      <w:pPr>
        <w:spacing w:line="360" w:lineRule="auto"/>
        <w:ind w:firstLine="480" w:firstLineChars="200"/>
        <w:rPr>
          <w:rFonts w:ascii="Times New Roman" w:hAnsi="Times New Roman"/>
          <w:sz w:val="24"/>
        </w:rPr>
      </w:pPr>
      <w:r>
        <w:rPr>
          <w:rFonts w:ascii="Times New Roman" w:eastAsia="宋体" w:hAnsi="Times New Roman" w:cs="Times New Roman"/>
          <w:sz w:val="24"/>
          <w:szCs w:val="24"/>
        </w:rPr>
        <w:fldChar w:fldCharType="begin"/>
      </w:r>
      <w:r>
        <w:rPr>
          <w:rFonts w:ascii="Times New Roman" w:eastAsia="宋体" w:hAnsi="Times New Roman" w:cs="Times New Roman"/>
          <w:sz w:val="24"/>
          <w:szCs w:val="24"/>
        </w:rPr>
        <w:instrText xml:space="preserve"> = 1 \* GB2 \* MERGEFORMAT </w:instrText>
      </w:r>
      <w:r>
        <w:rPr>
          <w:rFonts w:ascii="Times New Roman" w:eastAsia="宋体" w:hAnsi="Times New Roman" w:cs="Times New Roman"/>
          <w:sz w:val="24"/>
          <w:szCs w:val="24"/>
        </w:rPr>
        <w:fldChar w:fldCharType="separate"/>
      </w:r>
      <w:r>
        <w:rPr>
          <w:rFonts w:ascii="Times New Roman" w:eastAsia="宋体" w:hAnsi="Times New Roman" w:cs="Times New Roman"/>
          <w:sz w:val="24"/>
          <w:szCs w:val="24"/>
        </w:rPr>
        <w:t>⑴</w:t>
      </w:r>
      <w:r>
        <w:rPr>
          <w:rFonts w:ascii="Times New Roman" w:eastAsia="宋体" w:hAnsi="Times New Roman" w:cs="Times New Roman"/>
          <w:sz w:val="24"/>
          <w:szCs w:val="24"/>
        </w:rPr>
        <w:fldChar w:fldCharType="end"/>
      </w:r>
      <w:r>
        <w:rPr>
          <w:rFonts w:ascii="Times New Roman" w:eastAsia="宋体" w:hAnsi="Times New Roman" w:cs="Times New Roman"/>
          <w:sz w:val="24"/>
          <w:szCs w:val="24"/>
        </w:rPr>
        <w:t>纳税筹划的合法性</w:t>
      </w:r>
    </w:p>
    <w:p>
      <w:pPr>
        <w:spacing w:line="360" w:lineRule="auto"/>
        <w:ind w:firstLine="480" w:firstLineChars="200"/>
        <w:rPr>
          <w:rFonts w:ascii="Times New Roman" w:hAnsi="Times New Roman"/>
          <w:sz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pgNumType w:fmt="decimal" w:start="1"/>
          <w:cols w:space="708"/>
          <w:docGrid w:type="lines" w:linePitch="312"/>
        </w:sectPr>
      </w:pPr>
      <w:r>
        <w:rPr>
          <w:rFonts w:ascii="Times New Roman" w:eastAsia="宋体" w:hAnsi="Times New Roman" w:cs="Times New Roman" w:hint="eastAsia"/>
          <w:sz w:val="24"/>
          <w:szCs w:val="24"/>
        </w:rPr>
        <w:t>企业</w:t>
      </w:r>
      <w:r>
        <w:rPr>
          <w:rFonts w:ascii="Times New Roman" w:eastAsia="宋体" w:hAnsi="Times New Roman" w:cs="Times New Roman"/>
          <w:sz w:val="24"/>
          <w:szCs w:val="24"/>
        </w:rPr>
        <w:t>想要进行合理的纳税筹划首先需要坚持遵守</w:t>
      </w:r>
      <w:r>
        <w:rPr>
          <w:rFonts w:ascii="Times New Roman" w:eastAsia="宋体" w:hAnsi="Times New Roman" w:cs="Times New Roman" w:hint="eastAsia"/>
          <w:sz w:val="24"/>
          <w:szCs w:val="24"/>
        </w:rPr>
        <w:t>我国</w:t>
      </w:r>
      <w:r>
        <w:rPr>
          <w:rFonts w:ascii="Times New Roman" w:eastAsia="宋体" w:hAnsi="Times New Roman" w:cs="Times New Roman"/>
          <w:sz w:val="24"/>
          <w:szCs w:val="24"/>
        </w:rPr>
        <w:t>相关的税</w:t>
      </w:r>
      <w:r>
        <w:rPr>
          <w:rFonts w:ascii="Times New Roman" w:eastAsia="宋体" w:hAnsi="Times New Roman" w:cs="Times New Roman" w:hint="eastAsia"/>
          <w:sz w:val="24"/>
          <w:szCs w:val="24"/>
        </w:rPr>
        <w:t>法</w:t>
      </w:r>
      <w:r>
        <w:rPr>
          <w:rFonts w:ascii="Times New Roman" w:eastAsia="宋体" w:hAnsi="Times New Roman" w:cs="Times New Roman"/>
          <w:sz w:val="24"/>
          <w:szCs w:val="24"/>
        </w:rPr>
        <w:t>政策，由此可</w:t>
      </w:r>
      <w:r>
        <w:rPr>
          <w:rFonts w:ascii="Times New Roman" w:eastAsia="宋体" w:hAnsi="Times New Roman" w:cs="Times New Roman" w:hint="eastAsia"/>
          <w:sz w:val="24"/>
          <w:szCs w:val="24"/>
        </w:rPr>
        <w:t>见</w:t>
      </w:r>
      <w:r>
        <w:rPr>
          <w:rFonts w:ascii="Times New Roman" w:eastAsia="宋体" w:hAnsi="Times New Roman" w:cs="Times New Roman"/>
          <w:sz w:val="24"/>
          <w:szCs w:val="24"/>
        </w:rPr>
        <w:t>，就纳税筹划层面，其基础的特质就是自身的合法性</w:t>
      </w:r>
      <w:r>
        <w:rPr>
          <w:rFonts w:ascii="Times New Roman" w:eastAsia="宋体" w:hAnsi="Times New Roman" w:cs="Times New Roman" w:hint="eastAsia"/>
          <w:sz w:val="24"/>
          <w:szCs w:val="24"/>
          <w:vertAlign w:val="superscript"/>
        </w:rPr>
        <w:t>[5]</w:t>
      </w:r>
      <w:r>
        <w:rPr>
          <w:rFonts w:ascii="Times New Roman" w:eastAsia="宋体" w:hAnsi="Times New Roman" w:cs="Times New Roman"/>
          <w:sz w:val="24"/>
          <w:szCs w:val="24"/>
        </w:rPr>
        <w:t>。并且</w:t>
      </w:r>
      <w:r>
        <w:rPr>
          <w:rFonts w:ascii="Times New Roman" w:eastAsia="宋体" w:hAnsi="Times New Roman" w:cs="Times New Roman" w:hint="eastAsia"/>
          <w:sz w:val="24"/>
          <w:szCs w:val="24"/>
        </w:rPr>
        <w:t>该</w:t>
      </w:r>
      <w:r>
        <w:rPr>
          <w:rFonts w:ascii="Times New Roman" w:eastAsia="宋体" w:hAnsi="Times New Roman" w:cs="Times New Roman"/>
          <w:sz w:val="24"/>
          <w:szCs w:val="24"/>
        </w:rPr>
        <w:t>特</w:t>
      </w:r>
      <w:r>
        <w:rPr>
          <w:rFonts w:ascii="Times New Roman" w:eastAsia="宋体" w:hAnsi="Times New Roman" w:cs="Times New Roman" w:hint="eastAsia"/>
          <w:sz w:val="24"/>
          <w:szCs w:val="24"/>
        </w:rPr>
        <w:t>质</w:t>
      </w:r>
      <w:r>
        <w:rPr>
          <w:rFonts w:ascii="Times New Roman" w:eastAsia="宋体" w:hAnsi="Times New Roman" w:cs="Times New Roman"/>
          <w:sz w:val="24"/>
          <w:szCs w:val="24"/>
        </w:rPr>
        <w:t>主要可通过六个方面进行</w:t>
      </w:r>
      <w:r>
        <w:rPr>
          <w:rFonts w:ascii="Times New Roman" w:eastAsia="宋体" w:hAnsi="Times New Roman" w:cs="Times New Roman" w:hint="eastAsia"/>
          <w:sz w:val="24"/>
          <w:szCs w:val="24"/>
        </w:rPr>
        <w:t>衡量，</w:t>
      </w:r>
      <w:r>
        <w:rPr>
          <w:rFonts w:ascii="Times New Roman" w:eastAsia="宋体" w:hAnsi="Times New Roman" w:cs="Times New Roman"/>
          <w:sz w:val="24"/>
          <w:szCs w:val="24"/>
        </w:rPr>
        <w:t>分别是：首先其所使用的方法以</w:t>
      </w:r>
      <w:r>
        <w:rPr>
          <w:rFonts w:ascii="Times New Roman" w:eastAsia="宋体" w:hAnsi="Times New Roman" w:cs="Times New Roman" w:hint="eastAsia"/>
          <w:sz w:val="24"/>
          <w:szCs w:val="24"/>
        </w:rPr>
        <w:t>及</w:t>
      </w:r>
    </w:p>
    <w:p>
      <w:pPr>
        <w:spacing w:line="360" w:lineRule="auto"/>
        <w:ind w:firstLine="480" w:firstLineChars="200"/>
        <w:rPr>
          <w:rFonts w:ascii="Times New Roman" w:hAnsi="Times New Roman"/>
          <w:sz w:val="24"/>
        </w:rPr>
      </w:pPr>
      <w:r>
        <w:rPr>
          <w:rFonts w:ascii="Times New Roman" w:eastAsia="宋体" w:hAnsi="Times New Roman" w:cs="Times New Roman"/>
          <w:sz w:val="24"/>
          <w:szCs w:val="24"/>
        </w:rPr>
        <w:t>手段要严格遵守相关的法规标准，如果出现</w:t>
      </w:r>
      <w:r>
        <w:rPr>
          <w:rFonts w:ascii="Times New Roman" w:eastAsia="宋体" w:hAnsi="Times New Roman" w:cs="Times New Roman" w:hint="eastAsia"/>
          <w:sz w:val="24"/>
          <w:szCs w:val="24"/>
        </w:rPr>
        <w:t>相关</w:t>
      </w:r>
      <w:r>
        <w:rPr>
          <w:rFonts w:ascii="Times New Roman" w:eastAsia="宋体" w:hAnsi="Times New Roman" w:cs="Times New Roman"/>
          <w:sz w:val="24"/>
          <w:szCs w:val="24"/>
        </w:rPr>
        <w:t>方案与国家现有的规章制度相冲突，该方案就不</w:t>
      </w:r>
      <w:r>
        <w:rPr>
          <w:rFonts w:ascii="Times New Roman" w:eastAsia="宋体" w:hAnsi="Times New Roman" w:cs="Times New Roman" w:hint="eastAsia"/>
          <w:sz w:val="24"/>
          <w:szCs w:val="24"/>
        </w:rPr>
        <w:t>可称为</w:t>
      </w:r>
      <w:r>
        <w:rPr>
          <w:rFonts w:ascii="Times New Roman" w:eastAsia="宋体" w:hAnsi="Times New Roman" w:cs="Times New Roman"/>
          <w:sz w:val="24"/>
          <w:szCs w:val="24"/>
        </w:rPr>
        <w:t>纳税筹划</w:t>
      </w:r>
      <w:r>
        <w:rPr>
          <w:rFonts w:ascii="Times New Roman" w:eastAsia="宋体" w:hAnsi="Times New Roman" w:cs="Times New Roman" w:hint="eastAsia"/>
          <w:sz w:val="24"/>
          <w:szCs w:val="24"/>
        </w:rPr>
        <w:t>；</w:t>
      </w:r>
      <w:r>
        <w:rPr>
          <w:rFonts w:ascii="Times New Roman" w:eastAsia="宋体" w:hAnsi="Times New Roman" w:cs="Times New Roman"/>
          <w:sz w:val="24"/>
          <w:szCs w:val="24"/>
        </w:rPr>
        <w:t>相关的税务机关不可以采用任何手段干涉纳税人纳税筹划，当国家税收的相关政策</w:t>
      </w:r>
      <w:r>
        <w:rPr>
          <w:rFonts w:ascii="Times New Roman" w:eastAsia="宋体" w:hAnsi="Times New Roman" w:cs="Times New Roman" w:hint="eastAsia"/>
          <w:sz w:val="24"/>
          <w:szCs w:val="24"/>
        </w:rPr>
        <w:t>发现存在</w:t>
      </w:r>
      <w:r>
        <w:rPr>
          <w:rFonts w:ascii="Times New Roman" w:eastAsia="宋体" w:hAnsi="Times New Roman" w:cs="Times New Roman"/>
          <w:sz w:val="24"/>
          <w:szCs w:val="24"/>
        </w:rPr>
        <w:t>漏洞</w:t>
      </w:r>
      <w:r>
        <w:rPr>
          <w:rFonts w:ascii="Times New Roman" w:eastAsia="宋体" w:hAnsi="Times New Roman" w:cs="Times New Roman" w:hint="eastAsia"/>
          <w:sz w:val="24"/>
          <w:szCs w:val="24"/>
        </w:rPr>
        <w:t>时</w:t>
      </w:r>
      <w:r>
        <w:rPr>
          <w:rFonts w:ascii="Times New Roman" w:eastAsia="宋体" w:hAnsi="Times New Roman" w:cs="Times New Roman"/>
          <w:sz w:val="24"/>
          <w:szCs w:val="24"/>
        </w:rPr>
        <w:t>，国家</w:t>
      </w:r>
      <w:r>
        <w:rPr>
          <w:rFonts w:ascii="Times New Roman" w:eastAsia="宋体" w:hAnsi="Times New Roman" w:cs="Times New Roman" w:hint="eastAsia"/>
          <w:sz w:val="24"/>
          <w:szCs w:val="24"/>
        </w:rPr>
        <w:t>可</w:t>
      </w:r>
      <w:r>
        <w:rPr>
          <w:rFonts w:ascii="Times New Roman" w:eastAsia="宋体" w:hAnsi="Times New Roman" w:cs="Times New Roman"/>
          <w:sz w:val="24"/>
          <w:szCs w:val="24"/>
        </w:rPr>
        <w:t>采取相应手段修补漏洞，但不能强行</w:t>
      </w:r>
      <w:r>
        <w:rPr>
          <w:rFonts w:ascii="Times New Roman" w:eastAsia="宋体" w:hAnsi="Times New Roman" w:cs="Times New Roman" w:hint="eastAsia"/>
          <w:sz w:val="24"/>
          <w:szCs w:val="24"/>
        </w:rPr>
        <w:t>使</w:t>
      </w:r>
      <w:r>
        <w:rPr>
          <w:rFonts w:ascii="Times New Roman" w:eastAsia="宋体" w:hAnsi="Times New Roman" w:cs="Times New Roman"/>
          <w:sz w:val="24"/>
          <w:szCs w:val="24"/>
        </w:rPr>
        <w:t>纳税人停止纳税筹划，由此</w:t>
      </w:r>
      <w:r>
        <w:rPr>
          <w:rFonts w:ascii="Times New Roman" w:eastAsia="宋体" w:hAnsi="Times New Roman" w:cs="Times New Roman" w:hint="eastAsia"/>
          <w:sz w:val="24"/>
          <w:szCs w:val="24"/>
        </w:rPr>
        <w:t>可见</w:t>
      </w:r>
      <w:r>
        <w:rPr>
          <w:rFonts w:ascii="Times New Roman" w:eastAsia="宋体" w:hAnsi="Times New Roman" w:cs="Times New Roman"/>
          <w:sz w:val="24"/>
          <w:szCs w:val="24"/>
        </w:rPr>
        <w:t>，纳税筹划一定要合法。</w:t>
      </w:r>
      <w:r>
        <w:rPr>
          <w:rFonts w:ascii="Times New Roman" w:eastAsia="宋体" w:hAnsi="Times New Roman" w:cs="Times New Roman"/>
          <w:sz w:val="24"/>
          <w:szCs w:val="24"/>
        </w:rPr>
        <w:fldChar w:fldCharType="begin"/>
      </w:r>
      <w:r>
        <w:rPr>
          <w:rFonts w:ascii="Times New Roman" w:eastAsia="宋体" w:hAnsi="Times New Roman" w:cs="Times New Roman"/>
          <w:sz w:val="24"/>
          <w:szCs w:val="24"/>
        </w:rPr>
        <w:instrText xml:space="preserve"> = 2 \* GB2 \* MERGEFORMAT </w:instrText>
      </w:r>
      <w:r>
        <w:rPr>
          <w:rFonts w:ascii="Times New Roman" w:eastAsia="宋体" w:hAnsi="Times New Roman" w:cs="Times New Roman"/>
          <w:sz w:val="24"/>
          <w:szCs w:val="24"/>
        </w:rPr>
        <w:fldChar w:fldCharType="separate"/>
      </w:r>
      <w:r>
        <w:rPr>
          <w:rFonts w:ascii="Times New Roman" w:eastAsia="宋体" w:hAnsi="Times New Roman" w:cs="Times New Roman"/>
          <w:sz w:val="24"/>
          <w:szCs w:val="24"/>
        </w:rPr>
        <w:t>⑵</w:t>
      </w:r>
      <w:r>
        <w:rPr>
          <w:rFonts w:ascii="Times New Roman" w:eastAsia="宋体" w:hAnsi="Times New Roman" w:cs="Times New Roman"/>
          <w:sz w:val="24"/>
          <w:szCs w:val="24"/>
        </w:rPr>
        <w:fldChar w:fldCharType="end"/>
      </w:r>
      <w:r>
        <w:rPr>
          <w:rFonts w:ascii="Times New Roman" w:eastAsia="宋体" w:hAnsi="Times New Roman" w:cs="Times New Roman"/>
          <w:sz w:val="24"/>
          <w:szCs w:val="24"/>
        </w:rPr>
        <w:t>纳税筹划的风险性</w:t>
      </w:r>
    </w:p>
    <w:p>
      <w:pPr>
        <w:spacing w:line="360" w:lineRule="auto"/>
        <w:ind w:firstLine="480" w:firstLineChars="200"/>
        <w:rPr>
          <w:rFonts w:ascii="Times New Roman" w:hAnsi="Times New Roman"/>
          <w:sz w:val="24"/>
        </w:rPr>
      </w:pPr>
      <w:r>
        <w:rPr>
          <w:rFonts w:ascii="Times New Roman" w:eastAsia="宋体" w:hAnsi="Times New Roman" w:cs="Times New Roman"/>
          <w:sz w:val="24"/>
          <w:szCs w:val="24"/>
        </w:rPr>
        <w:t>纳税筹划的</w:t>
      </w:r>
      <w:r>
        <w:rPr>
          <w:rFonts w:ascii="Times New Roman" w:eastAsia="宋体" w:hAnsi="Times New Roman" w:cs="Times New Roman" w:hint="eastAsia"/>
          <w:sz w:val="24"/>
          <w:szCs w:val="24"/>
        </w:rPr>
        <w:t>最终</w:t>
      </w:r>
      <w:r>
        <w:rPr>
          <w:rFonts w:ascii="Times New Roman" w:eastAsia="宋体" w:hAnsi="Times New Roman" w:cs="Times New Roman"/>
          <w:sz w:val="24"/>
          <w:szCs w:val="24"/>
        </w:rPr>
        <w:t>目的是获</w:t>
      </w:r>
      <w:r>
        <w:rPr>
          <w:rFonts w:ascii="Times New Roman" w:eastAsia="宋体" w:hAnsi="Times New Roman" w:cs="Times New Roman" w:hint="eastAsia"/>
          <w:sz w:val="24"/>
          <w:szCs w:val="24"/>
        </w:rPr>
        <w:t>取</w:t>
      </w:r>
      <w:r>
        <w:rPr>
          <w:rFonts w:ascii="Times New Roman" w:eastAsia="宋体" w:hAnsi="Times New Roman" w:cs="Times New Roman"/>
          <w:sz w:val="24"/>
          <w:szCs w:val="24"/>
        </w:rPr>
        <w:t>最大税收收益，但在实际的操作过程中往往</w:t>
      </w:r>
      <w:r>
        <w:rPr>
          <w:rFonts w:ascii="Times New Roman" w:eastAsia="宋体" w:hAnsi="Times New Roman" w:cs="Times New Roman" w:hint="eastAsia"/>
          <w:sz w:val="24"/>
          <w:szCs w:val="24"/>
        </w:rPr>
        <w:t>无法</w:t>
      </w:r>
      <w:r>
        <w:rPr>
          <w:rFonts w:ascii="Times New Roman" w:eastAsia="宋体" w:hAnsi="Times New Roman" w:cs="Times New Roman"/>
          <w:sz w:val="24"/>
          <w:szCs w:val="24"/>
        </w:rPr>
        <w:t>顺利完成目标，这跟纳税筹划的风险性</w:t>
      </w:r>
      <w:r>
        <w:rPr>
          <w:rFonts w:ascii="Times New Roman" w:eastAsia="宋体" w:hAnsi="Times New Roman" w:cs="Times New Roman" w:hint="eastAsia"/>
          <w:sz w:val="24"/>
          <w:szCs w:val="24"/>
        </w:rPr>
        <w:t>存在直接关系</w:t>
      </w:r>
      <w:r>
        <w:rPr>
          <w:rFonts w:ascii="Times New Roman" w:eastAsia="宋体" w:hAnsi="Times New Roman" w:cs="Times New Roman"/>
          <w:sz w:val="24"/>
          <w:szCs w:val="24"/>
        </w:rPr>
        <w:t>。企业在</w:t>
      </w:r>
      <w:r>
        <w:rPr>
          <w:rFonts w:ascii="Times New Roman" w:eastAsia="宋体" w:hAnsi="Times New Roman" w:cs="Times New Roman" w:hint="eastAsia"/>
          <w:sz w:val="24"/>
          <w:szCs w:val="24"/>
        </w:rPr>
        <w:t>进行</w:t>
      </w:r>
      <w:r>
        <w:rPr>
          <w:rFonts w:ascii="Times New Roman" w:eastAsia="宋体" w:hAnsi="Times New Roman" w:cs="Times New Roman"/>
          <w:sz w:val="24"/>
          <w:szCs w:val="24"/>
        </w:rPr>
        <w:t>纳税筹划</w:t>
      </w:r>
      <w:r>
        <w:rPr>
          <w:rFonts w:ascii="Times New Roman" w:eastAsia="宋体" w:hAnsi="Times New Roman" w:cs="Times New Roman" w:hint="eastAsia"/>
          <w:sz w:val="24"/>
          <w:szCs w:val="24"/>
        </w:rPr>
        <w:t>的过程</w:t>
      </w:r>
      <w:r>
        <w:rPr>
          <w:rFonts w:ascii="Times New Roman" w:eastAsia="宋体" w:hAnsi="Times New Roman" w:cs="Times New Roman"/>
          <w:sz w:val="24"/>
          <w:szCs w:val="24"/>
        </w:rPr>
        <w:t>中，可能会</w:t>
      </w:r>
      <w:r>
        <w:rPr>
          <w:rFonts w:ascii="Times New Roman" w:eastAsia="宋体" w:hAnsi="Times New Roman" w:cs="Times New Roman" w:hint="eastAsia"/>
          <w:sz w:val="24"/>
          <w:szCs w:val="24"/>
        </w:rPr>
        <w:t>存在</w:t>
      </w:r>
      <w:r>
        <w:rPr>
          <w:rFonts w:ascii="Times New Roman" w:eastAsia="宋体" w:hAnsi="Times New Roman" w:cs="Times New Roman"/>
          <w:sz w:val="24"/>
          <w:szCs w:val="24"/>
        </w:rPr>
        <w:t>对税收筹划认识不到位，对税收政策使用浅薄或发生错误，对企业整体利益把握不够</w:t>
      </w:r>
      <w:r>
        <w:rPr>
          <w:rFonts w:ascii="Times New Roman" w:eastAsia="宋体" w:hAnsi="Times New Roman" w:cs="Times New Roman" w:hint="eastAsia"/>
          <w:sz w:val="24"/>
          <w:szCs w:val="24"/>
        </w:rPr>
        <w:t>等问题</w:t>
      </w:r>
      <w:r>
        <w:rPr>
          <w:rFonts w:ascii="Times New Roman" w:eastAsia="宋体" w:hAnsi="Times New Roman" w:cs="Times New Roman"/>
          <w:sz w:val="24"/>
          <w:szCs w:val="24"/>
        </w:rPr>
        <w:t>，</w:t>
      </w:r>
      <w:r>
        <w:rPr>
          <w:rFonts w:ascii="Times New Roman" w:eastAsia="宋体" w:hAnsi="Times New Roman" w:cs="Times New Roman" w:hint="eastAsia"/>
          <w:sz w:val="24"/>
          <w:szCs w:val="24"/>
        </w:rPr>
        <w:t>以上问题均会</w:t>
      </w:r>
      <w:r>
        <w:rPr>
          <w:rFonts w:ascii="Times New Roman" w:eastAsia="宋体" w:hAnsi="Times New Roman" w:cs="Times New Roman"/>
          <w:sz w:val="24"/>
          <w:szCs w:val="24"/>
        </w:rPr>
        <w:t>导致</w:t>
      </w:r>
      <w:r>
        <w:rPr>
          <w:rFonts w:ascii="Times New Roman" w:eastAsia="宋体" w:hAnsi="Times New Roman" w:cs="Times New Roman" w:hint="eastAsia"/>
          <w:sz w:val="24"/>
          <w:szCs w:val="24"/>
        </w:rPr>
        <w:t>企业</w:t>
      </w:r>
      <w:r>
        <w:rPr>
          <w:rFonts w:ascii="Times New Roman" w:eastAsia="宋体" w:hAnsi="Times New Roman" w:cs="Times New Roman"/>
          <w:sz w:val="24"/>
          <w:szCs w:val="24"/>
        </w:rPr>
        <w:t>纳税筹划</w:t>
      </w:r>
      <w:r>
        <w:rPr>
          <w:rFonts w:ascii="Times New Roman" w:eastAsia="宋体" w:hAnsi="Times New Roman" w:cs="Times New Roman" w:hint="eastAsia"/>
          <w:sz w:val="24"/>
          <w:szCs w:val="24"/>
        </w:rPr>
        <w:t>无效</w:t>
      </w:r>
      <w:r>
        <w:rPr>
          <w:rFonts w:ascii="Times New Roman" w:eastAsia="宋体" w:hAnsi="Times New Roman" w:cs="Times New Roman"/>
          <w:sz w:val="24"/>
          <w:szCs w:val="24"/>
        </w:rPr>
        <w:t>甚至造成</w:t>
      </w:r>
      <w:r>
        <w:rPr>
          <w:rFonts w:ascii="Times New Roman" w:eastAsia="宋体" w:hAnsi="Times New Roman" w:cs="Times New Roman" w:hint="eastAsia"/>
          <w:sz w:val="24"/>
          <w:szCs w:val="24"/>
        </w:rPr>
        <w:t>经济</w:t>
      </w:r>
      <w:r>
        <w:rPr>
          <w:rFonts w:ascii="Times New Roman" w:eastAsia="宋体" w:hAnsi="Times New Roman" w:cs="Times New Roman"/>
          <w:sz w:val="24"/>
          <w:szCs w:val="24"/>
        </w:rPr>
        <w:t>损失，</w:t>
      </w:r>
      <w:r>
        <w:rPr>
          <w:rFonts w:ascii="Times New Roman" w:eastAsia="宋体" w:hAnsi="Times New Roman" w:cs="Times New Roman" w:hint="eastAsia"/>
          <w:sz w:val="24"/>
          <w:szCs w:val="24"/>
        </w:rPr>
        <w:t>即为</w:t>
      </w:r>
      <w:r>
        <w:rPr>
          <w:rFonts w:ascii="Times New Roman" w:eastAsia="宋体" w:hAnsi="Times New Roman" w:cs="Times New Roman"/>
          <w:sz w:val="24"/>
          <w:szCs w:val="24"/>
        </w:rPr>
        <w:t>纳税筹划</w:t>
      </w:r>
      <w:r>
        <w:rPr>
          <w:rFonts w:ascii="Times New Roman" w:eastAsia="宋体" w:hAnsi="Times New Roman" w:cs="Times New Roman" w:hint="eastAsia"/>
          <w:sz w:val="24"/>
          <w:szCs w:val="24"/>
        </w:rPr>
        <w:t>的</w:t>
      </w:r>
      <w:r>
        <w:rPr>
          <w:rFonts w:ascii="Times New Roman" w:eastAsia="宋体" w:hAnsi="Times New Roman" w:cs="Times New Roman"/>
          <w:sz w:val="24"/>
          <w:szCs w:val="24"/>
        </w:rPr>
        <w:t>风险性。</w:t>
      </w:r>
    </w:p>
    <w:p>
      <w:pPr>
        <w:spacing w:line="360" w:lineRule="auto"/>
        <w:ind w:firstLine="480" w:firstLineChars="200"/>
        <w:rPr>
          <w:rFonts w:ascii="Times New Roman" w:hAnsi="Times New Roman"/>
          <w:sz w:val="24"/>
        </w:rPr>
      </w:pPr>
      <w:r>
        <w:rPr>
          <w:rFonts w:ascii="Times New Roman" w:eastAsia="宋体" w:hAnsi="Times New Roman" w:cs="Times New Roman"/>
          <w:sz w:val="24"/>
          <w:szCs w:val="24"/>
        </w:rPr>
        <w:fldChar w:fldCharType="begin"/>
      </w:r>
      <w:r>
        <w:rPr>
          <w:rFonts w:ascii="Times New Roman" w:eastAsia="宋体" w:hAnsi="Times New Roman" w:cs="Times New Roman"/>
          <w:sz w:val="24"/>
          <w:szCs w:val="24"/>
        </w:rPr>
        <w:instrText xml:space="preserve"> = 3 \* GB2 \* MERGEFORMAT </w:instrText>
      </w:r>
      <w:r>
        <w:rPr>
          <w:rFonts w:ascii="Times New Roman" w:eastAsia="宋体" w:hAnsi="Times New Roman" w:cs="Times New Roman"/>
          <w:sz w:val="24"/>
          <w:szCs w:val="24"/>
        </w:rPr>
        <w:fldChar w:fldCharType="separate"/>
      </w:r>
      <w:r>
        <w:rPr>
          <w:rFonts w:ascii="Times New Roman" w:eastAsia="宋体" w:hAnsi="Times New Roman" w:cs="Times New Roman"/>
          <w:sz w:val="24"/>
          <w:szCs w:val="24"/>
        </w:rPr>
        <w:t>⑶</w:t>
      </w:r>
      <w:r>
        <w:rPr>
          <w:rFonts w:ascii="Times New Roman" w:eastAsia="宋体" w:hAnsi="Times New Roman" w:cs="Times New Roman"/>
          <w:sz w:val="24"/>
          <w:szCs w:val="24"/>
        </w:rPr>
        <w:fldChar w:fldCharType="end"/>
      </w:r>
      <w:r>
        <w:rPr>
          <w:rFonts w:ascii="Times New Roman" w:eastAsia="宋体" w:hAnsi="Times New Roman" w:cs="Times New Roman"/>
          <w:sz w:val="24"/>
          <w:szCs w:val="24"/>
        </w:rPr>
        <w:t>纳税筹划的专业性</w:t>
      </w:r>
    </w:p>
    <w:p>
      <w:pPr>
        <w:spacing w:line="360" w:lineRule="auto"/>
        <w:ind w:firstLine="480" w:firstLineChars="200"/>
        <w:rPr>
          <w:rFonts w:ascii="Times New Roman" w:hAnsi="Times New Roman"/>
          <w:sz w:val="24"/>
        </w:rPr>
      </w:pPr>
      <w:r>
        <w:rPr>
          <w:rFonts w:ascii="Times New Roman" w:eastAsia="宋体" w:hAnsi="Times New Roman" w:cs="Times New Roman"/>
          <w:sz w:val="24"/>
          <w:szCs w:val="24"/>
        </w:rPr>
        <w:t>对于纳税筹划</w:t>
      </w:r>
      <w:r>
        <w:rPr>
          <w:rFonts w:ascii="Times New Roman" w:eastAsia="宋体" w:hAnsi="Times New Roman" w:cs="Times New Roman" w:hint="eastAsia"/>
          <w:sz w:val="24"/>
          <w:szCs w:val="24"/>
        </w:rPr>
        <w:t>而言</w:t>
      </w:r>
      <w:r>
        <w:rPr>
          <w:rFonts w:ascii="Times New Roman" w:eastAsia="宋体" w:hAnsi="Times New Roman" w:cs="Times New Roman"/>
          <w:sz w:val="24"/>
          <w:szCs w:val="24"/>
        </w:rPr>
        <w:t>，其涉及的知识是非常广泛的，其中涵盖会计</w:t>
      </w:r>
      <w:r>
        <w:rPr>
          <w:rFonts w:ascii="Times New Roman" w:eastAsia="宋体" w:hAnsi="Times New Roman" w:cs="Times New Roman" w:hint="eastAsia"/>
          <w:sz w:val="24"/>
          <w:szCs w:val="24"/>
        </w:rPr>
        <w:t>、</w:t>
      </w:r>
      <w:r>
        <w:rPr>
          <w:rFonts w:ascii="Times New Roman" w:eastAsia="宋体" w:hAnsi="Times New Roman" w:cs="Times New Roman"/>
          <w:sz w:val="24"/>
          <w:szCs w:val="24"/>
        </w:rPr>
        <w:t>法律等相关知识，除此之外还</w:t>
      </w:r>
      <w:r>
        <w:rPr>
          <w:rFonts w:ascii="Times New Roman" w:eastAsia="宋体" w:hAnsi="Times New Roman" w:cs="Times New Roman" w:hint="eastAsia"/>
          <w:sz w:val="24"/>
          <w:szCs w:val="24"/>
        </w:rPr>
        <w:t>设计</w:t>
      </w:r>
      <w:r>
        <w:rPr>
          <w:rFonts w:ascii="Times New Roman" w:eastAsia="宋体" w:hAnsi="Times New Roman" w:cs="Times New Roman"/>
          <w:sz w:val="24"/>
          <w:szCs w:val="24"/>
        </w:rPr>
        <w:t>战略</w:t>
      </w:r>
      <w:r>
        <w:rPr>
          <w:rFonts w:ascii="Times New Roman" w:eastAsia="宋体" w:hAnsi="Times New Roman" w:cs="Times New Roman" w:hint="eastAsia"/>
          <w:sz w:val="24"/>
          <w:szCs w:val="24"/>
        </w:rPr>
        <w:t>以及</w:t>
      </w:r>
      <w:r>
        <w:rPr>
          <w:rFonts w:ascii="Times New Roman" w:eastAsia="宋体" w:hAnsi="Times New Roman" w:cs="Times New Roman"/>
          <w:sz w:val="24"/>
          <w:szCs w:val="24"/>
        </w:rPr>
        <w:t>风险分析等知识。由此可</w:t>
      </w:r>
      <w:r>
        <w:rPr>
          <w:rFonts w:ascii="Times New Roman" w:eastAsia="宋体" w:hAnsi="Times New Roman" w:cs="Times New Roman" w:hint="eastAsia"/>
          <w:sz w:val="24"/>
          <w:szCs w:val="24"/>
        </w:rPr>
        <w:t>见</w:t>
      </w:r>
      <w:r>
        <w:rPr>
          <w:rFonts w:ascii="Times New Roman" w:eastAsia="宋体" w:hAnsi="Times New Roman" w:cs="Times New Roman"/>
          <w:sz w:val="24"/>
          <w:szCs w:val="24"/>
        </w:rPr>
        <w:t>，相关的财务人员除了要充分的了解我国税法之外还要</w:t>
      </w:r>
      <w:r>
        <w:rPr>
          <w:rFonts w:ascii="Times New Roman" w:eastAsia="宋体" w:hAnsi="Times New Roman" w:cs="Times New Roman" w:hint="eastAsia"/>
          <w:sz w:val="24"/>
          <w:szCs w:val="24"/>
        </w:rPr>
        <w:t>掌握</w:t>
      </w:r>
      <w:r>
        <w:rPr>
          <w:rFonts w:ascii="Times New Roman" w:eastAsia="宋体" w:hAnsi="Times New Roman" w:cs="Times New Roman"/>
          <w:sz w:val="24"/>
          <w:szCs w:val="24"/>
        </w:rPr>
        <w:t>风险分析以及战略管理等知识，充分利用不断发展变化的税收优惠，</w:t>
      </w:r>
      <w:r>
        <w:rPr>
          <w:rFonts w:ascii="Times New Roman" w:eastAsia="宋体" w:hAnsi="Times New Roman" w:cs="Times New Roman" w:hint="eastAsia"/>
          <w:sz w:val="24"/>
          <w:szCs w:val="24"/>
        </w:rPr>
        <w:t>合理安排和筹划</w:t>
      </w:r>
      <w:r>
        <w:rPr>
          <w:rFonts w:ascii="Times New Roman" w:eastAsia="宋体" w:hAnsi="Times New Roman" w:cs="Times New Roman"/>
          <w:sz w:val="24"/>
          <w:szCs w:val="24"/>
        </w:rPr>
        <w:t>自身的涉税项目，最终制定出合</w:t>
      </w:r>
      <w:r>
        <w:rPr>
          <w:rFonts w:ascii="Times New Roman" w:eastAsia="宋体" w:hAnsi="Times New Roman" w:cs="Times New Roman" w:hint="eastAsia"/>
          <w:sz w:val="24"/>
          <w:szCs w:val="24"/>
        </w:rPr>
        <w:t>法</w:t>
      </w:r>
      <w:r>
        <w:rPr>
          <w:rFonts w:ascii="Times New Roman" w:eastAsia="宋体" w:hAnsi="Times New Roman" w:cs="Times New Roman"/>
          <w:sz w:val="24"/>
          <w:szCs w:val="24"/>
        </w:rPr>
        <w:t>有效</w:t>
      </w:r>
      <w:r>
        <w:rPr>
          <w:rFonts w:ascii="Times New Roman" w:eastAsia="宋体" w:hAnsi="Times New Roman" w:cs="Times New Roman" w:hint="eastAsia"/>
          <w:sz w:val="24"/>
          <w:szCs w:val="24"/>
        </w:rPr>
        <w:t>的</w:t>
      </w:r>
      <w:r>
        <w:rPr>
          <w:rFonts w:ascii="Times New Roman" w:eastAsia="宋体" w:hAnsi="Times New Roman" w:cs="Times New Roman"/>
          <w:sz w:val="24"/>
          <w:szCs w:val="24"/>
        </w:rPr>
        <w:t>方案，达到减少税负的</w:t>
      </w:r>
      <w:r>
        <w:rPr>
          <w:rFonts w:ascii="Times New Roman" w:eastAsia="宋体" w:hAnsi="Times New Roman" w:cs="Times New Roman" w:hint="eastAsia"/>
          <w:sz w:val="24"/>
          <w:szCs w:val="24"/>
        </w:rPr>
        <w:t>效果</w:t>
      </w:r>
      <w:r>
        <w:rPr>
          <w:rFonts w:ascii="Times New Roman" w:eastAsia="宋体" w:hAnsi="Times New Roman" w:cs="Times New Roman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ascii="Times New Roman" w:hAnsi="Times New Roman"/>
          <w:sz w:val="24"/>
        </w:rPr>
      </w:pPr>
      <w:r>
        <w:rPr>
          <w:rFonts w:ascii="Times New Roman" w:eastAsia="宋体" w:hAnsi="Times New Roman" w:cs="Times New Roman"/>
          <w:sz w:val="24"/>
          <w:szCs w:val="24"/>
        </w:rPr>
        <w:fldChar w:fldCharType="begin"/>
      </w:r>
      <w:r>
        <w:rPr>
          <w:rFonts w:ascii="Times New Roman" w:eastAsia="宋体" w:hAnsi="Times New Roman" w:cs="Times New Roman"/>
          <w:sz w:val="24"/>
          <w:szCs w:val="24"/>
        </w:rPr>
        <w:instrText xml:space="preserve"> = 4 \* GB2 \* MERGEFORMAT </w:instrText>
      </w:r>
      <w:r>
        <w:rPr>
          <w:rFonts w:ascii="Times New Roman" w:eastAsia="宋体" w:hAnsi="Times New Roman" w:cs="Times New Roman"/>
          <w:sz w:val="24"/>
          <w:szCs w:val="24"/>
        </w:rPr>
        <w:fldChar w:fldCharType="separate"/>
      </w:r>
      <w:r>
        <w:rPr>
          <w:rFonts w:ascii="Times New Roman" w:eastAsia="宋体" w:hAnsi="Times New Roman" w:cs="Times New Roman"/>
          <w:sz w:val="24"/>
          <w:szCs w:val="24"/>
        </w:rPr>
        <w:t>⑷</w:t>
      </w:r>
      <w:r>
        <w:rPr>
          <w:rFonts w:ascii="Times New Roman" w:eastAsia="宋体" w:hAnsi="Times New Roman" w:cs="Times New Roman"/>
          <w:sz w:val="24"/>
          <w:szCs w:val="24"/>
        </w:rPr>
        <w:fldChar w:fldCharType="end"/>
      </w:r>
      <w:r>
        <w:rPr>
          <w:rFonts w:ascii="Times New Roman" w:eastAsia="宋体" w:hAnsi="Times New Roman" w:cs="Times New Roman"/>
          <w:sz w:val="24"/>
          <w:szCs w:val="24"/>
        </w:rPr>
        <w:t>纳税筹划的时效性</w:t>
      </w:r>
    </w:p>
    <w:p>
      <w:pPr>
        <w:spacing w:line="360" w:lineRule="auto"/>
        <w:ind w:firstLine="480" w:firstLineChars="200"/>
        <w:rPr>
          <w:rFonts w:ascii="Times New Roman" w:hAnsi="Times New Roman"/>
          <w:sz w:val="24"/>
        </w:rPr>
      </w:pPr>
      <w:r>
        <w:rPr>
          <w:rFonts w:ascii="Times New Roman" w:eastAsia="宋体" w:hAnsi="Times New Roman" w:cs="Times New Roman"/>
          <w:sz w:val="24"/>
          <w:szCs w:val="24"/>
        </w:rPr>
        <w:t>纳税人履行纳税职责是基于我国大环境的基础上进行的，因此纳税人的行为一定要与我国相关法律法规相吻合</w:t>
      </w:r>
      <w:r>
        <w:rPr>
          <w:rFonts w:ascii="Times New Roman" w:eastAsia="宋体" w:hAnsi="Times New Roman" w:cs="Times New Roman" w:hint="eastAsia"/>
          <w:sz w:val="24"/>
          <w:szCs w:val="24"/>
          <w:vertAlign w:val="superscript"/>
        </w:rPr>
        <w:t>[6]</w:t>
      </w:r>
      <w:r>
        <w:rPr>
          <w:rFonts w:ascii="Times New Roman" w:eastAsia="宋体" w:hAnsi="Times New Roman" w:cs="Times New Roman"/>
          <w:sz w:val="24"/>
          <w:szCs w:val="24"/>
        </w:rPr>
        <w:t>。可是经过</w:t>
      </w:r>
      <w:r>
        <w:rPr>
          <w:rFonts w:ascii="Times New Roman" w:eastAsia="宋体" w:hAnsi="Times New Roman" w:cs="Times New Roman" w:hint="eastAsia"/>
          <w:sz w:val="24"/>
          <w:szCs w:val="24"/>
        </w:rPr>
        <w:t>多年的</w:t>
      </w:r>
      <w:r>
        <w:rPr>
          <w:rFonts w:ascii="Times New Roman" w:eastAsia="宋体" w:hAnsi="Times New Roman" w:cs="Times New Roman"/>
          <w:sz w:val="24"/>
          <w:szCs w:val="24"/>
        </w:rPr>
        <w:t>实践可以</w:t>
      </w:r>
      <w:r>
        <w:rPr>
          <w:rFonts w:ascii="Times New Roman" w:eastAsia="宋体" w:hAnsi="Times New Roman" w:cs="Times New Roman" w:hint="eastAsia"/>
          <w:sz w:val="24"/>
          <w:szCs w:val="24"/>
        </w:rPr>
        <w:t>发现</w:t>
      </w:r>
      <w:r>
        <w:rPr>
          <w:rFonts w:ascii="Times New Roman" w:eastAsia="宋体" w:hAnsi="Times New Roman" w:cs="Times New Roman"/>
          <w:sz w:val="24"/>
          <w:szCs w:val="24"/>
        </w:rPr>
        <w:t>，我国的法律环境并不是一</w:t>
      </w:r>
      <w:r>
        <w:rPr>
          <w:rFonts w:ascii="Times New Roman" w:eastAsia="宋体" w:hAnsi="Times New Roman" w:cs="Times New Roman" w:hint="eastAsia"/>
          <w:sz w:val="24"/>
          <w:szCs w:val="24"/>
        </w:rPr>
        <w:t>成不变</w:t>
      </w:r>
      <w:r>
        <w:rPr>
          <w:rFonts w:ascii="Times New Roman" w:eastAsia="宋体" w:hAnsi="Times New Roman" w:cs="Times New Roman"/>
          <w:sz w:val="24"/>
          <w:szCs w:val="24"/>
        </w:rPr>
        <w:t>的</w:t>
      </w:r>
      <w:r>
        <w:rPr>
          <w:rFonts w:ascii="Times New Roman" w:eastAsia="宋体" w:hAnsi="Times New Roman" w:cs="Times New Roman" w:hint="eastAsia"/>
          <w:sz w:val="24"/>
          <w:szCs w:val="24"/>
        </w:rPr>
        <w:t>，</w:t>
      </w:r>
      <w:r>
        <w:rPr>
          <w:rFonts w:ascii="Times New Roman" w:eastAsia="宋体" w:hAnsi="Times New Roman" w:cs="Times New Roman"/>
          <w:sz w:val="24"/>
          <w:szCs w:val="24"/>
        </w:rPr>
        <w:t>会在很大程度上受到我国环境的影响</w:t>
      </w:r>
      <w:r>
        <w:rPr>
          <w:rFonts w:ascii="Times New Roman" w:eastAsia="宋体" w:hAnsi="Times New Roman" w:cs="Times New Roman" w:hint="eastAsia"/>
          <w:sz w:val="24"/>
          <w:szCs w:val="24"/>
        </w:rPr>
        <w:t>，</w:t>
      </w:r>
      <w:r>
        <w:rPr>
          <w:rFonts w:ascii="Times New Roman" w:eastAsia="宋体" w:hAnsi="Times New Roman" w:cs="Times New Roman"/>
          <w:sz w:val="24"/>
          <w:szCs w:val="24"/>
        </w:rPr>
        <w:t>并且</w:t>
      </w:r>
      <w:r>
        <w:rPr>
          <w:rFonts w:ascii="Times New Roman" w:eastAsia="宋体" w:hAnsi="Times New Roman" w:cs="Times New Roman" w:hint="eastAsia"/>
          <w:sz w:val="24"/>
          <w:szCs w:val="24"/>
        </w:rPr>
        <w:t>会</w:t>
      </w:r>
      <w:r>
        <w:rPr>
          <w:rFonts w:ascii="Times New Roman" w:eastAsia="宋体" w:hAnsi="Times New Roman" w:cs="Times New Roman"/>
          <w:sz w:val="24"/>
          <w:szCs w:val="24"/>
        </w:rPr>
        <w:t>伴随经济的发展进行一定调整，所以，纳税筹划也不是不变的，而是要根据一定时期的经济环境作出相应的调整以及更新。</w:t>
      </w:r>
    </w:p>
    <w:p>
      <w:pPr>
        <w:spacing w:line="360" w:lineRule="auto"/>
        <w:ind w:firstLine="480" w:firstLineChars="200"/>
        <w:rPr>
          <w:rFonts w:ascii="Times New Roman" w:hAnsi="Times New Roman"/>
          <w:sz w:val="24"/>
        </w:rPr>
      </w:pPr>
      <w:r>
        <w:rPr>
          <w:rFonts w:ascii="Times New Roman" w:eastAsia="宋体" w:hAnsi="Times New Roman" w:cs="Times New Roman"/>
          <w:sz w:val="24"/>
          <w:szCs w:val="24"/>
        </w:rPr>
        <w:fldChar w:fldCharType="begin"/>
      </w:r>
      <w:r>
        <w:rPr>
          <w:rFonts w:ascii="Times New Roman" w:eastAsia="宋体" w:hAnsi="Times New Roman" w:cs="Times New Roman"/>
          <w:sz w:val="24"/>
          <w:szCs w:val="24"/>
        </w:rPr>
        <w:instrText xml:space="preserve"> = 5 \* GB2 \* MERGEFORMAT </w:instrText>
      </w:r>
      <w:r>
        <w:rPr>
          <w:rFonts w:ascii="Times New Roman" w:eastAsia="宋体" w:hAnsi="Times New Roman" w:cs="Times New Roman"/>
          <w:sz w:val="24"/>
          <w:szCs w:val="24"/>
        </w:rPr>
        <w:fldChar w:fldCharType="separate"/>
      </w:r>
      <w:r>
        <w:rPr>
          <w:rFonts w:ascii="Times New Roman" w:eastAsia="宋体" w:hAnsi="Times New Roman" w:cs="Times New Roman"/>
          <w:sz w:val="24"/>
          <w:szCs w:val="24"/>
        </w:rPr>
        <w:t>⑸</w:t>
      </w:r>
      <w:r>
        <w:rPr>
          <w:rFonts w:ascii="Times New Roman" w:eastAsia="宋体" w:hAnsi="Times New Roman" w:cs="Times New Roman"/>
          <w:sz w:val="24"/>
          <w:szCs w:val="24"/>
        </w:rPr>
        <w:fldChar w:fldCharType="end"/>
      </w:r>
      <w:r>
        <w:rPr>
          <w:rFonts w:ascii="Times New Roman" w:eastAsia="宋体" w:hAnsi="Times New Roman" w:cs="Times New Roman"/>
          <w:sz w:val="24"/>
          <w:szCs w:val="24"/>
        </w:rPr>
        <w:t>纳税筹划的前瞻性</w:t>
      </w:r>
    </w:p>
    <w:p>
      <w:pPr>
        <w:spacing w:line="360" w:lineRule="auto"/>
        <w:ind w:firstLine="480" w:firstLineChars="200"/>
        <w:rPr>
          <w:rFonts w:ascii="Times New Roman" w:hAnsi="Times New Roman"/>
          <w:sz w:val="24"/>
        </w:rPr>
      </w:pPr>
      <w:r>
        <w:rPr>
          <w:rFonts w:ascii="Times New Roman" w:eastAsia="宋体" w:hAnsi="Times New Roman" w:cs="Times New Roman"/>
          <w:sz w:val="24"/>
          <w:szCs w:val="24"/>
        </w:rPr>
        <w:t>通常所阐述到的前瞻性</w:t>
      </w:r>
      <w:r>
        <w:rPr>
          <w:rFonts w:ascii="Times New Roman" w:eastAsia="宋体" w:hAnsi="Times New Roman" w:cs="Times New Roman" w:hint="eastAsia"/>
          <w:sz w:val="24"/>
          <w:szCs w:val="24"/>
        </w:rPr>
        <w:t>是指</w:t>
      </w:r>
      <w:r>
        <w:rPr>
          <w:rFonts w:ascii="Times New Roman" w:eastAsia="宋体" w:hAnsi="Times New Roman" w:cs="Times New Roman"/>
          <w:sz w:val="24"/>
          <w:szCs w:val="24"/>
        </w:rPr>
        <w:t>税收筹划是一种事前行为，</w:t>
      </w:r>
      <w:r>
        <w:rPr>
          <w:rFonts w:ascii="Times New Roman" w:eastAsia="宋体" w:hAnsi="Times New Roman" w:cs="Times New Roman" w:hint="eastAsia"/>
          <w:sz w:val="24"/>
          <w:szCs w:val="24"/>
        </w:rPr>
        <w:t>然而</w:t>
      </w:r>
      <w:r>
        <w:rPr>
          <w:rFonts w:ascii="Times New Roman" w:eastAsia="宋体" w:hAnsi="Times New Roman" w:cs="Times New Roman"/>
          <w:sz w:val="24"/>
          <w:szCs w:val="24"/>
        </w:rPr>
        <w:t>一般</w:t>
      </w:r>
      <w:r>
        <w:rPr>
          <w:rFonts w:ascii="Times New Roman" w:eastAsia="宋体" w:hAnsi="Times New Roman" w:cs="Times New Roman" w:hint="eastAsia"/>
          <w:sz w:val="24"/>
          <w:szCs w:val="24"/>
        </w:rPr>
        <w:t>而言</w:t>
      </w:r>
      <w:r>
        <w:rPr>
          <w:rFonts w:ascii="Times New Roman" w:eastAsia="宋体" w:hAnsi="Times New Roman" w:cs="Times New Roman"/>
          <w:sz w:val="24"/>
          <w:szCs w:val="24"/>
        </w:rPr>
        <w:t>，税收行为是一种事后行为，</w:t>
      </w:r>
      <w:r>
        <w:rPr>
          <w:rFonts w:ascii="Times New Roman" w:eastAsia="宋体" w:hAnsi="Times New Roman" w:cs="Times New Roman" w:hint="eastAsia"/>
          <w:sz w:val="24"/>
          <w:szCs w:val="24"/>
        </w:rPr>
        <w:t>可见</w:t>
      </w:r>
      <w:r>
        <w:rPr>
          <w:rFonts w:ascii="Times New Roman" w:eastAsia="宋体" w:hAnsi="Times New Roman" w:cs="Times New Roman"/>
          <w:sz w:val="24"/>
          <w:szCs w:val="24"/>
        </w:rPr>
        <w:t>，</w:t>
      </w:r>
      <w:r>
        <w:rPr>
          <w:rFonts w:ascii="Times New Roman" w:eastAsia="宋体" w:hAnsi="Times New Roman" w:cs="Times New Roman" w:hint="eastAsia"/>
          <w:sz w:val="24"/>
          <w:szCs w:val="24"/>
        </w:rPr>
        <w:t>两者之间</w:t>
      </w:r>
      <w:r>
        <w:rPr>
          <w:rFonts w:ascii="Times New Roman" w:eastAsia="宋体" w:hAnsi="Times New Roman" w:cs="Times New Roman"/>
          <w:sz w:val="24"/>
          <w:szCs w:val="24"/>
        </w:rPr>
        <w:t>是存在一定的时间差距的</w:t>
      </w:r>
      <w:r>
        <w:rPr>
          <w:rFonts w:ascii="Times New Roman" w:eastAsia="宋体" w:hAnsi="Times New Roman" w:cs="Times New Roman" w:hint="eastAsia"/>
          <w:sz w:val="24"/>
          <w:szCs w:val="24"/>
          <w:vertAlign w:val="superscript"/>
        </w:rPr>
        <w:t>[7]</w:t>
      </w:r>
      <w:r>
        <w:rPr>
          <w:rFonts w:ascii="Times New Roman" w:eastAsia="宋体" w:hAnsi="Times New Roman" w:cs="Times New Roman"/>
          <w:sz w:val="24"/>
          <w:szCs w:val="24"/>
        </w:rPr>
        <w:t>。之所以如此主要是</w:t>
      </w:r>
      <w:r>
        <w:rPr>
          <w:rFonts w:ascii="Times New Roman" w:eastAsia="宋体" w:hAnsi="Times New Roman" w:cs="Times New Roman" w:hint="eastAsia"/>
          <w:sz w:val="24"/>
          <w:szCs w:val="24"/>
        </w:rPr>
        <w:t>由于</w:t>
      </w:r>
      <w:r>
        <w:rPr>
          <w:rFonts w:ascii="Times New Roman" w:eastAsia="宋体" w:hAnsi="Times New Roman" w:cs="Times New Roman"/>
          <w:sz w:val="24"/>
          <w:szCs w:val="24"/>
        </w:rPr>
        <w:t>企业自身税负的本质是</w:t>
      </w:r>
      <w:r>
        <w:rPr>
          <w:rFonts w:ascii="Times New Roman" w:eastAsia="宋体" w:hAnsi="Times New Roman" w:cs="Times New Roman" w:hint="eastAsia"/>
          <w:sz w:val="24"/>
          <w:szCs w:val="24"/>
        </w:rPr>
        <w:t>在</w:t>
      </w:r>
      <w:r>
        <w:rPr>
          <w:rFonts w:ascii="Times New Roman" w:eastAsia="宋体" w:hAnsi="Times New Roman" w:cs="Times New Roman"/>
          <w:sz w:val="24"/>
          <w:szCs w:val="24"/>
        </w:rPr>
        <w:t>经济行为</w:t>
      </w:r>
      <w:r>
        <w:rPr>
          <w:rFonts w:ascii="Times New Roman" w:eastAsia="宋体" w:hAnsi="Times New Roman" w:cs="Times New Roman" w:hint="eastAsia"/>
          <w:sz w:val="24"/>
          <w:szCs w:val="24"/>
        </w:rPr>
        <w:t>发生</w:t>
      </w:r>
      <w:r>
        <w:rPr>
          <w:rFonts w:ascii="Times New Roman" w:eastAsia="宋体" w:hAnsi="Times New Roman" w:cs="Times New Roman"/>
          <w:sz w:val="24"/>
          <w:szCs w:val="24"/>
        </w:rPr>
        <w:t>以后，</w:t>
      </w:r>
      <w:r>
        <w:rPr>
          <w:rFonts w:ascii="Times New Roman" w:eastAsia="宋体" w:hAnsi="Times New Roman" w:cs="Times New Roman" w:hint="eastAsia"/>
          <w:sz w:val="24"/>
          <w:szCs w:val="24"/>
        </w:rPr>
        <w:t>即为</w:t>
      </w:r>
      <w:r>
        <w:rPr>
          <w:rFonts w:ascii="Times New Roman" w:eastAsia="宋体" w:hAnsi="Times New Roman" w:cs="Times New Roman"/>
          <w:sz w:val="24"/>
          <w:szCs w:val="24"/>
        </w:rPr>
        <w:t>企业经济业务已经完毕，同时也完成了利润的分配等</w:t>
      </w:r>
      <w:r>
        <w:rPr>
          <w:rFonts w:ascii="Times New Roman" w:eastAsia="宋体" w:hAnsi="Times New Roman" w:cs="Times New Roman" w:hint="eastAsia"/>
          <w:sz w:val="24"/>
          <w:szCs w:val="24"/>
        </w:rPr>
        <w:t>。</w:t>
      </w:r>
      <w:r>
        <w:rPr>
          <w:rFonts w:ascii="Times New Roman" w:eastAsia="宋体" w:hAnsi="Times New Roman" w:cs="Times New Roman"/>
          <w:sz w:val="24"/>
          <w:szCs w:val="24"/>
        </w:rPr>
        <w:t>从这方面来看，税负是存在一定的滞后性，</w:t>
      </w:r>
      <w:r>
        <w:rPr>
          <w:rFonts w:ascii="Times New Roman" w:eastAsia="宋体" w:hAnsi="Times New Roman" w:cs="Times New Roman" w:hint="eastAsia"/>
          <w:sz w:val="24"/>
          <w:szCs w:val="24"/>
        </w:rPr>
        <w:t>反观</w:t>
      </w:r>
      <w:r>
        <w:rPr>
          <w:rFonts w:ascii="Times New Roman" w:eastAsia="宋体" w:hAnsi="Times New Roman" w:cs="Times New Roman"/>
          <w:sz w:val="24"/>
          <w:szCs w:val="24"/>
        </w:rPr>
        <w:t>税收筹划，其自身</w:t>
      </w:r>
      <w:r>
        <w:rPr>
          <w:rFonts w:ascii="Times New Roman" w:eastAsia="宋体" w:hAnsi="Times New Roman" w:cs="Times New Roman" w:hint="eastAsia"/>
          <w:sz w:val="24"/>
          <w:szCs w:val="24"/>
        </w:rPr>
        <w:t>则具有前瞻性</w:t>
      </w:r>
      <w:r>
        <w:rPr>
          <w:rFonts w:ascii="Times New Roman" w:eastAsia="宋体" w:hAnsi="Times New Roman" w:cs="Times New Roman"/>
          <w:sz w:val="24"/>
          <w:szCs w:val="24"/>
        </w:rPr>
        <w:t>的</w:t>
      </w:r>
      <w:r>
        <w:rPr>
          <w:rFonts w:ascii="Times New Roman" w:eastAsia="宋体" w:hAnsi="Times New Roman" w:cs="Times New Roman" w:hint="eastAsia"/>
          <w:sz w:val="24"/>
          <w:szCs w:val="24"/>
        </w:rPr>
        <w:t>特质</w:t>
      </w:r>
      <w:r>
        <w:rPr>
          <w:rFonts w:ascii="Times New Roman" w:eastAsia="宋体" w:hAnsi="Times New Roman" w:cs="Times New Roman"/>
          <w:sz w:val="24"/>
          <w:szCs w:val="24"/>
        </w:rPr>
        <w:t>，对纳税行为是非常重要的。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https://d.book118.com/287053006065006044</w:t>
        </w:r>
      </w:hyperlink>
    </w:p>
    <w:p>
      <w:pPr>
        <w:spacing w:line="360" w:lineRule="auto"/>
        <w:ind w:firstLine="480" w:firstLineChars="200"/>
        <w:rPr>
          <w:rFonts w:ascii="Times New Roman" w:hAnsi="Times New Roman"/>
          <w:sz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fmt="decimal" w:start="2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8" o:spid="_x0000_s2049" type="#_x0000_t202" style="width:2in;height:2in;margin-top:0;margin-left:0;mso-position-horizontal:right;mso-position-horizontal-relative:margin;mso-wrap-style:none;position:absolute;v-text-anchor:top;z-index:251658240" filled="f" stroked="f" strokeweight="0.5pt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8" o:spid="_x0000_s2050" type="#_x0000_t202" style="width:2in;height:2in;margin-top:0;margin-left:0;mso-position-horizontal:right;mso-position-horizontal-relative:margin;mso-wrap-style:none;position:absolute;v-text-anchor:top;z-index:251659264" filled="f" stroked="f" strokeweight="0.5pt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2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2E035203"/>
    <w:rsid w:val="2E8D20AF"/>
    <w:rsid w:val="37B77CC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59" w:unhideWhenUsed="0" w:qFormat="1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TableGrid">
    <w:name w:val="Table Grid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网格型1"/>
    <w:uiPriority w:val="59"/>
    <w:qFormat/>
    <w:rPr>
      <w:rFonts w:ascii="Calibri" w:hAnsi="Calibr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8705300606500604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157263360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0</cp:revision>
  <dcterms:created xsi:type="dcterms:W3CDTF">2019-06-20T14:02:49Z</dcterms:created>
  <dcterms:modified xsi:type="dcterms:W3CDTF">2019-06-20T14:09:10Z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