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E494D" w:rsidP="005E494D" w14:paraId="62A97A01" w14:textId="77777777">
      <w:pPr>
        <w:spacing w:before="48" w:beforeLines="20" w:after="360" w:afterLines="150" w:line="360" w:lineRule="auto"/>
        <w:jc w:val="center"/>
        <w:rPr>
          <w:rFonts w:ascii="华文中宋" w:eastAsia="华文中宋" w:hAnsi="华文中宋"/>
          <w:b/>
          <w:sz w:val="30"/>
        </w:rPr>
      </w:pPr>
      <w:r w:rsidRPr="005E494D">
        <w:rPr>
          <w:rFonts w:ascii="华文中宋" w:eastAsia="华文中宋" w:hAnsi="华文中宋"/>
          <w:b/>
          <w:sz w:val="30"/>
        </w:rPr>
        <w:t>2023</w:t>
      </w:r>
      <w:r w:rsidRPr="005E494D">
        <w:rPr>
          <w:rFonts w:ascii="华文中宋" w:eastAsia="华文中宋" w:hAnsi="华文中宋"/>
          <w:b/>
          <w:sz w:val="30"/>
        </w:rPr>
        <w:t>广东广州市越秀区珠光街道综合保障中心招聘管理员</w:t>
      </w:r>
      <w:r w:rsidRPr="005E494D">
        <w:rPr>
          <w:rFonts w:ascii="华文中宋" w:eastAsia="华文中宋" w:hAnsi="华文中宋"/>
          <w:b/>
          <w:sz w:val="30"/>
        </w:rPr>
        <w:t>2</w:t>
      </w:r>
      <w:r w:rsidRPr="005E494D">
        <w:rPr>
          <w:rFonts w:ascii="华文中宋" w:eastAsia="华文中宋" w:hAnsi="华文中宋"/>
          <w:b/>
          <w:sz w:val="30"/>
        </w:rPr>
        <w:t>人笔试备考试题及答案解析</w:t>
      </w:r>
    </w:p>
    <w:p w:rsidR="00A77B3E" w14:paraId="1ABA55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71C0BD" w14:textId="77777777">
      <w:pPr>
        <w:spacing w:after="260" w:line="360" w:lineRule="auto"/>
      </w:pPr>
      <w:r>
        <w:rPr>
          <w:rFonts w:ascii="微软雅黑" w:eastAsia="微软雅黑" w:cs="微软雅黑"/>
        </w:rPr>
        <w:t>一、选择题</w:t>
      </w:r>
    </w:p>
    <w:p w:rsidR="00D11858" w14:paraId="1BFC18C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314F8FE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544FF27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1A16D5B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7911B6A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379A0BF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BC941E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62F2A9A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1262C72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727FF7F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257B64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69F8F15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E4FD39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7748BF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D2B3DB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3EEBFA1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7DE5FE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7B728BC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7468AFC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6F2D1DF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0E38C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4913F5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73380C0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48333CF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70B5CAE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093518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54E9279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FA1409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38370405"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1A20BA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30A51B3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491122B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316E4A6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6F2955E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FD0EB1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2CD6998F"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人民政协的主要职能不包括</w:t>
      </w:r>
      <w:r w:rsidRPr="00D11858">
        <w:rPr>
          <w:rFonts w:ascii="微软雅黑" w:eastAsia="微软雅黑" w:cs="微软雅黑"/>
          <w:szCs w:val="14"/>
        </w:rPr>
        <w:t>()</w:t>
      </w:r>
      <w:r w:rsidRPr="00D11858">
        <w:rPr>
          <w:rFonts w:ascii="微软雅黑" w:eastAsia="微软雅黑" w:cs="微软雅黑"/>
          <w:szCs w:val="14"/>
        </w:rPr>
        <w:t>。</w:t>
      </w:r>
    </w:p>
    <w:p w:rsidR="00D11858" w14:paraId="3FCDC72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、统一战线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https://d.book118.com/287110053060006036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paraId="5EEEB2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94D" w14:paraId="5F35B8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paraId="064C78F3" w14:textId="79ABD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494D" w14:paraId="33E7F7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paraId="220DED0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9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textId="79ABD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49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9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rsidP="005D4DE0" w14:textId="79ABD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49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paraId="5EB446A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paraId="23D439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paraId="6B5FDD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9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5E494D"/>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005C0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E49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E494D"/>
    <w:rPr>
      <w:sz w:val="18"/>
      <w:szCs w:val="18"/>
    </w:rPr>
  </w:style>
  <w:style w:type="paragraph" w:styleId="Footer">
    <w:name w:val="footer"/>
    <w:basedOn w:val="Normal"/>
    <w:link w:val="a0"/>
    <w:rsid w:val="005E494D"/>
    <w:pPr>
      <w:tabs>
        <w:tab w:val="center" w:pos="4153"/>
        <w:tab w:val="right" w:pos="8306"/>
      </w:tabs>
      <w:snapToGrid w:val="0"/>
    </w:pPr>
    <w:rPr>
      <w:sz w:val="18"/>
      <w:szCs w:val="18"/>
    </w:rPr>
  </w:style>
  <w:style w:type="character" w:customStyle="1" w:styleId="a0">
    <w:name w:val="页脚 字符"/>
    <w:basedOn w:val="DefaultParagraphFont"/>
    <w:link w:val="Footer"/>
    <w:rsid w:val="005E494D"/>
    <w:rPr>
      <w:sz w:val="18"/>
      <w:szCs w:val="18"/>
    </w:rPr>
  </w:style>
  <w:style w:type="character" w:styleId="PageNumber">
    <w:name w:val="page number"/>
    <w:basedOn w:val="DefaultParagraphFont"/>
    <w:rsid w:val="005E49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7110053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2962</Words>
  <Characters>16890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