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聚氨基双马来酰胺项目规划设计纲要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38" w:history="1">
        <w:r>
          <w:rPr>
            <w:rFonts w:ascii="仿宋" w:eastAsia="仿宋" w:hAnsi="仿宋" w:cs="仿宋" w:hint="eastAsia"/>
            <w:lang w:eastAsia="zh-CN"/>
          </w:rPr>
          <w:t>概论</w:t>
        </w:r>
        <w:r>
          <w:tab/>
        </w:r>
        <w:r>
          <w:fldChar w:fldCharType="begin"/>
        </w:r>
        <w:r>
          <w:instrText xml:space="preserve"> PAGEREF _Toc16338 \h </w:instrText>
        </w:r>
        <w:r>
          <w:fldChar w:fldCharType="separate"/>
        </w:r>
        <w:r>
          <w:t>3</w:t>
        </w:r>
        <w:r>
          <w:fldChar w:fldCharType="end"/>
        </w:r>
      </w:hyperlink>
    </w:p>
    <w:p>
      <w:pPr>
        <w:pStyle w:val="TOC1"/>
        <w:tabs>
          <w:tab w:val="right" w:leader="dot" w:pos="8306"/>
        </w:tabs>
      </w:pPr>
      <w:hyperlink w:anchor="_Toc30145" w:history="1">
        <w:r>
          <w:rPr>
            <w:rFonts w:ascii="仿宋" w:eastAsia="仿宋" w:hAnsi="仿宋" w:cs="仿宋" w:hint="eastAsia"/>
            <w:lang w:eastAsia="zh-CN"/>
          </w:rPr>
          <w:t>一、聚氨基双马来酰胺项目建设背景及必要性分析</w:t>
        </w:r>
        <w:r>
          <w:tab/>
        </w:r>
        <w:r>
          <w:fldChar w:fldCharType="begin"/>
        </w:r>
        <w:r>
          <w:instrText xml:space="preserve"> PAGEREF _Toc30145 \h </w:instrText>
        </w:r>
        <w:r>
          <w:fldChar w:fldCharType="separate"/>
        </w:r>
        <w:r>
          <w:t>3</w:t>
        </w:r>
        <w:r>
          <w:fldChar w:fldCharType="end"/>
        </w:r>
      </w:hyperlink>
    </w:p>
    <w:p>
      <w:pPr>
        <w:pStyle w:val="TOC2"/>
        <w:tabs>
          <w:tab w:val="right" w:leader="dot" w:pos="8306"/>
        </w:tabs>
      </w:pPr>
      <w:hyperlink w:anchor="_Toc2105" w:history="1">
        <w:r>
          <w:rPr>
            <w:rFonts w:ascii="仿宋" w:eastAsia="仿宋" w:hAnsi="仿宋" w:cs="仿宋" w:hint="eastAsia"/>
            <w:lang w:eastAsia="zh-CN"/>
          </w:rPr>
          <w:t>(一)、聚氨基双马来酰胺项目背景分析</w:t>
        </w:r>
        <w:r>
          <w:tab/>
        </w:r>
        <w:r>
          <w:fldChar w:fldCharType="begin"/>
        </w:r>
        <w:r>
          <w:instrText xml:space="preserve"> PAGEREF _Toc2105 \h </w:instrText>
        </w:r>
        <w:r>
          <w:fldChar w:fldCharType="separate"/>
        </w:r>
        <w:r>
          <w:t>3</w:t>
        </w:r>
        <w:r>
          <w:fldChar w:fldCharType="end"/>
        </w:r>
      </w:hyperlink>
    </w:p>
    <w:p>
      <w:pPr>
        <w:pStyle w:val="TOC2"/>
        <w:tabs>
          <w:tab w:val="right" w:leader="dot" w:pos="8306"/>
        </w:tabs>
      </w:pPr>
      <w:hyperlink w:anchor="_Toc30133" w:history="1">
        <w:r>
          <w:rPr>
            <w:rFonts w:ascii="仿宋" w:eastAsia="仿宋" w:hAnsi="仿宋" w:cs="仿宋" w:hint="eastAsia"/>
            <w:lang w:eastAsia="zh-CN"/>
          </w:rPr>
          <w:t>(二)、聚氨基双马来酰胺项目建设必要性分析</w:t>
        </w:r>
        <w:r>
          <w:tab/>
        </w:r>
        <w:r>
          <w:fldChar w:fldCharType="begin"/>
        </w:r>
        <w:r>
          <w:instrText xml:space="preserve"> PAGEREF _Toc30133 \h </w:instrText>
        </w:r>
        <w:r>
          <w:fldChar w:fldCharType="separate"/>
        </w:r>
        <w:r>
          <w:t>5</w:t>
        </w:r>
        <w:r>
          <w:fldChar w:fldCharType="end"/>
        </w:r>
      </w:hyperlink>
    </w:p>
    <w:p>
      <w:pPr>
        <w:pStyle w:val="TOC1"/>
        <w:tabs>
          <w:tab w:val="right" w:leader="dot" w:pos="8306"/>
        </w:tabs>
      </w:pPr>
      <w:hyperlink w:anchor="_Toc14732" w:history="1">
        <w:r>
          <w:rPr>
            <w:rFonts w:ascii="仿宋" w:eastAsia="仿宋" w:hAnsi="仿宋" w:cs="仿宋" w:hint="eastAsia"/>
            <w:lang w:eastAsia="zh-CN"/>
          </w:rPr>
          <w:t>二、聚氨基双马来酰胺项目危机管理</w:t>
        </w:r>
        <w:r>
          <w:tab/>
        </w:r>
        <w:r>
          <w:fldChar w:fldCharType="begin"/>
        </w:r>
        <w:r>
          <w:instrText xml:space="preserve"> PAGEREF _Toc14732 \h </w:instrText>
        </w:r>
        <w:r>
          <w:fldChar w:fldCharType="separate"/>
        </w:r>
        <w:r>
          <w:t>6</w:t>
        </w:r>
        <w:r>
          <w:fldChar w:fldCharType="end"/>
        </w:r>
      </w:hyperlink>
    </w:p>
    <w:p>
      <w:pPr>
        <w:pStyle w:val="TOC2"/>
        <w:tabs>
          <w:tab w:val="right" w:leader="dot" w:pos="8306"/>
        </w:tabs>
      </w:pPr>
      <w:hyperlink w:anchor="_Toc6232" w:history="1">
        <w:r>
          <w:rPr>
            <w:rFonts w:ascii="仿宋" w:eastAsia="仿宋" w:hAnsi="仿宋" w:cs="仿宋" w:hint="eastAsia"/>
            <w:lang w:eastAsia="zh-CN"/>
          </w:rPr>
          <w:t>(一)、危机预警与识别</w:t>
        </w:r>
        <w:r>
          <w:tab/>
        </w:r>
        <w:r>
          <w:fldChar w:fldCharType="begin"/>
        </w:r>
        <w:r>
          <w:instrText xml:space="preserve"> PAGEREF _Toc6232 \h </w:instrText>
        </w:r>
        <w:r>
          <w:fldChar w:fldCharType="separate"/>
        </w:r>
        <w:r>
          <w:t>6</w:t>
        </w:r>
        <w:r>
          <w:fldChar w:fldCharType="end"/>
        </w:r>
      </w:hyperlink>
    </w:p>
    <w:p>
      <w:pPr>
        <w:pStyle w:val="TOC2"/>
        <w:tabs>
          <w:tab w:val="right" w:leader="dot" w:pos="8306"/>
        </w:tabs>
      </w:pPr>
      <w:hyperlink w:anchor="_Toc20334" w:history="1">
        <w:r>
          <w:rPr>
            <w:rFonts w:ascii="仿宋" w:eastAsia="仿宋" w:hAnsi="仿宋" w:cs="仿宋" w:hint="eastAsia"/>
            <w:lang w:eastAsia="zh-CN"/>
          </w:rPr>
          <w:t>(二)、危机应对与恢复</w:t>
        </w:r>
        <w:r>
          <w:tab/>
        </w:r>
        <w:r>
          <w:fldChar w:fldCharType="begin"/>
        </w:r>
        <w:r>
          <w:instrText xml:space="preserve"> PAGEREF _Toc20334 \h </w:instrText>
        </w:r>
        <w:r>
          <w:fldChar w:fldCharType="separate"/>
        </w:r>
        <w:r>
          <w:t>7</w:t>
        </w:r>
        <w:r>
          <w:fldChar w:fldCharType="end"/>
        </w:r>
      </w:hyperlink>
    </w:p>
    <w:p>
      <w:pPr>
        <w:pStyle w:val="TOC1"/>
        <w:tabs>
          <w:tab w:val="right" w:leader="dot" w:pos="8306"/>
        </w:tabs>
      </w:pPr>
      <w:hyperlink w:anchor="_Toc30827" w:history="1">
        <w:r>
          <w:rPr>
            <w:rFonts w:ascii="仿宋" w:eastAsia="仿宋" w:hAnsi="仿宋" w:cs="仿宋" w:hint="eastAsia"/>
            <w:lang w:eastAsia="zh-CN"/>
          </w:rPr>
          <w:t>三、聚氨基双马来酰胺项目选址可行性分析</w:t>
        </w:r>
        <w:r>
          <w:tab/>
        </w:r>
        <w:r>
          <w:fldChar w:fldCharType="begin"/>
        </w:r>
        <w:r>
          <w:instrText xml:space="preserve"> PAGEREF _Toc30827 \h </w:instrText>
        </w:r>
        <w:r>
          <w:fldChar w:fldCharType="separate"/>
        </w:r>
        <w:r>
          <w:t>9</w:t>
        </w:r>
        <w:r>
          <w:fldChar w:fldCharType="end"/>
        </w:r>
      </w:hyperlink>
    </w:p>
    <w:p>
      <w:pPr>
        <w:pStyle w:val="TOC2"/>
        <w:tabs>
          <w:tab w:val="right" w:leader="dot" w:pos="8306"/>
        </w:tabs>
      </w:pPr>
      <w:hyperlink w:anchor="_Toc30883" w:history="1">
        <w:r>
          <w:rPr>
            <w:rFonts w:ascii="仿宋" w:eastAsia="仿宋" w:hAnsi="仿宋" w:cs="仿宋" w:hint="eastAsia"/>
            <w:lang w:eastAsia="zh-CN"/>
          </w:rPr>
          <w:t>(一)、聚氨基双马来酰胺项目选址</w:t>
        </w:r>
        <w:r>
          <w:tab/>
        </w:r>
        <w:r>
          <w:fldChar w:fldCharType="begin"/>
        </w:r>
        <w:r>
          <w:instrText xml:space="preserve"> PAGEREF _Toc30883 \h </w:instrText>
        </w:r>
        <w:r>
          <w:fldChar w:fldCharType="separate"/>
        </w:r>
        <w:r>
          <w:t>9</w:t>
        </w:r>
        <w:r>
          <w:fldChar w:fldCharType="end"/>
        </w:r>
      </w:hyperlink>
    </w:p>
    <w:p>
      <w:pPr>
        <w:pStyle w:val="TOC2"/>
        <w:tabs>
          <w:tab w:val="right" w:leader="dot" w:pos="8306"/>
        </w:tabs>
      </w:pPr>
      <w:hyperlink w:anchor="_Toc5281" w:history="1">
        <w:r>
          <w:rPr>
            <w:rFonts w:ascii="仿宋" w:eastAsia="仿宋" w:hAnsi="仿宋" w:cs="仿宋" w:hint="eastAsia"/>
            <w:lang w:eastAsia="zh-CN"/>
          </w:rPr>
          <w:t>(二)、用地控制指标</w:t>
        </w:r>
        <w:r>
          <w:tab/>
        </w:r>
        <w:r>
          <w:fldChar w:fldCharType="begin"/>
        </w:r>
        <w:r>
          <w:instrText xml:space="preserve"> PAGEREF _Toc5281 \h </w:instrText>
        </w:r>
        <w:r>
          <w:fldChar w:fldCharType="separate"/>
        </w:r>
        <w:r>
          <w:t>9</w:t>
        </w:r>
        <w:r>
          <w:fldChar w:fldCharType="end"/>
        </w:r>
      </w:hyperlink>
    </w:p>
    <w:p>
      <w:pPr>
        <w:pStyle w:val="TOC2"/>
        <w:tabs>
          <w:tab w:val="right" w:leader="dot" w:pos="8306"/>
        </w:tabs>
      </w:pPr>
      <w:hyperlink w:anchor="_Toc37" w:history="1">
        <w:r>
          <w:rPr>
            <w:rFonts w:ascii="仿宋" w:eastAsia="仿宋" w:hAnsi="仿宋" w:cs="仿宋" w:hint="eastAsia"/>
            <w:lang w:eastAsia="zh-CN"/>
          </w:rPr>
          <w:t>(三)、节约用地措施</w:t>
        </w:r>
        <w:r>
          <w:tab/>
        </w:r>
        <w:r>
          <w:fldChar w:fldCharType="begin"/>
        </w:r>
        <w:r>
          <w:instrText xml:space="preserve"> PAGEREF _Toc37 \h </w:instrText>
        </w:r>
        <w:r>
          <w:fldChar w:fldCharType="separate"/>
        </w:r>
        <w:r>
          <w:t>11</w:t>
        </w:r>
        <w:r>
          <w:fldChar w:fldCharType="end"/>
        </w:r>
      </w:hyperlink>
    </w:p>
    <w:p>
      <w:pPr>
        <w:pStyle w:val="TOC2"/>
        <w:tabs>
          <w:tab w:val="right" w:leader="dot" w:pos="8306"/>
        </w:tabs>
      </w:pPr>
      <w:hyperlink w:anchor="_Toc32469" w:history="1">
        <w:r>
          <w:rPr>
            <w:rFonts w:ascii="仿宋" w:eastAsia="仿宋" w:hAnsi="仿宋" w:cs="仿宋" w:hint="eastAsia"/>
            <w:lang w:eastAsia="zh-CN"/>
          </w:rPr>
          <w:t>(四)、总图布置方案</w:t>
        </w:r>
        <w:r>
          <w:tab/>
        </w:r>
        <w:r>
          <w:fldChar w:fldCharType="begin"/>
        </w:r>
        <w:r>
          <w:instrText xml:space="preserve"> PAGEREF _Toc32469 \h </w:instrText>
        </w:r>
        <w:r>
          <w:fldChar w:fldCharType="separate"/>
        </w:r>
        <w:r>
          <w:t>12</w:t>
        </w:r>
        <w:r>
          <w:fldChar w:fldCharType="end"/>
        </w:r>
      </w:hyperlink>
    </w:p>
    <w:p>
      <w:pPr>
        <w:pStyle w:val="TOC2"/>
        <w:tabs>
          <w:tab w:val="right" w:leader="dot" w:pos="8306"/>
        </w:tabs>
      </w:pPr>
      <w:hyperlink w:anchor="_Toc2" w:history="1">
        <w:r>
          <w:rPr>
            <w:rFonts w:ascii="仿宋" w:eastAsia="仿宋" w:hAnsi="仿宋" w:cs="仿宋" w:hint="eastAsia"/>
            <w:lang w:eastAsia="zh-CN"/>
          </w:rPr>
          <w:t>(五)、选址综合评价</w:t>
        </w:r>
        <w:r>
          <w:tab/>
        </w:r>
        <w:r>
          <w:fldChar w:fldCharType="begin"/>
        </w:r>
        <w:r>
          <w:instrText xml:space="preserve"> PAGEREF _Toc2 \h </w:instrText>
        </w:r>
        <w:r>
          <w:fldChar w:fldCharType="separate"/>
        </w:r>
        <w:r>
          <w:t>13</w:t>
        </w:r>
        <w:r>
          <w:fldChar w:fldCharType="end"/>
        </w:r>
      </w:hyperlink>
    </w:p>
    <w:p>
      <w:pPr>
        <w:pStyle w:val="TOC1"/>
        <w:tabs>
          <w:tab w:val="right" w:leader="dot" w:pos="8306"/>
        </w:tabs>
      </w:pPr>
      <w:hyperlink w:anchor="_Toc498" w:history="1">
        <w:r>
          <w:rPr>
            <w:rFonts w:ascii="仿宋" w:eastAsia="仿宋" w:hAnsi="仿宋" w:cs="仿宋" w:hint="eastAsia"/>
            <w:lang w:eastAsia="zh-CN"/>
          </w:rPr>
          <w:t>四、聚氨基双马来酰胺项目建设单位说明</w:t>
        </w:r>
        <w:r>
          <w:tab/>
        </w:r>
        <w:r>
          <w:fldChar w:fldCharType="begin"/>
        </w:r>
        <w:r>
          <w:instrText xml:space="preserve"> PAGEREF _Toc498 \h </w:instrText>
        </w:r>
        <w:r>
          <w:fldChar w:fldCharType="separate"/>
        </w:r>
        <w:r>
          <w:t>14</w:t>
        </w:r>
        <w:r>
          <w:fldChar w:fldCharType="end"/>
        </w:r>
      </w:hyperlink>
    </w:p>
    <w:p>
      <w:pPr>
        <w:pStyle w:val="TOC2"/>
        <w:tabs>
          <w:tab w:val="right" w:leader="dot" w:pos="8306"/>
        </w:tabs>
      </w:pPr>
      <w:hyperlink w:anchor="_Toc13354" w:history="1">
        <w:r>
          <w:rPr>
            <w:rFonts w:ascii="仿宋" w:eastAsia="仿宋" w:hAnsi="仿宋" w:cs="仿宋" w:hint="eastAsia"/>
            <w:lang w:eastAsia="zh-CN"/>
          </w:rPr>
          <w:t>(一)、聚氨基双马来酰胺项目承办单位基本情况</w:t>
        </w:r>
        <w:r>
          <w:tab/>
        </w:r>
        <w:r>
          <w:fldChar w:fldCharType="begin"/>
        </w:r>
        <w:r>
          <w:instrText xml:space="preserve"> PAGEREF _Toc13354 \h </w:instrText>
        </w:r>
        <w:r>
          <w:fldChar w:fldCharType="separate"/>
        </w:r>
        <w:r>
          <w:t>14</w:t>
        </w:r>
        <w:r>
          <w:fldChar w:fldCharType="end"/>
        </w:r>
      </w:hyperlink>
    </w:p>
    <w:p>
      <w:pPr>
        <w:pStyle w:val="TOC2"/>
        <w:tabs>
          <w:tab w:val="right" w:leader="dot" w:pos="8306"/>
        </w:tabs>
      </w:pPr>
      <w:hyperlink w:anchor="_Toc23573" w:history="1">
        <w:r>
          <w:rPr>
            <w:rFonts w:ascii="仿宋" w:eastAsia="仿宋" w:hAnsi="仿宋" w:cs="仿宋" w:hint="eastAsia"/>
            <w:lang w:eastAsia="zh-CN"/>
          </w:rPr>
          <w:t>(二)、公司经济效益分析</w:t>
        </w:r>
        <w:r>
          <w:tab/>
        </w:r>
        <w:r>
          <w:fldChar w:fldCharType="begin"/>
        </w:r>
        <w:r>
          <w:instrText xml:space="preserve"> PAGEREF _Toc23573 \h </w:instrText>
        </w:r>
        <w:r>
          <w:fldChar w:fldCharType="separate"/>
        </w:r>
        <w:r>
          <w:t>15</w:t>
        </w:r>
        <w:r>
          <w:fldChar w:fldCharType="end"/>
        </w:r>
      </w:hyperlink>
    </w:p>
    <w:p>
      <w:pPr>
        <w:pStyle w:val="TOC1"/>
        <w:tabs>
          <w:tab w:val="right" w:leader="dot" w:pos="8306"/>
        </w:tabs>
      </w:pPr>
      <w:hyperlink w:anchor="_Toc13453" w:history="1">
        <w:r>
          <w:rPr>
            <w:rFonts w:ascii="仿宋" w:eastAsia="仿宋" w:hAnsi="仿宋" w:cs="仿宋" w:hint="eastAsia"/>
            <w:lang w:eastAsia="zh-CN"/>
          </w:rPr>
          <w:t>五、聚氨基双马来酰胺项目可持续发展</w:t>
        </w:r>
        <w:r>
          <w:tab/>
        </w:r>
        <w:r>
          <w:fldChar w:fldCharType="begin"/>
        </w:r>
        <w:r>
          <w:instrText xml:space="preserve"> PAGEREF _Toc13453 \h </w:instrText>
        </w:r>
        <w:r>
          <w:fldChar w:fldCharType="separate"/>
        </w:r>
        <w:r>
          <w:t>16</w:t>
        </w:r>
        <w:r>
          <w:fldChar w:fldCharType="end"/>
        </w:r>
      </w:hyperlink>
    </w:p>
    <w:p>
      <w:pPr>
        <w:pStyle w:val="TOC2"/>
        <w:tabs>
          <w:tab w:val="right" w:leader="dot" w:pos="8306"/>
        </w:tabs>
      </w:pPr>
      <w:hyperlink w:anchor="_Toc22186" w:history="1">
        <w:r>
          <w:rPr>
            <w:rFonts w:ascii="仿宋" w:eastAsia="仿宋" w:hAnsi="仿宋" w:cs="仿宋" w:hint="eastAsia"/>
            <w:lang w:eastAsia="zh-CN"/>
          </w:rPr>
          <w:t>(一)、可持续战略与实践</w:t>
        </w:r>
        <w:r>
          <w:tab/>
        </w:r>
        <w:r>
          <w:fldChar w:fldCharType="begin"/>
        </w:r>
        <w:r>
          <w:instrText xml:space="preserve"> PAGEREF _Toc22186 \h </w:instrText>
        </w:r>
        <w:r>
          <w:fldChar w:fldCharType="separate"/>
        </w:r>
        <w:r>
          <w:t>16</w:t>
        </w:r>
        <w:r>
          <w:fldChar w:fldCharType="end"/>
        </w:r>
      </w:hyperlink>
    </w:p>
    <w:p>
      <w:pPr>
        <w:pStyle w:val="TOC2"/>
        <w:tabs>
          <w:tab w:val="right" w:leader="dot" w:pos="8306"/>
        </w:tabs>
      </w:pPr>
      <w:hyperlink w:anchor="_Toc22837" w:history="1">
        <w:r>
          <w:rPr>
            <w:rFonts w:ascii="仿宋" w:eastAsia="仿宋" w:hAnsi="仿宋" w:cs="仿宋" w:hint="eastAsia"/>
            <w:lang w:eastAsia="zh-CN"/>
          </w:rPr>
          <w:t>(二)、环保与社会责任</w:t>
        </w:r>
        <w:r>
          <w:tab/>
        </w:r>
        <w:r>
          <w:fldChar w:fldCharType="begin"/>
        </w:r>
        <w:r>
          <w:instrText xml:space="preserve"> PAGEREF _Toc22837 \h </w:instrText>
        </w:r>
        <w:r>
          <w:fldChar w:fldCharType="separate"/>
        </w:r>
        <w:r>
          <w:t>17</w:t>
        </w:r>
        <w:r>
          <w:fldChar w:fldCharType="end"/>
        </w:r>
      </w:hyperlink>
    </w:p>
    <w:p>
      <w:pPr>
        <w:pStyle w:val="TOC1"/>
        <w:tabs>
          <w:tab w:val="right" w:leader="dot" w:pos="8306"/>
        </w:tabs>
      </w:pPr>
      <w:hyperlink w:anchor="_Toc5274" w:history="1">
        <w:r>
          <w:rPr>
            <w:rFonts w:ascii="仿宋" w:eastAsia="仿宋" w:hAnsi="仿宋" w:cs="仿宋" w:hint="eastAsia"/>
            <w:lang w:eastAsia="zh-CN"/>
          </w:rPr>
          <w:t>六、市场分析、调研</w:t>
        </w:r>
        <w:r>
          <w:tab/>
        </w:r>
        <w:r>
          <w:fldChar w:fldCharType="begin"/>
        </w:r>
        <w:r>
          <w:instrText xml:space="preserve"> PAGEREF _Toc5274 \h </w:instrText>
        </w:r>
        <w:r>
          <w:fldChar w:fldCharType="separate"/>
        </w:r>
        <w:r>
          <w:t>18</w:t>
        </w:r>
        <w:r>
          <w:fldChar w:fldCharType="end"/>
        </w:r>
      </w:hyperlink>
    </w:p>
    <w:p>
      <w:pPr>
        <w:pStyle w:val="TOC2"/>
        <w:tabs>
          <w:tab w:val="right" w:leader="dot" w:pos="8306"/>
        </w:tabs>
      </w:pPr>
      <w:hyperlink w:anchor="_Toc24652" w:history="1">
        <w:r>
          <w:rPr>
            <w:rFonts w:ascii="仿宋" w:eastAsia="仿宋" w:hAnsi="仿宋" w:cs="仿宋" w:hint="eastAsia"/>
            <w:lang w:eastAsia="zh-CN"/>
          </w:rPr>
          <w:t>(一)、聚氨基双马来酰胺行业分析</w:t>
        </w:r>
        <w:r>
          <w:tab/>
        </w:r>
        <w:r>
          <w:fldChar w:fldCharType="begin"/>
        </w:r>
        <w:r>
          <w:instrText xml:space="preserve"> PAGEREF _Toc24652 \h </w:instrText>
        </w:r>
        <w:r>
          <w:fldChar w:fldCharType="separate"/>
        </w:r>
        <w:r>
          <w:t>18</w:t>
        </w:r>
        <w:r>
          <w:fldChar w:fldCharType="end"/>
        </w:r>
      </w:hyperlink>
    </w:p>
    <w:p>
      <w:pPr>
        <w:pStyle w:val="TOC2"/>
        <w:tabs>
          <w:tab w:val="right" w:leader="dot" w:pos="8306"/>
        </w:tabs>
      </w:pPr>
      <w:hyperlink w:anchor="_Toc28355" w:history="1">
        <w:r>
          <w:rPr>
            <w:rFonts w:ascii="仿宋" w:eastAsia="仿宋" w:hAnsi="仿宋" w:cs="仿宋" w:hint="eastAsia"/>
            <w:lang w:eastAsia="zh-CN"/>
          </w:rPr>
          <w:t>(二)、聚氨基双马来酰胺市场分析预测</w:t>
        </w:r>
        <w:r>
          <w:tab/>
        </w:r>
        <w:r>
          <w:fldChar w:fldCharType="begin"/>
        </w:r>
        <w:r>
          <w:instrText xml:space="preserve"> PAGEREF _Toc28355 \h </w:instrText>
        </w:r>
        <w:r>
          <w:fldChar w:fldCharType="separate"/>
        </w:r>
        <w:r>
          <w:t>18</w:t>
        </w:r>
        <w:r>
          <w:fldChar w:fldCharType="end"/>
        </w:r>
      </w:hyperlink>
    </w:p>
    <w:p>
      <w:pPr>
        <w:pStyle w:val="TOC1"/>
        <w:tabs>
          <w:tab w:val="right" w:leader="dot" w:pos="8306"/>
        </w:tabs>
      </w:pPr>
      <w:hyperlink w:anchor="_Toc27943" w:history="1">
        <w:r>
          <w:rPr>
            <w:rFonts w:ascii="仿宋" w:eastAsia="仿宋" w:hAnsi="仿宋" w:cs="仿宋" w:hint="eastAsia"/>
            <w:lang w:eastAsia="zh-CN"/>
          </w:rPr>
          <w:t>七、聚氨基双马来酰胺项目社会影响</w:t>
        </w:r>
        <w:r>
          <w:tab/>
        </w:r>
        <w:r>
          <w:fldChar w:fldCharType="begin"/>
        </w:r>
        <w:r>
          <w:instrText xml:space="preserve"> PAGEREF _Toc27943 \h </w:instrText>
        </w:r>
        <w:r>
          <w:fldChar w:fldCharType="separate"/>
        </w:r>
        <w:r>
          <w:t>19</w:t>
        </w:r>
        <w:r>
          <w:fldChar w:fldCharType="end"/>
        </w:r>
      </w:hyperlink>
    </w:p>
    <w:p>
      <w:pPr>
        <w:pStyle w:val="TOC2"/>
        <w:tabs>
          <w:tab w:val="right" w:leader="dot" w:pos="8306"/>
        </w:tabs>
      </w:pPr>
      <w:hyperlink w:anchor="_Toc14671" w:history="1">
        <w:r>
          <w:rPr>
            <w:rFonts w:ascii="仿宋" w:eastAsia="仿宋" w:hAnsi="仿宋" w:cs="仿宋" w:hint="eastAsia"/>
            <w:lang w:eastAsia="zh-CN"/>
          </w:rPr>
          <w:t>(一)、社会责任与义务</w:t>
        </w:r>
        <w:r>
          <w:tab/>
        </w:r>
        <w:r>
          <w:fldChar w:fldCharType="begin"/>
        </w:r>
        <w:r>
          <w:instrText xml:space="preserve"> PAGEREF _Toc14671 \h </w:instrText>
        </w:r>
        <w:r>
          <w:fldChar w:fldCharType="separate"/>
        </w:r>
        <w:r>
          <w:t>19</w:t>
        </w:r>
        <w:r>
          <w:fldChar w:fldCharType="end"/>
        </w:r>
      </w:hyperlink>
    </w:p>
    <w:p>
      <w:pPr>
        <w:pStyle w:val="TOC2"/>
        <w:tabs>
          <w:tab w:val="right" w:leader="dot" w:pos="8306"/>
        </w:tabs>
      </w:pPr>
      <w:hyperlink w:anchor="_Toc28876" w:history="1">
        <w:r>
          <w:rPr>
            <w:rFonts w:ascii="仿宋" w:eastAsia="仿宋" w:hAnsi="仿宋" w:cs="仿宋" w:hint="eastAsia"/>
            <w:lang w:eastAsia="zh-CN"/>
          </w:rPr>
          <w:t>(二)、社会参与与沟通</w:t>
        </w:r>
        <w:r>
          <w:tab/>
        </w:r>
        <w:r>
          <w:fldChar w:fldCharType="begin"/>
        </w:r>
        <w:r>
          <w:instrText xml:space="preserve"> PAGEREF _Toc28876 \h </w:instrText>
        </w:r>
        <w:r>
          <w:fldChar w:fldCharType="separate"/>
        </w:r>
        <w:r>
          <w:t>20</w:t>
        </w:r>
        <w:r>
          <w:fldChar w:fldCharType="end"/>
        </w:r>
      </w:hyperlink>
    </w:p>
    <w:p>
      <w:pPr>
        <w:pStyle w:val="TOC1"/>
        <w:tabs>
          <w:tab w:val="right" w:leader="dot" w:pos="8306"/>
        </w:tabs>
      </w:pPr>
      <w:hyperlink w:anchor="_Toc24743" w:history="1">
        <w:r>
          <w:rPr>
            <w:rFonts w:ascii="仿宋" w:eastAsia="仿宋" w:hAnsi="仿宋" w:cs="仿宋" w:hint="eastAsia"/>
            <w:lang w:eastAsia="zh-CN"/>
          </w:rPr>
          <w:t>八、聚氨基双马来酰胺项目投资规划</w:t>
        </w:r>
        <w:r>
          <w:tab/>
        </w:r>
        <w:r>
          <w:fldChar w:fldCharType="begin"/>
        </w:r>
        <w:r>
          <w:instrText xml:space="preserve"> PAGEREF _Toc24743 \h </w:instrText>
        </w:r>
        <w:r>
          <w:fldChar w:fldCharType="separate"/>
        </w:r>
        <w:r>
          <w:t>21</w:t>
        </w:r>
        <w:r>
          <w:fldChar w:fldCharType="end"/>
        </w:r>
      </w:hyperlink>
    </w:p>
    <w:p>
      <w:pPr>
        <w:pStyle w:val="TOC2"/>
        <w:tabs>
          <w:tab w:val="right" w:leader="dot" w:pos="8306"/>
        </w:tabs>
      </w:pPr>
      <w:hyperlink w:anchor="_Toc20369" w:history="1">
        <w:r>
          <w:rPr>
            <w:rFonts w:ascii="仿宋" w:eastAsia="仿宋" w:hAnsi="仿宋" w:cs="仿宋" w:hint="eastAsia"/>
            <w:lang w:eastAsia="zh-CN"/>
          </w:rPr>
          <w:t>(一)、聚氨基双马来酰胺项目总投资估算</w:t>
        </w:r>
        <w:r>
          <w:tab/>
        </w:r>
        <w:r>
          <w:fldChar w:fldCharType="begin"/>
        </w:r>
        <w:r>
          <w:instrText xml:space="preserve"> PAGEREF _Toc20369 \h </w:instrText>
        </w:r>
        <w:r>
          <w:fldChar w:fldCharType="separate"/>
        </w:r>
        <w:r>
          <w:t>21</w:t>
        </w:r>
        <w:r>
          <w:fldChar w:fldCharType="end"/>
        </w:r>
      </w:hyperlink>
    </w:p>
    <w:p>
      <w:pPr>
        <w:pStyle w:val="TOC2"/>
        <w:tabs>
          <w:tab w:val="right" w:leader="dot" w:pos="8306"/>
        </w:tabs>
      </w:pPr>
      <w:hyperlink w:anchor="_Toc786" w:history="1">
        <w:r>
          <w:rPr>
            <w:rFonts w:ascii="仿宋" w:eastAsia="仿宋" w:hAnsi="仿宋" w:cs="仿宋" w:hint="eastAsia"/>
            <w:lang w:eastAsia="zh-CN"/>
          </w:rPr>
          <w:t>(二)、资金筹措</w:t>
        </w:r>
        <w:r>
          <w:tab/>
        </w:r>
        <w:r>
          <w:fldChar w:fldCharType="begin"/>
        </w:r>
        <w:r>
          <w:instrText xml:space="preserve"> PAGEREF _Toc786 \h </w:instrText>
        </w:r>
        <w:r>
          <w:fldChar w:fldCharType="separate"/>
        </w:r>
        <w:r>
          <w:t>22</w:t>
        </w:r>
        <w:r>
          <w:fldChar w:fldCharType="end"/>
        </w:r>
      </w:hyperlink>
    </w:p>
    <w:p>
      <w:pPr>
        <w:pStyle w:val="TOC1"/>
        <w:tabs>
          <w:tab w:val="right" w:leader="dot" w:pos="8306"/>
        </w:tabs>
      </w:pPr>
      <w:hyperlink w:anchor="_Toc29890" w:history="1">
        <w:r>
          <w:rPr>
            <w:rFonts w:ascii="仿宋" w:eastAsia="仿宋" w:hAnsi="仿宋" w:cs="仿宋" w:hint="eastAsia"/>
            <w:lang w:eastAsia="zh-CN"/>
          </w:rPr>
          <w:t>九、聚氨基双马来酰胺项目人力资源培养与发展</w:t>
        </w:r>
        <w:r>
          <w:tab/>
        </w:r>
        <w:r>
          <w:fldChar w:fldCharType="begin"/>
        </w:r>
        <w:r>
          <w:instrText xml:space="preserve"> PAGEREF _Toc29890 \h </w:instrText>
        </w:r>
        <w:r>
          <w:fldChar w:fldCharType="separate"/>
        </w:r>
        <w:r>
          <w:t>23</w:t>
        </w:r>
        <w:r>
          <w:fldChar w:fldCharType="end"/>
        </w:r>
      </w:hyperlink>
    </w:p>
    <w:p>
      <w:pPr>
        <w:pStyle w:val="TOC2"/>
        <w:tabs>
          <w:tab w:val="right" w:leader="dot" w:pos="8306"/>
        </w:tabs>
      </w:pPr>
      <w:hyperlink w:anchor="_Toc5189" w:history="1">
        <w:r>
          <w:rPr>
            <w:rFonts w:ascii="仿宋" w:eastAsia="仿宋" w:hAnsi="仿宋" w:cs="仿宋" w:hint="eastAsia"/>
            <w:lang w:eastAsia="zh-CN"/>
          </w:rPr>
          <w:t>(一)、人才需求与规划</w:t>
        </w:r>
        <w:r>
          <w:tab/>
        </w:r>
        <w:r>
          <w:fldChar w:fldCharType="begin"/>
        </w:r>
        <w:r>
          <w:instrText xml:space="preserve"> PAGEREF _Toc5189 \h </w:instrText>
        </w:r>
        <w:r>
          <w:fldChar w:fldCharType="separate"/>
        </w:r>
        <w:r>
          <w:t>23</w:t>
        </w:r>
        <w:r>
          <w:fldChar w:fldCharType="end"/>
        </w:r>
      </w:hyperlink>
    </w:p>
    <w:p>
      <w:pPr>
        <w:pStyle w:val="TOC2"/>
        <w:tabs>
          <w:tab w:val="right" w:leader="dot" w:pos="8306"/>
        </w:tabs>
      </w:pPr>
      <w:hyperlink w:anchor="_Toc19574" w:history="1">
        <w:r>
          <w:rPr>
            <w:rFonts w:ascii="仿宋" w:eastAsia="仿宋" w:hAnsi="仿宋" w:cs="仿宋" w:hint="eastAsia"/>
            <w:lang w:eastAsia="zh-CN"/>
          </w:rPr>
          <w:t>(二)、培训与发展计划</w:t>
        </w:r>
        <w:r>
          <w:tab/>
        </w:r>
        <w:r>
          <w:fldChar w:fldCharType="begin"/>
        </w:r>
        <w:r>
          <w:instrText xml:space="preserve"> PAGEREF _Toc19574 \h </w:instrText>
        </w:r>
        <w:r>
          <w:fldChar w:fldCharType="separate"/>
        </w:r>
        <w:r>
          <w:t>23</w:t>
        </w:r>
        <w:r>
          <w:fldChar w:fldCharType="end"/>
        </w:r>
      </w:hyperlink>
    </w:p>
    <w:p>
      <w:pPr>
        <w:pStyle w:val="TOC1"/>
        <w:tabs>
          <w:tab w:val="right" w:leader="dot" w:pos="8306"/>
        </w:tabs>
      </w:pPr>
      <w:hyperlink w:anchor="_Toc17000" w:history="1">
        <w:r>
          <w:rPr>
            <w:rFonts w:ascii="仿宋" w:eastAsia="仿宋" w:hAnsi="仿宋" w:cs="仿宋" w:hint="eastAsia"/>
            <w:lang w:eastAsia="zh-CN"/>
          </w:rPr>
          <w:t>十、聚氨基双马来酰胺项目技术管理</w:t>
        </w:r>
        <w:r>
          <w:tab/>
        </w:r>
        <w:r>
          <w:fldChar w:fldCharType="begin"/>
        </w:r>
        <w:r>
          <w:instrText xml:space="preserve"> PAGEREF _Toc17000 \h </w:instrText>
        </w:r>
        <w:r>
          <w:fldChar w:fldCharType="separate"/>
        </w:r>
        <w:r>
          <w:t>24</w:t>
        </w:r>
        <w:r>
          <w:fldChar w:fldCharType="end"/>
        </w:r>
      </w:hyperlink>
    </w:p>
    <w:p>
      <w:pPr>
        <w:pStyle w:val="TOC2"/>
        <w:tabs>
          <w:tab w:val="right" w:leader="dot" w:pos="8306"/>
        </w:tabs>
      </w:pPr>
      <w:hyperlink w:anchor="_Toc7410" w:history="1">
        <w:r>
          <w:rPr>
            <w:rFonts w:ascii="仿宋" w:eastAsia="仿宋" w:hAnsi="仿宋" w:cs="仿宋" w:hint="eastAsia"/>
            <w:lang w:eastAsia="zh-CN"/>
          </w:rPr>
          <w:t>(一)、技术方案选用方向</w:t>
        </w:r>
        <w:r>
          <w:tab/>
        </w:r>
        <w:r>
          <w:fldChar w:fldCharType="begin"/>
        </w:r>
        <w:r>
          <w:instrText xml:space="preserve"> PAGEREF _Toc7410 \h </w:instrText>
        </w:r>
        <w:r>
          <w:fldChar w:fldCharType="separate"/>
        </w:r>
        <w:r>
          <w:t>24</w:t>
        </w:r>
        <w:r>
          <w:fldChar w:fldCharType="end"/>
        </w:r>
      </w:hyperlink>
    </w:p>
    <w:p>
      <w:pPr>
        <w:pStyle w:val="TOC2"/>
        <w:tabs>
          <w:tab w:val="right" w:leader="dot" w:pos="8306"/>
        </w:tabs>
      </w:pPr>
      <w:hyperlink w:anchor="_Toc20579" w:history="1">
        <w:r>
          <w:rPr>
            <w:rFonts w:ascii="仿宋" w:eastAsia="仿宋" w:hAnsi="仿宋" w:cs="仿宋" w:hint="eastAsia"/>
            <w:lang w:eastAsia="zh-CN"/>
          </w:rPr>
          <w:t>(二)、工艺技术方案选用原则</w:t>
        </w:r>
        <w:r>
          <w:tab/>
        </w:r>
        <w:r>
          <w:fldChar w:fldCharType="begin"/>
        </w:r>
        <w:r>
          <w:instrText xml:space="preserve"> PAGEREF _Toc20579 \h </w:instrText>
        </w:r>
        <w:r>
          <w:fldChar w:fldCharType="separate"/>
        </w:r>
        <w:r>
          <w:t>26</w:t>
        </w:r>
        <w:r>
          <w:fldChar w:fldCharType="end"/>
        </w:r>
      </w:hyperlink>
    </w:p>
    <w:p>
      <w:pPr>
        <w:pStyle w:val="TOC2"/>
        <w:tabs>
          <w:tab w:val="right" w:leader="dot" w:pos="8306"/>
        </w:tabs>
      </w:pPr>
      <w:hyperlink w:anchor="_Toc17490" w:history="1">
        <w:r>
          <w:rPr>
            <w:rFonts w:ascii="仿宋" w:eastAsia="仿宋" w:hAnsi="仿宋" w:cs="仿宋" w:hint="eastAsia"/>
            <w:lang w:eastAsia="zh-CN"/>
          </w:rPr>
          <w:t>(三)、工艺技术方案要求</w:t>
        </w:r>
        <w:r>
          <w:tab/>
        </w:r>
        <w:r>
          <w:fldChar w:fldCharType="begin"/>
        </w:r>
        <w:r>
          <w:instrText xml:space="preserve"> PAGEREF _Toc17490 \h </w:instrText>
        </w:r>
        <w:r>
          <w:fldChar w:fldCharType="separate"/>
        </w:r>
        <w:r>
          <w:t>28</w:t>
        </w:r>
        <w:r>
          <w:fldChar w:fldCharType="end"/>
        </w:r>
      </w:hyperlink>
    </w:p>
    <w:p>
      <w:pPr>
        <w:pStyle w:val="TOC1"/>
        <w:tabs>
          <w:tab w:val="right" w:leader="dot" w:pos="8306"/>
        </w:tabs>
      </w:pPr>
      <w:hyperlink w:anchor="_Toc30575" w:history="1">
        <w:r>
          <w:rPr>
            <w:rFonts w:ascii="仿宋" w:eastAsia="仿宋" w:hAnsi="仿宋" w:cs="仿宋" w:hint="eastAsia"/>
            <w:lang w:eastAsia="zh-CN"/>
          </w:rPr>
          <w:t>十一、聚氨基双马来酰胺项目计划安排</w:t>
        </w:r>
        <w:r>
          <w:tab/>
        </w:r>
        <w:r>
          <w:fldChar w:fldCharType="begin"/>
        </w:r>
        <w:r>
          <w:instrText xml:space="preserve"> PAGEREF _Toc30575 \h </w:instrText>
        </w:r>
        <w:r>
          <w:fldChar w:fldCharType="separate"/>
        </w:r>
        <w:r>
          <w:t>30</w:t>
        </w:r>
        <w:r>
          <w:fldChar w:fldCharType="end"/>
        </w:r>
      </w:hyperlink>
    </w:p>
    <w:p>
      <w:pPr>
        <w:pStyle w:val="TOC2"/>
        <w:tabs>
          <w:tab w:val="right" w:leader="dot" w:pos="8306"/>
        </w:tabs>
      </w:pPr>
      <w:hyperlink w:anchor="_Toc17487" w:history="1">
        <w:r>
          <w:rPr>
            <w:rFonts w:ascii="仿宋" w:eastAsia="仿宋" w:hAnsi="仿宋" w:cs="仿宋" w:hint="eastAsia"/>
            <w:lang w:eastAsia="zh-CN"/>
          </w:rPr>
          <w:t>(一)、建设周期</w:t>
        </w:r>
        <w:r>
          <w:tab/>
        </w:r>
        <w:r>
          <w:fldChar w:fldCharType="begin"/>
        </w:r>
        <w:r>
          <w:instrText xml:space="preserve"> PAGEREF _Toc17487 \h </w:instrText>
        </w:r>
        <w:r>
          <w:fldChar w:fldCharType="separate"/>
        </w:r>
        <w:r>
          <w:t>30</w:t>
        </w:r>
        <w:r>
          <w:fldChar w:fldCharType="end"/>
        </w:r>
      </w:hyperlink>
    </w:p>
    <w:p>
      <w:pPr>
        <w:pStyle w:val="TOC2"/>
        <w:tabs>
          <w:tab w:val="right" w:leader="dot" w:pos="8306"/>
        </w:tabs>
      </w:pPr>
      <w:hyperlink w:anchor="_Toc12854" w:history="1">
        <w:r>
          <w:rPr>
            <w:rFonts w:ascii="仿宋" w:eastAsia="仿宋" w:hAnsi="仿宋" w:cs="仿宋" w:hint="eastAsia"/>
            <w:lang w:eastAsia="zh-CN"/>
          </w:rPr>
          <w:t>(二)、建设进度</w:t>
        </w:r>
        <w:r>
          <w:tab/>
        </w:r>
        <w:r>
          <w:fldChar w:fldCharType="begin"/>
        </w:r>
        <w:r>
          <w:instrText xml:space="preserve"> PAGEREF _Toc12854 \h </w:instrText>
        </w:r>
        <w:r>
          <w:fldChar w:fldCharType="separate"/>
        </w:r>
        <w:r>
          <w:t>31</w:t>
        </w:r>
        <w:r>
          <w:fldChar w:fldCharType="end"/>
        </w:r>
      </w:hyperlink>
    </w:p>
    <w:p>
      <w:pPr>
        <w:pStyle w:val="TOC2"/>
        <w:tabs>
          <w:tab w:val="right" w:leader="dot" w:pos="8306"/>
        </w:tabs>
      </w:pPr>
      <w:hyperlink w:anchor="_Toc5466" w:history="1">
        <w:r>
          <w:rPr>
            <w:rFonts w:ascii="仿宋" w:eastAsia="仿宋" w:hAnsi="仿宋" w:cs="仿宋" w:hint="eastAsia"/>
            <w:lang w:eastAsia="zh-CN"/>
          </w:rPr>
          <w:t>(三)、进度安排注意事项</w:t>
        </w:r>
        <w:r>
          <w:tab/>
        </w:r>
        <w:r>
          <w:fldChar w:fldCharType="begin"/>
        </w:r>
        <w:r>
          <w:instrText xml:space="preserve"> PAGEREF _Toc5466 \h </w:instrText>
        </w:r>
        <w:r>
          <w:fldChar w:fldCharType="separate"/>
        </w:r>
        <w:r>
          <w:t>32</w:t>
        </w:r>
        <w:r>
          <w:fldChar w:fldCharType="end"/>
        </w:r>
      </w:hyperlink>
    </w:p>
    <w:p>
      <w:pPr>
        <w:pStyle w:val="TOC2"/>
        <w:tabs>
          <w:tab w:val="right" w:leader="dot" w:pos="8306"/>
        </w:tabs>
      </w:pPr>
      <w:hyperlink w:anchor="_Toc9748" w:history="1">
        <w:r>
          <w:rPr>
            <w:rFonts w:ascii="仿宋" w:eastAsia="仿宋" w:hAnsi="仿宋" w:cs="仿宋" w:hint="eastAsia"/>
            <w:lang w:eastAsia="zh-CN"/>
          </w:rPr>
          <w:t>(四)、人力资源配置</w:t>
        </w:r>
        <w:r>
          <w:tab/>
        </w:r>
        <w:r>
          <w:fldChar w:fldCharType="begin"/>
        </w:r>
        <w:r>
          <w:instrText xml:space="preserve"> PAGEREF _Toc9748 \h </w:instrText>
        </w:r>
        <w:r>
          <w:fldChar w:fldCharType="separate"/>
        </w:r>
        <w:r>
          <w:t>34</w:t>
        </w:r>
        <w:r>
          <w:fldChar w:fldCharType="end"/>
        </w:r>
      </w:hyperlink>
    </w:p>
    <w:p>
      <w:pPr>
        <w:pStyle w:val="TOC1"/>
        <w:tabs>
          <w:tab w:val="right" w:leader="dot" w:pos="8306"/>
        </w:tabs>
      </w:pPr>
      <w:hyperlink w:anchor="_Toc17252" w:history="1">
        <w:r>
          <w:rPr>
            <w:rFonts w:ascii="仿宋" w:eastAsia="仿宋" w:hAnsi="仿宋" w:cs="仿宋" w:hint="eastAsia"/>
            <w:lang w:eastAsia="zh-CN"/>
          </w:rPr>
          <w:t>十二、聚氨基双马来酰胺项目风险管理</w:t>
        </w:r>
        <w:r>
          <w:tab/>
        </w:r>
        <w:r>
          <w:fldChar w:fldCharType="begin"/>
        </w:r>
        <w:r>
          <w:instrText xml:space="preserve"> PAGEREF _Toc17252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0" w:history="1">
        <w:r>
          <w:rPr>
            <w:rFonts w:ascii="仿宋" w:eastAsia="仿宋" w:hAnsi="仿宋" w:cs="仿宋" w:hint="eastAsia"/>
            <w:lang w:eastAsia="zh-CN"/>
          </w:rPr>
          <w:t>(一)、风险识别与评估</w:t>
        </w:r>
        <w:r>
          <w:tab/>
        </w:r>
        <w:r>
          <w:fldChar w:fldCharType="begin"/>
        </w:r>
        <w:r>
          <w:instrText xml:space="preserve"> PAGEREF _Toc17200 \h </w:instrText>
        </w:r>
        <w:r>
          <w:fldChar w:fldCharType="separate"/>
        </w:r>
        <w:r>
          <w:t>35</w:t>
        </w:r>
        <w:r>
          <w:fldChar w:fldCharType="end"/>
        </w:r>
      </w:hyperlink>
    </w:p>
    <w:p>
      <w:pPr>
        <w:pStyle w:val="TOC2"/>
        <w:tabs>
          <w:tab w:val="right" w:leader="dot" w:pos="8306"/>
        </w:tabs>
      </w:pPr>
      <w:hyperlink w:anchor="_Toc10758" w:history="1">
        <w:r>
          <w:rPr>
            <w:rFonts w:ascii="仿宋" w:eastAsia="仿宋" w:hAnsi="仿宋" w:cs="仿宋" w:hint="eastAsia"/>
            <w:lang w:eastAsia="zh-CN"/>
          </w:rPr>
          <w:t>(二)、风险应对策略</w:t>
        </w:r>
        <w:r>
          <w:tab/>
        </w:r>
        <w:r>
          <w:fldChar w:fldCharType="begin"/>
        </w:r>
        <w:r>
          <w:instrText xml:space="preserve"> PAGEREF _Toc10758 \h </w:instrText>
        </w:r>
        <w:r>
          <w:fldChar w:fldCharType="separate"/>
        </w:r>
        <w:r>
          <w:t>36</w:t>
        </w:r>
        <w:r>
          <w:fldChar w:fldCharType="end"/>
        </w:r>
      </w:hyperlink>
    </w:p>
    <w:p>
      <w:pPr>
        <w:pStyle w:val="TOC2"/>
        <w:tabs>
          <w:tab w:val="right" w:leader="dot" w:pos="8306"/>
        </w:tabs>
      </w:pPr>
      <w:hyperlink w:anchor="_Toc14981" w:history="1">
        <w:r>
          <w:rPr>
            <w:rFonts w:ascii="仿宋" w:eastAsia="仿宋" w:hAnsi="仿宋" w:cs="仿宋" w:hint="eastAsia"/>
            <w:lang w:eastAsia="zh-CN"/>
          </w:rPr>
          <w:t>(三)、风险监控与控制</w:t>
        </w:r>
        <w:r>
          <w:tab/>
        </w:r>
        <w:r>
          <w:fldChar w:fldCharType="begin"/>
        </w:r>
        <w:r>
          <w:instrText xml:space="preserve"> PAGEREF _Toc14981 \h </w:instrText>
        </w:r>
        <w:r>
          <w:fldChar w:fldCharType="separate"/>
        </w:r>
        <w:r>
          <w:t>38</w:t>
        </w:r>
        <w:r>
          <w:fldChar w:fldCharType="end"/>
        </w:r>
      </w:hyperlink>
    </w:p>
    <w:p>
      <w:pPr>
        <w:pStyle w:val="TOC1"/>
        <w:tabs>
          <w:tab w:val="right" w:leader="dot" w:pos="8306"/>
        </w:tabs>
      </w:pPr>
      <w:hyperlink w:anchor="_Toc4850" w:history="1">
        <w:r>
          <w:rPr>
            <w:rFonts w:ascii="仿宋" w:eastAsia="仿宋" w:hAnsi="仿宋" w:cs="仿宋" w:hint="eastAsia"/>
            <w:lang w:eastAsia="zh-CN"/>
          </w:rPr>
          <w:t>十三、聚氨基双马来酰胺项目治理与监督</w:t>
        </w:r>
        <w:r>
          <w:tab/>
        </w:r>
        <w:r>
          <w:fldChar w:fldCharType="begin"/>
        </w:r>
        <w:r>
          <w:instrText xml:space="preserve"> PAGEREF _Toc4850 \h </w:instrText>
        </w:r>
        <w:r>
          <w:fldChar w:fldCharType="separate"/>
        </w:r>
        <w:r>
          <w:t>39</w:t>
        </w:r>
        <w:r>
          <w:fldChar w:fldCharType="end"/>
        </w:r>
      </w:hyperlink>
    </w:p>
    <w:p>
      <w:pPr>
        <w:pStyle w:val="TOC2"/>
        <w:tabs>
          <w:tab w:val="right" w:leader="dot" w:pos="8306"/>
        </w:tabs>
      </w:pPr>
      <w:hyperlink w:anchor="_Toc8473" w:history="1">
        <w:r>
          <w:rPr>
            <w:rFonts w:ascii="仿宋" w:eastAsia="仿宋" w:hAnsi="仿宋" w:cs="仿宋" w:hint="eastAsia"/>
            <w:lang w:eastAsia="zh-CN"/>
          </w:rPr>
          <w:t>(一)、聚氨基双马来酰胺项目治理结构</w:t>
        </w:r>
        <w:r>
          <w:tab/>
        </w:r>
        <w:r>
          <w:fldChar w:fldCharType="begin"/>
        </w:r>
        <w:r>
          <w:instrText xml:space="preserve"> PAGEREF _Toc8473 \h </w:instrText>
        </w:r>
        <w:r>
          <w:fldChar w:fldCharType="separate"/>
        </w:r>
        <w:r>
          <w:t>39</w:t>
        </w:r>
        <w:r>
          <w:fldChar w:fldCharType="end"/>
        </w:r>
      </w:hyperlink>
    </w:p>
    <w:p>
      <w:pPr>
        <w:pStyle w:val="TOC2"/>
        <w:tabs>
          <w:tab w:val="right" w:leader="dot" w:pos="8306"/>
        </w:tabs>
      </w:pPr>
      <w:hyperlink w:anchor="_Toc20685" w:history="1">
        <w:r>
          <w:rPr>
            <w:rFonts w:ascii="仿宋" w:eastAsia="仿宋" w:hAnsi="仿宋" w:cs="仿宋" w:hint="eastAsia"/>
            <w:lang w:eastAsia="zh-CN"/>
          </w:rPr>
          <w:t>(二)、监督与审计</w:t>
        </w:r>
        <w:r>
          <w:tab/>
        </w:r>
        <w:r>
          <w:fldChar w:fldCharType="begin"/>
        </w:r>
        <w:r>
          <w:instrText xml:space="preserve"> PAGEREF _Toc20685 \h </w:instrText>
        </w:r>
        <w:r>
          <w:fldChar w:fldCharType="separate"/>
        </w:r>
        <w:r>
          <w:t>40</w:t>
        </w:r>
        <w:r>
          <w:fldChar w:fldCharType="end"/>
        </w:r>
      </w:hyperlink>
    </w:p>
    <w:p>
      <w:pPr>
        <w:pStyle w:val="TOC1"/>
        <w:tabs>
          <w:tab w:val="right" w:leader="dot" w:pos="8306"/>
        </w:tabs>
      </w:pPr>
      <w:hyperlink w:anchor="_Toc4586" w:history="1">
        <w:r>
          <w:rPr>
            <w:rFonts w:ascii="仿宋" w:eastAsia="仿宋" w:hAnsi="仿宋" w:cs="仿宋" w:hint="eastAsia"/>
            <w:lang w:eastAsia="zh-CN"/>
          </w:rPr>
          <w:t>十四、利益相关者分析与沟通计划</w:t>
        </w:r>
        <w:r>
          <w:tab/>
        </w:r>
        <w:r>
          <w:fldChar w:fldCharType="begin"/>
        </w:r>
        <w:r>
          <w:instrText xml:space="preserve"> PAGEREF _Toc4586 \h </w:instrText>
        </w:r>
        <w:r>
          <w:fldChar w:fldCharType="separate"/>
        </w:r>
        <w:r>
          <w:t>42</w:t>
        </w:r>
        <w:r>
          <w:fldChar w:fldCharType="end"/>
        </w:r>
      </w:hyperlink>
    </w:p>
    <w:p>
      <w:pPr>
        <w:pStyle w:val="TOC2"/>
        <w:tabs>
          <w:tab w:val="right" w:leader="dot" w:pos="8306"/>
        </w:tabs>
      </w:pPr>
      <w:hyperlink w:anchor="_Toc475" w:history="1">
        <w:r>
          <w:rPr>
            <w:rFonts w:ascii="仿宋" w:eastAsia="仿宋" w:hAnsi="仿宋" w:cs="仿宋" w:hint="eastAsia"/>
            <w:lang w:eastAsia="zh-CN"/>
          </w:rPr>
          <w:t>(一)、利益相关者分析</w:t>
        </w:r>
        <w:r>
          <w:tab/>
        </w:r>
        <w:r>
          <w:fldChar w:fldCharType="begin"/>
        </w:r>
        <w:r>
          <w:instrText xml:space="preserve"> PAGEREF _Toc475 \h </w:instrText>
        </w:r>
        <w:r>
          <w:fldChar w:fldCharType="separate"/>
        </w:r>
        <w:r>
          <w:t>42</w:t>
        </w:r>
        <w:r>
          <w:fldChar w:fldCharType="end"/>
        </w:r>
      </w:hyperlink>
    </w:p>
    <w:p>
      <w:pPr>
        <w:pStyle w:val="TOC2"/>
        <w:tabs>
          <w:tab w:val="right" w:leader="dot" w:pos="8306"/>
        </w:tabs>
      </w:pPr>
      <w:hyperlink w:anchor="_Toc27745" w:history="1">
        <w:r>
          <w:rPr>
            <w:rFonts w:ascii="仿宋" w:eastAsia="仿宋" w:hAnsi="仿宋" w:cs="仿宋" w:hint="eastAsia"/>
            <w:lang w:eastAsia="zh-CN"/>
          </w:rPr>
          <w:t>(二)、沟通计划</w:t>
        </w:r>
        <w:r>
          <w:tab/>
        </w:r>
        <w:r>
          <w:fldChar w:fldCharType="begin"/>
        </w:r>
        <w:r>
          <w:instrText xml:space="preserve"> PAGEREF _Toc27745 \h </w:instrText>
        </w:r>
        <w:r>
          <w:fldChar w:fldCharType="separate"/>
        </w:r>
        <w:r>
          <w:t>43</w:t>
        </w:r>
        <w:r>
          <w:fldChar w:fldCharType="end"/>
        </w:r>
      </w:hyperlink>
    </w:p>
    <w:p>
      <w:pPr>
        <w:pStyle w:val="TOC1"/>
        <w:tabs>
          <w:tab w:val="right" w:leader="dot" w:pos="8306"/>
        </w:tabs>
      </w:pPr>
      <w:hyperlink w:anchor="_Toc16687" w:history="1">
        <w:r>
          <w:rPr>
            <w:rFonts w:ascii="仿宋" w:eastAsia="仿宋" w:hAnsi="仿宋" w:cs="仿宋" w:hint="eastAsia"/>
            <w:lang w:eastAsia="zh-CN"/>
          </w:rPr>
          <w:t>十五、质量管理体系</w:t>
        </w:r>
        <w:r>
          <w:tab/>
        </w:r>
        <w:r>
          <w:fldChar w:fldCharType="begin"/>
        </w:r>
        <w:r>
          <w:instrText xml:space="preserve"> PAGEREF _Toc16687 \h </w:instrText>
        </w:r>
        <w:r>
          <w:fldChar w:fldCharType="separate"/>
        </w:r>
        <w:r>
          <w:t>44</w:t>
        </w:r>
        <w:r>
          <w:fldChar w:fldCharType="end"/>
        </w:r>
      </w:hyperlink>
    </w:p>
    <w:p>
      <w:pPr>
        <w:pStyle w:val="TOC2"/>
        <w:tabs>
          <w:tab w:val="right" w:leader="dot" w:pos="8306"/>
        </w:tabs>
      </w:pPr>
      <w:hyperlink w:anchor="_Toc31568" w:history="1">
        <w:r>
          <w:rPr>
            <w:rFonts w:ascii="仿宋" w:eastAsia="仿宋" w:hAnsi="仿宋" w:cs="仿宋" w:hint="eastAsia"/>
            <w:lang w:eastAsia="zh-CN"/>
          </w:rPr>
          <w:t>(一)、质量目标与方针</w:t>
        </w:r>
        <w:r>
          <w:tab/>
        </w:r>
        <w:r>
          <w:fldChar w:fldCharType="begin"/>
        </w:r>
        <w:r>
          <w:instrText xml:space="preserve"> PAGEREF _Toc31568 \h </w:instrText>
        </w:r>
        <w:r>
          <w:fldChar w:fldCharType="separate"/>
        </w:r>
        <w:r>
          <w:t>44</w:t>
        </w:r>
        <w:r>
          <w:fldChar w:fldCharType="end"/>
        </w:r>
      </w:hyperlink>
    </w:p>
    <w:p>
      <w:pPr>
        <w:pStyle w:val="TOC2"/>
        <w:tabs>
          <w:tab w:val="right" w:leader="dot" w:pos="8306"/>
        </w:tabs>
      </w:pPr>
      <w:hyperlink w:anchor="_Toc574" w:history="1">
        <w:r>
          <w:rPr>
            <w:rFonts w:ascii="仿宋" w:eastAsia="仿宋" w:hAnsi="仿宋" w:cs="仿宋" w:hint="eastAsia"/>
            <w:lang w:eastAsia="zh-CN"/>
          </w:rPr>
          <w:t>(二)、质量管理责任</w:t>
        </w:r>
        <w:r>
          <w:tab/>
        </w:r>
        <w:r>
          <w:fldChar w:fldCharType="begin"/>
        </w:r>
        <w:r>
          <w:instrText xml:space="preserve"> PAGEREF _Toc574 \h </w:instrText>
        </w:r>
        <w:r>
          <w:fldChar w:fldCharType="separate"/>
        </w:r>
        <w:r>
          <w:t>45</w:t>
        </w:r>
        <w:r>
          <w:fldChar w:fldCharType="end"/>
        </w:r>
      </w:hyperlink>
    </w:p>
    <w:p>
      <w:pPr>
        <w:pStyle w:val="TOC2"/>
        <w:tabs>
          <w:tab w:val="right" w:leader="dot" w:pos="8306"/>
        </w:tabs>
      </w:pPr>
      <w:hyperlink w:anchor="_Toc28853" w:history="1">
        <w:r>
          <w:rPr>
            <w:rFonts w:ascii="仿宋" w:eastAsia="仿宋" w:hAnsi="仿宋" w:cs="仿宋" w:hint="eastAsia"/>
            <w:lang w:eastAsia="zh-CN"/>
          </w:rPr>
          <w:t>(三)、质量管理体系文件</w:t>
        </w:r>
        <w:r>
          <w:tab/>
        </w:r>
        <w:r>
          <w:fldChar w:fldCharType="begin"/>
        </w:r>
        <w:r>
          <w:instrText xml:space="preserve"> PAGEREF _Toc28853 \h </w:instrText>
        </w:r>
        <w:r>
          <w:fldChar w:fldCharType="separate"/>
        </w:r>
        <w:r>
          <w:t>46</w:t>
        </w:r>
        <w:r>
          <w:fldChar w:fldCharType="end"/>
        </w:r>
      </w:hyperlink>
    </w:p>
    <w:p>
      <w:pPr>
        <w:pStyle w:val="TOC2"/>
        <w:tabs>
          <w:tab w:val="right" w:leader="dot" w:pos="8306"/>
        </w:tabs>
      </w:pPr>
      <w:hyperlink w:anchor="_Toc29177" w:history="1">
        <w:r>
          <w:rPr>
            <w:rFonts w:ascii="仿宋" w:eastAsia="仿宋" w:hAnsi="仿宋" w:cs="仿宋" w:hint="eastAsia"/>
            <w:lang w:eastAsia="zh-CN"/>
          </w:rPr>
          <w:t>(四)、质量培训与教育</w:t>
        </w:r>
        <w:r>
          <w:tab/>
        </w:r>
        <w:r>
          <w:fldChar w:fldCharType="begin"/>
        </w:r>
        <w:r>
          <w:instrText xml:space="preserve"> PAGEREF _Toc29177 \h </w:instrText>
        </w:r>
        <w:r>
          <w:fldChar w:fldCharType="separate"/>
        </w:r>
        <w:r>
          <w:t>49</w:t>
        </w:r>
        <w:r>
          <w:fldChar w:fldCharType="end"/>
        </w:r>
      </w:hyperlink>
    </w:p>
    <w:p>
      <w:pPr>
        <w:pStyle w:val="TOC2"/>
        <w:tabs>
          <w:tab w:val="right" w:leader="dot" w:pos="8306"/>
        </w:tabs>
      </w:pPr>
      <w:hyperlink w:anchor="_Toc17637" w:history="1">
        <w:r>
          <w:rPr>
            <w:rFonts w:ascii="仿宋" w:eastAsia="仿宋" w:hAnsi="仿宋" w:cs="仿宋" w:hint="eastAsia"/>
            <w:lang w:eastAsia="zh-CN"/>
          </w:rPr>
          <w:t>(五)、质量审核与评价</w:t>
        </w:r>
        <w:r>
          <w:tab/>
        </w:r>
        <w:r>
          <w:fldChar w:fldCharType="begin"/>
        </w:r>
        <w:r>
          <w:instrText xml:space="preserve"> PAGEREF _Toc17637 \h </w:instrText>
        </w:r>
        <w:r>
          <w:fldChar w:fldCharType="separate"/>
        </w:r>
        <w:r>
          <w:t>50</w:t>
        </w:r>
        <w:r>
          <w:fldChar w:fldCharType="end"/>
        </w:r>
      </w:hyperlink>
    </w:p>
    <w:p>
      <w:pPr>
        <w:pStyle w:val="TOC2"/>
        <w:tabs>
          <w:tab w:val="right" w:leader="dot" w:pos="8306"/>
        </w:tabs>
      </w:pPr>
      <w:hyperlink w:anchor="_Toc20964" w:history="1">
        <w:r>
          <w:rPr>
            <w:rFonts w:ascii="仿宋" w:eastAsia="仿宋" w:hAnsi="仿宋" w:cs="仿宋" w:hint="eastAsia"/>
            <w:lang w:eastAsia="zh-CN"/>
          </w:rPr>
          <w:t>(六)、不符合与纠正措施</w:t>
        </w:r>
        <w:r>
          <w:tab/>
        </w:r>
        <w:r>
          <w:fldChar w:fldCharType="begin"/>
        </w:r>
        <w:r>
          <w:instrText xml:space="preserve"> PAGEREF _Toc20964 \h </w:instrText>
        </w:r>
        <w:r>
          <w:fldChar w:fldCharType="separate"/>
        </w:r>
        <w:r>
          <w:t>51</w:t>
        </w:r>
        <w:r>
          <w:fldChar w:fldCharType="end"/>
        </w:r>
      </w:hyperlink>
    </w:p>
    <w:p>
      <w:pPr>
        <w:pStyle w:val="TOC1"/>
        <w:tabs>
          <w:tab w:val="right" w:leader="dot" w:pos="8306"/>
        </w:tabs>
      </w:pPr>
      <w:hyperlink w:anchor="_Toc15312" w:history="1">
        <w:r>
          <w:rPr>
            <w:rFonts w:ascii="仿宋" w:eastAsia="仿宋" w:hAnsi="仿宋" w:cs="仿宋" w:hint="eastAsia"/>
            <w:lang w:eastAsia="zh-CN"/>
          </w:rPr>
          <w:t>十六、聚氨基双马来酰胺项目实施保障措施</w:t>
        </w:r>
        <w:r>
          <w:tab/>
        </w:r>
        <w:r>
          <w:fldChar w:fldCharType="begin"/>
        </w:r>
        <w:r>
          <w:instrText xml:space="preserve"> PAGEREF _Toc15312 \h </w:instrText>
        </w:r>
        <w:r>
          <w:fldChar w:fldCharType="separate"/>
        </w:r>
        <w:r>
          <w:t>52</w:t>
        </w:r>
        <w:r>
          <w:fldChar w:fldCharType="end"/>
        </w:r>
      </w:hyperlink>
    </w:p>
    <w:p>
      <w:pPr>
        <w:pStyle w:val="TOC2"/>
        <w:tabs>
          <w:tab w:val="right" w:leader="dot" w:pos="8306"/>
        </w:tabs>
      </w:pPr>
      <w:hyperlink w:anchor="_Toc9413" w:history="1">
        <w:r>
          <w:rPr>
            <w:rFonts w:ascii="仿宋" w:eastAsia="仿宋" w:hAnsi="仿宋" w:cs="仿宋" w:hint="eastAsia"/>
            <w:lang w:eastAsia="zh-CN"/>
          </w:rPr>
          <w:t>(一)、聚氨基双马来酰胺项目实施保障机制</w:t>
        </w:r>
        <w:r>
          <w:tab/>
        </w:r>
        <w:r>
          <w:fldChar w:fldCharType="begin"/>
        </w:r>
        <w:r>
          <w:instrText xml:space="preserve"> PAGEREF _Toc9413 \h </w:instrText>
        </w:r>
        <w:r>
          <w:fldChar w:fldCharType="separate"/>
        </w:r>
        <w:r>
          <w:t>52</w:t>
        </w:r>
        <w:r>
          <w:fldChar w:fldCharType="end"/>
        </w:r>
      </w:hyperlink>
    </w:p>
    <w:p>
      <w:pPr>
        <w:pStyle w:val="TOC2"/>
        <w:tabs>
          <w:tab w:val="right" w:leader="dot" w:pos="8306"/>
        </w:tabs>
      </w:pPr>
      <w:hyperlink w:anchor="_Toc10603" w:history="1">
        <w:r>
          <w:rPr>
            <w:rFonts w:ascii="仿宋" w:eastAsia="仿宋" w:hAnsi="仿宋" w:cs="仿宋" w:hint="eastAsia"/>
            <w:lang w:eastAsia="zh-CN"/>
          </w:rPr>
          <w:t>(二)、聚氨基双马来酰胺项目法律合规要求</w:t>
        </w:r>
        <w:r>
          <w:tab/>
        </w:r>
        <w:r>
          <w:fldChar w:fldCharType="begin"/>
        </w:r>
        <w:r>
          <w:instrText xml:space="preserve"> PAGEREF _Toc10603 \h </w:instrText>
        </w:r>
        <w:r>
          <w:fldChar w:fldCharType="separate"/>
        </w:r>
        <w:r>
          <w:t>56</w:t>
        </w:r>
        <w:r>
          <w:fldChar w:fldCharType="end"/>
        </w:r>
      </w:hyperlink>
    </w:p>
    <w:p>
      <w:pPr>
        <w:pStyle w:val="TOC2"/>
        <w:tabs>
          <w:tab w:val="right" w:leader="dot" w:pos="8306"/>
        </w:tabs>
      </w:pPr>
      <w:hyperlink w:anchor="_Toc5780" w:history="1">
        <w:r>
          <w:rPr>
            <w:rFonts w:ascii="仿宋" w:eastAsia="仿宋" w:hAnsi="仿宋" w:cs="仿宋" w:hint="eastAsia"/>
            <w:lang w:eastAsia="zh-CN"/>
          </w:rPr>
          <w:t>(三)、聚氨基双马来酰胺项目合同管理与法律事务</w:t>
        </w:r>
        <w:r>
          <w:tab/>
        </w:r>
        <w:r>
          <w:fldChar w:fldCharType="begin"/>
        </w:r>
        <w:r>
          <w:instrText xml:space="preserve"> PAGEREF _Toc5780 \h </w:instrText>
        </w:r>
        <w:r>
          <w:fldChar w:fldCharType="separate"/>
        </w:r>
        <w:r>
          <w:t>60</w:t>
        </w:r>
        <w:r>
          <w:fldChar w:fldCharType="end"/>
        </w:r>
      </w:hyperlink>
    </w:p>
    <w:p>
      <w:pPr>
        <w:pStyle w:val="TOC2"/>
        <w:tabs>
          <w:tab w:val="right" w:leader="dot" w:pos="8306"/>
        </w:tabs>
      </w:pPr>
      <w:hyperlink w:anchor="_Toc19136" w:history="1">
        <w:r>
          <w:rPr>
            <w:rFonts w:ascii="仿宋" w:eastAsia="仿宋" w:hAnsi="仿宋" w:cs="仿宋" w:hint="eastAsia"/>
            <w:lang w:eastAsia="zh-CN"/>
          </w:rPr>
          <w:t>(四)、聚氨基双马来酰胺项目知识产权保护策略</w:t>
        </w:r>
        <w:r>
          <w:tab/>
        </w:r>
        <w:r>
          <w:fldChar w:fldCharType="begin"/>
        </w:r>
        <w:r>
          <w:instrText xml:space="preserve"> PAGEREF _Toc19136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145"/>
      <w:r>
        <w:rPr>
          <w:rFonts w:ascii="仿宋" w:eastAsia="仿宋" w:hAnsi="仿宋" w:cs="仿宋" w:hint="eastAsia"/>
          <w:sz w:val="28"/>
          <w:lang w:eastAsia="zh-CN"/>
        </w:rPr>
        <w:t>一、聚氨基双马来酰胺项目建设背景及必要性分析</w:t>
      </w:r>
      <w:bookmarkEnd w:id="2"/>
    </w:p>
    <w:p>
      <w:pPr>
        <w:pStyle w:val="Heading2"/>
        <w:rPr>
          <w:rFonts w:ascii="仿宋" w:eastAsia="仿宋" w:hAnsi="仿宋" w:cs="仿宋" w:hint="eastAsia"/>
          <w:lang w:eastAsia="zh-CN"/>
        </w:rPr>
      </w:pPr>
      <w:bookmarkStart w:id="3" w:name="_Toc2105"/>
      <w:r>
        <w:rPr>
          <w:rFonts w:ascii="仿宋" w:eastAsia="仿宋" w:hAnsi="仿宋" w:cs="仿宋" w:hint="eastAsia"/>
          <w:lang w:eastAsia="zh-CN"/>
        </w:rPr>
        <w:t>(一)、聚氨基双马来酰胺项目背景分析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基双马来酰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氨基双马来酰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氨基双马来酰胺项目在这个潮流中的定位。同时，我们将关注行业内涌现的新兴机遇，以便聚氨基双马来酰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氨基双马来酰胺项目提供了强大的发展动力。我们将聚焦于行业内最新的技术发展趋势，包括但不限于人工智能、大数据分析、物联网等领域。通过深度的技术研究，我们将确保聚氨基双马来酰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氨基双马来酰胺项目发展的源泉。我们将投入更多的精力对市场需求进行深入剖析，超越表面的需求，深入挖掘潜在的市场痛点和机遇。通过对市场需求的细致了解，聚氨基双马来酰胺项目将更有针对性地设计解决方案，满足市场的多样化需求，从而更好地促进聚氨基双马来酰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氨基双马来酰胺项目战略至关重要。我们将对竞争态势进行更为深入的分析，包括但不限于市场份额、产品特点、客户满意度等多个维度。通过深度的竞争分析，聚氨基双马来酰胺项目将能够更准确地把握市场脉搏，制定具有竞争力的聚氨基双马来酰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氨基双马来酰胺项目的发展具有直接的影响。我们将进行更为全面的法规和政策分析，了解行业发展中的潜在法律风险和合规挑战。通过充分了解和遵守相关法规，聚氨基双马来酰胺项目将确保在法律框架内合法合规运营，为聚氨基双马来酰胺项目的稳健发展提供有力支持。</w:t>
      </w:r>
    </w:p>
    <w:p>
      <w:pPr>
        <w:pStyle w:val="Heading2"/>
        <w:ind w:firstLine="560" w:firstLineChars="200"/>
        <w:rPr>
          <w:rFonts w:ascii="仿宋" w:eastAsia="仿宋" w:hAnsi="仿宋" w:cs="仿宋" w:hint="eastAsia"/>
          <w:sz w:val="28"/>
          <w:lang w:eastAsia="zh-CN"/>
        </w:rPr>
      </w:pPr>
      <w:bookmarkStart w:id="4" w:name="_Toc30133"/>
      <w:r>
        <w:rPr>
          <w:rFonts w:ascii="仿宋" w:eastAsia="仿宋" w:hAnsi="仿宋" w:cs="仿宋" w:hint="eastAsia"/>
          <w:sz w:val="28"/>
          <w:lang w:eastAsia="zh-CN"/>
        </w:rPr>
        <w:t>(二)、聚氨基双马来酰胺项目建设必要性分析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基双马来酰胺项目建设的迫切性源于对行业发展趋势的深刻洞察。我们正处于一个行业变革的时代，科技创新、数字化转型成为企业发展的关键动力。聚氨基双马来酰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基双马来酰胺项目建设不仅仅是为了跟上潮流，更是为了通过技术创新推动企业的持续发展。通过引入先进的技术和解决方案，聚氨基双马来酰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氨基双马来酰胺项目的建设成为必然选择，通过提高产品质量、拓展服务领域，从而在竞争中获得更多的机会。聚氨基双马来酰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氨基双马来酰胺项目建设的必要性体现在对客户需求更精准的满足。通过聚氨基双马来酰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基双马来酰胺项目建设的背后是对企业持续创新的追求。只有通过不断创新，企业才能在竞争中立于不败之地。聚氨基双马来酰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32"/>
      <w:r>
        <w:rPr>
          <w:rFonts w:ascii="仿宋" w:eastAsia="仿宋" w:hAnsi="仿宋" w:cs="仿宋" w:hint="eastAsia"/>
          <w:sz w:val="28"/>
          <w:lang w:eastAsia="zh-CN"/>
        </w:rPr>
        <w:t>二、聚氨基双马来酰胺项目危机管理</w:t>
      </w:r>
      <w:bookmarkEnd w:id="5"/>
    </w:p>
    <w:p>
      <w:pPr>
        <w:pStyle w:val="Heading2"/>
        <w:rPr>
          <w:rFonts w:ascii="仿宋" w:eastAsia="仿宋" w:hAnsi="仿宋" w:cs="仿宋" w:hint="eastAsia"/>
          <w:lang w:eastAsia="zh-CN"/>
        </w:rPr>
      </w:pPr>
      <w:bookmarkStart w:id="6" w:name="_Toc623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氨基双马来酰胺项目危机管理中，危机预警与识别是确保聚氨基双马来酰胺项目稳健运行的核心步骤。通过建立全面的监测机制，聚氨基双马来酰胺项目团队旨在及时发现和理解潜在的风险和危机因素，以便采取及时的预防和应对措施，确保聚氨基双马来酰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氨基双马来酰胺项目团队全面分析了整个聚氨基双马来酰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氨基双马来酰胺项目团队着重于明确定义聚氨基双马来酰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氨基双马来酰胺项目进展的持续监控，团队能够及时发现潜在问题并作出迅速反应。聚氨基双马来酰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在这一阶段，团队的专业素养和反应速度将发挥至关重要的作用，以确保潜在危机能够在初期得到有效的处理，最大程度地减轻负面影响。通过危机预警与识别，聚氨基双马来酰胺项目得以更有序、可控地推进。</w:t>
      </w:r>
    </w:p>
    <w:p>
      <w:pPr>
        <w:pStyle w:val="Heading2"/>
        <w:ind w:firstLine="560" w:firstLineChars="200"/>
        <w:rPr>
          <w:rFonts w:ascii="仿宋" w:eastAsia="仿宋" w:hAnsi="仿宋" w:cs="仿宋" w:hint="eastAsia"/>
          <w:sz w:val="28"/>
          <w:lang w:eastAsia="zh-CN"/>
        </w:rPr>
      </w:pPr>
      <w:bookmarkStart w:id="7" w:name="_Toc203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在危机发生时，聚氨基双马来酰胺项目团队立即行动，成立了应急小组。该小组的任务是迅速制定并实施紧急应对措施，以最小化潜在损失。以下是采取的主要措施：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暂停聚氨基双马来酰胺项目进度：为遏制危机蔓延，聚氨基双马来酰胺项目暂时停止进行，以便全面评估当前状况。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资源重新分配：重新评估聚氨基双马来酰胺项目资源的分配，确保最大限度地减小损失。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实时沟通：与关键利益相关者建立实时沟通机制，向他们传递聚氨基双马来酰胺项目危机的实际状况，保障聚氨基双马来酰胺项目核心利益。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在紧急应对的同时，聚氨基双马来酰胺项目团队强调了团队协作和有效沟通的重要性。以下是团队协作的关键举措：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信息共享机制：建立了信息共享平台，确保团队成员能够及时获取聚氨基双马来酰胺项目危机的实时信息。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领导者沟通：聚氨基双马来酰胺项目领导者通过定期会议和即时沟通工具，指导团队应对危机，保持团队稳定运行。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随着危机得到初步控制，聚氨基双马来酰胺项目团队转向制定恢复计划，以确保聚氨基双马来酰胺项目能够从中迅速恢复。主要恢复计划包括：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修复受损的进度计划：重新评估聚氨基双马来酰胺项目进度，制定修复计划，确保聚氨基双马来酰胺项目尽快回归正常进程。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重新调整资源分配：优化资源分配，确保聚氨基双马来酰胺项目在有限资源下高效运转。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风险管理机制加强：对聚氨基双马来酰胺项目风险进行全面评估，制定更强化的风险管理策略，以预防未来可能的危机。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827"/>
      <w:r>
        <w:rPr>
          <w:rFonts w:ascii="仿宋" w:eastAsia="仿宋" w:hAnsi="仿宋" w:cs="仿宋" w:hint="eastAsia"/>
          <w:sz w:val="28"/>
          <w:lang w:eastAsia="zh-CN"/>
        </w:rPr>
        <w:t>三、聚氨基双马来酰胺项目选址可行性分析</w:t>
      </w:r>
      <w:bookmarkEnd w:id="8"/>
    </w:p>
    <w:p>
      <w:pPr>
        <w:pStyle w:val="Heading2"/>
        <w:rPr>
          <w:rFonts w:ascii="仿宋" w:eastAsia="仿宋" w:hAnsi="仿宋" w:cs="仿宋" w:hint="eastAsia"/>
          <w:lang w:eastAsia="zh-CN"/>
        </w:rPr>
      </w:pPr>
      <w:bookmarkStart w:id="9" w:name="_Toc30883"/>
      <w:r>
        <w:rPr>
          <w:rFonts w:ascii="仿宋" w:eastAsia="仿宋" w:hAnsi="仿宋" w:cs="仿宋" w:hint="eastAsia"/>
          <w:lang w:eastAsia="zh-CN"/>
        </w:rPr>
        <w:t>(一)、聚氨基双马来酰胺项目选址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该聚氨基双马来酰胺项目选址位于XX省XX市XX区XXX街道</w:t>
      </w:r>
    </w:p>
    <w:p>
      <w:pPr>
        <w:pStyle w:val="Heading2"/>
        <w:ind w:firstLine="560" w:firstLineChars="200"/>
        <w:rPr>
          <w:rFonts w:ascii="仿宋" w:eastAsia="仿宋" w:hAnsi="仿宋" w:cs="仿宋" w:hint="eastAsia"/>
          <w:sz w:val="28"/>
          <w:lang w:eastAsia="zh-CN"/>
        </w:rPr>
      </w:pPr>
      <w:bookmarkStart w:id="10" w:name="_Toc528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氨基双马来酰胺项目的征地面积将根据聚氨基双马来酰胺项目的实际规模和需求进行精确规划。具体面积XXX平方米，旨在确保聚氨基双马来酰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净用地面积是在征地面积基础上去除不可利用面积后的实际可开发用地。具体面积XXX平方米，考虑到环保、交通、安全等多方面因素，以确保聚氨基双马来酰胺项目在整体利用效率上达到最优。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聚氨基双马来酰胺项目计划建设的建筑总规模具体面积XXX平方米。这一规模的确定综合考虑了聚氨基双马来酰胺项目的性质、规模，以及城市规划的相关要求，确保建筑布局与周边环境协调一致。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绿地率是聚氨基双马来酰胺项目用地中被规划为绿地的比例。具体面积XXX平方米，旨在通过合理规划绿地，改善聚氨基双马来酰胺项目周边环境，提升居民生活质量，并符合城市整体绿化规划。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容积率是用地上可以建设的建筑总体积与用地面积之比。具体面积XXX，通过合理的容积率规划，确保聚氨基双马来酰胺项目建筑规模与周边环境和谐共生。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氨基双马来酰胺项目选址与当地城市规划相一致，具体面积XXX平方米。通过与城市规划部门深入沟通，确保聚氨基双马来酰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氨基双马来酰胺项目选址符合当地产业政策，具体面积XXX平方米。这包括聚氨基双马来酰胺项目对当地经济的促进作用，以及对相关产业的带动效应，确保聚氨基双马来酰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用地总体要求必须符合环保和可持续发展的原则，具体面积XXX平方米。通过采用绿色建筑设计、节能减排等措施，确保聚氨基双马来酰胺项目在建设和运营过程中对环境的影响最小化，达到可持续发展的要求。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确保聚氨基双马来酰胺项目选址具备必要的公共设施配套，具体面积XXX平方米。这包括交通便利性、教育、医疗等基础设施，以提高居民生活品质，使得聚氨基双马来酰胺项目选址更具吸引力。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考虑用地总体要求对当地社会稳定性的影响，具体面积XXX平方米。通过深入了解当地社区反馈，确保聚氨基双马来酰胺项目的选址和建设过程对当地社会和谐稳定产生积极作用。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氨基双马来酰胺项目选址不仅符合法规和规划，还在实际操作中具有可行性。这一全面规划将为聚氨基双马来酰胺项目的成功实施提供坚实的基础，确保聚氨基双马来酰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基双马来酰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聚氨基双马来酰胺项目的设备规划和空间设计中，我们将采取灵活设备布局的措施。设备布局将根据实际需求进行灵活设计，避免不必要的浪费。通过合理规划设备摆放位置，我们将提高设备的利用率，减少设备间距，以确保聚氨基双马来酰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氨基双马来酰胺项目内部引入共享设施的概念，例如共享会议室、办公区等。通过这种方式，我们可以减少对资源的重复建设，提高资源共享效率，从而减小聚氨基双马来酰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46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氨基双马来酰胺项目的总图布置中，我们将不同功能区域进行明确的规划，以最大程度满足聚氨基双马来酰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氨基双马来酰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聚氨基双马来酰胺项目对环境的影响是综合评价的重要因素之一。我们将详细考虑选址周边的自然环境、生态保护区、水源地等情况，确保聚氨基双马来酰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对选址的评价还需充分考虑当地政府的产业政策和法规。我们将详细了解聚氨基双马来酰胺项目所在地的相关政策，确保聚氨基双马来酰胺项目的规划和运营与当地法规相符，降低不必要的法律风险。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考虑到社会稳定性对企业运营的重要性，我们将评估选址地区的社会安全情况、劳工关系、社区反馈等方面，以确保聚氨基双马来酰胺项目的建设和运营不会受到社会稳定性的负面影响。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最后，我们将综合考虑用地成本，包括土地购置费用、土地开发成本等。通过对用地成本的详细评估，我们能够做出更为精确的经济效益分析，为聚氨基双马来酰胺项目的投资决策提供有力支持。</w:t>
      </w:r>
    </w:p>
    <w:p>
      <w:pPr>
        <w:pStyle w:val="Heading1"/>
        <w:ind w:firstLine="560" w:firstLineChars="200"/>
        <w:rPr>
          <w:rFonts w:ascii="仿宋" w:eastAsia="仿宋" w:hAnsi="仿宋" w:cs="仿宋" w:hint="eastAsia"/>
          <w:sz w:val="28"/>
          <w:lang w:eastAsia="zh-CN"/>
        </w:rPr>
      </w:pPr>
      <w:bookmarkStart w:id="14" w:name="_Toc498"/>
      <w:r>
        <w:rPr>
          <w:rFonts w:ascii="仿宋" w:eastAsia="仿宋" w:hAnsi="仿宋" w:cs="仿宋" w:hint="eastAsia"/>
          <w:sz w:val="28"/>
          <w:lang w:eastAsia="zh-CN"/>
        </w:rPr>
        <w:t>四、聚氨基双马来酰胺项目建设单位说明</w:t>
      </w:r>
      <w:bookmarkEnd w:id="14"/>
    </w:p>
    <w:p>
      <w:pPr>
        <w:pStyle w:val="Heading2"/>
        <w:rPr>
          <w:rFonts w:ascii="仿宋" w:eastAsia="仿宋" w:hAnsi="仿宋" w:cs="仿宋" w:hint="eastAsia"/>
          <w:lang w:eastAsia="zh-CN"/>
        </w:rPr>
      </w:pPr>
      <w:bookmarkStart w:id="15" w:name="_Toc13354"/>
      <w:r>
        <w:rPr>
          <w:rFonts w:ascii="仿宋" w:eastAsia="仿宋" w:hAnsi="仿宋" w:cs="仿宋" w:hint="eastAsia"/>
          <w:lang w:eastAsia="zh-CN"/>
        </w:rPr>
        <w:t>(一)、聚氨基双马来酰胺项目承办单位基本情况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57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氨基双马来酰胺项目承办单位的XXXX，我们着眼于实现可持续的经济效益。通过技术创新和解决方案的提供，公司预计在聚氨基双马来酰胺项目执行期间将获得可观的收入增长。这一收入来源主要包括聚氨基双马来酰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同时，我们注重成本控制和效率提升，以确保聚氨基双马来酰胺项目的可持续盈利。透过精细的管理和资源优化，公司期望实现聚氨基双马来酰胺项目利润最大化。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氨基双马来酰胺项目实施进行全面的投资评估，包括聚氨基双马来酰胺项目启动阶段的资金投入和后续运营成本。通过对聚氨基双马来酰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氨基双马来酰胺项目实施过程中具备足够的资金流动性，公司将进行详尽的现金流分析。这包括资金需求的合理预测、聚氨基双马来酰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453"/>
      <w:r>
        <w:rPr>
          <w:rFonts w:ascii="仿宋" w:eastAsia="仿宋" w:hAnsi="仿宋" w:cs="仿宋" w:hint="eastAsia"/>
          <w:sz w:val="28"/>
          <w:lang w:eastAsia="zh-CN"/>
        </w:rPr>
        <w:t>五、聚氨基双马来酰胺项目可持续发展</w:t>
      </w:r>
      <w:bookmarkEnd w:id="17"/>
    </w:p>
    <w:p>
      <w:pPr>
        <w:pStyle w:val="Heading2"/>
        <w:rPr>
          <w:rFonts w:ascii="仿宋" w:eastAsia="仿宋" w:hAnsi="仿宋" w:cs="仿宋" w:hint="eastAsia"/>
          <w:lang w:eastAsia="zh-CN"/>
        </w:rPr>
      </w:pPr>
      <w:bookmarkStart w:id="18" w:name="_Toc2218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基双马来酰胺项目中，聚氨基双马来酰胺项目团队着眼于未来，明确了可持续发展的战略方向。制定的具体可持续发展目标包括降低资源使用、采用环保技术、最大化社会效益等。这一步骤不仅有助于聚氨基双马来酰胺项目在环保和社会责任方面达到最高标准，也为未来提供了明确的指引，确保聚氨基双马来酰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可持续实践的融入聚氨基双马来酰胺项目管理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氨基双马来酰胺项目管理周期。从聚氨基双马来酰胺项目规划开始，聚氨基双马来酰胺项目团队就考虑了环境和社会的因素。在执行阶段，聚氨基双马来酰胺项目团队积极推动绿色技术的应用，优化资源利用。此外，关注员工的社会责任，通过培训和沟通活动提高员工对可持续发展的认知，使他们能够在日常工作中践行可持续实践。这些举措不仅为聚氨基双马来酰胺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https://d.book118.com/287111015006006054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聚氨基双马来酰胺项目规划设计纲要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C75EB"/>
    <w:rsid w:val="57FC75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1101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2024-03-03T20:47:00Z</dcterms:created>
  <dcterms:modified xsi:type="dcterms:W3CDTF">2024-03-03T20:47:31Z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09CE9A5E16A94649963FE22D71DC7526_11</vt:lpwstr>
  </property>
  <property fmtid="{D5CDD505-2E9C-101B-9397-08002B2CF9AE}" pid="3" name="KSOProductBuildVer">
    <vt:lpwstr>2052-12.1.0.16388</vt:lpwstr>
  </property>
</Properties>
</file>