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5"/>
        </w:rPr>
      </w:pPr>
    </w:p>
    <w:p>
      <w:pPr>
        <w:pStyle w:val="Heading1"/>
        <w:spacing w:before="6" w:line="240" w:lineRule="auto"/>
        <w:ind w:left="1424" w:right="3386"/>
        <w:jc w:val="center"/>
        <w:rPr>
          <w:rFonts w:ascii="黑体" w:eastAsia="黑体" w:hint="eastAsia"/>
        </w:rPr>
      </w:pPr>
      <w:bookmarkStart w:id="0" w:name="_TOC_250039"/>
      <w:bookmarkEnd w:id="0"/>
      <w:r>
        <w:rPr>
          <w:rFonts w:ascii="黑体" w:eastAsia="黑体" w:hint="eastAsia"/>
          <w:spacing w:val="109"/>
        </w:rPr>
        <w:t>前 言</w:t>
      </w:r>
    </w:p>
    <w:p>
      <w:pPr>
        <w:pStyle w:val="BodyText"/>
        <w:spacing w:before="12"/>
        <w:rPr>
          <w:rFonts w:ascii="黑体"/>
          <w:b/>
          <w:sz w:val="55"/>
        </w:rPr>
      </w:pPr>
    </w:p>
    <w:p>
      <w:pPr>
        <w:pStyle w:val="BodyText"/>
        <w:ind w:left="1007"/>
      </w:pPr>
      <w:r>
        <w:t>拟建工程〔帝斯曼国际中心〕</w:t>
      </w:r>
      <w:r>
        <w:rPr>
          <w:spacing w:val="-1"/>
        </w:rPr>
        <w:t xml:space="preserve">位于湖北省武汉市武昌区武珞路 </w:t>
      </w:r>
      <w:r>
        <w:t>421</w:t>
      </w:r>
      <w:r>
        <w:rPr>
          <w:spacing w:val="14"/>
        </w:rPr>
        <w:t xml:space="preserve"> 号</w:t>
      </w:r>
    </w:p>
    <w:p>
      <w:pPr>
        <w:pStyle w:val="BodyText"/>
        <w:spacing w:before="162" w:line="290" w:lineRule="auto"/>
        <w:ind w:left="168" w:right="2045"/>
      </w:pPr>
      <w:r>
        <w:rPr>
          <w:w w:val="100"/>
        </w:rPr>
        <w:t>〔长江大道</w:t>
      </w:r>
      <w:r>
        <w:rPr>
          <w:spacing w:val="-217"/>
          <w:w w:val="100"/>
        </w:rPr>
        <w:t>〕</w:t>
      </w:r>
      <w:r>
        <w:rPr>
          <w:spacing w:val="-1"/>
          <w:w w:val="100"/>
        </w:rPr>
        <w:t>，属城内区掌握性规划的居住用地。占地呈不规章多边形，</w:t>
      </w:r>
      <w:r>
        <w:rPr>
          <w:spacing w:val="-9"/>
        </w:rPr>
        <w:t xml:space="preserve">东西长 </w:t>
      </w:r>
      <w:r>
        <w:rPr>
          <w:color w:val="FF0000"/>
          <w:spacing w:val="-2"/>
        </w:rPr>
        <w:t>220</w:t>
      </w:r>
      <w:r>
        <w:rPr>
          <w:spacing w:val="-2"/>
        </w:rPr>
        <w:t>m</w:t>
      </w:r>
      <w:r>
        <w:rPr>
          <w:spacing w:val="-8"/>
        </w:rPr>
        <w:t xml:space="preserve">，南北宽 </w:t>
      </w:r>
      <w:r>
        <w:rPr>
          <w:color w:val="FF0000"/>
          <w:spacing w:val="-2"/>
        </w:rPr>
        <w:t>150</w:t>
      </w:r>
      <w:r>
        <w:rPr>
          <w:spacing w:val="-2"/>
        </w:rPr>
        <w:t>m</w:t>
      </w:r>
      <w:r>
        <w:rPr>
          <w:spacing w:val="-13"/>
        </w:rPr>
        <w:t>，北高南低。东侧靠中国建设银行大楼，南侧</w:t>
      </w:r>
      <w:r>
        <w:rPr>
          <w:w w:val="100"/>
        </w:rPr>
        <w:t>靠规划的武昌武珞路大道〔长江大道</w:t>
      </w:r>
      <w:r>
        <w:rPr>
          <w:spacing w:val="-245"/>
          <w:w w:val="100"/>
        </w:rPr>
        <w:t>〕</w:t>
      </w:r>
      <w:r>
        <w:rPr>
          <w:w w:val="100"/>
        </w:rPr>
        <w:t>，西侧靠武昌五月花大酒店，北侧靠</w:t>
      </w:r>
      <w:r>
        <w:t>武珞路中学，武汉幼师学校。征地范围内原有是武汉机械厅，无成片林地及大型树木、古树，植被稀疏。</w:t>
      </w:r>
    </w:p>
    <w:p>
      <w:pPr>
        <w:pStyle w:val="BodyText"/>
        <w:spacing w:line="290" w:lineRule="auto"/>
        <w:ind w:left="168" w:right="2110" w:firstLine="838"/>
        <w:jc w:val="both"/>
      </w:pPr>
      <w:r>
        <w:rPr>
          <w:spacing w:val="-3"/>
        </w:rPr>
        <w:t xml:space="preserve">拟建工程总投资为 </w:t>
      </w:r>
      <w:r>
        <w:t>10.00</w:t>
      </w:r>
      <w:r>
        <w:rPr>
          <w:spacing w:val="-6"/>
        </w:rPr>
        <w:t xml:space="preserve"> 亿元，占地面积 </w:t>
      </w:r>
      <w:r>
        <w:t>8619.26m</w:t>
      </w:r>
      <w:r>
        <w:rPr>
          <w:vertAlign w:val="subscript"/>
        </w:rPr>
        <w:t>2</w:t>
      </w:r>
      <w:r>
        <w:rPr>
          <w:vertAlign w:val="baseline"/>
        </w:rPr>
        <w:t>，帝斯曼国际中</w:t>
      </w:r>
      <w:r>
        <w:rPr>
          <w:spacing w:val="-4"/>
          <w:vertAlign w:val="baseline"/>
        </w:rPr>
        <w:t xml:space="preserve">心用地总面积 </w:t>
      </w:r>
      <w:r>
        <w:rPr>
          <w:vertAlign w:val="baseline"/>
        </w:rPr>
        <w:t>21404.96m</w:t>
      </w:r>
      <w:r>
        <w:rPr>
          <w:vertAlign w:val="subscript"/>
        </w:rPr>
        <w:t>2</w:t>
      </w:r>
      <w:r>
        <w:rPr>
          <w:spacing w:val="9"/>
          <w:vertAlign w:val="baseline"/>
        </w:rPr>
        <w:t>，总建筑面积</w:t>
      </w:r>
      <w:r>
        <w:rPr>
          <w:vertAlign w:val="baseline"/>
        </w:rPr>
        <w:t>225355.38m</w:t>
      </w:r>
      <w:r>
        <w:rPr>
          <w:vertAlign w:val="subscript"/>
        </w:rPr>
        <w:t>2</w:t>
      </w:r>
      <w:r>
        <w:rPr>
          <w:spacing w:val="20"/>
          <w:vertAlign w:val="baseline"/>
        </w:rPr>
        <w:t>，地上</w:t>
      </w:r>
      <w:r>
        <w:rPr>
          <w:vertAlign w:val="baseline"/>
        </w:rPr>
        <w:t>154059.33</w:t>
      </w:r>
      <w:r>
        <w:rPr>
          <w:spacing w:val="-122"/>
          <w:vertAlign w:val="baseline"/>
        </w:rPr>
        <w:t xml:space="preserve"> </w:t>
      </w:r>
      <w:r>
        <w:rPr>
          <w:spacing w:val="-1"/>
          <w:vertAlign w:val="baseline"/>
        </w:rPr>
        <w:t>m</w:t>
      </w:r>
      <w:r>
        <w:rPr>
          <w:spacing w:val="-1"/>
          <w:vertAlign w:val="subscript"/>
        </w:rPr>
        <w:t>2</w:t>
      </w:r>
      <w:r>
        <w:rPr>
          <w:spacing w:val="-6"/>
          <w:vertAlign w:val="baseline"/>
        </w:rPr>
        <w:t xml:space="preserve">，地下室 </w:t>
      </w:r>
      <w:r>
        <w:rPr>
          <w:vertAlign w:val="baseline"/>
        </w:rPr>
        <w:t>71296.05 m</w:t>
      </w:r>
      <w:r>
        <w:rPr>
          <w:vertAlign w:val="subscript"/>
        </w:rPr>
        <w:t>2</w:t>
      </w:r>
      <w:r>
        <w:rPr>
          <w:vertAlign w:val="baseline"/>
        </w:rPr>
        <w:t>〔</w:t>
      </w:r>
      <w:r>
        <w:rPr>
          <w:spacing w:val="-4"/>
          <w:vertAlign w:val="baseline"/>
        </w:rPr>
        <w:t xml:space="preserve">其中：住宅建筑面积 </w:t>
      </w:r>
      <w:r>
        <w:rPr>
          <w:vertAlign w:val="baseline"/>
        </w:rPr>
        <w:t>63502.95m</w:t>
      </w:r>
      <w:r>
        <w:rPr>
          <w:vertAlign w:val="subscript"/>
        </w:rPr>
        <w:t>2</w:t>
      </w:r>
      <w:r>
        <w:rPr>
          <w:vertAlign w:val="baseline"/>
        </w:rPr>
        <w:t>，金融商业</w:t>
      </w:r>
      <w:r>
        <w:rPr>
          <w:spacing w:val="-9"/>
          <w:vertAlign w:val="baseline"/>
        </w:rPr>
        <w:t xml:space="preserve">总建筑面积 </w:t>
      </w:r>
      <w:r>
        <w:rPr>
          <w:spacing w:val="-5"/>
          <w:vertAlign w:val="baseline"/>
        </w:rPr>
        <w:t>89690.38m</w:t>
      </w:r>
      <w:r>
        <w:rPr>
          <w:spacing w:val="-5"/>
          <w:vertAlign w:val="subscript"/>
        </w:rPr>
        <w:t>2</w:t>
      </w:r>
      <w:r>
        <w:rPr>
          <w:spacing w:val="-9"/>
          <w:vertAlign w:val="baseline"/>
        </w:rPr>
        <w:t xml:space="preserve">，开闭所 </w:t>
      </w:r>
      <w:r>
        <w:rPr>
          <w:spacing w:val="-4"/>
          <w:vertAlign w:val="baseline"/>
        </w:rPr>
        <w:t>217m</w:t>
      </w:r>
      <w:r>
        <w:rPr>
          <w:spacing w:val="-4"/>
          <w:vertAlign w:val="subscript"/>
        </w:rPr>
        <w:t>2</w:t>
      </w:r>
      <w:r>
        <w:rPr>
          <w:spacing w:val="-9"/>
          <w:vertAlign w:val="baseline"/>
        </w:rPr>
        <w:t xml:space="preserve">，车库位 </w:t>
      </w:r>
      <w:r>
        <w:rPr>
          <w:spacing w:val="-4"/>
          <w:vertAlign w:val="baseline"/>
        </w:rPr>
        <w:t>1359</w:t>
      </w:r>
      <w:r>
        <w:rPr>
          <w:spacing w:val="-20"/>
          <w:vertAlign w:val="baseline"/>
        </w:rPr>
        <w:t xml:space="preserve"> 个，社区用房 </w:t>
      </w:r>
      <w:r>
        <w:rPr>
          <w:spacing w:val="-4"/>
          <w:vertAlign w:val="baseline"/>
        </w:rPr>
        <w:t>320</w:t>
      </w:r>
      <w:r>
        <w:rPr>
          <w:spacing w:val="-121"/>
          <w:vertAlign w:val="baseline"/>
        </w:rPr>
        <w:t xml:space="preserve"> </w:t>
      </w:r>
      <w:r>
        <w:rPr>
          <w:spacing w:val="1"/>
          <w:w w:val="100"/>
          <w:vertAlign w:val="baseline"/>
        </w:rPr>
        <w:t>m</w:t>
      </w:r>
      <w:r>
        <w:rPr>
          <w:vertAlign w:val="subscript"/>
        </w:rPr>
        <w:t>2</w:t>
      </w:r>
      <w:r>
        <w:rPr>
          <w:spacing w:val="-15"/>
          <w:vertAlign w:val="baseline"/>
        </w:rPr>
        <w:t xml:space="preserve">  </w:t>
      </w:r>
      <w:r>
        <w:rPr>
          <w:w w:val="100"/>
          <w:vertAlign w:val="baseline"/>
        </w:rPr>
        <w:t>，物业用房</w:t>
      </w:r>
      <w:r>
        <w:rPr>
          <w:spacing w:val="-4"/>
          <w:vertAlign w:val="baseline"/>
        </w:rPr>
        <w:t xml:space="preserve">  </w:t>
      </w:r>
      <w:r>
        <w:rPr>
          <w:spacing w:val="-1"/>
          <w:w w:val="100"/>
          <w:vertAlign w:val="baseline"/>
        </w:rPr>
        <w:t>320m</w:t>
      </w:r>
      <w:r>
        <w:rPr>
          <w:spacing w:val="3"/>
          <w:vertAlign w:val="subscript"/>
        </w:rPr>
        <w:t>2</w:t>
      </w:r>
      <w:r>
        <w:rPr>
          <w:spacing w:val="-202"/>
          <w:w w:val="100"/>
          <w:vertAlign w:val="baseline"/>
        </w:rPr>
        <w:t>〕</w:t>
      </w:r>
      <w:r>
        <w:rPr>
          <w:w w:val="100"/>
          <w:vertAlign w:val="baseline"/>
        </w:rPr>
        <w:t>。其选址已经武汉市规划局鄂规设</w:t>
      </w:r>
      <w:r>
        <w:rPr>
          <w:spacing w:val="-23"/>
          <w:vertAlign w:val="baseline"/>
        </w:rPr>
        <w:t xml:space="preserve"> </w:t>
      </w:r>
      <w:r>
        <w:rPr>
          <w:spacing w:val="-1"/>
          <w:w w:val="100"/>
          <w:vertAlign w:val="baseline"/>
        </w:rPr>
        <w:t>[2023</w:t>
      </w:r>
      <w:r>
        <w:rPr>
          <w:spacing w:val="2"/>
          <w:w w:val="100"/>
          <w:vertAlign w:val="baseline"/>
        </w:rPr>
        <w:t xml:space="preserve">]鄂字第 </w:t>
      </w:r>
      <w:r>
        <w:rPr>
          <w:vertAlign w:val="baseline"/>
        </w:rPr>
        <w:t>0050</w:t>
      </w:r>
      <w:r>
        <w:rPr>
          <w:spacing w:val="-3"/>
          <w:vertAlign w:val="baseline"/>
        </w:rPr>
        <w:t xml:space="preserve"> 号文批准，工程建设符合武汉市城市总体规划和武昌区城市规划。</w:t>
      </w:r>
    </w:p>
    <w:p>
      <w:pPr>
        <w:pStyle w:val="BodyText"/>
        <w:spacing w:line="290" w:lineRule="auto"/>
        <w:ind w:left="168" w:right="1895" w:firstLine="838"/>
      </w:pPr>
      <w:r>
        <w:pict>
          <v:group id="_x0000_s1025" style="width:682pt;height:39.2pt;margin-top:145.88pt;margin-left:106pt;mso-position-horizontal-relative:page;mso-wrap-distance-left:0;mso-wrap-distance-right:0;position:absolute;z-index:-251657216" coordorigin="2120,2918" coordsize="13640,78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width:13640;height:740;left:2120;position:absolute;top:2961" stroked="f">
              <v:imagedata r:id="rId4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width:13640;height:784;left:2120;position:absolute;top:2917" filled="f" stroked="f">
              <v:textbox inset="0,0,0,0">
                <w:txbxContent>
                  <w:p>
                    <w:pPr>
                      <w:spacing w:before="0" w:line="666" w:lineRule="exact"/>
                      <w:ind w:left="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托付我所担当帝斯曼国际中心水土保持方案报告书，承受托付后，我所即</w:t>
                    </w:r>
                  </w:p>
                </w:txbxContent>
              </v:textbox>
            </v:shape>
            <w10:wrap type="topAndBottom"/>
          </v:group>
        </w:pict>
      </w:r>
      <w:r>
        <w:pict>
          <v:group id="_x0000_s1028" style="width:682pt;height:39.4pt;margin-top:192.68pt;margin-left:106pt;mso-position-horizontal-relative:page;mso-wrap-distance-left:0;mso-wrap-distance-right:0;position:absolute;z-index:-251656192" coordorigin="2120,3854" coordsize="13640,788">
            <v:shape id="_x0000_s1029" type="#_x0000_t75" style="width:13640;height:740;left:2120;position:absolute;top:3901" stroked="f">
              <v:imagedata r:id="rId4" o:title=""/>
            </v:shape>
            <v:shape id="_x0000_s1030" type="#_x0000_t202" style="width:13640;height:788;left:2120;position:absolute;top:3853" filled="f" stroked="f">
              <v:textbox inset="0,0,0,0">
                <w:txbxContent>
                  <w:p>
                    <w:pPr>
                      <w:spacing w:before="0" w:line="666" w:lineRule="exact"/>
                      <w:ind w:left="8" w:right="0" w:firstLine="0"/>
                      <w:jc w:val="left"/>
                      <w:rPr>
                        <w:sz w:val="42"/>
                      </w:rPr>
                    </w:pPr>
                    <w:r>
                      <w:rPr>
                        <w:sz w:val="42"/>
                      </w:rPr>
                      <w:t>派出工程技术人员深入现场踏勘，收集有关资料，对工程的建设方案进展</w:t>
                    </w:r>
                  </w:p>
                </w:txbxContent>
              </v:textbox>
            </v:shape>
            <w10:wrap type="topAndBottom"/>
          </v:group>
        </w:pict>
      </w: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6515100</wp:posOffset>
            </wp:positionH>
            <wp:positionV relativeFrom="paragraph">
              <wp:posOffset>1296115</wp:posOffset>
            </wp:positionV>
            <wp:extent cx="3492500" cy="457200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/>
                  </pic:nvPicPr>
                  <pic:blipFill>
                    <a:blip xmlns:r="http://schemas.openxmlformats.org/officeDocument/2006/relationships"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工程在开发建设过程中，扰动地表，破坏地表植被，成倍增加水土流失量，遵照《中华人民共和国水土保持法</w:t>
      </w:r>
      <w:r>
        <w:rPr>
          <w:spacing w:val="-35"/>
        </w:rPr>
        <w:t>》、《建设工程环境保护治理条例》</w:t>
      </w:r>
      <w:r>
        <w:t>及《开发建设工程水土保持方案治理方法</w:t>
      </w:r>
      <w:r>
        <w:rPr>
          <w:spacing w:val="-21"/>
        </w:rPr>
        <w:t>》，丰泰置业房地产开发</w:t>
      </w:r>
    </w:p>
    <w:p>
      <w:pPr>
        <w:pStyle w:val="BodyText"/>
        <w:spacing w:before="10"/>
        <w:rPr>
          <w:sz w:val="4"/>
        </w:rPr>
      </w:pPr>
    </w:p>
    <w:p>
      <w:pPr>
        <w:pStyle w:val="BodyText"/>
        <w:spacing w:before="11" w:line="290" w:lineRule="auto"/>
        <w:ind w:left="168" w:right="2059"/>
        <w:jc w:val="both"/>
      </w:pPr>
      <w:r>
        <w:t>分析，结合《帝斯曼国际中心工程可行性争论报告书》编制完成了《帝斯曼国际中心工程水土保持方案报告书</w:t>
      </w:r>
      <w:r>
        <w:rPr>
          <w:spacing w:val="-17"/>
        </w:rPr>
        <w:t>》。考虑本工程属武昌区区域性水土保</w:t>
      </w:r>
      <w:r>
        <w:t>持工程，因此本次水土保持方案的重点在于对工程施工和工程自身所实行</w:t>
      </w:r>
    </w:p>
    <w:p>
      <w:pPr>
        <w:spacing w:after="0" w:line="290" w:lineRule="auto"/>
        <w:jc w:val="both"/>
        <w:sectPr>
          <w:headerReference w:type="default" r:id="rId6"/>
          <w:footerReference w:type="default" r:id="rId7"/>
          <w:type w:val="continuous"/>
          <w:pgSz w:w="17860" w:h="25260"/>
          <w:pgMar w:top="1320" w:right="0" w:bottom="1560" w:left="1960" w:header="1121" w:footer="1378"/>
          <w:cols w:space="708"/>
        </w:sectPr>
      </w:pPr>
    </w:p>
    <w:p>
      <w:pPr>
        <w:pStyle w:val="BodyText"/>
        <w:spacing w:before="11"/>
        <w:rPr>
          <w:sz w:val="24"/>
        </w:rPr>
      </w:pPr>
    </w:p>
    <w:p>
      <w:pPr>
        <w:pStyle w:val="BodyText"/>
        <w:spacing w:line="766" w:lineRule="exact"/>
        <w:ind w:left="168"/>
      </w:pPr>
      <w:r>
        <w:t>的防治水土流失措施的设计和论证。</w:t>
      </w:r>
    </w:p>
    <w:p>
      <w:pPr>
        <w:pStyle w:val="BodyText"/>
        <w:spacing w:before="162" w:line="290" w:lineRule="auto"/>
        <w:ind w:left="168" w:right="2250" w:firstLine="838"/>
        <w:jc w:val="both"/>
      </w:pPr>
      <w:r>
        <w:t>在本方案的编制过程中，得到了武昌区农机水利局、武汉丰泰房地产开发等单位大力支持和帮助协作，谨此表示感谢！对报告中缺乏之处，敬请各位领导及专家批判指正。</w:t>
      </w:r>
    </w:p>
    <w:p>
      <w:pPr>
        <w:spacing w:after="0" w:line="290" w:lineRule="auto"/>
        <w:jc w:val="both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https://d.book118.com/287114040041006025</w:t>
        </w:r>
      </w:hyperlink>
    </w:p>
    <w:p>
      <w:pPr>
        <w:spacing w:after="0" w:line="290" w:lineRule="auto"/>
        <w:jc w:val="both"/>
      </w:pPr>
    </w:p>
    <w:sectPr>
      <w:headerReference w:type="default" r:id="rId9"/>
      <w:footerReference w:type="default" r:id="rId10"/>
      <w:pgSz w:w="17860" w:h="25260"/>
      <w:pgMar w:top="1320" w:right="0" w:bottom="1560" w:left="1960" w:header="1121" w:footer="1378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width:32.25pt;height:9.6pt;margin-top:1182.97pt;margin-left:430.53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191" w:lineRule="exact"/>
                  <w:ind w:left="20" w:right="0" w:firstLine="0"/>
                  <w:jc w:val="left"/>
                  <w:rPr>
                    <w:rFonts w:ascii="宋体" w:eastAsia="宋体" w:hint="eastAsia"/>
                    <w:sz w:val="15"/>
                  </w:rPr>
                </w:pPr>
                <w:r>
                  <w:rPr>
                    <w:rFonts w:ascii="宋体" w:eastAsia="宋体" w:hint="eastAsia"/>
                    <w:color w:val="DFDFDF"/>
                    <w:sz w:val="15"/>
                  </w:rPr>
                  <w:t>-可编辑-</w:t>
                </w:r>
              </w:p>
            </w:txbxContent>
          </v:textbox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32.25pt;height:9.6pt;margin-top:1182.97pt;margin-left:430.53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191" w:lineRule="exact"/>
                  <w:ind w:left="20" w:right="0" w:firstLine="0"/>
                  <w:jc w:val="left"/>
                  <w:rPr>
                    <w:rFonts w:ascii="宋体" w:eastAsia="宋体" w:hint="eastAsia"/>
                    <w:sz w:val="15"/>
                  </w:rPr>
                </w:pPr>
                <w:r>
                  <w:rPr>
                    <w:rFonts w:ascii="宋体" w:eastAsia="宋体" w:hint="eastAsia"/>
                    <w:color w:val="DFDFDF"/>
                    <w:sz w:val="15"/>
                  </w:rPr>
                  <w:t>-可编辑-</w:t>
                </w:r>
              </w:p>
            </w:txbxContent>
          </v:textbox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7.15pt;height:9.6pt;margin-top:57.47pt;margin-left:438.09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191" w:lineRule="exact"/>
                  <w:ind w:left="20" w:right="0" w:firstLine="0"/>
                  <w:jc w:val="left"/>
                  <w:rPr>
                    <w:rFonts w:ascii="宋体" w:eastAsia="宋体" w:hint="eastAsia"/>
                    <w:sz w:val="15"/>
                  </w:rPr>
                </w:pPr>
                <w:r>
                  <w:rPr>
                    <w:rFonts w:ascii="宋体" w:eastAsia="宋体" w:hint="eastAsia"/>
                    <w:color w:val="DFDFDF"/>
                    <w:sz w:val="15"/>
                  </w:rPr>
                  <w:t>精品</w:t>
                </w:r>
              </w:p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7.15pt;height:9.6pt;margin-top:57.47pt;margin-left:438.09pt;mso-position-horizontal-relative:page;mso-position-vertical-relative:page;position:absolute;z-index:-251657216" filled="f" stroked="f">
          <v:textbox inset="0,0,0,0">
            <w:txbxContent>
              <w:p>
                <w:pPr>
                  <w:spacing w:before="0" w:line="191" w:lineRule="exact"/>
                  <w:ind w:left="20" w:right="0" w:firstLine="0"/>
                  <w:jc w:val="left"/>
                  <w:rPr>
                    <w:rFonts w:ascii="宋体" w:eastAsia="宋体" w:hint="eastAsia"/>
                    <w:sz w:val="15"/>
                  </w:rPr>
                </w:pPr>
                <w:r>
                  <w:rPr>
                    <w:rFonts w:ascii="宋体" w:eastAsia="宋体" w:hint="eastAsia"/>
                    <w:color w:val="DFDFDF"/>
                    <w:sz w:val="15"/>
                  </w:rPr>
                  <w:t>精品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7DE4D"/>
    <w:multiLevelType w:val="hybridMultilevel"/>
    <w:tmpl w:val="00000000"/>
    <w:lvl w:ilvl="0">
      <w:start w:val="4"/>
      <w:numFmt w:val="decimal"/>
      <w:lvlText w:val="%1"/>
      <w:lvlJc w:val="left"/>
      <w:pPr>
        <w:ind w:left="1500" w:hanging="70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0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7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9" w:hanging="7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59" w:hanging="7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7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39" w:hanging="7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79" w:hanging="7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702"/>
      </w:pPr>
      <w:rPr>
        <w:rFonts w:hint="default"/>
      </w:rPr>
    </w:lvl>
  </w:abstractNum>
  <w:abstractNum w:abstractNumId="1">
    <w:nsid w:val="103CB830"/>
    <w:multiLevelType w:val="hybridMultilevel"/>
    <w:tmpl w:val="00000000"/>
    <w:lvl w:ilvl="0">
      <w:start w:val="4"/>
      <w:numFmt w:val="decimal"/>
      <w:lvlText w:val="%1"/>
      <w:lvlJc w:val="left"/>
      <w:pPr>
        <w:ind w:left="1565" w:hanging="1397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565" w:hanging="1397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65" w:hanging="1397"/>
        <w:jc w:val="left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5" w:hanging="1397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4">
      <w:start w:val="0"/>
      <w:numFmt w:val="bullet"/>
      <w:lvlText w:val="•"/>
      <w:lvlJc w:val="left"/>
      <w:pPr>
        <w:ind w:left="7295" w:hanging="139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29" w:hanging="139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63" w:hanging="139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97" w:hanging="139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31" w:hanging="1397"/>
      </w:pPr>
      <w:rPr>
        <w:rFonts w:hint="default"/>
      </w:rPr>
    </w:lvl>
  </w:abstractNum>
  <w:abstractNum w:abstractNumId="2">
    <w:nsid w:val="2FE844A2"/>
    <w:multiLevelType w:val="hybridMultilevel"/>
    <w:tmpl w:val="00000000"/>
    <w:lvl w:ilvl="0">
      <w:start w:val="5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4528" w:hanging="11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53" w:hanging="11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77" w:hanging="11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02" w:hanging="11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26" w:hanging="11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50" w:hanging="1120"/>
      </w:pPr>
      <w:rPr>
        <w:rFonts w:hint="default"/>
      </w:rPr>
    </w:lvl>
  </w:abstractNum>
  <w:abstractNum w:abstractNumId="3">
    <w:nsid w:val="37A143EB"/>
    <w:multiLevelType w:val="hybridMultilevel"/>
    <w:tmpl w:val="00000000"/>
    <w:lvl w:ilvl="0">
      <w:start w:val="3"/>
      <w:numFmt w:val="decimal"/>
      <w:lvlText w:val="%1"/>
      <w:lvlJc w:val="left"/>
      <w:pPr>
        <w:ind w:left="1500" w:hanging="70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0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7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9" w:hanging="7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59" w:hanging="7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7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39" w:hanging="7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79" w:hanging="7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702"/>
      </w:pPr>
      <w:rPr>
        <w:rFonts w:hint="default"/>
      </w:rPr>
    </w:lvl>
  </w:abstractNum>
  <w:abstractNum w:abstractNumId="4">
    <w:nsid w:val="39A1DBB6"/>
    <w:multiLevelType w:val="hybridMultilevel"/>
    <w:tmpl w:val="00000000"/>
    <w:lvl w:ilvl="0">
      <w:start w:val="1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4528" w:hanging="11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53" w:hanging="11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77" w:hanging="11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02" w:hanging="11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26" w:hanging="11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50" w:hanging="1120"/>
      </w:pPr>
      <w:rPr>
        <w:rFonts w:hint="default"/>
      </w:rPr>
    </w:lvl>
  </w:abstractNum>
  <w:abstractNum w:abstractNumId="5">
    <w:nsid w:val="3B109DAC"/>
    <w:multiLevelType w:val="hybridMultilevel"/>
    <w:tmpl w:val="00000000"/>
    <w:lvl w:ilvl="0">
      <w:start w:val="3"/>
      <w:numFmt w:val="decimal"/>
      <w:lvlText w:val="%1"/>
      <w:lvlJc w:val="left"/>
      <w:pPr>
        <w:ind w:left="356" w:hanging="357"/>
        <w:jc w:val="left"/>
      </w:pPr>
      <w:rPr>
        <w:rFonts w:ascii="微软雅黑" w:eastAsia="微软雅黑" w:hAnsi="微软雅黑" w:cs="微软雅黑" w:hint="default"/>
        <w:w w:val="100"/>
        <w:sz w:val="27"/>
        <w:szCs w:val="27"/>
      </w:rPr>
    </w:lvl>
    <w:lvl w:ilvl="1">
      <w:start w:val="0"/>
      <w:numFmt w:val="bullet"/>
      <w:lvlText w:val="•"/>
      <w:lvlJc w:val="left"/>
      <w:pPr>
        <w:ind w:left="469" w:hanging="357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79" w:hanging="35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8" w:hanging="35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98" w:hanging="35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908" w:hanging="35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7" w:hanging="35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27" w:hanging="35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6" w:hanging="357"/>
      </w:pPr>
      <w:rPr>
        <w:rFonts w:hint="default"/>
      </w:rPr>
    </w:lvl>
  </w:abstractNum>
  <w:abstractNum w:abstractNumId="6">
    <w:nsid w:val="4439D7A5"/>
    <w:multiLevelType w:val="hybridMultilevel"/>
    <w:tmpl w:val="00000000"/>
    <w:lvl w:ilvl="0">
      <w:start w:val="5"/>
      <w:numFmt w:val="decimal"/>
      <w:lvlText w:val="%1"/>
      <w:lvlJc w:val="left"/>
      <w:pPr>
        <w:ind w:left="1500" w:hanging="70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0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7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9" w:hanging="7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59" w:hanging="7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7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39" w:hanging="7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79" w:hanging="7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702"/>
      </w:pPr>
      <w:rPr>
        <w:rFonts w:hint="default"/>
      </w:rPr>
    </w:lvl>
  </w:abstractNum>
  <w:abstractNum w:abstractNumId="7">
    <w:nsid w:val="455D04E1"/>
    <w:multiLevelType w:val="hybridMultilevel"/>
    <w:tmpl w:val="00000000"/>
    <w:lvl w:ilvl="0">
      <w:start w:val="6"/>
      <w:numFmt w:val="decimal"/>
      <w:lvlText w:val="%1"/>
      <w:lvlJc w:val="left"/>
      <w:pPr>
        <w:ind w:left="1500" w:hanging="70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0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7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9" w:hanging="7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59" w:hanging="7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7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39" w:hanging="7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79" w:hanging="7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702"/>
      </w:pPr>
      <w:rPr>
        <w:rFonts w:hint="default"/>
      </w:rPr>
    </w:lvl>
  </w:abstractNum>
  <w:abstractNum w:abstractNumId="8">
    <w:nsid w:val="490B24C9"/>
    <w:multiLevelType w:val="hybridMultilevel"/>
    <w:tmpl w:val="00000000"/>
    <w:lvl w:ilvl="0">
      <w:start w:val="7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hint="default"/>
        <w:b/>
        <w:bCs/>
        <w:spacing w:val="-1"/>
        <w:w w:val="100"/>
      </w:rPr>
    </w:lvl>
    <w:lvl w:ilvl="3">
      <w:start w:val="0"/>
      <w:numFmt w:val="bullet"/>
      <w:lvlText w:val="•"/>
      <w:lvlJc w:val="left"/>
      <w:pPr>
        <w:ind w:left="4528" w:hanging="11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53" w:hanging="11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77" w:hanging="11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02" w:hanging="11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26" w:hanging="11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50" w:hanging="1120"/>
      </w:pPr>
      <w:rPr>
        <w:rFonts w:hint="default"/>
      </w:rPr>
    </w:lvl>
  </w:abstractNum>
  <w:abstractNum w:abstractNumId="9">
    <w:nsid w:val="4F8420D5"/>
    <w:multiLevelType w:val="hybridMultilevel"/>
    <w:tmpl w:val="00000000"/>
    <w:lvl w:ilvl="0">
      <w:start w:val="6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0"/>
      <w:numFmt w:val="bullet"/>
      <w:lvlText w:val="•"/>
      <w:lvlJc w:val="left"/>
      <w:pPr>
        <w:ind w:left="3995" w:hanging="84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83" w:hanging="84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71" w:hanging="84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459" w:hanging="84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47" w:hanging="84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35" w:hanging="84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23" w:hanging="846"/>
      </w:pPr>
      <w:rPr>
        <w:rFonts w:hint="default"/>
      </w:rPr>
    </w:lvl>
  </w:abstractNum>
  <w:abstractNum w:abstractNumId="10">
    <w:nsid w:val="527618A5"/>
    <w:multiLevelType w:val="hybridMultilevel"/>
    <w:tmpl w:val="00000000"/>
    <w:lvl w:ilvl="0">
      <w:start w:val="1"/>
      <w:numFmt w:val="decimal"/>
      <w:lvlText w:val="(%1)"/>
      <w:lvlJc w:val="left"/>
      <w:pPr>
        <w:ind w:left="1536" w:hanging="529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100" w:hanging="5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606" w:hanging="5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13" w:hanging="5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620" w:hanging="5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127" w:hanging="5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633" w:hanging="5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5140" w:hanging="5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647" w:hanging="529"/>
      </w:pPr>
      <w:rPr>
        <w:rFonts w:hint="default"/>
      </w:rPr>
    </w:lvl>
  </w:abstractNum>
  <w:abstractNum w:abstractNumId="11">
    <w:nsid w:val="57C5A7E7"/>
    <w:multiLevelType w:val="hybridMultilevel"/>
    <w:tmpl w:val="00000000"/>
    <w:lvl w:ilvl="0">
      <w:start w:val="2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1"/>
      <w:numFmt w:val="decimal"/>
      <w:lvlText w:val="%1.%2.%3.%4"/>
      <w:lvlJc w:val="left"/>
      <w:pPr>
        <w:ind w:left="1565" w:hanging="1397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4">
      <w:start w:val="1"/>
      <w:numFmt w:val="decimal"/>
      <w:lvlText w:val="（%5）"/>
      <w:lvlJc w:val="left"/>
      <w:pPr>
        <w:ind w:left="2098" w:hanging="1092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5">
      <w:start w:val="0"/>
      <w:numFmt w:val="bullet"/>
      <w:lvlText w:val="•"/>
      <w:lvlJc w:val="left"/>
      <w:pPr>
        <w:ind w:left="6042" w:hanging="109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014" w:hanging="109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85" w:hanging="109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956" w:hanging="1092"/>
      </w:pPr>
      <w:rPr>
        <w:rFonts w:hint="default"/>
      </w:rPr>
    </w:lvl>
  </w:abstractNum>
  <w:abstractNum w:abstractNumId="12">
    <w:nsid w:val="5A8BE375"/>
    <w:multiLevelType w:val="hybridMultilevel"/>
    <w:tmpl w:val="00000000"/>
    <w:lvl w:ilvl="0">
      <w:start w:val="3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1"/>
      <w:numFmt w:val="decimal"/>
      <w:lvlText w:val="(%4)"/>
      <w:lvlJc w:val="left"/>
      <w:pPr>
        <w:ind w:left="1536" w:hanging="529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4">
      <w:start w:val="0"/>
      <w:numFmt w:val="bullet"/>
      <w:lvlText w:val="•"/>
      <w:lvlJc w:val="left"/>
      <w:pPr>
        <w:ind w:left="5129" w:hanging="5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4" w:hanging="5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19" w:hanging="5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514" w:hanging="5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09" w:hanging="529"/>
      </w:pPr>
      <w:rPr>
        <w:rFonts w:hint="default"/>
      </w:rPr>
    </w:lvl>
  </w:abstractNum>
  <w:abstractNum w:abstractNumId="13">
    <w:nsid w:val="5F44D2DC"/>
    <w:multiLevelType w:val="hybridMultilevel"/>
    <w:tmpl w:val="00000000"/>
    <w:lvl w:ilvl="0">
      <w:start w:val="5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1"/>
      <w:numFmt w:val="decimal"/>
      <w:lvlText w:val="(%4)"/>
      <w:lvlJc w:val="left"/>
      <w:pPr>
        <w:ind w:left="1536" w:hanging="529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4">
      <w:start w:val="0"/>
      <w:numFmt w:val="bullet"/>
      <w:lvlText w:val="•"/>
      <w:lvlJc w:val="left"/>
      <w:pPr>
        <w:ind w:left="5129" w:hanging="5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24" w:hanging="5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19" w:hanging="5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514" w:hanging="5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09" w:hanging="529"/>
      </w:pPr>
      <w:rPr>
        <w:rFonts w:hint="default"/>
      </w:rPr>
    </w:lvl>
  </w:abstractNum>
  <w:abstractNum w:abstractNumId="14">
    <w:nsid w:val="6714CE5A"/>
    <w:multiLevelType w:val="hybridMultilevel"/>
    <w:tmpl w:val="00000000"/>
    <w:lvl w:ilvl="0">
      <w:start w:val="1"/>
      <w:numFmt w:val="decimal"/>
      <w:lvlText w:val="%1"/>
      <w:lvlJc w:val="left"/>
      <w:pPr>
        <w:ind w:left="1500" w:hanging="70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0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7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9" w:hanging="7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59" w:hanging="7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7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39" w:hanging="7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79" w:hanging="7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702"/>
      </w:pPr>
      <w:rPr>
        <w:rFonts w:hint="default"/>
      </w:rPr>
    </w:lvl>
  </w:abstractNum>
  <w:abstractNum w:abstractNumId="15">
    <w:nsid w:val="6B1CC512"/>
    <w:multiLevelType w:val="hybridMultilevel"/>
    <w:tmpl w:val="00000000"/>
    <w:lvl w:ilvl="0">
      <w:start w:val="4"/>
      <w:numFmt w:val="decimal"/>
      <w:lvlText w:val="(%1)"/>
      <w:lvlJc w:val="left"/>
      <w:pPr>
        <w:ind w:left="1536" w:hanging="529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1754" w:hanging="529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968" w:hanging="52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182" w:hanging="52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96" w:hanging="5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611" w:hanging="5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825" w:hanging="5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039" w:hanging="5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253" w:hanging="529"/>
      </w:pPr>
      <w:rPr>
        <w:rFonts w:hint="default"/>
      </w:rPr>
    </w:lvl>
  </w:abstractNum>
  <w:abstractNum w:abstractNumId="16">
    <w:nsid w:val="6B91FDE3"/>
    <w:multiLevelType w:val="hybridMultilevel"/>
    <w:tmpl w:val="00000000"/>
    <w:lvl w:ilvl="0">
      <w:start w:val="2"/>
      <w:numFmt w:val="decimal"/>
      <w:lvlText w:val="%1"/>
      <w:lvlJc w:val="left"/>
      <w:pPr>
        <w:ind w:left="1500" w:hanging="70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0" w:hanging="702"/>
        <w:jc w:val="left"/>
      </w:pPr>
      <w:rPr>
        <w:rFonts w:ascii="微软雅黑" w:eastAsia="微软雅黑" w:hAnsi="微软雅黑" w:cs="微软雅黑" w:hint="default"/>
        <w:spacing w:val="-1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70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819" w:hanging="70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259" w:hanging="70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99" w:hanging="70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139" w:hanging="70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79" w:hanging="70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3019" w:hanging="702"/>
      </w:pPr>
      <w:rPr>
        <w:rFonts w:hint="default"/>
      </w:rPr>
    </w:lvl>
  </w:abstractNum>
  <w:abstractNum w:abstractNumId="17">
    <w:nsid w:val="7C930758"/>
    <w:multiLevelType w:val="hybridMultilevel"/>
    <w:tmpl w:val="00000000"/>
    <w:lvl w:ilvl="0">
      <w:start w:val="3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0"/>
      <w:numFmt w:val="bullet"/>
      <w:lvlText w:val="•"/>
      <w:lvlJc w:val="left"/>
      <w:pPr>
        <w:ind w:left="4528" w:hanging="112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53" w:hanging="112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77" w:hanging="112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402" w:hanging="112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026" w:hanging="112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50" w:hanging="1120"/>
      </w:pPr>
      <w:rPr>
        <w:rFonts w:hint="default"/>
      </w:rPr>
    </w:lvl>
  </w:abstractNum>
  <w:abstractNum w:abstractNumId="18">
    <w:nsid w:val="7CFA6025"/>
    <w:multiLevelType w:val="hybridMultilevel"/>
    <w:tmpl w:val="00000000"/>
    <w:lvl w:ilvl="0">
      <w:start w:val="4"/>
      <w:numFmt w:val="decimal"/>
      <w:lvlText w:val="%1"/>
      <w:lvlJc w:val="left"/>
      <w:pPr>
        <w:ind w:left="1014" w:hanging="846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4" w:hanging="846"/>
        <w:jc w:val="left"/>
      </w:pPr>
      <w:rPr>
        <w:rFonts w:ascii="微软雅黑" w:eastAsia="微软雅黑" w:hAnsi="微软雅黑" w:cs="微软雅黑" w:hint="default"/>
        <w:b/>
        <w:bCs/>
        <w:spacing w:val="-1"/>
        <w:w w:val="99"/>
        <w:sz w:val="48"/>
        <w:szCs w:val="48"/>
      </w:rPr>
    </w:lvl>
    <w:lvl w:ilvl="2">
      <w:start w:val="1"/>
      <w:numFmt w:val="decimal"/>
      <w:lvlText w:val="%1.%2.%3"/>
      <w:lvlJc w:val="left"/>
      <w:pPr>
        <w:ind w:left="1287" w:hanging="1120"/>
        <w:jc w:val="left"/>
      </w:pPr>
      <w:rPr>
        <w:rFonts w:ascii="微软雅黑" w:eastAsia="微软雅黑" w:hAnsi="微软雅黑" w:cs="微软雅黑" w:hint="default"/>
        <w:b/>
        <w:bCs/>
        <w:spacing w:val="-1"/>
        <w:w w:val="100"/>
        <w:sz w:val="42"/>
        <w:szCs w:val="42"/>
      </w:rPr>
    </w:lvl>
    <w:lvl w:ilvl="3">
      <w:start w:val="1"/>
      <w:numFmt w:val="decimal"/>
      <w:lvlText w:val="(%4)"/>
      <w:lvlJc w:val="left"/>
      <w:pPr>
        <w:ind w:left="1536" w:hanging="529"/>
        <w:jc w:val="left"/>
      </w:pPr>
      <w:rPr>
        <w:rFonts w:ascii="微软雅黑" w:eastAsia="微软雅黑" w:hAnsi="微软雅黑" w:cs="微软雅黑" w:hint="default"/>
        <w:spacing w:val="-1"/>
        <w:w w:val="100"/>
        <w:sz w:val="40"/>
        <w:szCs w:val="40"/>
      </w:rPr>
    </w:lvl>
    <w:lvl w:ilvl="4">
      <w:start w:val="0"/>
      <w:numFmt w:val="bullet"/>
      <w:lvlText w:val="•"/>
      <w:lvlJc w:val="left"/>
      <w:pPr>
        <w:ind w:left="3591" w:hanging="52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642" w:hanging="52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694" w:hanging="52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745" w:hanging="52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796" w:hanging="529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3"/>
  </w:num>
  <w:num w:numId="5">
    <w:abstractNumId w:val="16"/>
  </w:num>
  <w:num w:numId="6">
    <w:abstractNumId w:val="14"/>
  </w:num>
  <w:num w:numId="7">
    <w:abstractNumId w:val="10"/>
  </w:num>
  <w:num w:numId="8">
    <w:abstractNumId w:val="8"/>
  </w:num>
  <w:num w:numId="9">
    <w:abstractNumId w:val="9"/>
  </w:num>
  <w:num w:numId="10">
    <w:abstractNumId w:val="2"/>
  </w:num>
  <w:num w:numId="11">
    <w:abstractNumId w:val="5"/>
  </w:num>
  <w:num w:numId="12">
    <w:abstractNumId w:val="15"/>
  </w:num>
  <w:num w:numId="13">
    <w:abstractNumId w:val="13"/>
  </w:num>
  <w:num w:numId="14">
    <w:abstractNumId w:val="1"/>
  </w:num>
  <w:num w:numId="15">
    <w:abstractNumId w:val="18"/>
  </w:num>
  <w:num w:numId="16">
    <w:abstractNumId w:val="17"/>
  </w:num>
  <w:num w:numId="17">
    <w:abstractNumId w:val="12"/>
  </w:num>
  <w:num w:numId="18">
    <w:abstractNumId w:val="11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微软雅黑" w:eastAsia="微软雅黑" w:hAnsi="微软雅黑" w:cs="微软雅黑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162"/>
      <w:ind w:left="168"/>
    </w:pPr>
    <w:rPr>
      <w:rFonts w:ascii="微软雅黑" w:eastAsia="微软雅黑" w:hAnsi="微软雅黑" w:cs="微软雅黑"/>
      <w:sz w:val="42"/>
      <w:szCs w:val="42"/>
    </w:rPr>
  </w:style>
  <w:style w:type="paragraph" w:customStyle="1" w:styleId="TOC2">
    <w:name w:val="TOC 2"/>
    <w:basedOn w:val="Normal"/>
    <w:uiPriority w:val="1"/>
    <w:qFormat/>
    <w:pPr>
      <w:spacing w:before="162"/>
      <w:ind w:left="1500" w:hanging="703"/>
    </w:pPr>
    <w:rPr>
      <w:rFonts w:ascii="微软雅黑" w:eastAsia="微软雅黑" w:hAnsi="微软雅黑" w:cs="微软雅黑"/>
      <w:sz w:val="42"/>
      <w:szCs w:val="42"/>
    </w:rPr>
  </w:style>
  <w:style w:type="paragraph" w:styleId="BodyText">
    <w:name w:val="Body Text"/>
    <w:basedOn w:val="Normal"/>
    <w:uiPriority w:val="1"/>
    <w:qFormat/>
    <w:rPr>
      <w:rFonts w:ascii="微软雅黑" w:eastAsia="微软雅黑" w:hAnsi="微软雅黑" w:cs="微软雅黑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spacing w:line="1143" w:lineRule="exact"/>
      <w:ind w:left="3008"/>
      <w:outlineLvl w:val="1"/>
    </w:pPr>
    <w:rPr>
      <w:rFonts w:ascii="微软雅黑" w:eastAsia="微软雅黑" w:hAnsi="微软雅黑" w:cs="微软雅黑"/>
      <w:b/>
      <w:bCs/>
      <w:sz w:val="66"/>
      <w:szCs w:val="66"/>
    </w:rPr>
  </w:style>
  <w:style w:type="paragraph" w:customStyle="1" w:styleId="Heading2">
    <w:name w:val="Heading 2"/>
    <w:basedOn w:val="Normal"/>
    <w:uiPriority w:val="1"/>
    <w:qFormat/>
    <w:pPr>
      <w:ind w:left="1014" w:hanging="847"/>
      <w:outlineLvl w:val="2"/>
    </w:pPr>
    <w:rPr>
      <w:rFonts w:ascii="微软雅黑" w:eastAsia="微软雅黑" w:hAnsi="微软雅黑" w:cs="微软雅黑"/>
      <w:b/>
      <w:bCs/>
      <w:sz w:val="48"/>
      <w:szCs w:val="48"/>
    </w:rPr>
  </w:style>
  <w:style w:type="paragraph" w:customStyle="1" w:styleId="Heading3">
    <w:name w:val="Heading 3"/>
    <w:basedOn w:val="Normal"/>
    <w:uiPriority w:val="1"/>
    <w:qFormat/>
    <w:pPr>
      <w:ind w:left="1287" w:hanging="1120"/>
      <w:outlineLvl w:val="3"/>
    </w:pPr>
    <w:rPr>
      <w:rFonts w:ascii="微软雅黑" w:eastAsia="微软雅黑" w:hAnsi="微软雅黑" w:cs="微软雅黑"/>
      <w:b/>
      <w:bCs/>
      <w:sz w:val="42"/>
      <w:szCs w:val="42"/>
    </w:rPr>
  </w:style>
  <w:style w:type="paragraph" w:styleId="ListParagraph">
    <w:name w:val="List Paragraph"/>
    <w:basedOn w:val="Normal"/>
    <w:uiPriority w:val="1"/>
    <w:qFormat/>
    <w:pPr>
      <w:ind w:left="1287" w:hanging="1120"/>
    </w:pPr>
    <w:rPr>
      <w:rFonts w:ascii="微软雅黑" w:eastAsia="微软雅黑" w:hAnsi="微软雅黑" w:cs="微软雅黑"/>
    </w:rPr>
  </w:style>
  <w:style w:type="paragraph" w:customStyle="1" w:styleId="TableParagraph">
    <w:name w:val="Table Paragraph"/>
    <w:basedOn w:val="Normal"/>
    <w:uiPriority w:val="1"/>
    <w:qFormat/>
    <w:rPr>
      <w:rFonts w:ascii="微软雅黑" w:eastAsia="微软雅黑" w:hAnsi="微软雅黑" w:cs="微软雅黑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yperlink" Target="https://d.book118.com/287114040041006025" TargetMode="External" /><Relationship Id="rId9" Type="http://schemas.openxmlformats.org/officeDocument/2006/relationships/header" Target="head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2023-10-13T02:20:23Z</dcterms:created>
  <dcterms:modified xsi:type="dcterms:W3CDTF">2023-10-13T02:20:23Z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2023-01-29T00:00:00Z</vt:filetime>
  </property>
  <property fmtid="{D5CDD505-2E9C-101B-9397-08002B2CF9AE}" pid="3" name="LastSaved">
    <vt:filetime>2023-10-13T00:00:00Z</vt:filetime>
  </property>
</Properties>
</file>