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DB5" w:rsidP="00144DB5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2024年-广东省建筑安全员考试题库及答案</w:t>
      </w:r>
    </w:p>
    <w:p w:rsidR="00144DB5" w:rsidP="00144DB5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144DB5" w:rsidP="00144DB5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144DB5" w:rsidP="00144DB5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144DB5" w:rsidP="00144DB5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下列配电系统中，不属于三级配电是指（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总配电箱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分配电箱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开关箱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控制按钮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建设行政主管部门在审核发放（</w:t>
      </w:r>
      <w:r>
        <w:rPr>
          <w:rFonts w:ascii="Times New Roman" w:hAnsi="Times New Roman" w:cs="Times New Roman"/>
          <w:color w:val="000000"/>
          <w:sz w:val="27"/>
          <w:szCs w:val="27"/>
        </w:rPr>
        <w:t>D</w:t>
      </w:r>
      <w:r>
        <w:rPr>
          <w:rFonts w:ascii="Times New Roman" w:hAnsi="Times New Roman" w:cs="Times New Roman"/>
          <w:color w:val="000000"/>
          <w:sz w:val="27"/>
          <w:szCs w:val="27"/>
        </w:rPr>
        <w:t>）时应当对建设工程是否有安全施工措施进行审查，对没有安全施工措施的，不得颁发。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生产许可证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质量许可证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产品合格证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施工许可证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）执行监督检查任务时必须出示有效的监督执法证件；对涉及被检查单位的技术秘密和业务秘密，应当为其保密。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安全生产监督检查人员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安全生产值班人员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领班人员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安全生产员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边长超过（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）的洞口，四周设防护栏杆，洞口下张设安全平网。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A.130cm B.150cm C.180cm D.200cm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建筑施工企业安全生产许可证有效期满需要延期的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应当于期满前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个月向原安全生产许可证颁发管理机关办理延期手续。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 B.2 C.4 D.6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6..</w:t>
      </w:r>
      <w:r>
        <w:rPr>
          <w:rFonts w:ascii="Times New Roman" w:hAnsi="Times New Roman" w:cs="Times New Roman"/>
          <w:color w:val="000000"/>
          <w:sz w:val="27"/>
          <w:szCs w:val="27"/>
        </w:rPr>
        <w:t>特种作业操作证，每（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）复审一次。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B.1</w:t>
      </w:r>
      <w:r>
        <w:rPr>
          <w:rFonts w:ascii="Times New Roman" w:hAnsi="Times New Roman" w:cs="Times New Roman"/>
          <w:color w:val="000000"/>
          <w:sz w:val="27"/>
          <w:szCs w:val="27"/>
        </w:rPr>
        <w:t>年半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C.2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D.3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144DB5" w:rsidP="00144DB5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事故调查组应当自事故发生之日起（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）日内提交事故调查报告；特殊情况下，经负责事故调查的人民政府批准，提交事故调查报告的期限可以适当延长，但延长的期限最长不超过（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）日。（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A.30</w:t>
      </w:r>
      <w:r>
        <w:rPr>
          <w:rFonts w:ascii="Times New Roman" w:hAnsi="Times New Roman" w:cs="Times New Roman"/>
          <w:color w:val="000000"/>
          <w:sz w:val="27"/>
          <w:szCs w:val="27"/>
        </w:rPr>
        <w:t>；</w:t>
      </w:r>
      <w:r>
        <w:rPr>
          <w:rFonts w:ascii="Times New Roman" w:hAnsi="Times New Roman" w:cs="Times New Roman"/>
          <w:color w:val="000000"/>
          <w:sz w:val="27"/>
          <w:szCs w:val="27"/>
        </w:rPr>
        <w:t>60 B.60</w:t>
      </w:r>
      <w:r>
        <w:rPr>
          <w:rFonts w:ascii="Times New Roman" w:hAnsi="Times New Roman" w:cs="Times New Roman"/>
          <w:color w:val="000000"/>
          <w:sz w:val="27"/>
          <w:szCs w:val="27"/>
        </w:rPr>
        <w:t>；</w:t>
      </w:r>
      <w:r>
        <w:rPr>
          <w:rFonts w:ascii="Times New Roman" w:hAnsi="Times New Roman" w:cs="Times New Roman"/>
          <w:color w:val="000000"/>
          <w:sz w:val="27"/>
          <w:szCs w:val="27"/>
        </w:rPr>
        <w:t>30 C.30</w:t>
      </w:r>
      <w:r>
        <w:rPr>
          <w:rFonts w:ascii="Times New Roman" w:hAnsi="Times New Roman" w:cs="Times New Roman"/>
          <w:color w:val="000000"/>
          <w:sz w:val="27"/>
          <w:szCs w:val="27"/>
        </w:rPr>
        <w:t>；</w:t>
      </w:r>
      <w:r>
        <w:rPr>
          <w:rFonts w:ascii="Times New Roman" w:hAnsi="Times New Roman" w:cs="Times New Roman"/>
          <w:color w:val="000000"/>
          <w:sz w:val="27"/>
          <w:szCs w:val="27"/>
        </w:rPr>
        <w:t>30 D.60</w:t>
      </w:r>
      <w:r>
        <w:rPr>
          <w:rFonts w:ascii="Times New Roman" w:hAnsi="Times New Roman" w:cs="Times New Roman"/>
          <w:color w:val="000000"/>
          <w:sz w:val="27"/>
          <w:szCs w:val="27"/>
        </w:rPr>
        <w:t>；</w:t>
      </w:r>
      <w:r>
        <w:rPr>
          <w:rFonts w:ascii="Times New Roman" w:hAnsi="Times New Roman" w:cs="Times New Roman"/>
          <w:color w:val="000000"/>
          <w:sz w:val="27"/>
          <w:szCs w:val="27"/>
        </w:rPr>
        <w:t>60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《安全生产法》规定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C )</w:t>
      </w:r>
      <w:r>
        <w:rPr>
          <w:rFonts w:ascii="Times New Roman" w:hAnsi="Times New Roman" w:cs="Times New Roman"/>
          <w:color w:val="000000"/>
          <w:sz w:val="27"/>
          <w:szCs w:val="27"/>
        </w:rPr>
        <w:t>对本单位的安全生产工作全面负责。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项目经理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技术负责人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主要负责人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法人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发生重伤或死亡事故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在事故调查组未到前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现场应派专人看护现场</w:t>
      </w:r>
      <w:r>
        <w:rPr>
          <w:rFonts w:ascii="Times New Roman" w:hAnsi="Times New Roman" w:cs="Times New Roman"/>
          <w:color w:val="000000"/>
          <w:sz w:val="27"/>
          <w:szCs w:val="27"/>
        </w:rPr>
        <w:t>, ( D )</w:t>
      </w:r>
      <w:r>
        <w:rPr>
          <w:rFonts w:ascii="Times New Roman" w:hAnsi="Times New Roman" w:cs="Times New Roman"/>
          <w:color w:val="000000"/>
          <w:sz w:val="27"/>
          <w:szCs w:val="27"/>
        </w:rPr>
        <w:t>不得擅自移动和取走物件。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工程负责人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工人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任何人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模板结构构件的受压构件长细比：支架立柱及桁架不应大于（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D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A.135 B.140 C.145 D.150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施工企业各项安全管理活动，必须依据（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）展开。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企业安全生产方针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企业安全生产目标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企业安全生产制度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企业安全技术措施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电动吊篮作业人员的安全带必须挂在（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吊篮栏杆上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吊篮升降钢索上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保险绳上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不需要使用安全带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13.</w:t>
      </w:r>
      <w:r>
        <w:rPr>
          <w:rFonts w:ascii="Times New Roman" w:hAnsi="Times New Roman" w:cs="Times New Roman"/>
          <w:color w:val="000000"/>
          <w:sz w:val="27"/>
          <w:szCs w:val="27"/>
        </w:rPr>
        <w:t>建设项目安全设施的（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）应当对安全设施设计负责。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经理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项目经理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设计人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设计单位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经纪人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https://d.book118.com/287123161153006050</w:t>
        </w:r>
      </w:hyperlink>
    </w:p>
    <w:p w:rsidR="00144DB5" w:rsidP="00144DB5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721A1"/>
    <w:rsid w:val="00144DB5"/>
    <w:rsid w:val="001721A1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4D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8712316115300605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5476</Words>
  <Characters>31215</Characters>
  <Application>Microsoft Office Word</Application>
  <DocSecurity>0</DocSecurity>
  <Lines>260</Lines>
  <Paragraphs>73</Paragraphs>
  <ScaleCrop>false</ScaleCrop>
  <Company/>
  <LinksUpToDate>false</LinksUpToDate>
  <CharactersWithSpaces>36618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2024-03-07T22:40:00Z</dcterms:created>
  <dcterms:modified xsi:type="dcterms:W3CDTF">2024-03-07T22:40:00Z</dcterms:modified>
</cp:coreProperties>
</file>