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759" w:lineRule="exact"/>
        <w:ind w:firstLine="80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679462</wp:posOffset>
            </wp:positionH>
            <wp:positionV relativeFrom="page">
              <wp:posOffset>8153433</wp:posOffset>
            </wp:positionV>
            <wp:extent cx="1854183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418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5"/>
        </w:rPr>
        <w:pict>
          <v:group id="_x0000_i1025" style="width:480.5pt;height:138pt;mso-position-horizontal-relative:char;mso-position-vertical-relative:line" coordorigin="0,0" coordsize="9610,276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9610;height:2760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9650;height:2800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42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9" w:line="198" w:lineRule="auto"/>
                      <w:ind w:left="679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-6"/>
                        <w:sz w:val="24"/>
                        <w:szCs w:val="24"/>
                      </w:rPr>
                      <w:t>CROSS-BORDER SETTLEMENT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6"/>
                        <w:sz w:val="24"/>
                        <w:szCs w:val="24"/>
                      </w:rPr>
                      <w:t>INFRASTRUCTURE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6"/>
                        <w:sz w:val="24"/>
                        <w:szCs w:val="24"/>
                      </w:rPr>
                      <w:t>FORU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7"/>
                        <w:sz w:val="24"/>
                        <w:szCs w:val="24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7"/>
                        <w:sz w:val="24"/>
                        <w:szCs w:val="24"/>
                      </w:rPr>
                      <w:t>BRIEF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7"/>
                        <w:sz w:val="24"/>
                        <w:szCs w:val="24"/>
                      </w:rPr>
                      <w:t>No.2</w:t>
                    </w:r>
                  </w:p>
                  <w:p>
                    <w:pPr>
                      <w:spacing w:before="207" w:line="198" w:lineRule="auto"/>
                      <w:ind w:left="679"/>
                      <w:outlineLvl w:val="0"/>
                      <w:rPr>
                        <w:rFonts w:ascii="Arial" w:eastAsia="Arial" w:hAnsi="Arial" w:cs="Arial"/>
                        <w:sz w:val="46"/>
                        <w:szCs w:val="46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46"/>
                        <w:szCs w:val="46"/>
                      </w:rPr>
                      <w:t>COMPARATIVE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99"/>
                        <w:sz w:val="46"/>
                        <w:szCs w:val="4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46"/>
                        <w:szCs w:val="46"/>
                      </w:rPr>
                      <w:t>ANALYSIS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22"/>
                        <w:sz w:val="46"/>
                        <w:szCs w:val="4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46"/>
                        <w:szCs w:val="46"/>
                      </w:rPr>
                      <w:t>OF</w:t>
                    </w:r>
                  </w:p>
                  <w:p>
                    <w:pPr>
                      <w:spacing w:before="133" w:line="198" w:lineRule="auto"/>
                      <w:ind w:left="679"/>
                      <w:rPr>
                        <w:rFonts w:ascii="Arial" w:eastAsia="Arial" w:hAnsi="Arial" w:cs="Arial"/>
                        <w:sz w:val="46"/>
                        <w:szCs w:val="46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46"/>
                        <w:szCs w:val="46"/>
                      </w:rPr>
                      <w:t>COLLATERAL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53"/>
                        <w:sz w:val="46"/>
                        <w:szCs w:val="4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46"/>
                        <w:szCs w:val="46"/>
                      </w:rPr>
                      <w:t>ELIGIBILITY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40"/>
                        <w:sz w:val="46"/>
                        <w:szCs w:val="4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46"/>
                        <w:szCs w:val="46"/>
                      </w:rPr>
                      <w:t>CRITERIA</w:t>
                    </w:r>
                  </w:p>
                  <w:p>
                    <w:pPr>
                      <w:spacing w:line="43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2" w:line="196" w:lineRule="auto"/>
                      <w:ind w:left="7459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8"/>
                        <w:szCs w:val="18"/>
                      </w:rPr>
                      <w:t>FEBRUARY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1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8"/>
                        <w:szCs w:val="18"/>
                      </w:rPr>
                      <w:t>2024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57"/>
      </w:pPr>
    </w:p>
    <w:p>
      <w:pPr>
        <w:spacing w:before="57"/>
      </w:pPr>
    </w:p>
    <w:p>
      <w:pPr>
        <w:sectPr>
          <w:pgSz w:w="12240" w:h="15840"/>
          <w:pgMar w:top="1060" w:right="480" w:bottom="0" w:left="1059" w:header="0" w:footer="0" w:gutter="0"/>
          <w:cols w:num="1" w:space="708" w:equalWidth="0">
            <w:col w:w="10700" w:space="0"/>
          </w:cols>
        </w:sectPr>
      </w:pPr>
    </w:p>
    <w:p>
      <w:pPr>
        <w:pStyle w:val="BodyText"/>
        <w:spacing w:before="35" w:line="196" w:lineRule="auto"/>
        <w:rPr>
          <w:sz w:val="24"/>
          <w:szCs w:val="24"/>
        </w:rPr>
      </w:pPr>
      <w:r>
        <w:rPr>
          <w:b/>
          <w:bCs/>
          <w:color w:val="008BC7"/>
          <w:spacing w:val="-4"/>
          <w:sz w:val="24"/>
          <w:szCs w:val="24"/>
        </w:rPr>
        <w:t>I.Introduction</w:t>
      </w:r>
    </w:p>
    <w:p>
      <w:pPr>
        <w:pStyle w:val="BodyText"/>
        <w:spacing w:before="249" w:line="279" w:lineRule="auto"/>
        <w:ind w:right="677"/>
      </w:pPr>
      <w:r>
        <w:rPr>
          <w:spacing w:val="-1"/>
        </w:rPr>
        <w:t>Key</w:t>
      </w:r>
      <w:r>
        <w:rPr>
          <w:spacing w:val="37"/>
        </w:rPr>
        <w:t xml:space="preserve"> </w:t>
      </w:r>
      <w:r>
        <w:rPr>
          <w:spacing w:val="-1"/>
        </w:rPr>
        <w:t>tasks</w:t>
      </w:r>
      <w:r>
        <w:rPr>
          <w:spacing w:val="39"/>
          <w:w w:val="101"/>
        </w:rPr>
        <w:t xml:space="preserve"> </w:t>
      </w:r>
      <w:r>
        <w:rPr>
          <w:spacing w:val="-1"/>
        </w:rPr>
        <w:t>of</w:t>
      </w:r>
      <w:r>
        <w:rPr>
          <w:spacing w:val="30"/>
        </w:rPr>
        <w:t xml:space="preserve"> </w:t>
      </w:r>
      <w:r>
        <w:rPr>
          <w:spacing w:val="-1"/>
        </w:rPr>
        <w:t>the</w:t>
      </w:r>
      <w:r>
        <w:rPr>
          <w:spacing w:val="42"/>
          <w:w w:val="101"/>
        </w:rPr>
        <w:t xml:space="preserve"> </w:t>
      </w:r>
      <w:r>
        <w:rPr>
          <w:spacing w:val="-1"/>
        </w:rPr>
        <w:t>Cross-Border</w:t>
      </w:r>
      <w:r>
        <w:rPr>
          <w:spacing w:val="39"/>
          <w:w w:val="101"/>
        </w:rPr>
        <w:t xml:space="preserve"> </w:t>
      </w:r>
      <w:r>
        <w:rPr>
          <w:spacing w:val="-1"/>
        </w:rPr>
        <w:t>Settlement  Infrastruct</w:t>
      </w:r>
      <w:r>
        <w:rPr>
          <w:spacing w:val="-2"/>
        </w:rPr>
        <w:t>ure</w:t>
      </w:r>
      <w:r>
        <w:t xml:space="preserve"> </w:t>
      </w:r>
      <w:r>
        <w:rPr>
          <w:spacing w:val="-2"/>
        </w:rPr>
        <w:t>Forum(CSIF)are</w:t>
      </w:r>
      <w:r>
        <w:rPr>
          <w:spacing w:val="62"/>
        </w:rPr>
        <w:t xml:space="preserve"> </w:t>
      </w:r>
      <w:r>
        <w:rPr>
          <w:spacing w:val="-2"/>
        </w:rPr>
        <w:t>to  conduct  a  study  on</w:t>
      </w:r>
      <w:r>
        <w:rPr>
          <w:spacing w:val="46"/>
        </w:rPr>
        <w:t xml:space="preserve"> </w:t>
      </w:r>
      <w:r>
        <w:rPr>
          <w:spacing w:val="-2"/>
        </w:rPr>
        <w:t xml:space="preserve">the  collateral     </w:t>
      </w:r>
      <w:r>
        <w:rPr>
          <w:spacing w:val="-1"/>
        </w:rPr>
        <w:t>eligibility</w:t>
      </w:r>
      <w:r>
        <w:rPr>
          <w:spacing w:val="41"/>
        </w:rPr>
        <w:t xml:space="preserve"> </w:t>
      </w:r>
      <w:r>
        <w:rPr>
          <w:spacing w:val="-1"/>
        </w:rPr>
        <w:t>of</w:t>
      </w:r>
      <w:r>
        <w:rPr>
          <w:spacing w:val="31"/>
          <w:w w:val="101"/>
        </w:rPr>
        <w:t xml:space="preserve"> </w:t>
      </w:r>
      <w:r>
        <w:rPr>
          <w:spacing w:val="-1"/>
        </w:rPr>
        <w:t>the</w:t>
      </w:r>
      <w:r>
        <w:rPr>
          <w:spacing w:val="47"/>
        </w:rPr>
        <w:t xml:space="preserve"> </w:t>
      </w:r>
      <w:r>
        <w:rPr>
          <w:spacing w:val="-1"/>
        </w:rPr>
        <w:t>region's</w:t>
      </w:r>
      <w:r>
        <w:rPr>
          <w:spacing w:val="46"/>
          <w:w w:val="101"/>
        </w:rPr>
        <w:t xml:space="preserve"> </w:t>
      </w:r>
      <w:r>
        <w:rPr>
          <w:spacing w:val="-1"/>
        </w:rPr>
        <w:t>local</w:t>
      </w:r>
      <w:r>
        <w:rPr>
          <w:spacing w:val="41"/>
          <w:w w:val="101"/>
        </w:rPr>
        <w:t xml:space="preserve"> </w:t>
      </w:r>
      <w:r>
        <w:rPr>
          <w:spacing w:val="-1"/>
        </w:rPr>
        <w:t>currency</w:t>
      </w:r>
      <w:r>
        <w:rPr>
          <w:spacing w:val="46"/>
        </w:rPr>
        <w:t xml:space="preserve"> </w:t>
      </w:r>
      <w:r>
        <w:rPr>
          <w:spacing w:val="-1"/>
        </w:rPr>
        <w:t>(LC</w:t>
      </w:r>
      <w:r>
        <w:rPr>
          <w:spacing w:val="-2"/>
        </w:rPr>
        <w:t>Y)bonds</w:t>
      </w:r>
      <w:r>
        <w:rPr>
          <w:spacing w:val="41"/>
          <w:w w:val="10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1"/>
        </w:rPr>
        <w:t>to</w:t>
      </w:r>
      <w:r>
        <w:rPr>
          <w:spacing w:val="42"/>
          <w:w w:val="101"/>
        </w:rPr>
        <w:t xml:space="preserve"> </w:t>
      </w:r>
      <w:r>
        <w:rPr>
          <w:spacing w:val="-1"/>
        </w:rPr>
        <w:t>discuss</w:t>
      </w:r>
      <w:r>
        <w:rPr>
          <w:spacing w:val="45"/>
        </w:rPr>
        <w:t xml:space="preserve"> </w:t>
      </w:r>
      <w:r>
        <w:rPr>
          <w:spacing w:val="-1"/>
        </w:rPr>
        <w:t>possible</w:t>
      </w:r>
      <w:r>
        <w:rPr>
          <w:spacing w:val="45"/>
          <w:w w:val="101"/>
        </w:rPr>
        <w:t xml:space="preserve"> </w:t>
      </w:r>
      <w:r>
        <w:rPr>
          <w:spacing w:val="-1"/>
        </w:rPr>
        <w:t>implementation</w:t>
      </w:r>
      <w:r>
        <w:rPr>
          <w:spacing w:val="39"/>
        </w:rPr>
        <w:t xml:space="preserve"> </w:t>
      </w:r>
      <w:r>
        <w:rPr>
          <w:spacing w:val="-1"/>
        </w:rPr>
        <w:t>of</w:t>
      </w:r>
      <w:r>
        <w:rPr>
          <w:spacing w:val="30"/>
          <w:w w:val="101"/>
        </w:rPr>
        <w:t xml:space="preserve"> </w:t>
      </w:r>
      <w:r>
        <w:rPr>
          <w:spacing w:val="-1"/>
        </w:rPr>
        <w:t>the</w:t>
      </w:r>
      <w:r>
        <w:rPr>
          <w:spacing w:val="42"/>
          <w:w w:val="101"/>
        </w:rPr>
        <w:t xml:space="preserve"> </w:t>
      </w:r>
      <w:r>
        <w:rPr>
          <w:spacing w:val="-1"/>
        </w:rPr>
        <w:t>Cross-Border</w:t>
      </w:r>
      <w:r>
        <w:t xml:space="preserve"> </w:t>
      </w:r>
      <w:r>
        <w:rPr>
          <w:spacing w:val="-1"/>
        </w:rPr>
        <w:t>Collateral  Arrangement  (CBCA)and  the  Central</w:t>
      </w:r>
      <w:r>
        <w:rPr>
          <w:spacing w:val="12"/>
          <w:w w:val="101"/>
        </w:rPr>
        <w:t xml:space="preserve">  </w:t>
      </w:r>
      <w:r>
        <w:rPr>
          <w:spacing w:val="-1"/>
        </w:rPr>
        <w:t xml:space="preserve">Bank    </w:t>
      </w:r>
      <w:r>
        <w:rPr>
          <w:spacing w:val="-2"/>
        </w:rPr>
        <w:t>Liquidity</w:t>
      </w:r>
      <w:r>
        <w:rPr>
          <w:spacing w:val="51"/>
          <w:w w:val="101"/>
        </w:rPr>
        <w:t xml:space="preserve"> </w:t>
      </w:r>
      <w:r>
        <w:rPr>
          <w:spacing w:val="-2"/>
        </w:rPr>
        <w:t>Bridge.These</w:t>
      </w:r>
      <w:r>
        <w:rPr>
          <w:spacing w:val="26"/>
          <w:w w:val="101"/>
        </w:rPr>
        <w:t xml:space="preserve"> </w:t>
      </w:r>
      <w:r>
        <w:rPr>
          <w:spacing w:val="-2"/>
        </w:rPr>
        <w:t>tasks</w:t>
      </w:r>
      <w:r>
        <w:rPr>
          <w:spacing w:val="29"/>
        </w:rPr>
        <w:t xml:space="preserve"> </w:t>
      </w:r>
      <w:r>
        <w:rPr>
          <w:spacing w:val="-2"/>
        </w:rPr>
        <w:t>are</w:t>
      </w:r>
      <w:r>
        <w:rPr>
          <w:spacing w:val="28"/>
          <w:w w:val="101"/>
        </w:rPr>
        <w:t xml:space="preserve"> </w:t>
      </w:r>
      <w:r>
        <w:rPr>
          <w:spacing w:val="-2"/>
        </w:rPr>
        <w:t>set</w:t>
      </w:r>
      <w:r>
        <w:rPr>
          <w:spacing w:val="29"/>
        </w:rPr>
        <w:t xml:space="preserve"> </w:t>
      </w:r>
      <w:r>
        <w:rPr>
          <w:spacing w:val="-2"/>
        </w:rPr>
        <w:t>out</w:t>
      </w:r>
      <w:r>
        <w:rPr>
          <w:spacing w:val="35"/>
        </w:rPr>
        <w:t xml:space="preserve"> </w:t>
      </w:r>
      <w:r>
        <w:rPr>
          <w:spacing w:val="-2"/>
        </w:rPr>
        <w:t>in</w:t>
      </w:r>
      <w:r>
        <w:rPr>
          <w:spacing w:val="26"/>
        </w:rPr>
        <w:t xml:space="preserve"> </w:t>
      </w:r>
      <w:r>
        <w:rPr>
          <w:spacing w:val="-2"/>
        </w:rPr>
        <w:t>the</w:t>
      </w:r>
    </w:p>
    <w:p>
      <w:pPr>
        <w:pStyle w:val="BodyText"/>
        <w:spacing w:before="48" w:line="243" w:lineRule="exact"/>
      </w:pPr>
      <w:r>
        <w:rPr>
          <w:spacing w:val="-1"/>
          <w:position w:val="6"/>
        </w:rPr>
        <w:t>ASEAN+3</w:t>
      </w:r>
      <w:r>
        <w:rPr>
          <w:spacing w:val="58"/>
          <w:w w:val="101"/>
          <w:position w:val="6"/>
        </w:rPr>
        <w:t xml:space="preserve"> </w:t>
      </w:r>
      <w:r>
        <w:rPr>
          <w:spacing w:val="-1"/>
          <w:position w:val="6"/>
        </w:rPr>
        <w:t>Asian  Bond  Markets  Initiative</w:t>
      </w:r>
      <w:r>
        <w:rPr>
          <w:spacing w:val="2"/>
          <w:position w:val="6"/>
        </w:rPr>
        <w:t xml:space="preserve">  </w:t>
      </w:r>
      <w:r>
        <w:rPr>
          <w:spacing w:val="-1"/>
          <w:position w:val="6"/>
        </w:rPr>
        <w:t>(ABMI)</w:t>
      </w:r>
    </w:p>
    <w:p>
      <w:pPr>
        <w:pStyle w:val="BodyText"/>
        <w:spacing w:line="197" w:lineRule="auto"/>
      </w:pPr>
      <w:r>
        <w:rPr>
          <w:spacing w:val="-1"/>
        </w:rPr>
        <w:t>Mid-Term</w:t>
      </w:r>
      <w:r>
        <w:rPr>
          <w:spacing w:val="6"/>
        </w:rPr>
        <w:t xml:space="preserve">      </w:t>
      </w:r>
      <w:r>
        <w:rPr>
          <w:spacing w:val="-1"/>
        </w:rPr>
        <w:t>Roadmap,2023-202</w:t>
      </w:r>
      <w:r>
        <w:rPr>
          <w:spacing w:val="-2"/>
        </w:rPr>
        <w:t>6.²</w:t>
      </w:r>
    </w:p>
    <w:p>
      <w:pPr>
        <w:pStyle w:val="BodyText"/>
        <w:spacing w:before="253" w:line="243" w:lineRule="exact"/>
      </w:pPr>
      <w:r>
        <w:rPr>
          <w:spacing w:val="-1"/>
          <w:position w:val="3"/>
        </w:rPr>
        <w:t>Collateral</w:t>
      </w:r>
      <w:r>
        <w:rPr>
          <w:spacing w:val="49"/>
          <w:w w:val="101"/>
          <w:position w:val="3"/>
        </w:rPr>
        <w:t xml:space="preserve"> </w:t>
      </w:r>
      <w:r>
        <w:rPr>
          <w:spacing w:val="-1"/>
          <w:position w:val="3"/>
        </w:rPr>
        <w:t>plays</w:t>
      </w:r>
      <w:r>
        <w:rPr>
          <w:spacing w:val="40"/>
          <w:position w:val="3"/>
        </w:rPr>
        <w:t xml:space="preserve"> </w:t>
      </w:r>
      <w:r>
        <w:rPr>
          <w:spacing w:val="-1"/>
          <w:position w:val="3"/>
        </w:rPr>
        <w:t>a</w:t>
      </w:r>
      <w:r>
        <w:rPr>
          <w:spacing w:val="45"/>
          <w:w w:val="101"/>
          <w:position w:val="3"/>
        </w:rPr>
        <w:t xml:space="preserve"> </w:t>
      </w:r>
      <w:r>
        <w:rPr>
          <w:spacing w:val="-1"/>
          <w:position w:val="3"/>
        </w:rPr>
        <w:t>pivotalrole</w:t>
      </w:r>
      <w:r>
        <w:rPr>
          <w:spacing w:val="46"/>
          <w:position w:val="3"/>
        </w:rPr>
        <w:t xml:space="preserve"> </w:t>
      </w:r>
      <w:r>
        <w:rPr>
          <w:spacing w:val="-1"/>
          <w:position w:val="3"/>
        </w:rPr>
        <w:t>in supporting  secured</w:t>
      </w:r>
    </w:p>
    <w:p>
      <w:pPr>
        <w:pStyle w:val="BodyText"/>
        <w:spacing w:line="240" w:lineRule="exact"/>
      </w:pPr>
      <w:r>
        <w:rPr>
          <w:position w:val="3"/>
        </w:rPr>
        <w:t>financial  transactions.And  the  importance  of  eli</w:t>
      </w:r>
      <w:r>
        <w:rPr>
          <w:spacing w:val="-1"/>
          <w:position w:val="3"/>
        </w:rPr>
        <w:t>gible</w:t>
      </w:r>
    </w:p>
    <w:p>
      <w:pPr>
        <w:pStyle w:val="BodyText"/>
        <w:spacing w:line="278" w:lineRule="auto"/>
        <w:ind w:right="682"/>
      </w:pPr>
      <w:r>
        <w:rPr>
          <w:spacing w:val="-1"/>
        </w:rPr>
        <w:t>collateral</w:t>
      </w:r>
      <w:r>
        <w:rPr>
          <w:spacing w:val="26"/>
          <w:w w:val="101"/>
        </w:rPr>
        <w:t xml:space="preserve"> </w:t>
      </w:r>
      <w:r>
        <w:rPr>
          <w:spacing w:val="-1"/>
        </w:rPr>
        <w:t>criteria</w:t>
      </w:r>
      <w:r>
        <w:rPr>
          <w:spacing w:val="31"/>
        </w:rPr>
        <w:t xml:space="preserve"> </w:t>
      </w:r>
      <w:r>
        <w:rPr>
          <w:spacing w:val="-1"/>
        </w:rPr>
        <w:t>has</w:t>
      </w:r>
      <w:r>
        <w:rPr>
          <w:spacing w:val="30"/>
          <w:w w:val="101"/>
        </w:rPr>
        <w:t xml:space="preserve"> </w:t>
      </w:r>
      <w:r>
        <w:rPr>
          <w:spacing w:val="-1"/>
        </w:rPr>
        <w:t>been</w:t>
      </w:r>
      <w:r>
        <w:rPr>
          <w:spacing w:val="30"/>
          <w:w w:val="101"/>
        </w:rPr>
        <w:t xml:space="preserve"> </w:t>
      </w:r>
      <w:r>
        <w:rPr>
          <w:spacing w:val="-1"/>
        </w:rPr>
        <w:t>increasin</w:t>
      </w:r>
      <w:r>
        <w:rPr>
          <w:spacing w:val="-2"/>
        </w:rPr>
        <w:t>gly</w:t>
      </w:r>
      <w:r>
        <w:rPr>
          <w:spacing w:val="31"/>
        </w:rPr>
        <w:t xml:space="preserve"> </w:t>
      </w:r>
      <w:r>
        <w:rPr>
          <w:spacing w:val="-2"/>
        </w:rPr>
        <w:t>recognized</w:t>
      </w:r>
      <w:r>
        <w:rPr>
          <w:spacing w:val="24"/>
          <w:w w:val="101"/>
        </w:rPr>
        <w:t xml:space="preserve"> </w:t>
      </w:r>
      <w:r>
        <w:rPr>
          <w:spacing w:val="-2"/>
        </w:rPr>
        <w:t>since</w:t>
      </w:r>
      <w:r>
        <w:t xml:space="preserve"> </w:t>
      </w:r>
      <w:r>
        <w:rPr>
          <w:spacing w:val="-1"/>
        </w:rPr>
        <w:t>the</w:t>
      </w:r>
      <w:r>
        <w:rPr>
          <w:spacing w:val="36"/>
          <w:w w:val="101"/>
        </w:rPr>
        <w:t xml:space="preserve"> </w:t>
      </w:r>
      <w:r>
        <w:rPr>
          <w:spacing w:val="-1"/>
        </w:rPr>
        <w:t>global</w:t>
      </w:r>
      <w:r>
        <w:rPr>
          <w:spacing w:val="32"/>
          <w:w w:val="101"/>
        </w:rPr>
        <w:t xml:space="preserve"> </w:t>
      </w:r>
      <w:r>
        <w:rPr>
          <w:spacing w:val="-1"/>
        </w:rPr>
        <w:t>financial</w:t>
      </w:r>
      <w:r>
        <w:rPr>
          <w:spacing w:val="38"/>
        </w:rPr>
        <w:t xml:space="preserve"> </w:t>
      </w:r>
      <w:r>
        <w:rPr>
          <w:spacing w:val="-1"/>
        </w:rPr>
        <w:t>crisis.This</w:t>
      </w:r>
      <w:r>
        <w:rPr>
          <w:spacing w:val="42"/>
          <w:w w:val="101"/>
        </w:rPr>
        <w:t xml:space="preserve"> </w:t>
      </w:r>
      <w:r>
        <w:rPr>
          <w:spacing w:val="-1"/>
        </w:rPr>
        <w:t>importance</w:t>
      </w:r>
      <w:r>
        <w:rPr>
          <w:spacing w:val="43"/>
        </w:rPr>
        <w:t xml:space="preserve"> </w:t>
      </w:r>
      <w:r>
        <w:rPr>
          <w:spacing w:val="-1"/>
        </w:rPr>
        <w:t>may</w:t>
      </w:r>
      <w:r>
        <w:rPr>
          <w:spacing w:val="37"/>
          <w:w w:val="101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ven</w:t>
      </w:r>
    </w:p>
    <w:p>
      <w:pPr>
        <w:pStyle w:val="BodyText"/>
        <w:spacing w:before="1" w:line="279" w:lineRule="auto"/>
        <w:ind w:right="873"/>
      </w:pPr>
      <w:r>
        <w:rPr>
          <w:spacing w:val="-1"/>
        </w:rPr>
        <w:t>increase</w:t>
      </w:r>
      <w:r>
        <w:rPr>
          <w:spacing w:val="23"/>
        </w:rPr>
        <w:t xml:space="preserve"> </w:t>
      </w:r>
      <w:r>
        <w:rPr>
          <w:spacing w:val="-1"/>
        </w:rPr>
        <w:t>further</w:t>
      </w:r>
      <w:r>
        <w:rPr>
          <w:spacing w:val="25"/>
          <w:w w:val="101"/>
        </w:rPr>
        <w:t xml:space="preserve"> </w:t>
      </w:r>
      <w:r>
        <w:rPr>
          <w:spacing w:val="-1"/>
        </w:rPr>
        <w:t>as</w:t>
      </w:r>
      <w:r>
        <w:rPr>
          <w:spacing w:val="33"/>
        </w:rPr>
        <w:t xml:space="preserve"> </w:t>
      </w:r>
      <w:r>
        <w:rPr>
          <w:spacing w:val="-1"/>
        </w:rPr>
        <w:t>risk</w:t>
      </w:r>
      <w:r>
        <w:rPr>
          <w:spacing w:val="33"/>
          <w:w w:val="101"/>
        </w:rPr>
        <w:t xml:space="preserve"> </w:t>
      </w:r>
      <w:r>
        <w:rPr>
          <w:spacing w:val="-1"/>
        </w:rPr>
        <w:t>managemen</w:t>
      </w:r>
      <w:r>
        <w:rPr>
          <w:spacing w:val="-2"/>
        </w:rPr>
        <w:t>t</w:t>
      </w:r>
      <w:r>
        <w:rPr>
          <w:spacing w:val="33"/>
        </w:rPr>
        <w:t xml:space="preserve"> </w:t>
      </w:r>
      <w:r>
        <w:rPr>
          <w:spacing w:val="-2"/>
        </w:rPr>
        <w:t>practices</w:t>
      </w:r>
      <w:r>
        <w:rPr>
          <w:spacing w:val="28"/>
          <w:w w:val="101"/>
        </w:rPr>
        <w:t xml:space="preserve"> </w:t>
      </w:r>
      <w:r>
        <w:rPr>
          <w:spacing w:val="-2"/>
        </w:rPr>
        <w:t>evolve</w:t>
      </w:r>
      <w:r>
        <w:t xml:space="preserve">  </w:t>
      </w:r>
      <w:r>
        <w:rPr>
          <w:spacing w:val="-1"/>
        </w:rPr>
        <w:t>and</w:t>
      </w:r>
      <w:r>
        <w:rPr>
          <w:spacing w:val="30"/>
        </w:rPr>
        <w:t xml:space="preserve"> </w:t>
      </w:r>
      <w:r>
        <w:rPr>
          <w:spacing w:val="-1"/>
        </w:rPr>
        <w:t>financial</w:t>
      </w:r>
      <w:r>
        <w:rPr>
          <w:spacing w:val="39"/>
          <w:w w:val="101"/>
        </w:rPr>
        <w:t xml:space="preserve"> </w:t>
      </w:r>
      <w:r>
        <w:rPr>
          <w:spacing w:val="-1"/>
        </w:rPr>
        <w:t>institutions</w:t>
      </w:r>
      <w:r>
        <w:rPr>
          <w:spacing w:val="33"/>
          <w:w w:val="101"/>
        </w:rPr>
        <w:t xml:space="preserve"> </w:t>
      </w:r>
      <w:r>
        <w:rPr>
          <w:spacing w:val="-1"/>
        </w:rPr>
        <w:t>step</w:t>
      </w:r>
      <w:r>
        <w:rPr>
          <w:spacing w:val="39"/>
          <w:w w:val="101"/>
        </w:rPr>
        <w:t xml:space="preserve"> </w:t>
      </w:r>
      <w:r>
        <w:rPr>
          <w:spacing w:val="-1"/>
        </w:rPr>
        <w:t>up</w:t>
      </w:r>
      <w:r>
        <w:rPr>
          <w:spacing w:val="34"/>
          <w:w w:val="101"/>
        </w:rPr>
        <w:t xml:space="preserve"> </w:t>
      </w:r>
      <w:r>
        <w:rPr>
          <w:spacing w:val="-2"/>
        </w:rPr>
        <w:t>efforts</w:t>
      </w:r>
      <w:r>
        <w:rPr>
          <w:spacing w:val="31"/>
        </w:rPr>
        <w:t xml:space="preserve"> </w:t>
      </w:r>
      <w:r>
        <w:rPr>
          <w:spacing w:val="-2"/>
        </w:rPr>
        <w:t>to</w:t>
      </w:r>
      <w:r>
        <w:rPr>
          <w:spacing w:val="40"/>
        </w:rPr>
        <w:t xml:space="preserve"> </w:t>
      </w:r>
      <w:r>
        <w:rPr>
          <w:spacing w:val="-2"/>
        </w:rPr>
        <w:t>respond</w:t>
      </w:r>
      <w:r>
        <w:rPr>
          <w:spacing w:val="31"/>
        </w:rPr>
        <w:t xml:space="preserve"> </w:t>
      </w:r>
      <w:r>
        <w:rPr>
          <w:spacing w:val="-2"/>
        </w:rPr>
        <w:t>to</w:t>
      </w:r>
      <w:r>
        <w:t xml:space="preserve"> </w:t>
      </w:r>
      <w:r>
        <w:rPr>
          <w:spacing w:val="-1"/>
        </w:rPr>
        <w:t>global</w:t>
      </w:r>
      <w:r>
        <w:rPr>
          <w:spacing w:val="26"/>
          <w:w w:val="101"/>
        </w:rPr>
        <w:t xml:space="preserve"> </w:t>
      </w:r>
      <w:r>
        <w:rPr>
          <w:spacing w:val="-1"/>
        </w:rPr>
        <w:t>financial</w:t>
      </w:r>
      <w:r>
        <w:rPr>
          <w:spacing w:val="32"/>
        </w:rPr>
        <w:t xml:space="preserve"> </w:t>
      </w:r>
      <w:r>
        <w:rPr>
          <w:spacing w:val="-1"/>
        </w:rPr>
        <w:t>regulatory</w:t>
      </w:r>
      <w:r>
        <w:rPr>
          <w:spacing w:val="27"/>
        </w:rPr>
        <w:t xml:space="preserve"> </w:t>
      </w:r>
      <w:r>
        <w:rPr>
          <w:spacing w:val="-1"/>
        </w:rPr>
        <w:t>changes.</w:t>
      </w:r>
    </w:p>
    <w:p>
      <w:pPr>
        <w:pStyle w:val="BodyText"/>
        <w:spacing w:before="254" w:line="238" w:lineRule="exact"/>
      </w:pPr>
      <w:r>
        <w:rPr>
          <w:spacing w:val="-1"/>
          <w:position w:val="2"/>
        </w:rPr>
        <w:t>The</w:t>
      </w:r>
      <w:r>
        <w:rPr>
          <w:spacing w:val="20"/>
          <w:w w:val="101"/>
          <w:position w:val="2"/>
        </w:rPr>
        <w:t xml:space="preserve"> </w:t>
      </w:r>
      <w:r>
        <w:rPr>
          <w:spacing w:val="-1"/>
          <w:position w:val="2"/>
        </w:rPr>
        <w:t>global</w:t>
      </w:r>
      <w:r>
        <w:rPr>
          <w:spacing w:val="17"/>
          <w:position w:val="2"/>
        </w:rPr>
        <w:t xml:space="preserve"> </w:t>
      </w:r>
      <w:r>
        <w:rPr>
          <w:spacing w:val="-1"/>
          <w:position w:val="2"/>
        </w:rPr>
        <w:t>financial</w:t>
      </w:r>
      <w:r>
        <w:rPr>
          <w:spacing w:val="22"/>
          <w:position w:val="2"/>
        </w:rPr>
        <w:t xml:space="preserve"> </w:t>
      </w:r>
      <w:r>
        <w:rPr>
          <w:spacing w:val="-1"/>
          <w:position w:val="2"/>
        </w:rPr>
        <w:t>crisis</w:t>
      </w:r>
      <w:r>
        <w:rPr>
          <w:spacing w:val="21"/>
          <w:w w:val="101"/>
          <w:position w:val="2"/>
        </w:rPr>
        <w:t xml:space="preserve"> </w:t>
      </w:r>
      <w:r>
        <w:rPr>
          <w:spacing w:val="-1"/>
          <w:position w:val="2"/>
        </w:rPr>
        <w:t>drove</w:t>
      </w:r>
      <w:r>
        <w:rPr>
          <w:spacing w:val="22"/>
          <w:position w:val="2"/>
        </w:rPr>
        <w:t xml:space="preserve"> </w:t>
      </w:r>
      <w:r>
        <w:rPr>
          <w:spacing w:val="-1"/>
          <w:position w:val="2"/>
        </w:rPr>
        <w:t>central</w:t>
      </w:r>
      <w:r>
        <w:rPr>
          <w:spacing w:val="27"/>
          <w:position w:val="2"/>
        </w:rPr>
        <w:t xml:space="preserve"> </w:t>
      </w:r>
      <w:r>
        <w:rPr>
          <w:spacing w:val="-1"/>
          <w:position w:val="2"/>
        </w:rPr>
        <w:t>ba</w:t>
      </w:r>
      <w:r>
        <w:rPr>
          <w:spacing w:val="-2"/>
          <w:position w:val="2"/>
        </w:rPr>
        <w:t>nks</w:t>
      </w:r>
      <w:r>
        <w:rPr>
          <w:spacing w:val="22"/>
          <w:position w:val="2"/>
        </w:rPr>
        <w:t xml:space="preserve"> </w:t>
      </w:r>
      <w:r>
        <w:rPr>
          <w:spacing w:val="-2"/>
          <w:position w:val="2"/>
        </w:rPr>
        <w:t>and</w:t>
      </w:r>
    </w:p>
    <w:p>
      <w:pPr>
        <w:pStyle w:val="BodyText"/>
        <w:spacing w:line="230" w:lineRule="exact"/>
      </w:pPr>
      <w:r>
        <w:rPr>
          <w:spacing w:val="-1"/>
          <w:position w:val="2"/>
        </w:rPr>
        <w:t>market</w:t>
      </w:r>
      <w:r>
        <w:rPr>
          <w:spacing w:val="46"/>
          <w:w w:val="101"/>
          <w:position w:val="2"/>
        </w:rPr>
        <w:t xml:space="preserve"> </w:t>
      </w:r>
      <w:r>
        <w:rPr>
          <w:spacing w:val="-1"/>
          <w:position w:val="2"/>
        </w:rPr>
        <w:t>participants</w:t>
      </w:r>
      <w:r>
        <w:rPr>
          <w:spacing w:val="37"/>
          <w:position w:val="2"/>
        </w:rPr>
        <w:t xml:space="preserve"> </w:t>
      </w:r>
      <w:r>
        <w:rPr>
          <w:spacing w:val="-1"/>
          <w:position w:val="2"/>
        </w:rPr>
        <w:t>to</w:t>
      </w:r>
      <w:r>
        <w:rPr>
          <w:spacing w:val="40"/>
          <w:w w:val="101"/>
          <w:position w:val="2"/>
        </w:rPr>
        <w:t xml:space="preserve"> </w:t>
      </w:r>
      <w:r>
        <w:rPr>
          <w:spacing w:val="-1"/>
          <w:position w:val="2"/>
        </w:rPr>
        <w:t>consider</w:t>
      </w:r>
      <w:r>
        <w:rPr>
          <w:spacing w:val="43"/>
          <w:position w:val="2"/>
        </w:rPr>
        <w:t xml:space="preserve"> </w:t>
      </w:r>
      <w:r>
        <w:rPr>
          <w:spacing w:val="-1"/>
          <w:position w:val="2"/>
        </w:rPr>
        <w:t>revamping</w:t>
      </w:r>
      <w:r>
        <w:rPr>
          <w:spacing w:val="37"/>
          <w:w w:val="101"/>
          <w:position w:val="2"/>
        </w:rPr>
        <w:t xml:space="preserve"> </w:t>
      </w:r>
      <w:r>
        <w:rPr>
          <w:spacing w:val="-2"/>
          <w:position w:val="2"/>
        </w:rPr>
        <w:t>their</w:t>
      </w:r>
    </w:p>
    <w:p>
      <w:pPr>
        <w:pStyle w:val="BodyText"/>
        <w:spacing w:line="230" w:lineRule="exact"/>
      </w:pPr>
      <w:r>
        <w:rPr>
          <w:spacing w:val="-1"/>
          <w:position w:val="2"/>
        </w:rPr>
        <w:t>eligibility</w:t>
      </w:r>
      <w:r>
        <w:rPr>
          <w:spacing w:val="53"/>
          <w:position w:val="2"/>
        </w:rPr>
        <w:t xml:space="preserve"> </w:t>
      </w:r>
      <w:r>
        <w:rPr>
          <w:spacing w:val="-1"/>
          <w:position w:val="2"/>
        </w:rPr>
        <w:t>criteria</w:t>
      </w:r>
      <w:r>
        <w:rPr>
          <w:spacing w:val="39"/>
          <w:position w:val="2"/>
        </w:rPr>
        <w:t xml:space="preserve"> </w:t>
      </w:r>
      <w:r>
        <w:rPr>
          <w:spacing w:val="-1"/>
          <w:position w:val="2"/>
        </w:rPr>
        <w:t>for</w:t>
      </w:r>
      <w:r>
        <w:rPr>
          <w:spacing w:val="42"/>
          <w:position w:val="2"/>
        </w:rPr>
        <w:t xml:space="preserve"> </w:t>
      </w:r>
      <w:r>
        <w:rPr>
          <w:spacing w:val="-1"/>
          <w:position w:val="2"/>
        </w:rPr>
        <w:t>collateral.To  be</w:t>
      </w:r>
      <w:r>
        <w:rPr>
          <w:spacing w:val="44"/>
          <w:position w:val="2"/>
        </w:rPr>
        <w:t xml:space="preserve"> </w:t>
      </w:r>
      <w:r>
        <w:rPr>
          <w:spacing w:val="-1"/>
          <w:position w:val="2"/>
        </w:rPr>
        <w:t>eligible</w:t>
      </w:r>
      <w:r>
        <w:rPr>
          <w:spacing w:val="39"/>
          <w:position w:val="2"/>
        </w:rPr>
        <w:t xml:space="preserve"> </w:t>
      </w:r>
      <w:r>
        <w:rPr>
          <w:spacing w:val="-1"/>
          <w:position w:val="2"/>
        </w:rPr>
        <w:t>for</w:t>
      </w:r>
    </w:p>
    <w:p>
      <w:pPr>
        <w:pStyle w:val="BodyText"/>
        <w:spacing w:line="238" w:lineRule="exact"/>
      </w:pPr>
      <w:r>
        <w:rPr>
          <w:position w:val="2"/>
        </w:rPr>
        <w:t>collateral,assets  must  support</w:t>
      </w:r>
      <w:r>
        <w:rPr>
          <w:spacing w:val="-1"/>
          <w:position w:val="2"/>
        </w:rPr>
        <w:t xml:space="preserve">  sufficient</w:t>
      </w:r>
      <w:r>
        <w:rPr>
          <w:spacing w:val="7"/>
          <w:position w:val="2"/>
        </w:rPr>
        <w:t xml:space="preserve">  </w:t>
      </w:r>
      <w:r>
        <w:rPr>
          <w:spacing w:val="-1"/>
          <w:position w:val="2"/>
        </w:rPr>
        <w:t>market</w:t>
      </w:r>
      <w:r>
        <w:rPr>
          <w:spacing w:val="6"/>
          <w:position w:val="2"/>
        </w:rPr>
        <w:t xml:space="preserve">  </w:t>
      </w:r>
      <w:r>
        <w:rPr>
          <w:spacing w:val="-1"/>
          <w:position w:val="2"/>
        </w:rPr>
        <w:t>liquidity</w:t>
      </w:r>
    </w:p>
    <w:p>
      <w:pPr>
        <w:pStyle w:val="BodyText"/>
        <w:spacing w:before="20" w:line="270" w:lineRule="exact"/>
      </w:pPr>
      <w:r>
        <w:rPr>
          <w:spacing w:val="-1"/>
          <w:position w:val="3"/>
        </w:rPr>
        <w:t>in</w:t>
      </w:r>
      <w:r>
        <w:rPr>
          <w:spacing w:val="22"/>
          <w:position w:val="3"/>
        </w:rPr>
        <w:t xml:space="preserve"> </w:t>
      </w:r>
      <w:r>
        <w:rPr>
          <w:spacing w:val="-1"/>
          <w:position w:val="3"/>
        </w:rPr>
        <w:t>view</w:t>
      </w:r>
      <w:r>
        <w:rPr>
          <w:spacing w:val="20"/>
          <w:position w:val="3"/>
        </w:rPr>
        <w:t xml:space="preserve"> </w:t>
      </w:r>
      <w:r>
        <w:rPr>
          <w:spacing w:val="-1"/>
          <w:position w:val="3"/>
        </w:rPr>
        <w:t>of valuation</w:t>
      </w:r>
      <w:r>
        <w:rPr>
          <w:spacing w:val="20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26"/>
          <w:position w:val="3"/>
        </w:rPr>
        <w:t xml:space="preserve"> </w:t>
      </w:r>
      <w:r>
        <w:rPr>
          <w:spacing w:val="-1"/>
          <w:position w:val="3"/>
        </w:rPr>
        <w:t>be</w:t>
      </w:r>
      <w:r>
        <w:rPr>
          <w:spacing w:val="17"/>
          <w:position w:val="3"/>
        </w:rPr>
        <w:t xml:space="preserve"> </w:t>
      </w:r>
      <w:r>
        <w:rPr>
          <w:spacing w:val="-1"/>
          <w:position w:val="3"/>
        </w:rPr>
        <w:t>transferable</w:t>
      </w:r>
      <w:r>
        <w:rPr>
          <w:spacing w:val="20"/>
          <w:w w:val="101"/>
          <w:position w:val="3"/>
        </w:rPr>
        <w:t xml:space="preserve"> </w:t>
      </w:r>
      <w:r>
        <w:rPr>
          <w:spacing w:val="-1"/>
          <w:position w:val="3"/>
        </w:rPr>
        <w:t>across</w:t>
      </w:r>
    </w:p>
    <w:p>
      <w:pPr>
        <w:pStyle w:val="BodyText"/>
        <w:spacing w:before="1" w:line="201" w:lineRule="auto"/>
      </w:pPr>
      <w:r>
        <w:rPr>
          <w:spacing w:val="-1"/>
        </w:rPr>
        <w:t>participants</w:t>
      </w:r>
      <w:r>
        <w:rPr>
          <w:spacing w:val="15"/>
          <w:w w:val="101"/>
        </w:rPr>
        <w:t xml:space="preserve"> </w:t>
      </w:r>
      <w:r>
        <w:rPr>
          <w:spacing w:val="-1"/>
        </w:rPr>
        <w:t>as well</w:t>
      </w:r>
      <w:r>
        <w:rPr>
          <w:spacing w:val="15"/>
          <w:w w:val="101"/>
        </w:rPr>
        <w:t xml:space="preserve"> </w:t>
      </w:r>
      <w:r>
        <w:rPr>
          <w:spacing w:val="-1"/>
        </w:rPr>
        <w:t>as</w:t>
      </w:r>
      <w:r>
        <w:rPr>
          <w:spacing w:val="21"/>
          <w:w w:val="101"/>
        </w:rPr>
        <w:t xml:space="preserve"> </w:t>
      </w:r>
      <w:r>
        <w:rPr>
          <w:spacing w:val="-1"/>
        </w:rPr>
        <w:t>markets.</w:t>
      </w:r>
    </w:p>
    <w:p>
      <w:pPr>
        <w:pStyle w:val="BodyText"/>
        <w:spacing w:before="260" w:line="245" w:lineRule="exact"/>
      </w:pPr>
      <w:r>
        <w:rPr>
          <w:position w:val="3"/>
        </w:rPr>
        <w:t>Overall,sound  eligibility  criteria  fo</w:t>
      </w:r>
      <w:r>
        <w:rPr>
          <w:spacing w:val="-1"/>
          <w:position w:val="3"/>
        </w:rPr>
        <w:t>r  collateral  and</w:t>
      </w:r>
    </w:p>
    <w:p>
      <w:pPr>
        <w:pStyle w:val="BodyText"/>
        <w:spacing w:before="30" w:line="260" w:lineRule="auto"/>
        <w:ind w:right="1033"/>
      </w:pPr>
      <w:r>
        <w:t>efficient  collateral  transactions</w:t>
      </w:r>
      <w:r>
        <w:rPr>
          <w:spacing w:val="4"/>
        </w:rPr>
        <w:t xml:space="preserve">  </w:t>
      </w:r>
      <w:r>
        <w:t>would</w:t>
      </w:r>
      <w:r>
        <w:rPr>
          <w:spacing w:val="8"/>
        </w:rPr>
        <w:t xml:space="preserve">  </w:t>
      </w:r>
      <w:r>
        <w:t>contribu</w:t>
      </w:r>
      <w:r>
        <w:rPr>
          <w:spacing w:val="-1"/>
        </w:rPr>
        <w:t>te</w:t>
      </w:r>
      <w:r>
        <w:rPr>
          <w:spacing w:val="6"/>
        </w:rPr>
        <w:t xml:space="preserve"> 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2"/>
        </w:rPr>
        <w:t>both</w:t>
      </w:r>
      <w:r>
        <w:rPr>
          <w:spacing w:val="39"/>
        </w:rPr>
        <w:t xml:space="preserve"> </w:t>
      </w:r>
      <w:r>
        <w:rPr>
          <w:spacing w:val="-2"/>
        </w:rPr>
        <w:t>the</w:t>
      </w:r>
      <w:r>
        <w:rPr>
          <w:spacing w:val="32"/>
          <w:w w:val="101"/>
        </w:rPr>
        <w:t xml:space="preserve"> </w:t>
      </w:r>
      <w:r>
        <w:rPr>
          <w:spacing w:val="-2"/>
        </w:rPr>
        <w:t>development</w:t>
      </w:r>
      <w:r>
        <w:rPr>
          <w:spacing w:val="32"/>
        </w:rPr>
        <w:t xml:space="preserve"> </w:t>
      </w:r>
      <w:r>
        <w:rPr>
          <w:spacing w:val="-2"/>
        </w:rPr>
        <w:t>of</w:t>
      </w:r>
      <w:r>
        <w:rPr>
          <w:spacing w:val="33"/>
        </w:rPr>
        <w:t xml:space="preserve"> </w:t>
      </w:r>
      <w:r>
        <w:rPr>
          <w:spacing w:val="-2"/>
        </w:rPr>
        <w:t>LCY</w:t>
      </w:r>
      <w:r>
        <w:rPr>
          <w:spacing w:val="38"/>
        </w:rPr>
        <w:t xml:space="preserve"> </w:t>
      </w:r>
      <w:r>
        <w:rPr>
          <w:spacing w:val="-2"/>
        </w:rPr>
        <w:t>bond</w:t>
      </w:r>
      <w:r>
        <w:rPr>
          <w:spacing w:val="38"/>
        </w:rPr>
        <w:t xml:space="preserve"> </w:t>
      </w:r>
      <w:r>
        <w:rPr>
          <w:spacing w:val="-2"/>
        </w:rPr>
        <w:t>markets</w:t>
      </w:r>
      <w:r>
        <w:rPr>
          <w:spacing w:val="33"/>
        </w:rPr>
        <w:t xml:space="preserve"> </w:t>
      </w:r>
      <w:r>
        <w:rPr>
          <w:spacing w:val="-2"/>
        </w:rPr>
        <w:t>and</w:t>
      </w:r>
    </w:p>
    <w:p>
      <w:pPr>
        <w:pStyle w:val="BodyText"/>
        <w:spacing w:before="2" w:line="278" w:lineRule="auto"/>
        <w:ind w:right="977"/>
      </w:pPr>
      <w:r>
        <w:t>financial  stability  in</w:t>
      </w:r>
      <w:r>
        <w:rPr>
          <w:spacing w:val="5"/>
        </w:rPr>
        <w:t xml:space="preserve">  </w:t>
      </w:r>
      <w:r>
        <w:t>the</w:t>
      </w:r>
      <w:r>
        <w:rPr>
          <w:spacing w:val="9"/>
        </w:rPr>
        <w:t xml:space="preserve">  </w:t>
      </w:r>
      <w:r>
        <w:t>region.In</w:t>
      </w:r>
      <w:r>
        <w:rPr>
          <w:spacing w:val="9"/>
        </w:rPr>
        <w:t xml:space="preserve">  </w:t>
      </w:r>
      <w:r>
        <w:t>pa</w:t>
      </w:r>
      <w:r>
        <w:rPr>
          <w:spacing w:val="-1"/>
        </w:rPr>
        <w:t>rallel,facilitating</w:t>
      </w:r>
      <w:r>
        <w:rPr>
          <w:spacing w:val="1"/>
        </w:rPr>
        <w:t xml:space="preserve"> </w:t>
      </w:r>
      <w:r>
        <w:rPr>
          <w:spacing w:val="-1"/>
        </w:rPr>
        <w:t>collateral</w:t>
      </w:r>
      <w:r>
        <w:rPr>
          <w:spacing w:val="39"/>
          <w:w w:val="101"/>
        </w:rPr>
        <w:t xml:space="preserve"> </w:t>
      </w:r>
      <w:r>
        <w:rPr>
          <w:spacing w:val="-1"/>
        </w:rPr>
        <w:t>transactions</w:t>
      </w:r>
      <w:r>
        <w:rPr>
          <w:spacing w:val="47"/>
          <w:w w:val="101"/>
        </w:rPr>
        <w:t xml:space="preserve"> </w:t>
      </w:r>
      <w:r>
        <w:rPr>
          <w:spacing w:val="-1"/>
        </w:rPr>
        <w:t>require</w:t>
      </w:r>
      <w:r>
        <w:rPr>
          <w:spacing w:val="42"/>
          <w:w w:val="101"/>
        </w:rPr>
        <w:t xml:space="preserve"> </w:t>
      </w:r>
      <w:r>
        <w:rPr>
          <w:spacing w:val="-1"/>
        </w:rPr>
        <w:t>a</w:t>
      </w:r>
      <w:r>
        <w:rPr>
          <w:spacing w:val="47"/>
          <w:w w:val="101"/>
        </w:rPr>
        <w:t xml:space="preserve"> </w:t>
      </w:r>
      <w:r>
        <w:rPr>
          <w:spacing w:val="-1"/>
        </w:rPr>
        <w:t>robust</w:t>
      </w:r>
      <w:r>
        <w:rPr>
          <w:spacing w:val="43"/>
        </w:rPr>
        <w:t xml:space="preserve"> </w:t>
      </w:r>
      <w:r>
        <w:rPr>
          <w:spacing w:val="-1"/>
        </w:rPr>
        <w:t>collat</w:t>
      </w:r>
      <w:r>
        <w:rPr>
          <w:spacing w:val="-2"/>
        </w:rPr>
        <w:t>eral</w:t>
      </w:r>
    </w:p>
    <w:p>
      <w:pPr>
        <w:pStyle w:val="BodyText"/>
        <w:spacing w:line="247" w:lineRule="exact"/>
      </w:pPr>
      <w:r>
        <w:rPr>
          <w:spacing w:val="-1"/>
          <w:position w:val="3"/>
        </w:rPr>
        <w:t>framework,liquid</w:t>
      </w:r>
      <w:r>
        <w:rPr>
          <w:spacing w:val="23"/>
          <w:position w:val="3"/>
        </w:rPr>
        <w:t xml:space="preserve">  </w:t>
      </w:r>
      <w:r>
        <w:rPr>
          <w:spacing w:val="-1"/>
          <w:position w:val="3"/>
        </w:rPr>
        <w:t>domestic</w:t>
      </w:r>
      <w:r>
        <w:rPr>
          <w:spacing w:val="23"/>
          <w:position w:val="3"/>
        </w:rPr>
        <w:t xml:space="preserve">  </w:t>
      </w:r>
      <w:r>
        <w:rPr>
          <w:spacing w:val="-1"/>
          <w:position w:val="3"/>
        </w:rPr>
        <w:t>bond</w:t>
      </w:r>
      <w:r>
        <w:rPr>
          <w:spacing w:val="23"/>
          <w:w w:val="101"/>
          <w:position w:val="3"/>
        </w:rPr>
        <w:t xml:space="preserve">  </w:t>
      </w:r>
      <w:r>
        <w:rPr>
          <w:spacing w:val="-1"/>
          <w:position w:val="3"/>
        </w:rPr>
        <w:t>markets,and</w:t>
      </w:r>
    </w:p>
    <w:p>
      <w:pPr>
        <w:pStyle w:val="BodyText"/>
        <w:spacing w:line="236" w:lineRule="exact"/>
      </w:pPr>
      <w:r>
        <w:rPr>
          <w:spacing w:val="-1"/>
          <w:position w:val="2"/>
        </w:rPr>
        <w:t>interoperable</w:t>
      </w:r>
      <w:r>
        <w:rPr>
          <w:spacing w:val="22"/>
          <w:w w:val="101"/>
          <w:position w:val="2"/>
        </w:rPr>
        <w:t xml:space="preserve">  </w:t>
      </w:r>
      <w:r>
        <w:rPr>
          <w:spacing w:val="-1"/>
          <w:position w:val="2"/>
        </w:rPr>
        <w:t>market</w:t>
      </w:r>
      <w:r>
        <w:rPr>
          <w:spacing w:val="23"/>
          <w:position w:val="2"/>
        </w:rPr>
        <w:t xml:space="preserve">  </w:t>
      </w:r>
      <w:r>
        <w:rPr>
          <w:spacing w:val="-1"/>
          <w:position w:val="2"/>
        </w:rPr>
        <w:t>infrastructur</w:t>
      </w:r>
      <w:r>
        <w:rPr>
          <w:spacing w:val="-2"/>
          <w:position w:val="2"/>
        </w:rPr>
        <w:t>es.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82" w:lineRule="auto"/>
        <w:rPr>
          <w:sz w:val="21"/>
        </w:rPr>
      </w:pPr>
    </w:p>
    <w:p>
      <w:pPr>
        <w:pStyle w:val="BodyText"/>
        <w:spacing w:before="52" w:line="198" w:lineRule="auto"/>
      </w:pPr>
      <w:r>
        <w:rPr>
          <w:spacing w:val="-2"/>
        </w:rPr>
        <w:t>HIGHLIGHTS</w:t>
      </w:r>
    </w:p>
    <w:p>
      <w:pPr>
        <w:pStyle w:val="BodyText"/>
        <w:spacing w:before="219" w:line="271" w:lineRule="auto"/>
        <w:ind w:left="350" w:right="847"/>
      </w:pPr>
      <w:r>
        <w:rPr>
          <w:spacing w:val="-2"/>
        </w:rPr>
        <w:t>Eligible</w:t>
      </w:r>
      <w:r>
        <w:rPr>
          <w:spacing w:val="39"/>
          <w:w w:val="101"/>
        </w:rPr>
        <w:t xml:space="preserve"> </w:t>
      </w:r>
      <w:r>
        <w:rPr>
          <w:spacing w:val="-2"/>
        </w:rPr>
        <w:t>collateral</w:t>
      </w:r>
      <w:r>
        <w:rPr>
          <w:spacing w:val="34"/>
          <w:w w:val="101"/>
        </w:rPr>
        <w:t xml:space="preserve"> </w:t>
      </w:r>
      <w:r>
        <w:rPr>
          <w:spacing w:val="-2"/>
        </w:rPr>
        <w:t>plays</w:t>
      </w:r>
      <w:r>
        <w:rPr>
          <w:spacing w:val="28"/>
          <w:w w:val="101"/>
        </w:rPr>
        <w:t xml:space="preserve"> </w:t>
      </w:r>
      <w:r>
        <w:rPr>
          <w:spacing w:val="-2"/>
        </w:rPr>
        <w:t>a</w:t>
      </w:r>
      <w:r>
        <w:rPr>
          <w:spacing w:val="34"/>
        </w:rPr>
        <w:t xml:space="preserve"> </w:t>
      </w:r>
      <w:r>
        <w:rPr>
          <w:spacing w:val="-2"/>
        </w:rPr>
        <w:t>pivotal</w:t>
      </w:r>
      <w:r>
        <w:rPr>
          <w:spacing w:val="34"/>
        </w:rPr>
        <w:t xml:space="preserve"> </w:t>
      </w:r>
      <w:r>
        <w:rPr>
          <w:spacing w:val="-2"/>
        </w:rPr>
        <w:t>role</w:t>
      </w:r>
      <w:r>
        <w:rPr>
          <w:spacing w:val="34"/>
        </w:rPr>
        <w:t xml:space="preserve"> </w:t>
      </w:r>
      <w:r>
        <w:rPr>
          <w:spacing w:val="-2"/>
        </w:rPr>
        <w:t>in</w:t>
      </w:r>
      <w:r>
        <w:rPr>
          <w:spacing w:val="28"/>
        </w:rPr>
        <w:t xml:space="preserve"> </w:t>
      </w:r>
      <w:r>
        <w:rPr>
          <w:spacing w:val="-2"/>
        </w:rPr>
        <w:t>supporting</w:t>
      </w:r>
      <w:r>
        <w:t xml:space="preserve"> </w:t>
      </w:r>
      <w:r>
        <w:t>financial  transactions.The  importance  of  eli</w:t>
      </w:r>
      <w:r>
        <w:rPr>
          <w:spacing w:val="-1"/>
        </w:rPr>
        <w:t>gible</w:t>
      </w:r>
    </w:p>
    <w:p>
      <w:pPr>
        <w:pStyle w:val="BodyText"/>
        <w:spacing w:line="277" w:lineRule="auto"/>
        <w:ind w:left="350" w:right="777"/>
      </w:pPr>
      <w:r>
        <w:rPr>
          <w:spacing w:val="-1"/>
        </w:rPr>
        <w:t>collateral</w:t>
      </w:r>
      <w:r>
        <w:rPr>
          <w:spacing w:val="45"/>
        </w:rPr>
        <w:t xml:space="preserve"> </w:t>
      </w:r>
      <w:r>
        <w:rPr>
          <w:spacing w:val="-1"/>
        </w:rPr>
        <w:t>criteria</w:t>
      </w:r>
      <w:r>
        <w:rPr>
          <w:spacing w:val="47"/>
          <w:w w:val="101"/>
        </w:rPr>
        <w:t xml:space="preserve"> </w:t>
      </w:r>
      <w:r>
        <w:rPr>
          <w:spacing w:val="-1"/>
        </w:rPr>
        <w:t>has</w:t>
      </w:r>
      <w:r>
        <w:rPr>
          <w:spacing w:val="41"/>
          <w:w w:val="101"/>
        </w:rPr>
        <w:t xml:space="preserve"> </w:t>
      </w:r>
      <w:r>
        <w:rPr>
          <w:spacing w:val="-1"/>
        </w:rPr>
        <w:t>garnered</w:t>
      </w:r>
      <w:r>
        <w:rPr>
          <w:spacing w:val="41"/>
          <w:w w:val="101"/>
        </w:rPr>
        <w:t xml:space="preserve"> </w:t>
      </w:r>
      <w:r>
        <w:rPr>
          <w:spacing w:val="-1"/>
        </w:rPr>
        <w:t>significant</w:t>
      </w:r>
      <w:r>
        <w:rPr>
          <w:spacing w:val="42"/>
          <w:w w:val="101"/>
        </w:rPr>
        <w:t xml:space="preserve"> </w:t>
      </w:r>
      <w:r>
        <w:rPr>
          <w:spacing w:val="-1"/>
        </w:rPr>
        <w:t>attention</w:t>
      </w:r>
      <w:r>
        <w:t xml:space="preserve"> </w:t>
      </w:r>
      <w:r>
        <w:rPr>
          <w:spacing w:val="-1"/>
        </w:rPr>
        <w:t>as</w:t>
      </w:r>
      <w:r>
        <w:rPr>
          <w:spacing w:val="36"/>
          <w:w w:val="101"/>
        </w:rPr>
        <w:t xml:space="preserve"> </w:t>
      </w:r>
      <w:r>
        <w:rPr>
          <w:spacing w:val="-1"/>
        </w:rPr>
        <w:t>financial</w:t>
      </w:r>
      <w:r>
        <w:rPr>
          <w:spacing w:val="46"/>
        </w:rPr>
        <w:t xml:space="preserve"> </w:t>
      </w:r>
      <w:r>
        <w:rPr>
          <w:spacing w:val="-1"/>
        </w:rPr>
        <w:t>market</w:t>
      </w:r>
      <w:r>
        <w:rPr>
          <w:spacing w:val="45"/>
          <w:w w:val="101"/>
        </w:rPr>
        <w:t xml:space="preserve"> </w:t>
      </w:r>
      <w:r>
        <w:rPr>
          <w:spacing w:val="-1"/>
        </w:rPr>
        <w:t>infrastructures</w:t>
      </w:r>
      <w:r>
        <w:rPr>
          <w:spacing w:val="40"/>
        </w:rPr>
        <w:t xml:space="preserve"> </w:t>
      </w:r>
      <w:r>
        <w:rPr>
          <w:spacing w:val="-1"/>
        </w:rPr>
        <w:t>and</w:t>
      </w:r>
      <w:r>
        <w:rPr>
          <w:spacing w:val="35"/>
          <w:w w:val="101"/>
        </w:rPr>
        <w:t xml:space="preserve"> </w:t>
      </w:r>
      <w:r>
        <w:rPr>
          <w:spacing w:val="-1"/>
        </w:rPr>
        <w:t>financial</w:t>
      </w:r>
    </w:p>
    <w:p>
      <w:pPr>
        <w:pStyle w:val="BodyText"/>
        <w:spacing w:before="2" w:line="260" w:lineRule="auto"/>
        <w:ind w:left="350" w:right="627"/>
      </w:pPr>
      <w:r>
        <w:rPr>
          <w:spacing w:val="-1"/>
        </w:rPr>
        <w:t>institutions</w:t>
      </w:r>
      <w:r>
        <w:rPr>
          <w:spacing w:val="40"/>
        </w:rPr>
        <w:t xml:space="preserve"> </w:t>
      </w:r>
      <w:r>
        <w:rPr>
          <w:spacing w:val="-1"/>
        </w:rPr>
        <w:t>step</w:t>
      </w:r>
      <w:r>
        <w:rPr>
          <w:spacing w:val="46"/>
        </w:rPr>
        <w:t xml:space="preserve"> </w:t>
      </w:r>
      <w:r>
        <w:rPr>
          <w:spacing w:val="-1"/>
        </w:rPr>
        <w:t>up</w:t>
      </w:r>
      <w:r>
        <w:rPr>
          <w:spacing w:val="37"/>
          <w:w w:val="101"/>
        </w:rPr>
        <w:t xml:space="preserve"> </w:t>
      </w:r>
      <w:r>
        <w:rPr>
          <w:spacing w:val="-1"/>
        </w:rPr>
        <w:t>their</w:t>
      </w:r>
      <w:r>
        <w:rPr>
          <w:spacing w:val="38"/>
          <w:w w:val="101"/>
        </w:rPr>
        <w:t xml:space="preserve"> </w:t>
      </w:r>
      <w:r>
        <w:rPr>
          <w:spacing w:val="-1"/>
        </w:rPr>
        <w:t>efforts</w:t>
      </w:r>
      <w:r>
        <w:rPr>
          <w:spacing w:val="37"/>
          <w:w w:val="101"/>
        </w:rPr>
        <w:t xml:space="preserve"> </w:t>
      </w:r>
      <w:r>
        <w:rPr>
          <w:spacing w:val="-2"/>
        </w:rPr>
        <w:t>to</w:t>
      </w:r>
      <w:r>
        <w:rPr>
          <w:spacing w:val="46"/>
        </w:rPr>
        <w:t xml:space="preserve"> </w:t>
      </w:r>
      <w:r>
        <w:rPr>
          <w:spacing w:val="-2"/>
        </w:rPr>
        <w:t>respond</w:t>
      </w:r>
      <w:r>
        <w:rPr>
          <w:spacing w:val="37"/>
          <w:w w:val="101"/>
        </w:rPr>
        <w:t xml:space="preserve"> </w:t>
      </w:r>
      <w:r>
        <w:rPr>
          <w:spacing w:val="-2"/>
        </w:rPr>
        <w:t>to</w:t>
      </w:r>
      <w:r>
        <w:rPr>
          <w:spacing w:val="40"/>
        </w:rPr>
        <w:t xml:space="preserve"> </w:t>
      </w:r>
      <w:r>
        <w:rPr>
          <w:spacing w:val="-2"/>
        </w:rPr>
        <w:t>global</w:t>
      </w:r>
      <w:r>
        <w:t xml:space="preserve"> </w:t>
      </w:r>
      <w:r>
        <w:rPr>
          <w:spacing w:val="-1"/>
        </w:rPr>
        <w:t>financial</w:t>
      </w:r>
      <w:r>
        <w:rPr>
          <w:spacing w:val="52"/>
        </w:rPr>
        <w:t xml:space="preserve"> </w:t>
      </w:r>
      <w:r>
        <w:rPr>
          <w:spacing w:val="-1"/>
        </w:rPr>
        <w:t>regulatory  changes.</w:t>
      </w:r>
    </w:p>
    <w:p>
      <w:pPr>
        <w:pStyle w:val="BodyText"/>
        <w:spacing w:line="276" w:lineRule="auto"/>
        <w:rPr>
          <w:sz w:val="21"/>
        </w:rPr>
      </w:pPr>
    </w:p>
    <w:p>
      <w:pPr>
        <w:pStyle w:val="BodyText"/>
        <w:spacing w:before="52" w:line="245" w:lineRule="exact"/>
        <w:ind w:left="350"/>
      </w:pPr>
      <w:r>
        <w:rPr>
          <w:spacing w:val="-2"/>
          <w:position w:val="1"/>
        </w:rPr>
        <w:t>Central banks tend to take amore</w:t>
      </w:r>
      <w:r>
        <w:rPr>
          <w:spacing w:val="6"/>
          <w:position w:val="1"/>
        </w:rPr>
        <w:t xml:space="preserve"> </w:t>
      </w:r>
      <w:r>
        <w:rPr>
          <w:spacing w:val="-2"/>
          <w:position w:val="1"/>
        </w:rPr>
        <w:t>c</w:t>
      </w:r>
      <w:r>
        <w:rPr>
          <w:spacing w:val="-3"/>
          <w:position w:val="1"/>
        </w:rPr>
        <w:t>onservative</w:t>
      </w:r>
    </w:p>
    <w:p>
      <w:pPr>
        <w:pStyle w:val="BodyText"/>
        <w:spacing w:before="1" w:line="324" w:lineRule="auto"/>
        <w:ind w:left="350" w:right="684"/>
      </w:pPr>
      <w:r>
        <w:t>approachinsetting</w:t>
      </w:r>
      <w:r>
        <w:rPr>
          <w:spacing w:val="8"/>
        </w:rPr>
        <w:t xml:space="preserve"> </w:t>
      </w:r>
      <w:r>
        <w:t>collateral</w:t>
      </w:r>
      <w:r>
        <w:rPr>
          <w:spacing w:val="8"/>
        </w:rPr>
        <w:t xml:space="preserve"> </w:t>
      </w:r>
      <w:r>
        <w:t>citeria</w:t>
      </w:r>
      <w:r>
        <w:rPr>
          <w:spacing w:val="8"/>
        </w:rPr>
        <w:t xml:space="preserve"> </w:t>
      </w:r>
      <w:r>
        <w:t>compared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rPr>
          <w:spacing w:val="-2"/>
        </w:rPr>
        <w:t>collateral frameworks.This behavior accoun</w:t>
      </w:r>
      <w:r>
        <w:rPr>
          <w:spacing w:val="-3"/>
        </w:rPr>
        <w:t>ts for</w:t>
      </w:r>
    </w:p>
    <w:p>
      <w:pPr>
        <w:pStyle w:val="BodyText"/>
        <w:spacing w:before="1" w:line="275" w:lineRule="auto"/>
        <w:ind w:left="350" w:right="723"/>
      </w:pPr>
      <w:r>
        <w:rPr>
          <w:spacing w:val="-3"/>
        </w:rPr>
        <w:t>various restrictions imposed by</w:t>
      </w:r>
      <w:r>
        <w:rPr>
          <w:spacing w:val="10"/>
        </w:rPr>
        <w:t xml:space="preserve"> </w:t>
      </w:r>
      <w:r>
        <w:rPr>
          <w:spacing w:val="-4"/>
        </w:rPr>
        <w:t>individual</w:t>
      </w:r>
      <w:r>
        <w:rPr>
          <w:spacing w:val="5"/>
        </w:rPr>
        <w:t xml:space="preserve"> </w:t>
      </w:r>
      <w:r>
        <w:rPr>
          <w:spacing w:val="-4"/>
        </w:rPr>
        <w:t>central</w:t>
      </w:r>
      <w:r>
        <w:rPr>
          <w:spacing w:val="9"/>
        </w:rPr>
        <w:t xml:space="preserve"> </w:t>
      </w:r>
      <w:r>
        <w:rPr>
          <w:spacing w:val="-4"/>
        </w:rPr>
        <w:t>banks</w:t>
      </w:r>
      <w:r>
        <w:t xml:space="preserve"> </w:t>
      </w:r>
      <w:r>
        <w:rPr>
          <w:spacing w:val="-2"/>
        </w:rPr>
        <w:t>n accordance with rel</w:t>
      </w:r>
      <w:r>
        <w:rPr>
          <w:spacing w:val="-3"/>
        </w:rPr>
        <w:t>evantlaws and</w:t>
      </w:r>
      <w:r>
        <w:rPr>
          <w:spacing w:val="10"/>
        </w:rPr>
        <w:t xml:space="preserve"> </w:t>
      </w:r>
      <w:r>
        <w:rPr>
          <w:spacing w:val="-3"/>
        </w:rPr>
        <w:t>regulations.</w:t>
      </w:r>
    </w:p>
    <w:p>
      <w:pPr>
        <w:pStyle w:val="BodyText"/>
        <w:spacing w:before="125" w:line="245" w:lineRule="exact"/>
        <w:ind w:left="350"/>
      </w:pPr>
      <w:r>
        <w:rPr>
          <w:position w:val="3"/>
        </w:rPr>
        <w:t>Central  counterparties  (CCPs)i</w:t>
      </w:r>
      <w:r>
        <w:rPr>
          <w:spacing w:val="-1"/>
          <w:position w:val="3"/>
        </w:rPr>
        <w:t>n  the  markets</w:t>
      </w:r>
      <w:r>
        <w:rPr>
          <w:spacing w:val="2"/>
          <w:position w:val="3"/>
        </w:rPr>
        <w:t xml:space="preserve">  </w:t>
      </w:r>
      <w:r>
        <w:rPr>
          <w:spacing w:val="-1"/>
          <w:position w:val="3"/>
        </w:rPr>
        <w:t>of</w:t>
      </w:r>
    </w:p>
    <w:p>
      <w:pPr>
        <w:pStyle w:val="BodyText"/>
        <w:spacing w:before="14" w:line="284" w:lineRule="auto"/>
        <w:ind w:left="350" w:right="737"/>
      </w:pPr>
      <w:r>
        <w:t xml:space="preserve">developed  economies  provide  </w:t>
      </w:r>
      <w:r>
        <w:rPr>
          <w:spacing w:val="-1"/>
        </w:rPr>
        <w:t>underlying  collateral</w:t>
      </w:r>
      <w:r>
        <w:t xml:space="preserve"> </w:t>
      </w:r>
      <w:r>
        <w:rPr>
          <w:spacing w:val="-1"/>
        </w:rPr>
        <w:t>baskets</w:t>
      </w:r>
      <w:r>
        <w:rPr>
          <w:spacing w:val="26"/>
          <w:w w:val="101"/>
        </w:rPr>
        <w:t xml:space="preserve"> </w:t>
      </w:r>
      <w:r>
        <w:rPr>
          <w:spacing w:val="-1"/>
        </w:rPr>
        <w:t>for</w:t>
      </w:r>
      <w:r>
        <w:rPr>
          <w:spacing w:val="31"/>
        </w:rPr>
        <w:t xml:space="preserve"> </w:t>
      </w:r>
      <w:r>
        <w:rPr>
          <w:spacing w:val="-1"/>
        </w:rPr>
        <w:t>CCP-cleared</w:t>
      </w:r>
      <w:r>
        <w:rPr>
          <w:spacing w:val="36"/>
        </w:rPr>
        <w:t xml:space="preserve"> </w:t>
      </w:r>
      <w:r>
        <w:rPr>
          <w:spacing w:val="-1"/>
        </w:rPr>
        <w:t>repo</w:t>
      </w:r>
      <w:r>
        <w:rPr>
          <w:spacing w:val="27"/>
          <w:w w:val="101"/>
        </w:rPr>
        <w:t xml:space="preserve"> </w:t>
      </w:r>
      <w:r>
        <w:rPr>
          <w:spacing w:val="-1"/>
        </w:rPr>
        <w:t>transactions.</w:t>
      </w:r>
    </w:p>
    <w:p>
      <w:pPr>
        <w:pStyle w:val="BodyText"/>
        <w:spacing w:before="271" w:line="297" w:lineRule="auto"/>
        <w:ind w:left="350" w:right="697"/>
      </w:pPr>
      <w:r>
        <w:t>Global</w:t>
      </w:r>
      <w:r>
        <w:rPr>
          <w:spacing w:val="47"/>
          <w:w w:val="101"/>
        </w:rPr>
        <w:t xml:space="preserve"> </w:t>
      </w:r>
      <w:r>
        <w:t>financial  regula</w:t>
      </w:r>
      <w:r>
        <w:rPr>
          <w:spacing w:val="-1"/>
        </w:rPr>
        <w:t>tory  frameworks  extensively</w:t>
      </w:r>
      <w:r>
        <w:t xml:space="preserve">   </w:t>
      </w:r>
      <w:r>
        <w:rPr>
          <w:spacing w:val="-1"/>
        </w:rPr>
        <w:t>affect  CCPs</w:t>
      </w:r>
      <w:r>
        <w:rPr>
          <w:spacing w:val="46"/>
        </w:rPr>
        <w:t xml:space="preserve"> </w:t>
      </w:r>
      <w:r>
        <w:rPr>
          <w:spacing w:val="-1"/>
        </w:rPr>
        <w:t>and</w:t>
      </w:r>
      <w:r>
        <w:rPr>
          <w:spacing w:val="41"/>
          <w:w w:val="101"/>
        </w:rPr>
        <w:t xml:space="preserve"> </w:t>
      </w:r>
      <w:r>
        <w:rPr>
          <w:spacing w:val="-1"/>
        </w:rPr>
        <w:t>financial  institutions  in  condu</w:t>
      </w:r>
      <w:r>
        <w:rPr>
          <w:spacing w:val="-2"/>
        </w:rPr>
        <w:t>cting</w:t>
      </w:r>
      <w:r>
        <w:t xml:space="preserve"> </w:t>
      </w:r>
      <w:r>
        <w:rPr>
          <w:spacing w:val="-1"/>
        </w:rPr>
        <w:t>secured</w:t>
      </w:r>
      <w:r>
        <w:rPr>
          <w:spacing w:val="33"/>
          <w:w w:val="101"/>
        </w:rPr>
        <w:t xml:space="preserve"> </w:t>
      </w:r>
      <w:r>
        <w:rPr>
          <w:spacing w:val="-1"/>
        </w:rPr>
        <w:t>financial</w:t>
      </w:r>
      <w:r>
        <w:rPr>
          <w:spacing w:val="24"/>
        </w:rPr>
        <w:t xml:space="preserve"> </w:t>
      </w:r>
      <w:r>
        <w:rPr>
          <w:spacing w:val="-1"/>
        </w:rPr>
        <w:t>transactions</w:t>
      </w:r>
      <w:r>
        <w:rPr>
          <w:spacing w:val="28"/>
        </w:rPr>
        <w:t xml:space="preserve"> </w:t>
      </w:r>
      <w:r>
        <w:rPr>
          <w:spacing w:val="-1"/>
        </w:rPr>
        <w:t>and</w:t>
      </w:r>
      <w:r>
        <w:rPr>
          <w:spacing w:val="28"/>
        </w:rPr>
        <w:t xml:space="preserve"> </w:t>
      </w:r>
      <w:r>
        <w:rPr>
          <w:spacing w:val="-1"/>
        </w:rPr>
        <w:t>collateral</w:t>
      </w:r>
      <w:r>
        <w:rPr>
          <w:spacing w:val="33"/>
        </w:rPr>
        <w:t xml:space="preserve"> </w:t>
      </w:r>
      <w:r>
        <w:rPr>
          <w:spacing w:val="-1"/>
        </w:rPr>
        <w:t>risk</w:t>
      </w:r>
    </w:p>
    <w:p>
      <w:pPr>
        <w:pStyle w:val="BodyText"/>
        <w:spacing w:line="192" w:lineRule="auto"/>
        <w:ind w:left="350"/>
      </w:pPr>
      <w:r>
        <w:rPr>
          <w:spacing w:val="-2"/>
        </w:rPr>
        <w:t>management.</w:t>
      </w:r>
    </w:p>
    <w:p>
      <w:pPr>
        <w:pStyle w:val="BodyText"/>
        <w:spacing w:before="265" w:line="280" w:lineRule="auto"/>
        <w:ind w:left="350" w:right="896"/>
      </w:pPr>
      <w:r>
        <w:rPr>
          <w:spacing w:val="-1"/>
        </w:rPr>
        <w:t>Tofacilitate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development</w:t>
      </w:r>
      <w:r>
        <w:rPr>
          <w:spacing w:val="17"/>
          <w:w w:val="101"/>
        </w:rPr>
        <w:t xml:space="preserve"> </w:t>
      </w:r>
      <w:r>
        <w:rPr>
          <w:spacing w:val="-1"/>
        </w:rPr>
        <w:t>of</w:t>
      </w:r>
      <w:r>
        <w:rPr>
          <w:spacing w:val="16"/>
        </w:rPr>
        <w:t xml:space="preserve"> </w:t>
      </w:r>
      <w:r>
        <w:rPr>
          <w:spacing w:val="-1"/>
        </w:rPr>
        <w:t>local</w:t>
      </w:r>
      <w:r>
        <w:rPr>
          <w:spacing w:val="18"/>
        </w:rPr>
        <w:t xml:space="preserve"> </w:t>
      </w:r>
      <w:r>
        <w:rPr>
          <w:spacing w:val="-1"/>
        </w:rPr>
        <w:t>curency</w:t>
      </w:r>
      <w:r>
        <w:rPr>
          <w:spacing w:val="23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ond</w:t>
      </w:r>
      <w:r>
        <w:t xml:space="preserve"> </w:t>
      </w:r>
      <w:r>
        <w:rPr>
          <w:spacing w:val="-2"/>
        </w:rPr>
        <w:t>markets</w:t>
      </w:r>
      <w:r>
        <w:rPr>
          <w:spacing w:val="28"/>
        </w:rPr>
        <w:t xml:space="preserve"> </w:t>
      </w:r>
      <w:r>
        <w:rPr>
          <w:spacing w:val="-2"/>
        </w:rPr>
        <w:t>in</w:t>
      </w:r>
      <w:r>
        <w:rPr>
          <w:spacing w:val="15"/>
          <w:w w:val="101"/>
        </w:rPr>
        <w:t xml:space="preserve"> </w:t>
      </w:r>
      <w:r>
        <w:rPr>
          <w:spacing w:val="-2"/>
        </w:rPr>
        <w:t>the</w:t>
      </w:r>
      <w:r>
        <w:rPr>
          <w:spacing w:val="23"/>
          <w:w w:val="101"/>
        </w:rPr>
        <w:t xml:space="preserve"> </w:t>
      </w:r>
      <w:r>
        <w:rPr>
          <w:spacing w:val="-2"/>
        </w:rPr>
        <w:t>region,it</w:t>
      </w:r>
      <w:r>
        <w:rPr>
          <w:spacing w:val="24"/>
        </w:rPr>
        <w:t xml:space="preserve"> </w:t>
      </w:r>
      <w:r>
        <w:rPr>
          <w:spacing w:val="-2"/>
        </w:rPr>
        <w:t>is</w:t>
      </w:r>
      <w:r>
        <w:rPr>
          <w:spacing w:val="24"/>
        </w:rPr>
        <w:t xml:space="preserve"> </w:t>
      </w:r>
      <w:r>
        <w:rPr>
          <w:spacing w:val="-2"/>
        </w:rPr>
        <w:t>important</w:t>
      </w:r>
      <w:r>
        <w:rPr>
          <w:spacing w:val="15"/>
          <w:w w:val="101"/>
        </w:rPr>
        <w:t xml:space="preserve"> </w:t>
      </w:r>
      <w:r>
        <w:rPr>
          <w:spacing w:val="-2"/>
        </w:rPr>
        <w:t>to</w:t>
      </w:r>
      <w:r>
        <w:rPr>
          <w:spacing w:val="23"/>
        </w:rPr>
        <w:t xml:space="preserve"> </w:t>
      </w:r>
      <w:r>
        <w:rPr>
          <w:spacing w:val="-2"/>
        </w:rPr>
        <w:t>(expand</w:t>
      </w:r>
    </w:p>
    <w:p>
      <w:pPr>
        <w:pStyle w:val="BodyText"/>
        <w:spacing w:line="240" w:lineRule="exact"/>
        <w:ind w:left="350"/>
      </w:pPr>
      <w:r>
        <w:rPr>
          <w:spacing w:val="-1"/>
          <w:position w:val="3"/>
        </w:rPr>
        <w:t>eligible collateral criteria,(il)revamp market</w:t>
      </w:r>
    </w:p>
    <w:p>
      <w:pPr>
        <w:pStyle w:val="BodyText"/>
        <w:spacing w:line="247" w:lineRule="exact"/>
        <w:ind w:left="350"/>
      </w:pPr>
      <w:r>
        <w:rPr>
          <w:position w:val="3"/>
        </w:rPr>
        <w:t>nfrastructures,(i)revisemarket    regulations,and</w:t>
      </w:r>
    </w:p>
    <w:p>
      <w:pPr>
        <w:pStyle w:val="BodyText"/>
        <w:spacing w:line="236" w:lineRule="exact"/>
        <w:ind w:left="350"/>
      </w:pPr>
      <w:r>
        <w:rPr>
          <w:spacing w:val="-1"/>
          <w:position w:val="2"/>
        </w:rPr>
        <w:t>(v)conduct</w:t>
      </w:r>
      <w:r>
        <w:rPr>
          <w:spacing w:val="45"/>
          <w:position w:val="2"/>
        </w:rPr>
        <w:t xml:space="preserve"> </w:t>
      </w:r>
      <w:r>
        <w:rPr>
          <w:spacing w:val="-1"/>
          <w:position w:val="2"/>
        </w:rPr>
        <w:t>further</w:t>
      </w:r>
      <w:r>
        <w:rPr>
          <w:spacing w:val="41"/>
          <w:w w:val="101"/>
          <w:position w:val="2"/>
        </w:rPr>
        <w:t xml:space="preserve"> </w:t>
      </w:r>
      <w:r>
        <w:rPr>
          <w:spacing w:val="-1"/>
          <w:position w:val="2"/>
        </w:rPr>
        <w:t>study.</w:t>
      </w:r>
    </w:p>
    <w:p>
      <w:pPr>
        <w:spacing w:line="236" w:lineRule="exact"/>
        <w:sectPr>
          <w:type w:val="continuous"/>
          <w:pgSz w:w="12240" w:h="15840"/>
          <w:pgMar w:top="1060" w:right="480" w:bottom="0" w:left="1059" w:header="0" w:footer="0" w:gutter="0"/>
          <w:pgNumType w:start="2"/>
          <w:cols w:num="2" w:space="708" w:equalWidth="0">
            <w:col w:w="5291" w:space="100"/>
            <w:col w:w="5310" w:space="0"/>
          </w:cols>
        </w:sectPr>
      </w:pP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4" w:lineRule="auto"/>
        <w:rPr>
          <w:sz w:val="21"/>
        </w:rPr>
        <w:sectPr>
          <w:type w:val="continuous"/>
          <w:pgSz w:w="12240" w:h="15840"/>
          <w:pgMar w:top="1060" w:right="480" w:bottom="0" w:left="1059" w:header="0" w:footer="0" w:gutter="0"/>
          <w:pgNumType w:start="3"/>
          <w:cols w:num="1" w:space="708" w:equalWidth="0">
            <w:col w:w="10700" w:space="0"/>
          </w:cols>
        </w:sectPr>
      </w:pPr>
    </w:p>
    <w:p>
      <w:pPr>
        <w:pStyle w:val="BodyText"/>
        <w:spacing w:before="52" w:line="262" w:lineRule="auto"/>
        <w:ind w:right="1024"/>
        <w:jc w:val="right"/>
      </w:pPr>
      <w:r>
        <w:rPr>
          <w:spacing w:val="-4"/>
        </w:rPr>
        <w:t>1This brief was written by</w:t>
      </w:r>
      <w:r>
        <w:rPr>
          <w:spacing w:val="10"/>
        </w:rPr>
        <w:t xml:space="preserve"> </w:t>
      </w:r>
      <w:r>
        <w:rPr>
          <w:spacing w:val="-4"/>
        </w:rPr>
        <w:t>Leelark</w:t>
      </w:r>
      <w:r>
        <w:rPr>
          <w:spacing w:val="11"/>
        </w:rPr>
        <w:t xml:space="preserve"> </w:t>
      </w:r>
      <w:r>
        <w:rPr>
          <w:spacing w:val="-4"/>
        </w:rPr>
        <w:t xml:space="preserve">Park,CSIF consultant,with support </w:t>
      </w:r>
      <w:r>
        <w:rPr>
          <w:spacing w:val="-5"/>
        </w:rPr>
        <w:t>from Satoru Yamadera,advisor,and</w:t>
      </w:r>
      <w:r>
        <w:rPr>
          <w:spacing w:val="2"/>
        </w:rPr>
        <w:t xml:space="preserve"> </w:t>
      </w:r>
      <w:r>
        <w:rPr>
          <w:spacing w:val="-5"/>
        </w:rPr>
        <w:t>Jiwoong</w:t>
      </w:r>
      <w:r>
        <w:rPr>
          <w:spacing w:val="6"/>
        </w:rPr>
        <w:t xml:space="preserve"> </w:t>
      </w:r>
      <w:r>
        <w:rPr>
          <w:spacing w:val="-5"/>
        </w:rPr>
        <w:t>Choi,financial</w:t>
      </w:r>
      <w:r>
        <w:t xml:space="preserve">  </w:t>
      </w:r>
      <w:r>
        <w:rPr>
          <w:spacing w:val="-5"/>
        </w:rPr>
        <w:t>sector specialist,both of the</w:t>
      </w:r>
      <w:r>
        <w:rPr>
          <w:spacing w:val="11"/>
        </w:rPr>
        <w:t xml:space="preserve"> </w:t>
      </w:r>
      <w:r>
        <w:rPr>
          <w:spacing w:val="-5"/>
        </w:rPr>
        <w:t>Economic</w:t>
      </w:r>
      <w:r>
        <w:rPr>
          <w:spacing w:val="11"/>
        </w:rPr>
        <w:t xml:space="preserve"> </w:t>
      </w:r>
      <w:r>
        <w:rPr>
          <w:spacing w:val="-5"/>
        </w:rPr>
        <w:t>Research and</w:t>
      </w:r>
      <w:r>
        <w:rPr>
          <w:spacing w:val="11"/>
        </w:rPr>
        <w:t xml:space="preserve"> </w:t>
      </w:r>
      <w:r>
        <w:rPr>
          <w:spacing w:val="-5"/>
        </w:rPr>
        <w:t>Development</w:t>
      </w:r>
      <w:r>
        <w:rPr>
          <w:spacing w:val="13"/>
        </w:rPr>
        <w:t xml:space="preserve"> </w:t>
      </w:r>
      <w:r>
        <w:rPr>
          <w:spacing w:val="-5"/>
        </w:rPr>
        <w:t>Impact</w:t>
      </w:r>
      <w:r>
        <w:rPr>
          <w:spacing w:val="11"/>
        </w:rPr>
        <w:t xml:space="preserve"> </w:t>
      </w:r>
      <w:r>
        <w:rPr>
          <w:spacing w:val="-5"/>
        </w:rPr>
        <w:t>Department of the Asian</w:t>
      </w:r>
      <w:r>
        <w:rPr>
          <w:spacing w:val="10"/>
        </w:rPr>
        <w:t xml:space="preserve"> </w:t>
      </w:r>
      <w:r>
        <w:rPr>
          <w:spacing w:val="-5"/>
        </w:rPr>
        <w:t>De</w:t>
      </w:r>
      <w:r>
        <w:rPr>
          <w:spacing w:val="-6"/>
        </w:rPr>
        <w:t>velopment</w:t>
      </w:r>
      <w:r>
        <w:rPr>
          <w:spacing w:val="10"/>
        </w:rPr>
        <w:t xml:space="preserve"> </w:t>
      </w:r>
      <w:r>
        <w:rPr>
          <w:spacing w:val="-6"/>
        </w:rPr>
        <w:t>Bank (ADB);</w:t>
      </w:r>
    </w:p>
    <w:p>
      <w:pPr>
        <w:pStyle w:val="BodyText"/>
        <w:spacing w:line="233" w:lineRule="exact"/>
        <w:ind w:left="129"/>
      </w:pPr>
      <w:r>
        <w:rPr>
          <w:spacing w:val="-2"/>
          <w:position w:val="2"/>
        </w:rPr>
        <w:t>Matthias Schmidt,ASEAN+3</w:t>
      </w:r>
      <w:r>
        <w:rPr>
          <w:spacing w:val="12"/>
          <w:position w:val="2"/>
        </w:rPr>
        <w:t xml:space="preserve"> </w:t>
      </w:r>
      <w:r>
        <w:rPr>
          <w:spacing w:val="-2"/>
          <w:position w:val="2"/>
        </w:rPr>
        <w:t>Bond</w:t>
      </w:r>
      <w:r>
        <w:rPr>
          <w:spacing w:val="12"/>
          <w:position w:val="2"/>
        </w:rPr>
        <w:t xml:space="preserve"> </w:t>
      </w:r>
      <w:r>
        <w:rPr>
          <w:spacing w:val="-2"/>
          <w:position w:val="2"/>
        </w:rPr>
        <w:t>Market</w:t>
      </w:r>
      <w:r>
        <w:rPr>
          <w:spacing w:val="13"/>
          <w:position w:val="2"/>
        </w:rPr>
        <w:t xml:space="preserve"> </w:t>
      </w:r>
      <w:r>
        <w:rPr>
          <w:spacing w:val="-2"/>
          <w:position w:val="2"/>
        </w:rPr>
        <w:t>Forum(ABMF)consultant;</w:t>
      </w:r>
      <w:r>
        <w:rPr>
          <w:spacing w:val="-3"/>
          <w:position w:val="2"/>
        </w:rPr>
        <w:t>and Yvonne Osonia,ADB consultant.</w:t>
      </w:r>
    </w:p>
    <w:p>
      <w:pPr>
        <w:pStyle w:val="BodyText"/>
        <w:spacing w:before="16" w:line="274" w:lineRule="auto"/>
        <w:ind w:left="129" w:right="924" w:hanging="129"/>
        <w:rPr>
          <w:sz w:val="17"/>
          <w:szCs w:val="17"/>
        </w:rPr>
      </w:pPr>
      <w:r>
        <w:rPr>
          <w:sz w:val="17"/>
          <w:szCs w:val="17"/>
        </w:rPr>
        <w:t>²ASEAN+3</w:t>
      </w:r>
      <w:r>
        <w:rPr>
          <w:spacing w:val="15"/>
          <w:sz w:val="17"/>
          <w:szCs w:val="17"/>
        </w:rPr>
        <w:t xml:space="preserve"> </w:t>
      </w:r>
      <w:r>
        <w:rPr>
          <w:sz w:val="17"/>
          <w:szCs w:val="17"/>
        </w:rPr>
        <w:t>refers to the</w:t>
      </w:r>
      <w:r>
        <w:rPr>
          <w:spacing w:val="22"/>
          <w:sz w:val="17"/>
          <w:szCs w:val="17"/>
        </w:rPr>
        <w:t xml:space="preserve"> </w:t>
      </w:r>
      <w:r>
        <w:rPr>
          <w:sz w:val="17"/>
          <w:szCs w:val="17"/>
        </w:rPr>
        <w:t>10</w:t>
      </w:r>
      <w:r>
        <w:rPr>
          <w:spacing w:val="14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m</w:t>
      </w:r>
      <w:r>
        <w:rPr>
          <w:spacing w:val="-1"/>
          <w:sz w:val="17"/>
          <w:szCs w:val="17"/>
        </w:rPr>
        <w:t>embers of the Association of Southeast</w:t>
      </w:r>
      <w:r>
        <w:rPr>
          <w:spacing w:val="3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Asian</w:t>
      </w:r>
      <w:r>
        <w:rPr>
          <w:spacing w:val="16"/>
          <w:w w:val="101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Nations</w:t>
      </w:r>
      <w:r>
        <w:rPr>
          <w:spacing w:val="14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(ASEAN)plus</w:t>
      </w:r>
      <w:r>
        <w:rPr>
          <w:spacing w:val="6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the</w:t>
      </w:r>
      <w:r>
        <w:rPr>
          <w:spacing w:val="16"/>
          <w:w w:val="101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People's</w:t>
      </w:r>
      <w:r>
        <w:rPr>
          <w:spacing w:val="17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Republic</w:t>
      </w:r>
      <w:r>
        <w:rPr>
          <w:spacing w:val="9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of</w:t>
      </w:r>
      <w:r>
        <w:rPr>
          <w:spacing w:val="5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China,</w:t>
      </w:r>
      <w:r>
        <w:rPr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Japan,and the</w:t>
      </w:r>
      <w:r>
        <w:rPr>
          <w:spacing w:val="13"/>
          <w:w w:val="101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Republ</w:t>
      </w:r>
      <w:r>
        <w:rPr>
          <w:spacing w:val="-2"/>
          <w:sz w:val="17"/>
          <w:szCs w:val="17"/>
        </w:rPr>
        <w:t>ic of Korea.</w:t>
      </w:r>
    </w:p>
    <w:p>
      <w:pPr>
        <w:spacing w:before="187" w:line="1190" w:lineRule="exact"/>
        <w:ind w:firstLine="9509"/>
      </w:pPr>
      <w:r>
        <w:rPr>
          <w:position w:val="-23"/>
        </w:rPr>
        <w:drawing>
          <wp:inline distT="0" distB="0" distL="0" distR="0">
            <wp:extent cx="755632" cy="755687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32" cy="75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90" w:lineRule="exact"/>
        <w:sectPr>
          <w:type w:val="nextPage"/>
          <w:pgSz w:w="12240" w:h="15840"/>
          <w:pgMar w:top="1060" w:right="480" w:bottom="0" w:left="1059" w:header="0" w:footer="0" w:gutter="0"/>
          <w:pgNumType w:start="4"/>
          <w:cols w:num="1" w:space="708" w:equalWidth="0">
            <w:col w:w="10700" w:space="0"/>
          </w:cols>
          <w:titlePg w:val="0"/>
        </w:sectPr>
      </w:pPr>
    </w:p>
    <w:p>
      <w:pPr>
        <w:pStyle w:val="BodyText"/>
        <w:spacing w:before="37" w:line="199" w:lineRule="auto"/>
        <w:jc w:val="right"/>
        <w:rPr>
          <w:sz w:val="20"/>
          <w:szCs w:val="20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691776</wp:posOffset>
            </wp:positionH>
            <wp:positionV relativeFrom="page">
              <wp:posOffset>8573777</wp:posOffset>
            </wp:positionV>
            <wp:extent cx="182880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0"/>
          <w:szCs w:val="20"/>
        </w:rPr>
        <w:t>2</w:t>
      </w:r>
      <w:r>
        <w:rPr>
          <w:sz w:val="20"/>
          <w:szCs w:val="20"/>
        </w:rPr>
        <w:t xml:space="preserve">                                                                                                      </w:t>
      </w:r>
      <w:r>
        <w:rPr>
          <w:spacing w:val="-5"/>
          <w:sz w:val="20"/>
          <w:szCs w:val="20"/>
        </w:rPr>
        <w:t>Comparative</w:t>
      </w:r>
      <w:r>
        <w:rPr>
          <w:spacing w:val="-12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Analysis of Colla</w:t>
      </w:r>
      <w:r>
        <w:rPr>
          <w:spacing w:val="-6"/>
          <w:sz w:val="20"/>
          <w:szCs w:val="20"/>
        </w:rPr>
        <w:t>teral Eligibility Criteria</w:t>
      </w:r>
    </w:p>
    <w:p>
      <w:pPr>
        <w:spacing w:before="163"/>
      </w:pPr>
    </w:p>
    <w:p>
      <w:pPr>
        <w:sectPr>
          <w:pgSz w:w="12240" w:h="15840"/>
          <w:pgMar w:top="737" w:right="1084" w:bottom="0" w:left="1089" w:header="0" w:footer="0" w:gutter="0"/>
          <w:pgNumType w:start="5"/>
          <w:cols w:num="1" w:space="708" w:equalWidth="0">
            <w:col w:w="10067" w:space="0"/>
          </w:cols>
        </w:sectPr>
      </w:pPr>
    </w:p>
    <w:p>
      <w:pPr>
        <w:pStyle w:val="BodyText"/>
        <w:spacing w:before="37" w:line="199" w:lineRule="auto"/>
        <w:ind w:left="21"/>
        <w:rPr>
          <w:sz w:val="20"/>
          <w:szCs w:val="20"/>
        </w:rPr>
      </w:pPr>
      <w:r>
        <w:rPr>
          <w:spacing w:val="-5"/>
          <w:sz w:val="20"/>
          <w:szCs w:val="20"/>
        </w:rPr>
        <w:t>In this regard, it is crucial to identify the collateral</w:t>
      </w:r>
    </w:p>
    <w:p>
      <w:pPr>
        <w:pStyle w:val="BodyText"/>
        <w:spacing w:before="49" w:line="224" w:lineRule="auto"/>
        <w:ind w:left="4" w:right="831" w:firstLine="4"/>
        <w:rPr>
          <w:sz w:val="20"/>
          <w:szCs w:val="20"/>
        </w:rPr>
      </w:pPr>
      <w:r>
        <w:rPr>
          <w:spacing w:val="-4"/>
          <w:sz w:val="20"/>
          <w:szCs w:val="20"/>
        </w:rPr>
        <w:t>eligibility criteria applicable to fin</w:t>
      </w:r>
      <w:r>
        <w:rPr>
          <w:spacing w:val="-5"/>
          <w:sz w:val="20"/>
          <w:szCs w:val="20"/>
        </w:rPr>
        <w:t>ancial transactions in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the markets.</w:t>
      </w:r>
    </w:p>
    <w:p>
      <w:pPr>
        <w:spacing w:before="145"/>
      </w:pPr>
    </w:p>
    <w:tbl>
      <w:tblPr>
        <w:tblStyle w:val="TableNormal0"/>
        <w:tblW w:w="4720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DEEBF7"/>
        <w:tblLayout w:type="fixed"/>
      </w:tblPr>
      <w:tblGrid>
        <w:gridCol w:w="4720"/>
      </w:tblGrid>
      <w:tr>
        <w:tblPrEx>
          <w:tblW w:w="4720" w:type="dxa"/>
          <w:tblInd w:w="14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shd w:val="clear" w:color="auto" w:fill="DEEBF7"/>
          <w:tblLayout w:type="fixed"/>
        </w:tblPrEx>
        <w:trPr>
          <w:trHeight w:val="10179"/>
        </w:trPr>
        <w:tc>
          <w:tcPr>
            <w:tcW w:w="4720" w:type="dxa"/>
            <w:shd w:val="clear" w:color="auto" w:fill="DEEBF7"/>
            <w:vAlign w:val="top"/>
          </w:tcPr>
          <w:p>
            <w:pPr>
              <w:pStyle w:val="TableText"/>
              <w:spacing w:before="220" w:line="202" w:lineRule="auto"/>
              <w:ind w:left="136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Cross-Border Settlement</w:t>
            </w:r>
            <w:r>
              <w:rPr>
                <w:b/>
                <w:bCs/>
                <w:spacing w:val="16"/>
                <w:w w:val="101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4"/>
                <w:sz w:val="19"/>
                <w:szCs w:val="19"/>
              </w:rPr>
              <w:t>Infrastructure</w:t>
            </w:r>
            <w:r>
              <w:rPr>
                <w:b/>
                <w:bCs/>
                <w:spacing w:val="16"/>
                <w:w w:val="101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4"/>
                <w:sz w:val="19"/>
                <w:szCs w:val="19"/>
              </w:rPr>
              <w:t>Forum</w:t>
            </w:r>
          </w:p>
          <w:p>
            <w:pPr>
              <w:pStyle w:val="TableText"/>
              <w:spacing w:before="176" w:line="200" w:lineRule="auto"/>
              <w:ind w:left="129"/>
            </w:pPr>
            <w:r>
              <w:rPr>
                <w:spacing w:val="-4"/>
              </w:rPr>
              <w:t>The Asian Bond Markets Initiative (ABMI) was</w:t>
            </w:r>
          </w:p>
          <w:p>
            <w:pPr>
              <w:pStyle w:val="TableText"/>
              <w:spacing w:before="48" w:line="197" w:lineRule="auto"/>
              <w:ind w:left="139"/>
            </w:pPr>
            <w:r>
              <w:rPr>
                <w:spacing w:val="-4"/>
              </w:rPr>
              <w:t>launched in 2003 by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the finan</w:t>
            </w:r>
            <w:r>
              <w:rPr>
                <w:spacing w:val="-5"/>
              </w:rPr>
              <w:t>ce ministers of the</w:t>
            </w:r>
          </w:p>
          <w:p>
            <w:pPr>
              <w:pStyle w:val="TableText"/>
              <w:spacing w:before="50" w:line="234" w:lineRule="auto"/>
              <w:ind w:left="132" w:right="444" w:hanging="5"/>
            </w:pPr>
            <w:r>
              <w:rPr>
                <w:spacing w:val="-5"/>
              </w:rPr>
              <w:t>Association of Southeast Asian Nations (ASEAN)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plus the People’s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 xml:space="preserve">Republic of China (PRC), Japan, </w:t>
            </w:r>
            <w:r>
              <w:rPr>
                <w:spacing w:val="-5"/>
              </w:rPr>
              <w:t>and the Republic of Korea (colle</w:t>
            </w:r>
            <w:r>
              <w:rPr>
                <w:spacing w:val="-6"/>
              </w:rPr>
              <w:t>ctively known as</w:t>
            </w:r>
          </w:p>
          <w:p>
            <w:pPr>
              <w:pStyle w:val="TableText"/>
              <w:spacing w:before="48" w:line="200" w:lineRule="auto"/>
              <w:ind w:left="127"/>
            </w:pPr>
            <w:r>
              <w:rPr>
                <w:spacing w:val="-4"/>
              </w:rPr>
              <w:t>ASEAN+3) to boost the developmen</w:t>
            </w:r>
            <w:r>
              <w:rPr>
                <w:spacing w:val="-5"/>
              </w:rPr>
              <w:t>t of local</w:t>
            </w:r>
          </w:p>
          <w:p>
            <w:pPr>
              <w:pStyle w:val="TableText"/>
              <w:spacing w:before="48" w:line="197" w:lineRule="auto"/>
              <w:ind w:left="133"/>
            </w:pPr>
            <w:r>
              <w:rPr>
                <w:spacing w:val="-6"/>
              </w:rPr>
              <w:t>currency bond markets. The Asian Development</w:t>
            </w:r>
          </w:p>
          <w:p>
            <w:pPr>
              <w:pStyle w:val="TableText"/>
              <w:spacing w:before="51" w:line="225" w:lineRule="auto"/>
              <w:ind w:left="138" w:right="337" w:firstLine="7"/>
            </w:pPr>
            <w:r>
              <w:rPr>
                <w:spacing w:val="-8"/>
              </w:rPr>
              <w:t>Bank has been acting as the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ABMI Secretariat since</w:t>
            </w:r>
            <w:r>
              <w:t xml:space="preserve"> </w:t>
            </w:r>
            <w:r>
              <w:rPr>
                <w:spacing w:val="-4"/>
              </w:rPr>
              <w:t>its inception.</w:t>
            </w:r>
          </w:p>
          <w:p>
            <w:pPr>
              <w:pStyle w:val="TableText"/>
              <w:spacing w:line="253" w:lineRule="auto"/>
              <w:rPr>
                <w:sz w:val="21"/>
              </w:rPr>
            </w:pPr>
          </w:p>
          <w:p>
            <w:pPr>
              <w:pStyle w:val="TableText"/>
              <w:spacing w:before="58" w:line="197" w:lineRule="auto"/>
              <w:ind w:left="129"/>
            </w:pPr>
            <w:r>
              <w:rPr>
                <w:spacing w:val="-4"/>
              </w:rPr>
              <w:t>The Cross-Border Settlement In</w:t>
            </w:r>
            <w:r>
              <w:rPr>
                <w:spacing w:val="-5"/>
              </w:rPr>
              <w:t>frastructure Forum</w:t>
            </w:r>
          </w:p>
          <w:p>
            <w:pPr>
              <w:pStyle w:val="TableText"/>
              <w:spacing w:before="51" w:line="200" w:lineRule="auto"/>
              <w:ind w:left="140"/>
            </w:pPr>
            <w:r>
              <w:rPr>
                <w:spacing w:val="-7"/>
              </w:rPr>
              <w:t>(CSIF), which has central banks and central</w:t>
            </w:r>
          </w:p>
          <w:p>
            <w:pPr>
              <w:pStyle w:val="TableText"/>
              <w:spacing w:before="49" w:line="200" w:lineRule="auto"/>
              <w:ind w:left="133"/>
            </w:pPr>
            <w:r>
              <w:rPr>
                <w:spacing w:val="-7"/>
              </w:rPr>
              <w:t xml:space="preserve">securities depositories (CSDs) as members </w:t>
            </w:r>
            <w:r>
              <w:rPr>
                <w:spacing w:val="-8"/>
              </w:rPr>
              <w:t>and</w:t>
            </w:r>
          </w:p>
          <w:p>
            <w:pPr>
              <w:pStyle w:val="TableText"/>
              <w:spacing w:before="46" w:line="238" w:lineRule="auto"/>
              <w:ind w:left="132" w:right="447" w:hanging="5"/>
            </w:pPr>
            <w:r>
              <w:rPr>
                <w:spacing w:val="-7"/>
              </w:rPr>
              <w:t>ASEAN+3 government official</w:t>
            </w:r>
            <w:r>
              <w:rPr>
                <w:spacing w:val="-8"/>
              </w:rPr>
              <w:t>s as observers, is a</w:t>
            </w:r>
            <w:r>
              <w:t xml:space="preserve">   </w:t>
            </w:r>
            <w:r>
              <w:rPr>
                <w:spacing w:val="-4"/>
              </w:rPr>
              <w:t>subforum under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ABMI that promotes more active</w:t>
            </w:r>
            <w:r>
              <w:t xml:space="preserve"> </w:t>
            </w:r>
            <w:r>
              <w:rPr>
                <w:spacing w:val="-5"/>
              </w:rPr>
              <w:t>intraregional portfolio investments by creating an</w:t>
            </w:r>
            <w:r>
              <w:rPr>
                <w:spacing w:val="6"/>
              </w:rPr>
              <w:t xml:space="preserve">  </w:t>
            </w:r>
            <w:r>
              <w:rPr>
                <w:spacing w:val="-4"/>
              </w:rPr>
              <w:t>efficient regional settlement intermediary.</w:t>
            </w:r>
          </w:p>
          <w:p>
            <w:pPr>
              <w:pStyle w:val="TableText"/>
              <w:spacing w:line="254" w:lineRule="auto"/>
              <w:rPr>
                <w:sz w:val="21"/>
              </w:rPr>
            </w:pPr>
          </w:p>
          <w:p>
            <w:pPr>
              <w:pStyle w:val="TableText"/>
              <w:spacing w:before="59" w:line="197" w:lineRule="auto"/>
              <w:ind w:left="136"/>
            </w:pPr>
            <w:r>
              <w:rPr>
                <w:spacing w:val="-5"/>
              </w:rPr>
              <w:t>Cross-border transactio</w:t>
            </w:r>
            <w:r>
              <w:rPr>
                <w:spacing w:val="-6"/>
              </w:rPr>
              <w:t>ns in bonds and other</w:t>
            </w:r>
          </w:p>
          <w:p>
            <w:pPr>
              <w:pStyle w:val="TableText"/>
              <w:spacing w:before="51" w:line="198" w:lineRule="auto"/>
              <w:ind w:left="133"/>
            </w:pPr>
            <w:r>
              <w:rPr>
                <w:spacing w:val="-6"/>
              </w:rPr>
              <w:t>securities are currently processed through</w:t>
            </w:r>
          </w:p>
          <w:p>
            <w:pPr>
              <w:pStyle w:val="TableText"/>
              <w:spacing w:before="50" w:line="198" w:lineRule="auto"/>
              <w:ind w:left="133"/>
            </w:pPr>
            <w:r>
              <w:rPr>
                <w:spacing w:val="-6"/>
              </w:rPr>
              <w:t>custodians and a correspondent banking network</w:t>
            </w:r>
          </w:p>
          <w:p>
            <w:pPr>
              <w:pStyle w:val="TableText"/>
              <w:spacing w:before="49" w:line="238" w:lineRule="auto"/>
              <w:ind w:left="129" w:right="365" w:firstLine="10"/>
            </w:pPr>
            <w:r>
              <w:rPr>
                <w:spacing w:val="-5"/>
              </w:rPr>
              <w:t>(depending on currenc</w:t>
            </w:r>
            <w:r>
              <w:rPr>
                <w:spacing w:val="-6"/>
              </w:rPr>
              <w:t>y),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 xml:space="preserve">generating an inevitable  </w:t>
            </w:r>
            <w:r>
              <w:rPr>
                <w:spacing w:val="-5"/>
              </w:rPr>
              <w:t>time lag between the time of trade and t</w:t>
            </w:r>
            <w:r>
              <w:rPr>
                <w:spacing w:val="-6"/>
              </w:rPr>
              <w:t>he delivery</w:t>
            </w:r>
            <w:r>
              <w:t xml:space="preserve"> </w:t>
            </w:r>
            <w:r>
              <w:rPr>
                <w:spacing w:val="-6"/>
              </w:rPr>
              <w:t>of securities and money, thus increas</w:t>
            </w:r>
            <w:r>
              <w:rPr>
                <w:spacing w:val="-7"/>
              </w:rPr>
              <w:t>ing credit risk</w:t>
            </w:r>
            <w:r>
              <w:t xml:space="preserve">  </w:t>
            </w:r>
            <w:r>
              <w:rPr>
                <w:spacing w:val="-6"/>
              </w:rPr>
              <w:t>and settlement risk. To address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this problem, the</w:t>
            </w:r>
          </w:p>
          <w:p>
            <w:pPr>
              <w:pStyle w:val="TableText"/>
              <w:spacing w:before="49" w:line="198" w:lineRule="auto"/>
              <w:ind w:left="136"/>
            </w:pPr>
            <w:r>
              <w:rPr>
                <w:spacing w:val="-7"/>
              </w:rPr>
              <w:t>CSIF member organizations agre</w:t>
            </w:r>
            <w:r>
              <w:rPr>
                <w:spacing w:val="-8"/>
              </w:rPr>
              <w:t>ed to establish a</w:t>
            </w:r>
          </w:p>
          <w:p>
            <w:pPr>
              <w:pStyle w:val="TableText"/>
              <w:spacing w:before="48" w:line="238" w:lineRule="auto"/>
              <w:ind w:left="133" w:right="308"/>
            </w:pPr>
            <w:r>
              <w:rPr>
                <w:spacing w:val="-5"/>
              </w:rPr>
              <w:t>central securities depository (CSD)–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real-ti</w:t>
            </w:r>
            <w:r>
              <w:rPr>
                <w:spacing w:val="-6"/>
              </w:rPr>
              <w:t>me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gross</w:t>
            </w:r>
            <w:r>
              <w:t xml:space="preserve"> </w:t>
            </w:r>
            <w:r>
              <w:rPr>
                <w:spacing w:val="-5"/>
              </w:rPr>
              <w:t>settlement (RTGS) linkage, which dire</w:t>
            </w:r>
            <w:r>
              <w:rPr>
                <w:spacing w:val="-6"/>
              </w:rPr>
              <w:t xml:space="preserve">ctly links the  </w:t>
            </w:r>
            <w:r>
              <w:rPr>
                <w:spacing w:val="-7"/>
              </w:rPr>
              <w:t>settlement systems of central banks an</w:t>
            </w:r>
            <w:r>
              <w:rPr>
                <w:spacing w:val="-8"/>
              </w:rPr>
              <w:t>d CSDs. The</w:t>
            </w:r>
            <w:r>
              <w:t xml:space="preserve"> </w:t>
            </w:r>
            <w:r>
              <w:rPr>
                <w:spacing w:val="-7"/>
              </w:rPr>
              <w:t>linkages among national</w:t>
            </w:r>
            <w:r>
              <w:rPr>
                <w:spacing w:val="-8"/>
              </w:rPr>
              <w:t xml:space="preserve"> CSDs and central banks’</w:t>
            </w:r>
          </w:p>
          <w:p>
            <w:pPr>
              <w:pStyle w:val="TableText"/>
              <w:spacing w:before="49" w:line="225" w:lineRule="auto"/>
              <w:ind w:left="138" w:right="730"/>
            </w:pPr>
            <w:r>
              <w:rPr>
                <w:spacing w:val="-5"/>
              </w:rPr>
              <w:t>real-time gross settlement systems in diffe</w:t>
            </w:r>
            <w:r>
              <w:rPr>
                <w:spacing w:val="-6"/>
              </w:rPr>
              <w:t>rent</w:t>
            </w:r>
            <w:r>
              <w:t xml:space="preserve"> </w:t>
            </w:r>
            <w:r>
              <w:rPr>
                <w:spacing w:val="-5"/>
              </w:rPr>
              <w:t>regional markets are ex</w:t>
            </w:r>
            <w:r>
              <w:rPr>
                <w:spacing w:val="-6"/>
              </w:rPr>
              <w:t>pected to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facilitate</w:t>
            </w:r>
          </w:p>
          <w:p>
            <w:pPr>
              <w:pStyle w:val="TableText"/>
              <w:spacing w:before="49" w:line="199" w:lineRule="auto"/>
              <w:ind w:left="138"/>
            </w:pPr>
            <w:r>
              <w:rPr>
                <w:spacing w:val="-4"/>
              </w:rPr>
              <w:t>intraregional portf</w:t>
            </w:r>
            <w:r>
              <w:rPr>
                <w:spacing w:val="-5"/>
              </w:rPr>
              <w:t>olio investments and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the use of</w:t>
            </w:r>
          </w:p>
          <w:p>
            <w:pPr>
              <w:pStyle w:val="TableText"/>
              <w:spacing w:before="51" w:line="224" w:lineRule="auto"/>
              <w:ind w:left="139" w:right="394"/>
            </w:pPr>
            <w:r>
              <w:rPr>
                <w:spacing w:val="-6"/>
              </w:rPr>
              <w:t>local currency bonds as collateral, whic</w:t>
            </w:r>
            <w:r>
              <w:rPr>
                <w:spacing w:val="-7"/>
              </w:rPr>
              <w:t>h otherwise</w:t>
            </w:r>
            <w:r>
              <w:t xml:space="preserve"> </w:t>
            </w:r>
            <w:r>
              <w:rPr>
                <w:spacing w:val="-7"/>
              </w:rPr>
              <w:t xml:space="preserve">have been locked in onshore markets, </w:t>
            </w:r>
            <w:r>
              <w:rPr>
                <w:spacing w:val="-8"/>
              </w:rPr>
              <w:t>by enabling</w:t>
            </w:r>
          </w:p>
          <w:p>
            <w:pPr>
              <w:pStyle w:val="TableText"/>
              <w:spacing w:before="51" w:line="196" w:lineRule="auto"/>
              <w:ind w:left="133"/>
            </w:pPr>
            <w:r>
              <w:rPr>
                <w:spacing w:val="-5"/>
              </w:rPr>
              <w:t>cross-border, cross-currency delivery-versus-</w:t>
            </w:r>
          </w:p>
          <w:p>
            <w:pPr>
              <w:pStyle w:val="TableText"/>
              <w:spacing w:before="51" w:line="233" w:lineRule="auto"/>
              <w:ind w:left="127" w:right="265" w:firstLine="11"/>
            </w:pPr>
            <w:r>
              <w:rPr>
                <w:spacing w:val="-6"/>
              </w:rPr>
              <w:t>payment of cross-border securities transa</w:t>
            </w:r>
            <w:r>
              <w:rPr>
                <w:spacing w:val="-7"/>
              </w:rPr>
              <w:t>ctions, as</w:t>
            </w:r>
            <w:r>
              <w:t xml:space="preserve">   </w:t>
            </w:r>
            <w:r>
              <w:rPr>
                <w:spacing w:val="-5"/>
              </w:rPr>
              <w:t>well as payment-versus-pa</w:t>
            </w:r>
            <w:r>
              <w:rPr>
                <w:spacing w:val="-6"/>
              </w:rPr>
              <w:t>yment of local currencies</w:t>
            </w:r>
            <w:r>
              <w:t xml:space="preserve"> </w:t>
            </w:r>
            <w:r>
              <w:rPr>
                <w:spacing w:val="-5"/>
              </w:rPr>
              <w:t>in the region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without a time lag.</w:t>
            </w:r>
          </w:p>
        </w:tc>
      </w:tr>
    </w:tbl>
    <w:p>
      <w:pPr>
        <w:pStyle w:val="BodyText"/>
        <w:spacing w:line="36" w:lineRule="exact"/>
        <w:rPr>
          <w:sz w:val="3"/>
        </w:rPr>
      </w:pP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37" w:line="197" w:lineRule="auto"/>
        <w:rPr>
          <w:sz w:val="20"/>
          <w:szCs w:val="20"/>
        </w:rPr>
      </w:pPr>
      <w:r>
        <w:rPr>
          <w:spacing w:val="-6"/>
          <w:sz w:val="20"/>
          <w:szCs w:val="20"/>
        </w:rPr>
        <w:t>This study provides comparative analysis of collate</w:t>
      </w:r>
      <w:r>
        <w:rPr>
          <w:spacing w:val="-7"/>
          <w:sz w:val="20"/>
          <w:szCs w:val="20"/>
        </w:rPr>
        <w:t>ral</w:t>
      </w:r>
    </w:p>
    <w:p>
      <w:pPr>
        <w:pStyle w:val="BodyText"/>
        <w:spacing w:before="50" w:line="238" w:lineRule="auto"/>
        <w:ind w:left="4" w:right="80"/>
        <w:rPr>
          <w:sz w:val="20"/>
          <w:szCs w:val="20"/>
        </w:rPr>
      </w:pPr>
      <w:r>
        <w:rPr>
          <w:spacing w:val="-5"/>
          <w:sz w:val="20"/>
          <w:szCs w:val="20"/>
        </w:rPr>
        <w:t>eligibility criteria a</w:t>
      </w:r>
      <w:r>
        <w:rPr>
          <w:spacing w:val="-6"/>
          <w:sz w:val="20"/>
          <w:szCs w:val="20"/>
        </w:rPr>
        <w:t>cross key</w:t>
      </w:r>
      <w:r>
        <w:rPr>
          <w:spacing w:val="-13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frameworks, with a</w:t>
      </w:r>
      <w:r>
        <w:rPr>
          <w:spacing w:val="-15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view to</w:t>
      </w:r>
      <w:r>
        <w:rPr>
          <w:sz w:val="20"/>
          <w:szCs w:val="20"/>
        </w:rPr>
        <w:t xml:space="preserve">   </w:t>
      </w:r>
      <w:r>
        <w:rPr>
          <w:spacing w:val="-5"/>
          <w:sz w:val="20"/>
          <w:szCs w:val="20"/>
        </w:rPr>
        <w:t>managing uncertainty</w:t>
      </w:r>
      <w:r>
        <w:rPr>
          <w:spacing w:val="-6"/>
          <w:sz w:val="20"/>
          <w:szCs w:val="20"/>
        </w:rPr>
        <w:t>, inefficiency, and complexity—</w:t>
      </w:r>
      <w:r>
        <w:rPr>
          <w:spacing w:val="-3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all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of which are issues that financial ma</w:t>
      </w:r>
      <w:r>
        <w:rPr>
          <w:spacing w:val="-6"/>
          <w:sz w:val="20"/>
          <w:szCs w:val="20"/>
        </w:rPr>
        <w:t>rket infrastructures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(FMIs) and market participa</w:t>
      </w:r>
      <w:r>
        <w:rPr>
          <w:spacing w:val="-5"/>
          <w:sz w:val="20"/>
          <w:szCs w:val="20"/>
        </w:rPr>
        <w:t>nts must deal with in</w:t>
      </w:r>
    </w:p>
    <w:p>
      <w:pPr>
        <w:pStyle w:val="BodyText"/>
        <w:spacing w:before="49" w:line="198" w:lineRule="auto"/>
        <w:ind w:left="10"/>
        <w:rPr>
          <w:sz w:val="20"/>
          <w:szCs w:val="20"/>
        </w:rPr>
      </w:pPr>
      <w:r>
        <w:rPr>
          <w:spacing w:val="-6"/>
          <w:sz w:val="20"/>
          <w:szCs w:val="20"/>
        </w:rPr>
        <w:t>managing their collatera</w:t>
      </w:r>
      <w:r>
        <w:rPr>
          <w:spacing w:val="-7"/>
          <w:sz w:val="20"/>
          <w:szCs w:val="20"/>
        </w:rPr>
        <w:t>l arrangements.</w:t>
      </w:r>
    </w:p>
    <w:p>
      <w:pPr>
        <w:pStyle w:val="BodyText"/>
        <w:spacing w:before="266" w:line="197" w:lineRule="auto"/>
        <w:rPr>
          <w:sz w:val="20"/>
          <w:szCs w:val="20"/>
        </w:rPr>
      </w:pPr>
      <w:r>
        <w:rPr>
          <w:spacing w:val="-7"/>
          <w:sz w:val="20"/>
          <w:szCs w:val="20"/>
        </w:rPr>
        <w:t>To this end, this study analyzes and compares the</w:t>
      </w:r>
    </w:p>
    <w:p>
      <w:pPr>
        <w:pStyle w:val="BodyText"/>
        <w:spacing w:before="50" w:line="224" w:lineRule="auto"/>
        <w:ind w:left="3" w:right="206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similarities and differences in eligible collateral </w:t>
      </w:r>
      <w:r>
        <w:rPr>
          <w:spacing w:val="-6"/>
          <w:sz w:val="20"/>
          <w:szCs w:val="20"/>
        </w:rPr>
        <w:t>criteria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across key</w:t>
      </w:r>
      <w:r>
        <w:rPr>
          <w:spacing w:val="-11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frameworks of central banks, central</w:t>
      </w:r>
    </w:p>
    <w:p>
      <w:pPr>
        <w:pStyle w:val="BodyText"/>
        <w:spacing w:before="50" w:line="224" w:lineRule="auto"/>
        <w:ind w:right="215" w:firstLine="4"/>
        <w:rPr>
          <w:sz w:val="20"/>
          <w:szCs w:val="20"/>
        </w:rPr>
      </w:pPr>
      <w:r>
        <w:rPr>
          <w:spacing w:val="-5"/>
          <w:sz w:val="20"/>
          <w:szCs w:val="20"/>
        </w:rPr>
        <w:t>counterparties (CCPs), an</w:t>
      </w:r>
      <w:r>
        <w:rPr>
          <w:spacing w:val="-6"/>
          <w:sz w:val="20"/>
          <w:szCs w:val="20"/>
        </w:rPr>
        <w:t>d</w:t>
      </w:r>
      <w:r>
        <w:rPr>
          <w:spacing w:val="-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global financial regulatory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frameworks.</w:t>
      </w:r>
    </w:p>
    <w:p>
      <w:pPr>
        <w:pStyle w:val="BodyText"/>
        <w:spacing w:before="303" w:line="201" w:lineRule="auto"/>
        <w:ind w:left="21"/>
        <w:outlineLvl w:val="6"/>
        <w:rPr>
          <w:sz w:val="23"/>
          <w:szCs w:val="23"/>
        </w:rPr>
      </w:pPr>
      <w:r>
        <w:rPr>
          <w:b/>
          <w:bCs/>
          <w:color w:val="0088C7"/>
          <w:spacing w:val="-5"/>
          <w:sz w:val="23"/>
          <w:szCs w:val="23"/>
        </w:rPr>
        <w:t>II. General Collatera</w:t>
      </w:r>
      <w:r>
        <w:rPr>
          <w:b/>
          <w:bCs/>
          <w:color w:val="0088C7"/>
          <w:spacing w:val="-6"/>
          <w:sz w:val="23"/>
          <w:szCs w:val="23"/>
        </w:rPr>
        <w:t>l</w:t>
      </w:r>
      <w:r>
        <w:rPr>
          <w:b/>
          <w:bCs/>
          <w:color w:val="0088C7"/>
          <w:spacing w:val="22"/>
          <w:sz w:val="23"/>
          <w:szCs w:val="23"/>
        </w:rPr>
        <w:t xml:space="preserve"> </w:t>
      </w:r>
      <w:r>
        <w:rPr>
          <w:b/>
          <w:bCs/>
          <w:color w:val="0088C7"/>
          <w:spacing w:val="-6"/>
          <w:sz w:val="23"/>
          <w:szCs w:val="23"/>
        </w:rPr>
        <w:t>Eligibility Criteria</w:t>
      </w:r>
    </w:p>
    <w:p>
      <w:pPr>
        <w:pStyle w:val="BodyText"/>
        <w:spacing w:before="294" w:line="224" w:lineRule="auto"/>
        <w:ind w:left="3" w:right="120" w:hanging="3"/>
        <w:rPr>
          <w:sz w:val="20"/>
          <w:szCs w:val="20"/>
        </w:rPr>
      </w:pPr>
      <w:r>
        <w:rPr>
          <w:spacing w:val="-5"/>
          <w:sz w:val="20"/>
          <w:szCs w:val="20"/>
        </w:rPr>
        <w:t>This section presen</w:t>
      </w:r>
      <w:r>
        <w:rPr>
          <w:spacing w:val="-6"/>
          <w:sz w:val="20"/>
          <w:szCs w:val="20"/>
        </w:rPr>
        <w:t>ts the</w:t>
      </w:r>
      <w:r>
        <w:rPr>
          <w:spacing w:val="-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general description of eligible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collateral criteria in fina</w:t>
      </w:r>
      <w:r>
        <w:rPr>
          <w:spacing w:val="-5"/>
          <w:sz w:val="20"/>
          <w:szCs w:val="20"/>
        </w:rPr>
        <w:t>ncial transactions.</w:t>
      </w:r>
    </w:p>
    <w:p>
      <w:pPr>
        <w:pStyle w:val="BodyText"/>
        <w:spacing w:before="291" w:line="199" w:lineRule="auto"/>
        <w:rPr>
          <w:sz w:val="20"/>
          <w:szCs w:val="20"/>
        </w:rPr>
      </w:pPr>
      <w:r>
        <w:rPr>
          <w:spacing w:val="-6"/>
          <w:sz w:val="20"/>
          <w:szCs w:val="20"/>
        </w:rPr>
        <w:t>The establishment of securities as eligible collateral</w:t>
      </w:r>
    </w:p>
    <w:p>
      <w:pPr>
        <w:pStyle w:val="BodyText"/>
        <w:spacing w:before="51" w:line="199" w:lineRule="auto"/>
        <w:ind w:left="10"/>
        <w:rPr>
          <w:sz w:val="20"/>
          <w:szCs w:val="20"/>
        </w:rPr>
      </w:pPr>
      <w:r>
        <w:rPr>
          <w:spacing w:val="-5"/>
          <w:sz w:val="20"/>
          <w:szCs w:val="20"/>
        </w:rPr>
        <w:t>helps to protect central banks and market participants</w:t>
      </w:r>
    </w:p>
    <w:p>
      <w:pPr>
        <w:pStyle w:val="BodyText"/>
        <w:spacing w:before="49" w:line="233" w:lineRule="auto"/>
        <w:ind w:right="5"/>
        <w:rPr>
          <w:sz w:val="20"/>
          <w:szCs w:val="20"/>
        </w:rPr>
      </w:pPr>
      <w:r>
        <w:rPr>
          <w:spacing w:val="-6"/>
          <w:sz w:val="20"/>
          <w:szCs w:val="20"/>
        </w:rPr>
        <w:t>from financial losses by focusing on assets of sufficien</w:t>
      </w:r>
      <w:r>
        <w:rPr>
          <w:spacing w:val="-7"/>
          <w:sz w:val="20"/>
          <w:szCs w:val="20"/>
        </w:rPr>
        <w:t>tly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high quality. The European Ce</w:t>
      </w:r>
      <w:r>
        <w:rPr>
          <w:spacing w:val="-8"/>
          <w:sz w:val="20"/>
          <w:szCs w:val="20"/>
        </w:rPr>
        <w:t>ntral Bank (ECB) suggests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the following</w:t>
      </w:r>
      <w:r>
        <w:rPr>
          <w:spacing w:val="-1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general c</w:t>
      </w:r>
      <w:r>
        <w:rPr>
          <w:spacing w:val="-5"/>
          <w:sz w:val="20"/>
          <w:szCs w:val="20"/>
        </w:rPr>
        <w:t>ollateral requirements</w:t>
      </w:r>
      <w:r>
        <w:rPr>
          <w:spacing w:val="-1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to be</w:t>
      </w:r>
    </w:p>
    <w:p>
      <w:pPr>
        <w:pStyle w:val="BodyText"/>
        <w:spacing w:before="49" w:line="199" w:lineRule="auto"/>
        <w:ind w:left="4"/>
        <w:rPr>
          <w:sz w:val="12"/>
          <w:szCs w:val="12"/>
        </w:rPr>
      </w:pPr>
      <w:r>
        <w:rPr>
          <w:spacing w:val="-6"/>
          <w:sz w:val="20"/>
          <w:szCs w:val="20"/>
        </w:rPr>
        <w:t>desirable for eligible collateral:</w:t>
      </w:r>
      <w:r>
        <w:rPr>
          <w:spacing w:val="7"/>
          <w:position w:val="7"/>
          <w:sz w:val="12"/>
          <w:szCs w:val="12"/>
        </w:rPr>
        <w:t>3</w:t>
      </w:r>
    </w:p>
    <w:p>
      <w:pPr>
        <w:pStyle w:val="BodyText"/>
        <w:spacing w:before="60" w:line="224" w:lineRule="auto"/>
        <w:ind w:left="368" w:right="1034" w:hanging="363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•     </w:t>
      </w:r>
      <w:r>
        <w:rPr>
          <w:b/>
          <w:bCs/>
          <w:spacing w:val="-5"/>
          <w:sz w:val="19"/>
          <w:szCs w:val="19"/>
        </w:rPr>
        <w:t>Legal</w:t>
      </w:r>
      <w:r>
        <w:rPr>
          <w:b/>
          <w:bCs/>
          <w:spacing w:val="7"/>
          <w:sz w:val="19"/>
          <w:szCs w:val="19"/>
        </w:rPr>
        <w:t xml:space="preserve"> </w:t>
      </w:r>
      <w:r>
        <w:rPr>
          <w:b/>
          <w:bCs/>
          <w:spacing w:val="-5"/>
          <w:sz w:val="19"/>
          <w:szCs w:val="19"/>
        </w:rPr>
        <w:t>certainty</w:t>
      </w:r>
      <w:r>
        <w:rPr>
          <w:spacing w:val="-5"/>
          <w:sz w:val="20"/>
          <w:szCs w:val="20"/>
        </w:rPr>
        <w:t>. Coll</w:t>
      </w:r>
      <w:r>
        <w:rPr>
          <w:spacing w:val="-6"/>
          <w:sz w:val="20"/>
          <w:szCs w:val="20"/>
        </w:rPr>
        <w:t>ateral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needs to</w:t>
      </w:r>
      <w:r>
        <w:rPr>
          <w:spacing w:val="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be</w:t>
      </w:r>
      <w:r>
        <w:rPr>
          <w:sz w:val="20"/>
          <w:szCs w:val="20"/>
        </w:rPr>
        <w:t xml:space="preserve">  </w:t>
      </w:r>
      <w:r>
        <w:rPr>
          <w:spacing w:val="-5"/>
          <w:sz w:val="20"/>
          <w:szCs w:val="20"/>
        </w:rPr>
        <w:t>incontrovertible in terms of legal statu</w:t>
      </w:r>
      <w:r>
        <w:rPr>
          <w:spacing w:val="-6"/>
          <w:sz w:val="20"/>
          <w:szCs w:val="20"/>
        </w:rPr>
        <w:t>s.</w:t>
      </w:r>
    </w:p>
    <w:p>
      <w:pPr>
        <w:pStyle w:val="BodyText"/>
        <w:spacing w:before="59" w:line="233" w:lineRule="auto"/>
        <w:ind w:left="362" w:right="481" w:hanging="357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•     </w:t>
      </w:r>
      <w:r>
        <w:rPr>
          <w:b/>
          <w:bCs/>
          <w:spacing w:val="-3"/>
          <w:sz w:val="19"/>
          <w:szCs w:val="19"/>
        </w:rPr>
        <w:t>Minimum credit quality</w:t>
      </w:r>
      <w:r>
        <w:rPr>
          <w:spacing w:val="-3"/>
          <w:sz w:val="20"/>
          <w:szCs w:val="20"/>
        </w:rPr>
        <w:t xml:space="preserve">. Market participants  </w:t>
      </w:r>
      <w:r>
        <w:rPr>
          <w:spacing w:val="-6"/>
          <w:sz w:val="20"/>
          <w:szCs w:val="20"/>
        </w:rPr>
        <w:t>should always set a credit quality threshold for</w:t>
      </w:r>
      <w:r>
        <w:rPr>
          <w:spacing w:val="1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collateral.</w:t>
      </w:r>
    </w:p>
    <w:p>
      <w:pPr>
        <w:pStyle w:val="BodyText"/>
        <w:spacing w:before="61" w:line="225" w:lineRule="auto"/>
        <w:ind w:left="368" w:right="619" w:hanging="363"/>
        <w:rPr>
          <w:sz w:val="20"/>
          <w:szCs w:val="20"/>
        </w:rPr>
      </w:pPr>
      <w:r>
        <w:rPr>
          <w:spacing w:val="-4"/>
          <w:sz w:val="20"/>
          <w:szCs w:val="20"/>
        </w:rPr>
        <w:t xml:space="preserve">•     </w:t>
      </w:r>
      <w:r>
        <w:rPr>
          <w:b/>
          <w:bCs/>
          <w:spacing w:val="-4"/>
          <w:sz w:val="19"/>
          <w:szCs w:val="19"/>
        </w:rPr>
        <w:t>Simplicity</w:t>
      </w:r>
      <w:r>
        <w:rPr>
          <w:spacing w:val="-4"/>
          <w:sz w:val="20"/>
          <w:szCs w:val="20"/>
        </w:rPr>
        <w:t>. The structure of collate</w:t>
      </w:r>
      <w:r>
        <w:rPr>
          <w:spacing w:val="-5"/>
          <w:sz w:val="20"/>
          <w:szCs w:val="20"/>
        </w:rPr>
        <w:t>ral and its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inherent risks should be simple.</w:t>
      </w:r>
    </w:p>
    <w:p>
      <w:pPr>
        <w:pStyle w:val="BodyText"/>
        <w:spacing w:before="52" w:line="233" w:lineRule="auto"/>
        <w:ind w:left="362" w:right="200" w:hanging="357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•     </w:t>
      </w:r>
      <w:r>
        <w:rPr>
          <w:b/>
          <w:bCs/>
          <w:spacing w:val="-3"/>
          <w:sz w:val="19"/>
          <w:szCs w:val="19"/>
        </w:rPr>
        <w:t>Operational efficiency</w:t>
      </w:r>
      <w:r>
        <w:rPr>
          <w:spacing w:val="-3"/>
          <w:sz w:val="20"/>
          <w:szCs w:val="20"/>
        </w:rPr>
        <w:t>. The</w:t>
      </w:r>
      <w:r>
        <w:rPr>
          <w:spacing w:val="-4"/>
          <w:sz w:val="20"/>
          <w:szCs w:val="20"/>
        </w:rPr>
        <w:t xml:space="preserve"> features of collateral</w:t>
      </w:r>
      <w:r>
        <w:rPr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should ensure smooth, safe, and speedy handling</w:t>
      </w:r>
      <w:r>
        <w:rPr>
          <w:spacing w:val="5"/>
          <w:sz w:val="20"/>
          <w:szCs w:val="20"/>
        </w:rPr>
        <w:t xml:space="preserve">  </w:t>
      </w:r>
      <w:r>
        <w:rPr>
          <w:spacing w:val="-7"/>
          <w:sz w:val="20"/>
          <w:szCs w:val="20"/>
        </w:rPr>
        <w:t>by</w:t>
      </w:r>
      <w:r>
        <w:rPr>
          <w:spacing w:val="-9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takers.</w:t>
      </w:r>
    </w:p>
    <w:p>
      <w:pPr>
        <w:pStyle w:val="BodyText"/>
        <w:spacing w:before="60" w:line="224" w:lineRule="auto"/>
        <w:ind w:left="369" w:right="188" w:hanging="364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•     </w:t>
      </w:r>
      <w:r>
        <w:rPr>
          <w:b/>
          <w:bCs/>
          <w:spacing w:val="-3"/>
          <w:sz w:val="19"/>
          <w:szCs w:val="19"/>
        </w:rPr>
        <w:t>Market neutrality</w:t>
      </w:r>
      <w:r>
        <w:rPr>
          <w:spacing w:val="-3"/>
          <w:sz w:val="20"/>
          <w:szCs w:val="20"/>
        </w:rPr>
        <w:t>. Collateral</w:t>
      </w:r>
      <w:r>
        <w:rPr>
          <w:spacing w:val="-4"/>
          <w:sz w:val="20"/>
          <w:szCs w:val="20"/>
        </w:rPr>
        <w:t xml:space="preserve"> criteria should avoid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market distortion.</w:t>
      </w:r>
    </w:p>
    <w:p>
      <w:pPr>
        <w:pStyle w:val="BodyText"/>
        <w:spacing w:before="60" w:line="233" w:lineRule="auto"/>
        <w:ind w:left="363" w:right="534" w:hanging="358"/>
        <w:rPr>
          <w:sz w:val="20"/>
          <w:szCs w:val="20"/>
        </w:rPr>
      </w:pPr>
      <w:r>
        <w:rPr>
          <w:spacing w:val="-4"/>
          <w:sz w:val="20"/>
          <w:szCs w:val="20"/>
        </w:rPr>
        <w:t xml:space="preserve">•     </w:t>
      </w:r>
      <w:r>
        <w:rPr>
          <w:b/>
          <w:bCs/>
          <w:spacing w:val="-4"/>
          <w:sz w:val="19"/>
          <w:szCs w:val="19"/>
        </w:rPr>
        <w:t>Market transparency and</w:t>
      </w:r>
      <w:r>
        <w:rPr>
          <w:b/>
          <w:bCs/>
          <w:spacing w:val="21"/>
          <w:w w:val="101"/>
          <w:sz w:val="19"/>
          <w:szCs w:val="19"/>
        </w:rPr>
        <w:t xml:space="preserve"> </w:t>
      </w:r>
      <w:r>
        <w:rPr>
          <w:b/>
          <w:bCs/>
          <w:spacing w:val="-4"/>
          <w:sz w:val="19"/>
          <w:szCs w:val="19"/>
        </w:rPr>
        <w:t>price availability</w:t>
      </w:r>
      <w:r>
        <w:rPr>
          <w:spacing w:val="-4"/>
          <w:sz w:val="20"/>
          <w:szCs w:val="20"/>
        </w:rPr>
        <w:t>.</w:t>
      </w:r>
      <w:r>
        <w:rPr>
          <w:sz w:val="20"/>
          <w:szCs w:val="20"/>
        </w:rPr>
        <w:t xml:space="preserve">   </w:t>
      </w:r>
      <w:r>
        <w:rPr>
          <w:spacing w:val="-5"/>
          <w:sz w:val="20"/>
          <w:szCs w:val="20"/>
        </w:rPr>
        <w:t>Collateral needs to be</w:t>
      </w:r>
      <w:r>
        <w:rPr>
          <w:spacing w:val="-13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traded on markets</w:t>
      </w:r>
      <w:r>
        <w:rPr>
          <w:spacing w:val="-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with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established rules.</w:t>
      </w:r>
    </w:p>
    <w:p>
      <w:pPr>
        <w:pStyle w:val="BodyText"/>
        <w:spacing w:before="60" w:line="233" w:lineRule="auto"/>
        <w:ind w:left="362" w:right="81" w:hanging="357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•     </w:t>
      </w:r>
      <w:r>
        <w:rPr>
          <w:b/>
          <w:bCs/>
          <w:spacing w:val="-3"/>
          <w:sz w:val="19"/>
          <w:szCs w:val="19"/>
        </w:rPr>
        <w:t>Market liquidity of colla</w:t>
      </w:r>
      <w:r>
        <w:rPr>
          <w:b/>
          <w:bCs/>
          <w:spacing w:val="-4"/>
          <w:sz w:val="19"/>
          <w:szCs w:val="19"/>
        </w:rPr>
        <w:t>teral</w:t>
      </w:r>
      <w:r>
        <w:rPr>
          <w:spacing w:val="-4"/>
          <w:sz w:val="20"/>
          <w:szCs w:val="20"/>
        </w:rPr>
        <w:t>. Collateral should be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sold easily, quickly, and</w:t>
      </w:r>
      <w:r>
        <w:rPr>
          <w:spacing w:val="-7"/>
          <w:sz w:val="20"/>
          <w:szCs w:val="20"/>
        </w:rPr>
        <w:t xml:space="preserve"> without depressing prices if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a counterparty defaults.</w:t>
      </w:r>
    </w:p>
    <w:p>
      <w:pPr>
        <w:pStyle w:val="BodyText"/>
        <w:spacing w:before="267" w:line="197" w:lineRule="auto"/>
        <w:ind w:left="17"/>
        <w:rPr>
          <w:sz w:val="20"/>
          <w:szCs w:val="20"/>
        </w:rPr>
      </w:pPr>
      <w:r>
        <w:rPr>
          <w:spacing w:val="-5"/>
          <w:sz w:val="20"/>
          <w:szCs w:val="20"/>
        </w:rPr>
        <w:t>In addition, many central banks explicitly stipulate the</w:t>
      </w:r>
    </w:p>
    <w:p>
      <w:pPr>
        <w:pStyle w:val="BodyText"/>
        <w:spacing w:before="52" w:line="198" w:lineRule="auto"/>
        <w:ind w:left="4"/>
        <w:rPr>
          <w:sz w:val="20"/>
          <w:szCs w:val="20"/>
        </w:rPr>
      </w:pPr>
      <w:r>
        <w:rPr>
          <w:spacing w:val="-5"/>
          <w:sz w:val="20"/>
          <w:szCs w:val="20"/>
        </w:rPr>
        <w:t>collateral criteria with high</w:t>
      </w:r>
      <w:r>
        <w:rPr>
          <w:spacing w:val="-6"/>
          <w:sz w:val="20"/>
          <w:szCs w:val="20"/>
        </w:rPr>
        <w:t xml:space="preserve"> credit ratings.</w:t>
      </w:r>
      <w:r>
        <w:rPr>
          <w:spacing w:val="10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For instance,</w:t>
      </w:r>
    </w:p>
    <w:p>
      <w:pPr>
        <w:pStyle w:val="BodyText"/>
        <w:spacing w:before="49" w:line="224" w:lineRule="auto"/>
        <w:ind w:left="3" w:right="31" w:firstLine="5"/>
        <w:rPr>
          <w:sz w:val="12"/>
          <w:szCs w:val="12"/>
        </w:rPr>
      </w:pPr>
      <w:r>
        <w:rPr>
          <w:spacing w:val="-8"/>
          <w:sz w:val="20"/>
          <w:szCs w:val="20"/>
        </w:rPr>
        <w:t>in the case of</w:t>
      </w:r>
      <w:r>
        <w:rPr>
          <w:spacing w:val="2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the United States Federal Reserve system,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several criteria are mandatory:</w:t>
      </w:r>
      <w:r>
        <w:rPr>
          <w:spacing w:val="5"/>
          <w:position w:val="7"/>
          <w:sz w:val="12"/>
          <w:szCs w:val="12"/>
        </w:rPr>
        <w:t>4</w:t>
      </w:r>
    </w:p>
    <w:p>
      <w:pPr>
        <w:spacing w:line="224" w:lineRule="auto"/>
        <w:rPr>
          <w:sz w:val="12"/>
          <w:szCs w:val="12"/>
        </w:rPr>
        <w:sectPr>
          <w:type w:val="continuous"/>
          <w:pgSz w:w="12240" w:h="15840"/>
          <w:pgMar w:top="737" w:right="1084" w:bottom="0" w:left="1089" w:header="0" w:footer="0" w:gutter="0"/>
          <w:pgNumType w:start="6"/>
          <w:cols w:num="2" w:space="708" w:equalWidth="0">
            <w:col w:w="5305" w:space="100"/>
            <w:col w:w="4662" w:space="0"/>
          </w:cols>
        </w:sectPr>
      </w:pPr>
    </w:p>
    <w:p>
      <w:pPr>
        <w:pStyle w:val="BodyText"/>
        <w:spacing w:line="300" w:lineRule="auto"/>
        <w:rPr>
          <w:sz w:val="21"/>
        </w:rPr>
      </w:pPr>
    </w:p>
    <w:p>
      <w:pPr>
        <w:pStyle w:val="BodyText"/>
        <w:spacing w:line="300" w:lineRule="auto"/>
        <w:rPr>
          <w:sz w:val="21"/>
        </w:rPr>
      </w:pPr>
    </w:p>
    <w:p>
      <w:pPr>
        <w:pStyle w:val="BodyText"/>
        <w:spacing w:line="301" w:lineRule="auto"/>
        <w:rPr>
          <w:sz w:val="21"/>
        </w:rPr>
      </w:pPr>
    </w:p>
    <w:p>
      <w:pPr>
        <w:pStyle w:val="BodyText"/>
        <w:spacing w:before="52" w:line="194" w:lineRule="auto"/>
        <w:ind w:left="3"/>
      </w:pPr>
      <w:r>
        <w:rPr>
          <w:spacing w:val="-11"/>
          <w:position w:val="6"/>
          <w:sz w:val="12"/>
          <w:szCs w:val="12"/>
        </w:rPr>
        <w:t xml:space="preserve">3   </w:t>
      </w:r>
      <w:r>
        <w:rPr>
          <w:spacing w:val="-11"/>
        </w:rPr>
        <w:t xml:space="preserve">ECB. 2017. </w:t>
      </w:r>
      <w:r>
        <w:rPr>
          <w:i/>
          <w:iCs/>
          <w:spacing w:val="-11"/>
        </w:rPr>
        <w:t>The Eurosystem Collateral Frameworks Explained</w:t>
      </w:r>
      <w:r>
        <w:rPr>
          <w:spacing w:val="-11"/>
        </w:rPr>
        <w:t xml:space="preserve">. </w:t>
      </w:r>
      <w:r>
        <w:rPr>
          <w:i/>
          <w:iCs/>
          <w:spacing w:val="-11"/>
        </w:rPr>
        <w:t>Occasional Paper</w:t>
      </w:r>
      <w:r>
        <w:rPr>
          <w:i/>
          <w:iCs/>
          <w:spacing w:val="-16"/>
        </w:rPr>
        <w:t xml:space="preserve"> </w:t>
      </w:r>
      <w:r>
        <w:rPr>
          <w:i/>
          <w:iCs/>
          <w:spacing w:val="-11"/>
        </w:rPr>
        <w:t>Series. No. 189.</w:t>
      </w:r>
      <w:r>
        <w:rPr>
          <w:i/>
          <w:iCs/>
          <w:spacing w:val="5"/>
        </w:rPr>
        <w:t xml:space="preserve"> </w:t>
      </w:r>
      <w:r>
        <w:rPr>
          <w:spacing w:val="-11"/>
        </w:rPr>
        <w:t>Frankfurt. pp. 12–13.</w:t>
      </w:r>
    </w:p>
    <w:p>
      <w:pPr>
        <w:pStyle w:val="BodyText"/>
        <w:spacing w:before="42" w:line="203" w:lineRule="auto"/>
        <w:ind w:left="1"/>
      </w:pPr>
      <w:r>
        <w:rPr>
          <w:spacing w:val="-8"/>
          <w:position w:val="6"/>
          <w:sz w:val="12"/>
          <w:szCs w:val="12"/>
        </w:rPr>
        <w:t>4</w:t>
      </w:r>
      <w:r>
        <w:rPr>
          <w:spacing w:val="11"/>
          <w:w w:val="101"/>
          <w:position w:val="6"/>
          <w:sz w:val="12"/>
          <w:szCs w:val="12"/>
        </w:rPr>
        <w:t xml:space="preserve"> </w:t>
      </w:r>
      <w:r>
        <w:rPr>
          <w:spacing w:val="-8"/>
        </w:rPr>
        <w:t>The Federal Reserve.</w:t>
      </w:r>
      <w:r>
        <w:rPr>
          <w:spacing w:val="-15"/>
        </w:rPr>
        <w:t xml:space="preserve"> </w:t>
      </w:r>
      <w:r>
        <w:rPr>
          <w:spacing w:val="-8"/>
        </w:rPr>
        <w:t>Collateral Eligibility–Securities</w:t>
      </w:r>
      <w:r>
        <w:rPr>
          <w:spacing w:val="-16"/>
        </w:rPr>
        <w:t xml:space="preserve"> </w:t>
      </w:r>
      <w:r>
        <w:rPr>
          <w:spacing w:val="-8"/>
        </w:rPr>
        <w:t xml:space="preserve">and Loans. </w:t>
      </w:r>
      <w:hyperlink r:id="rId8" w:history="1">
        <w:r>
          <w:rPr>
            <w:color w:val="0563C1"/>
            <w:spacing w:val="-8"/>
          </w:rPr>
          <w:t>ht</w:t>
        </w:r>
        <w:r>
          <w:rPr>
            <w:color w:val="0563C1"/>
            <w:spacing w:val="-9"/>
          </w:rPr>
          <w:t>tps://www.frbdiscountwindow.org/Pages/Collateral/collateral</w:t>
        </w:r>
      </w:hyperlink>
      <w:r>
        <w:rPr>
          <w:color w:val="0563C1"/>
          <w:spacing w:val="-9"/>
        </w:rPr>
        <w:t>_eligibility</w:t>
      </w:r>
      <w:r>
        <w:t>.</w:t>
      </w:r>
    </w:p>
    <w:p>
      <w:pPr>
        <w:spacing w:line="203" w:lineRule="auto"/>
        <w:sectPr>
          <w:type w:val="continuous"/>
          <w:pgSz w:w="12240" w:h="15840"/>
          <w:pgMar w:top="737" w:right="1084" w:bottom="0" w:left="1089" w:header="0" w:footer="0" w:gutter="0"/>
          <w:pgNumType w:start="7"/>
          <w:cols w:num="1" w:space="708" w:equalWidth="0">
            <w:col w:w="10067" w:space="0"/>
          </w:cols>
        </w:sectPr>
      </w:pPr>
    </w:p>
    <w:p>
      <w:pPr>
        <w:pStyle w:val="BodyText"/>
        <w:spacing w:before="35" w:line="227" w:lineRule="auto"/>
        <w:jc w:val="right"/>
        <w:rPr>
          <w:sz w:val="20"/>
          <w:szCs w:val="20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691776</wp:posOffset>
            </wp:positionH>
            <wp:positionV relativeFrom="page">
              <wp:posOffset>8299457</wp:posOffset>
            </wp:positionV>
            <wp:extent cx="1828800" cy="63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0"/>
          <w:szCs w:val="20"/>
        </w:rPr>
        <w:t>Cross-Border Settlement Infrastructure Forum Brief No. 2</w:t>
      </w: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pacing w:val="-5"/>
          <w:sz w:val="20"/>
          <w:szCs w:val="20"/>
        </w:rPr>
        <w:t>3</w:t>
      </w:r>
    </w:p>
    <w:p>
      <w:pPr>
        <w:spacing w:before="174"/>
      </w:pPr>
    </w:p>
    <w:p>
      <w:pPr>
        <w:sectPr>
          <w:pgSz w:w="12240" w:h="15840"/>
          <w:pgMar w:top="740" w:right="1068" w:bottom="0" w:left="1089" w:header="0" w:footer="0" w:gutter="0"/>
          <w:pgNumType w:start="8"/>
          <w:cols w:num="1" w:space="708" w:equalWidth="0">
            <w:col w:w="10083" w:space="0"/>
          </w:cols>
        </w:sectPr>
      </w:pPr>
    </w:p>
    <w:p>
      <w:pPr>
        <w:pStyle w:val="BodyText"/>
        <w:spacing w:before="10" w:line="198" w:lineRule="auto"/>
        <w:ind w:left="10"/>
        <w:rPr>
          <w:sz w:val="20"/>
          <w:szCs w:val="20"/>
        </w:rPr>
      </w:pPr>
      <w:r>
        <w:rPr>
          <w:spacing w:val="-4"/>
          <w:sz w:val="20"/>
          <w:szCs w:val="20"/>
        </w:rPr>
        <w:t>•     A pledging institution must have rights in the</w:t>
      </w:r>
    </w:p>
    <w:p>
      <w:pPr>
        <w:pStyle w:val="BodyText"/>
        <w:spacing w:before="49" w:line="224" w:lineRule="auto"/>
        <w:ind w:left="368" w:right="677"/>
        <w:rPr>
          <w:sz w:val="20"/>
          <w:szCs w:val="20"/>
        </w:rPr>
      </w:pPr>
      <w:r>
        <w:rPr>
          <w:spacing w:val="-5"/>
          <w:sz w:val="20"/>
          <w:szCs w:val="20"/>
        </w:rPr>
        <w:t>securities that are sufficient to</w:t>
      </w:r>
      <w:r>
        <w:rPr>
          <w:spacing w:val="-14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grant an enforceable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security interest</w:t>
      </w:r>
      <w:r>
        <w:rPr>
          <w:spacing w:val="-1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to the r</w:t>
      </w:r>
      <w:r>
        <w:rPr>
          <w:spacing w:val="-6"/>
          <w:sz w:val="20"/>
          <w:szCs w:val="20"/>
        </w:rPr>
        <w:t>eserve bank.</w:t>
      </w:r>
    </w:p>
    <w:p>
      <w:pPr>
        <w:pStyle w:val="BodyText"/>
        <w:spacing w:before="61" w:line="225" w:lineRule="auto"/>
        <w:ind w:left="368" w:right="644" w:hanging="358"/>
        <w:rPr>
          <w:sz w:val="20"/>
          <w:szCs w:val="20"/>
        </w:rPr>
      </w:pPr>
      <w:r>
        <w:rPr>
          <w:spacing w:val="-5"/>
          <w:sz w:val="20"/>
          <w:szCs w:val="20"/>
        </w:rPr>
        <w:t>•     Securities should not be subject to any regul</w:t>
      </w:r>
      <w:r>
        <w:rPr>
          <w:spacing w:val="-6"/>
          <w:sz w:val="20"/>
          <w:szCs w:val="20"/>
        </w:rPr>
        <w:t>atory or</w:t>
      </w:r>
      <w:r>
        <w:rPr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other constraints that impair their liqui</w:t>
      </w:r>
      <w:r>
        <w:rPr>
          <w:spacing w:val="-4"/>
          <w:sz w:val="20"/>
          <w:szCs w:val="20"/>
        </w:rPr>
        <w:t>dation.</w:t>
      </w:r>
    </w:p>
    <w:p>
      <w:pPr>
        <w:pStyle w:val="BodyText"/>
        <w:spacing w:before="56" w:line="234" w:lineRule="auto"/>
        <w:ind w:left="331" w:right="930" w:hanging="321"/>
        <w:rPr>
          <w:sz w:val="20"/>
          <w:szCs w:val="20"/>
        </w:rPr>
      </w:pPr>
      <w:r>
        <w:rPr>
          <w:spacing w:val="-3"/>
          <w:sz w:val="20"/>
          <w:szCs w:val="20"/>
        </w:rPr>
        <w:t>•     Securities mu</w:t>
      </w:r>
      <w:r>
        <w:rPr>
          <w:spacing w:val="-4"/>
          <w:sz w:val="20"/>
          <w:szCs w:val="20"/>
        </w:rPr>
        <w:t>st meet</w:t>
      </w:r>
      <w:r>
        <w:rPr>
          <w:spacing w:val="-1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the regulatory definition of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“investment</w:t>
      </w:r>
      <w:r>
        <w:rPr>
          <w:spacing w:val="-9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grade” at a minimum, and in some</w:t>
      </w:r>
      <w:r>
        <w:rPr>
          <w:sz w:val="20"/>
          <w:szCs w:val="20"/>
        </w:rPr>
        <w:t xml:space="preserve">   </w:t>
      </w:r>
      <w:r>
        <w:rPr>
          <w:spacing w:val="-4"/>
          <w:sz w:val="20"/>
          <w:szCs w:val="20"/>
        </w:rPr>
        <w:t>cases must be of "AA</w:t>
      </w:r>
      <w:r>
        <w:rPr>
          <w:spacing w:val="-5"/>
          <w:sz w:val="20"/>
          <w:szCs w:val="20"/>
        </w:rPr>
        <w:t>A" rating quality (where</w:t>
      </w:r>
    </w:p>
    <w:p>
      <w:pPr>
        <w:pStyle w:val="BodyText"/>
        <w:spacing w:before="48" w:line="200" w:lineRule="auto"/>
        <w:ind w:left="373"/>
        <w:rPr>
          <w:sz w:val="20"/>
          <w:szCs w:val="20"/>
        </w:rPr>
      </w:pPr>
      <w:r>
        <w:rPr>
          <w:spacing w:val="-1"/>
          <w:sz w:val="20"/>
          <w:szCs w:val="20"/>
        </w:rPr>
        <w:t>indicated).</w:t>
      </w:r>
    </w:p>
    <w:p>
      <w:pPr>
        <w:pStyle w:val="BodyText"/>
        <w:spacing w:before="291"/>
        <w:ind w:left="8" w:right="908" w:hanging="3"/>
        <w:rPr>
          <w:sz w:val="20"/>
          <w:szCs w:val="20"/>
        </w:rPr>
      </w:pPr>
      <w:r>
        <w:rPr>
          <w:spacing w:val="-7"/>
          <w:sz w:val="20"/>
          <w:szCs w:val="20"/>
        </w:rPr>
        <w:t>The Bank of Japan (BOJ) also specifies</w:t>
      </w:r>
      <w:r>
        <w:rPr>
          <w:spacing w:val="-5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guidelines for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 xml:space="preserve">eligible collateral. These include: (i) maintaining </w:t>
      </w:r>
      <w:r>
        <w:rPr>
          <w:spacing w:val="-6"/>
          <w:sz w:val="20"/>
          <w:szCs w:val="20"/>
        </w:rPr>
        <w:t xml:space="preserve">the   </w:t>
      </w:r>
      <w:r>
        <w:rPr>
          <w:spacing w:val="-7"/>
          <w:sz w:val="20"/>
          <w:szCs w:val="20"/>
        </w:rPr>
        <w:t>soundness of the central bank’s assets, (ii) ensuring</w:t>
      </w:r>
      <w:r>
        <w:rPr>
          <w:sz w:val="20"/>
          <w:szCs w:val="20"/>
        </w:rPr>
        <w:t xml:space="preserve">    </w:t>
      </w:r>
      <w:r>
        <w:rPr>
          <w:spacing w:val="-6"/>
          <w:sz w:val="20"/>
          <w:szCs w:val="20"/>
        </w:rPr>
        <w:t>smooth business operations of the central ban</w:t>
      </w:r>
      <w:r>
        <w:rPr>
          <w:spacing w:val="-7"/>
          <w:sz w:val="20"/>
          <w:szCs w:val="20"/>
        </w:rPr>
        <w:t>k and</w:t>
      </w:r>
      <w:r>
        <w:rPr>
          <w:sz w:val="20"/>
          <w:szCs w:val="20"/>
        </w:rPr>
        <w:t xml:space="preserve">   </w:t>
      </w:r>
      <w:r>
        <w:rPr>
          <w:spacing w:val="-4"/>
          <w:sz w:val="20"/>
          <w:szCs w:val="20"/>
        </w:rPr>
        <w:t>efficient use of collateral, and (iii) utilizing market</w:t>
      </w:r>
    </w:p>
    <w:p>
      <w:pPr>
        <w:pStyle w:val="BodyText"/>
        <w:spacing w:before="48" w:line="197" w:lineRule="auto"/>
        <w:ind w:left="13"/>
        <w:rPr>
          <w:sz w:val="20"/>
          <w:szCs w:val="20"/>
        </w:rPr>
      </w:pPr>
      <w:r>
        <w:rPr>
          <w:spacing w:val="-2"/>
          <w:sz w:val="20"/>
          <w:szCs w:val="20"/>
        </w:rPr>
        <w:t>information.</w:t>
      </w:r>
    </w:p>
    <w:p>
      <w:pPr>
        <w:pStyle w:val="BodyText"/>
        <w:spacing w:before="291" w:line="199" w:lineRule="auto"/>
        <w:ind w:left="21"/>
        <w:rPr>
          <w:sz w:val="20"/>
          <w:szCs w:val="20"/>
        </w:rPr>
      </w:pPr>
      <w:r>
        <w:rPr>
          <w:spacing w:val="-7"/>
          <w:sz w:val="20"/>
          <w:szCs w:val="20"/>
        </w:rPr>
        <w:t>Likewise, global regulatory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frameworks also provide</w:t>
      </w:r>
    </w:p>
    <w:p>
      <w:pPr>
        <w:pStyle w:val="BodyText"/>
        <w:spacing w:before="50" w:line="239" w:lineRule="auto"/>
        <w:ind w:left="3" w:right="745"/>
        <w:rPr>
          <w:sz w:val="12"/>
          <w:szCs w:val="12"/>
        </w:rPr>
      </w:pPr>
      <w:r>
        <w:rPr>
          <w:spacing w:val="-6"/>
          <w:sz w:val="20"/>
          <w:szCs w:val="20"/>
        </w:rPr>
        <w:t>general eligible criteria for collateral.</w:t>
      </w:r>
      <w:r>
        <w:rPr>
          <w:spacing w:val="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 xml:space="preserve">For instance, </w:t>
      </w:r>
      <w:r>
        <w:rPr>
          <w:spacing w:val="-7"/>
          <w:sz w:val="20"/>
          <w:szCs w:val="20"/>
        </w:rPr>
        <w:t>the</w:t>
      </w:r>
      <w:r>
        <w:rPr>
          <w:sz w:val="20"/>
          <w:szCs w:val="20"/>
        </w:rPr>
        <w:t xml:space="preserve">    </w:t>
      </w:r>
      <w:r>
        <w:rPr>
          <w:spacing w:val="-5"/>
          <w:sz w:val="20"/>
          <w:szCs w:val="20"/>
        </w:rPr>
        <w:t xml:space="preserve">Principles for Financial Market Infrastructures (PFMI),  </w:t>
      </w:r>
      <w:r>
        <w:rPr>
          <w:spacing w:val="-5"/>
          <w:sz w:val="20"/>
          <w:szCs w:val="20"/>
        </w:rPr>
        <w:t>which form the most representative global standard for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 xml:space="preserve">collateral, recommend that </w:t>
      </w:r>
      <w:r>
        <w:rPr>
          <w:spacing w:val="-6"/>
          <w:sz w:val="20"/>
          <w:szCs w:val="20"/>
        </w:rPr>
        <w:t>an FMI should:</w:t>
      </w:r>
      <w:r>
        <w:rPr>
          <w:position w:val="7"/>
          <w:sz w:val="12"/>
          <w:szCs w:val="12"/>
        </w:rPr>
        <w:t>5</w:t>
      </w:r>
    </w:p>
    <w:p>
      <w:pPr>
        <w:pStyle w:val="BodyText"/>
        <w:spacing w:before="48" w:line="224" w:lineRule="auto"/>
        <w:ind w:left="374" w:right="837" w:hanging="364"/>
        <w:rPr>
          <w:sz w:val="20"/>
          <w:szCs w:val="20"/>
        </w:rPr>
      </w:pPr>
      <w:r>
        <w:rPr>
          <w:spacing w:val="-5"/>
          <w:sz w:val="20"/>
          <w:szCs w:val="20"/>
        </w:rPr>
        <w:t>•     limit the use of assets as collateral with low c</w:t>
      </w:r>
      <w:r>
        <w:rPr>
          <w:spacing w:val="-6"/>
          <w:sz w:val="20"/>
          <w:szCs w:val="20"/>
        </w:rPr>
        <w:t>redit,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liquidity, and market risks;</w:t>
      </w:r>
    </w:p>
    <w:p>
      <w:pPr>
        <w:pStyle w:val="BodyText"/>
        <w:spacing w:before="61" w:line="199" w:lineRule="auto"/>
        <w:ind w:left="10"/>
        <w:rPr>
          <w:sz w:val="20"/>
          <w:szCs w:val="20"/>
        </w:rPr>
      </w:pPr>
      <w:r>
        <w:rPr>
          <w:spacing w:val="-4"/>
          <w:sz w:val="20"/>
          <w:szCs w:val="20"/>
        </w:rPr>
        <w:t>•     establish prudent</w:t>
      </w:r>
      <w:r>
        <w:rPr>
          <w:spacing w:val="-5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valuation practices;</w:t>
      </w:r>
    </w:p>
    <w:p>
      <w:pPr>
        <w:pStyle w:val="BodyText"/>
        <w:spacing w:before="59" w:line="197" w:lineRule="auto"/>
        <w:ind w:left="10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•     set and enforce appropriately stable </w:t>
      </w:r>
      <w:r>
        <w:rPr>
          <w:spacing w:val="-6"/>
          <w:sz w:val="20"/>
          <w:szCs w:val="20"/>
        </w:rPr>
        <w:t>and</w:t>
      </w:r>
    </w:p>
    <w:p>
      <w:pPr>
        <w:pStyle w:val="BodyText"/>
        <w:spacing w:before="51" w:line="204" w:lineRule="auto"/>
        <w:ind w:left="369"/>
        <w:rPr>
          <w:sz w:val="20"/>
          <w:szCs w:val="20"/>
        </w:rPr>
      </w:pPr>
      <w:r>
        <w:rPr>
          <w:spacing w:val="-5"/>
          <w:sz w:val="20"/>
          <w:szCs w:val="20"/>
        </w:rPr>
        <w:t>conservative haircuts and concentration limits; a</w:t>
      </w:r>
      <w:r>
        <w:rPr>
          <w:spacing w:val="-6"/>
          <w:sz w:val="20"/>
          <w:szCs w:val="20"/>
        </w:rPr>
        <w:t>nd</w:t>
      </w:r>
    </w:p>
    <w:p>
      <w:pPr>
        <w:pStyle w:val="BodyText"/>
        <w:spacing w:before="55" w:line="224" w:lineRule="auto"/>
        <w:ind w:left="367" w:right="1148" w:hanging="357"/>
        <w:rPr>
          <w:sz w:val="20"/>
          <w:szCs w:val="20"/>
        </w:rPr>
      </w:pPr>
      <w:r>
        <w:rPr>
          <w:spacing w:val="-5"/>
          <w:sz w:val="20"/>
          <w:szCs w:val="20"/>
        </w:rPr>
        <w:t>•     mitigate the risks associ</w:t>
      </w:r>
      <w:r>
        <w:rPr>
          <w:spacing w:val="-6"/>
          <w:sz w:val="20"/>
          <w:szCs w:val="20"/>
        </w:rPr>
        <w:t>ated</w:t>
      </w:r>
      <w:r>
        <w:rPr>
          <w:spacing w:val="-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with its use when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accepting cross-border collateral.</w:t>
      </w:r>
    </w:p>
    <w:p>
      <w:pPr>
        <w:pStyle w:val="BodyText"/>
        <w:spacing w:before="289" w:line="224" w:lineRule="auto"/>
        <w:ind w:left="14" w:right="748" w:hanging="9"/>
        <w:rPr>
          <w:sz w:val="20"/>
          <w:szCs w:val="20"/>
        </w:rPr>
      </w:pPr>
      <w:r>
        <w:rPr>
          <w:spacing w:val="-7"/>
          <w:sz w:val="20"/>
          <w:szCs w:val="20"/>
        </w:rPr>
        <w:t>To include assets as collateral, these requirements may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need to be carefully considered and adopted.</w:t>
      </w:r>
    </w:p>
    <w:p>
      <w:pPr>
        <w:pStyle w:val="BodyText"/>
        <w:spacing w:before="302" w:line="201" w:lineRule="auto"/>
        <w:ind w:left="26"/>
        <w:outlineLvl w:val="6"/>
        <w:rPr>
          <w:sz w:val="23"/>
          <w:szCs w:val="23"/>
        </w:rPr>
      </w:pPr>
      <w:r>
        <w:rPr>
          <w:b/>
          <w:bCs/>
          <w:color w:val="0088C7"/>
          <w:spacing w:val="-5"/>
          <w:sz w:val="23"/>
          <w:szCs w:val="23"/>
        </w:rPr>
        <w:t>III. Collateral</w:t>
      </w:r>
      <w:r>
        <w:rPr>
          <w:b/>
          <w:bCs/>
          <w:color w:val="0088C7"/>
          <w:spacing w:val="22"/>
          <w:sz w:val="23"/>
          <w:szCs w:val="23"/>
        </w:rPr>
        <w:t xml:space="preserve"> </w:t>
      </w:r>
      <w:r>
        <w:rPr>
          <w:b/>
          <w:bCs/>
          <w:color w:val="0088C7"/>
          <w:spacing w:val="-5"/>
          <w:sz w:val="23"/>
          <w:szCs w:val="23"/>
        </w:rPr>
        <w:t>Eligibility Cr</w:t>
      </w:r>
      <w:r>
        <w:rPr>
          <w:b/>
          <w:bCs/>
          <w:color w:val="0088C7"/>
          <w:spacing w:val="-6"/>
          <w:sz w:val="23"/>
          <w:szCs w:val="23"/>
        </w:rPr>
        <w:t>iteria</w:t>
      </w:r>
    </w:p>
    <w:p>
      <w:pPr>
        <w:pStyle w:val="BodyText"/>
        <w:spacing w:before="297" w:line="223" w:lineRule="auto"/>
        <w:ind w:left="8" w:right="988" w:hanging="3"/>
        <w:rPr>
          <w:sz w:val="20"/>
          <w:szCs w:val="20"/>
        </w:rPr>
      </w:pPr>
      <w:r>
        <w:rPr>
          <w:spacing w:val="-5"/>
          <w:sz w:val="20"/>
          <w:szCs w:val="20"/>
        </w:rPr>
        <w:t>This section explains in detail the collateral eligibil</w:t>
      </w:r>
      <w:r>
        <w:rPr>
          <w:spacing w:val="-6"/>
          <w:sz w:val="20"/>
          <w:szCs w:val="20"/>
        </w:rPr>
        <w:t>ity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criteria across</w:t>
      </w:r>
      <w:r>
        <w:rPr>
          <w:spacing w:val="-13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three ke</w:t>
      </w:r>
      <w:r>
        <w:rPr>
          <w:spacing w:val="-7"/>
          <w:sz w:val="20"/>
          <w:szCs w:val="20"/>
        </w:rPr>
        <w:t>y frameworks:</w:t>
      </w:r>
    </w:p>
    <w:p>
      <w:pPr>
        <w:pStyle w:val="BodyText"/>
        <w:spacing w:before="51" w:line="200" w:lineRule="auto"/>
        <w:ind w:left="15"/>
        <w:rPr>
          <w:sz w:val="20"/>
          <w:szCs w:val="20"/>
        </w:rPr>
      </w:pPr>
      <w:r>
        <w:rPr>
          <w:spacing w:val="-5"/>
          <w:sz w:val="20"/>
          <w:szCs w:val="20"/>
        </w:rPr>
        <w:t>(i)   central bank</w:t>
      </w:r>
      <w:r>
        <w:rPr>
          <w:spacing w:val="-14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frameworks covering open market</w:t>
      </w:r>
    </w:p>
    <w:p>
      <w:pPr>
        <w:pStyle w:val="BodyText"/>
        <w:spacing w:before="49" w:line="233" w:lineRule="auto"/>
        <w:ind w:left="368" w:right="670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operation (OMO) repo transactions </w:t>
      </w:r>
      <w:r>
        <w:rPr>
          <w:spacing w:val="-4"/>
          <w:sz w:val="20"/>
          <w:szCs w:val="20"/>
        </w:rPr>
        <w:t>for monetary</w:t>
      </w:r>
      <w:r>
        <w:rPr>
          <w:sz w:val="20"/>
          <w:szCs w:val="20"/>
        </w:rPr>
        <w:t xml:space="preserve">   </w:t>
      </w:r>
      <w:r>
        <w:rPr>
          <w:spacing w:val="-4"/>
          <w:sz w:val="20"/>
          <w:szCs w:val="20"/>
        </w:rPr>
        <w:t>policy implementation and foreign currency (FCY)-</w:t>
      </w:r>
      <w:r>
        <w:rPr>
          <w:spacing w:val="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denominated collater</w:t>
      </w:r>
      <w:r>
        <w:rPr>
          <w:spacing w:val="-5"/>
          <w:sz w:val="20"/>
          <w:szCs w:val="20"/>
        </w:rPr>
        <w:t>al for</w:t>
      </w:r>
      <w:r>
        <w:rPr>
          <w:spacing w:val="-12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the CBCA or standing</w:t>
      </w:r>
    </w:p>
    <w:p>
      <w:pPr>
        <w:pStyle w:val="BodyText"/>
        <w:spacing w:before="50" w:line="205" w:lineRule="auto"/>
        <w:ind w:left="365"/>
        <w:rPr>
          <w:sz w:val="20"/>
          <w:szCs w:val="20"/>
        </w:rPr>
      </w:pPr>
      <w:r>
        <w:rPr>
          <w:spacing w:val="-4"/>
          <w:sz w:val="20"/>
          <w:szCs w:val="20"/>
        </w:rPr>
        <w:t>facilities;</w:t>
      </w:r>
    </w:p>
    <w:p>
      <w:pPr>
        <w:pStyle w:val="BodyText"/>
        <w:spacing w:before="42" w:line="234" w:lineRule="auto"/>
        <w:ind w:left="368" w:right="726" w:hanging="353"/>
        <w:rPr>
          <w:sz w:val="20"/>
          <w:szCs w:val="20"/>
        </w:rPr>
      </w:pPr>
      <w:r>
        <w:rPr>
          <w:spacing w:val="-5"/>
          <w:sz w:val="20"/>
          <w:szCs w:val="20"/>
        </w:rPr>
        <w:t>(ii)  a CCP framework covering underlying collatera</w:t>
      </w:r>
      <w:r>
        <w:rPr>
          <w:spacing w:val="-6"/>
          <w:sz w:val="20"/>
          <w:szCs w:val="20"/>
        </w:rPr>
        <w:t>l for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CCP-cleared repos and margin collatera</w:t>
      </w:r>
      <w:r>
        <w:rPr>
          <w:spacing w:val="-7"/>
          <w:sz w:val="20"/>
          <w:szCs w:val="20"/>
        </w:rPr>
        <w:t xml:space="preserve">l pools for  </w:t>
      </w:r>
      <w:r>
        <w:rPr>
          <w:spacing w:val="-3"/>
          <w:sz w:val="20"/>
          <w:szCs w:val="20"/>
        </w:rPr>
        <w:t>over-the-counter (OTC) derivatives;</w:t>
      </w:r>
      <w:r>
        <w:rPr>
          <w:spacing w:val="-3"/>
          <w:position w:val="7"/>
          <w:sz w:val="12"/>
          <w:szCs w:val="12"/>
        </w:rPr>
        <w:t>6</w:t>
      </w:r>
      <w:r>
        <w:rPr>
          <w:spacing w:val="31"/>
          <w:w w:val="101"/>
          <w:position w:val="7"/>
          <w:sz w:val="12"/>
          <w:szCs w:val="12"/>
        </w:rPr>
        <w:t xml:space="preserve"> </w:t>
      </w:r>
      <w:r>
        <w:rPr>
          <w:spacing w:val="-3"/>
          <w:sz w:val="20"/>
          <w:szCs w:val="20"/>
        </w:rPr>
        <w:t>and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32" w:lineRule="auto"/>
        <w:ind w:left="369" w:right="147" w:hanging="358"/>
        <w:rPr>
          <w:sz w:val="20"/>
          <w:szCs w:val="20"/>
        </w:rPr>
      </w:pPr>
      <w:r>
        <w:rPr>
          <w:spacing w:val="-6"/>
          <w:sz w:val="20"/>
          <w:szCs w:val="20"/>
        </w:rPr>
        <w:t>(iii)</w:t>
      </w:r>
      <w:r>
        <w:rPr>
          <w:spacing w:val="35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global regulatory</w:t>
      </w:r>
      <w:r>
        <w:rPr>
          <w:spacing w:val="-13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 xml:space="preserve">frameworks covering the PFMI,    </w:t>
      </w:r>
      <w:r>
        <w:rPr>
          <w:spacing w:val="-6"/>
          <w:sz w:val="20"/>
          <w:szCs w:val="20"/>
        </w:rPr>
        <w:t>Basel III liquidity coverage ratio (LCR), and margin</w:t>
      </w:r>
      <w:r>
        <w:rPr>
          <w:spacing w:val="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requirements</w:t>
      </w:r>
      <w:r>
        <w:rPr>
          <w:spacing w:val="-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for non-centrally cleared</w:t>
      </w:r>
    </w:p>
    <w:p>
      <w:pPr>
        <w:pStyle w:val="BodyText"/>
        <w:spacing w:before="50" w:line="200" w:lineRule="auto"/>
        <w:ind w:left="364"/>
        <w:rPr>
          <w:sz w:val="20"/>
          <w:szCs w:val="20"/>
        </w:rPr>
      </w:pPr>
      <w:r>
        <w:rPr>
          <w:spacing w:val="-4"/>
          <w:sz w:val="20"/>
          <w:szCs w:val="20"/>
        </w:rPr>
        <w:t>derivatives (NCCDs).</w:t>
      </w:r>
    </w:p>
    <w:p>
      <w:pPr>
        <w:pStyle w:val="BodyText"/>
        <w:spacing w:line="256" w:lineRule="auto"/>
        <w:rPr>
          <w:sz w:val="21"/>
        </w:rPr>
      </w:pPr>
    </w:p>
    <w:p>
      <w:pPr>
        <w:pStyle w:val="BodyText"/>
        <w:spacing w:before="55" w:line="202" w:lineRule="auto"/>
        <w:outlineLvl w:val="6"/>
        <w:rPr>
          <w:sz w:val="19"/>
          <w:szCs w:val="19"/>
        </w:rPr>
      </w:pPr>
      <w:r>
        <w:rPr>
          <w:b/>
          <w:bCs/>
          <w:color w:val="E9532B"/>
          <w:spacing w:val="-6"/>
          <w:sz w:val="19"/>
          <w:szCs w:val="19"/>
        </w:rPr>
        <w:t>1. Central</w:t>
      </w:r>
      <w:r>
        <w:rPr>
          <w:b/>
          <w:bCs/>
          <w:color w:val="E9532B"/>
          <w:spacing w:val="25"/>
          <w:sz w:val="19"/>
          <w:szCs w:val="19"/>
        </w:rPr>
        <w:t xml:space="preserve"> </w:t>
      </w:r>
      <w:r>
        <w:rPr>
          <w:b/>
          <w:bCs/>
          <w:color w:val="E9532B"/>
          <w:spacing w:val="-6"/>
          <w:sz w:val="19"/>
          <w:szCs w:val="19"/>
        </w:rPr>
        <w:t>Bank Collateral</w:t>
      </w:r>
      <w:r>
        <w:rPr>
          <w:b/>
          <w:bCs/>
          <w:color w:val="E9532B"/>
          <w:spacing w:val="14"/>
          <w:sz w:val="19"/>
          <w:szCs w:val="19"/>
        </w:rPr>
        <w:t xml:space="preserve"> </w:t>
      </w:r>
      <w:r>
        <w:rPr>
          <w:b/>
          <w:bCs/>
          <w:color w:val="E9532B"/>
          <w:spacing w:val="-6"/>
          <w:sz w:val="19"/>
          <w:szCs w:val="19"/>
        </w:rPr>
        <w:t>Frameworks</w:t>
      </w:r>
    </w:p>
    <w:p>
      <w:pPr>
        <w:pStyle w:val="BodyText"/>
        <w:spacing w:before="296" w:line="233" w:lineRule="auto"/>
        <w:ind w:right="185" w:firstLine="6"/>
        <w:rPr>
          <w:sz w:val="19"/>
          <w:szCs w:val="19"/>
        </w:rPr>
      </w:pPr>
      <w:r>
        <w:rPr>
          <w:b/>
          <w:bCs/>
          <w:spacing w:val="-2"/>
          <w:sz w:val="19"/>
          <w:szCs w:val="19"/>
        </w:rPr>
        <w:t>Collateral Criteria for Open</w:t>
      </w:r>
      <w:r>
        <w:rPr>
          <w:b/>
          <w:bCs/>
          <w:spacing w:val="-3"/>
          <w:sz w:val="19"/>
          <w:szCs w:val="19"/>
        </w:rPr>
        <w:t xml:space="preserve"> Market</w:t>
      </w:r>
      <w:r>
        <w:rPr>
          <w:b/>
          <w:bCs/>
          <w:spacing w:val="11"/>
          <w:sz w:val="19"/>
          <w:szCs w:val="19"/>
        </w:rPr>
        <w:t xml:space="preserve"> </w:t>
      </w:r>
      <w:r>
        <w:rPr>
          <w:b/>
          <w:bCs/>
          <w:spacing w:val="-3"/>
          <w:sz w:val="19"/>
          <w:szCs w:val="19"/>
        </w:rPr>
        <w:t>Operation</w:t>
      </w:r>
      <w:r>
        <w:rPr>
          <w:b/>
          <w:bCs/>
          <w:spacing w:val="17"/>
          <w:w w:val="101"/>
          <w:sz w:val="19"/>
          <w:szCs w:val="19"/>
        </w:rPr>
        <w:t xml:space="preserve"> </w:t>
      </w:r>
      <w:r>
        <w:rPr>
          <w:b/>
          <w:bCs/>
          <w:spacing w:val="-3"/>
          <w:sz w:val="19"/>
          <w:szCs w:val="19"/>
        </w:rPr>
        <w:t>Repo</w:t>
      </w:r>
      <w:r>
        <w:rPr>
          <w:b/>
          <w:bCs/>
          <w:sz w:val="19"/>
          <w:szCs w:val="19"/>
        </w:rPr>
        <w:t xml:space="preserve"> </w:t>
      </w:r>
      <w:r>
        <w:rPr>
          <w:b/>
          <w:bCs/>
          <w:spacing w:val="-4"/>
          <w:sz w:val="19"/>
          <w:szCs w:val="19"/>
        </w:rPr>
        <w:t>Transactions</w:t>
      </w:r>
    </w:p>
    <w:p>
      <w:pPr>
        <w:pStyle w:val="BodyText"/>
        <w:spacing w:before="56" w:line="199" w:lineRule="auto"/>
        <w:rPr>
          <w:sz w:val="20"/>
          <w:szCs w:val="20"/>
        </w:rPr>
      </w:pPr>
      <w:r>
        <w:rPr>
          <w:spacing w:val="-4"/>
          <w:sz w:val="20"/>
          <w:szCs w:val="20"/>
        </w:rPr>
        <w:t>This section focuses on</w:t>
      </w:r>
      <w:r>
        <w:rPr>
          <w:spacing w:val="-5"/>
          <w:sz w:val="20"/>
          <w:szCs w:val="20"/>
        </w:rPr>
        <w:t xml:space="preserve"> the collateral eligibility criteria</w:t>
      </w:r>
    </w:p>
    <w:p>
      <w:pPr>
        <w:pStyle w:val="BodyText"/>
        <w:spacing w:before="49" w:line="224" w:lineRule="auto"/>
        <w:ind w:left="8" w:right="895" w:hanging="4"/>
        <w:rPr>
          <w:sz w:val="20"/>
          <w:szCs w:val="20"/>
        </w:rPr>
      </w:pPr>
      <w:r>
        <w:rPr>
          <w:spacing w:val="-5"/>
          <w:sz w:val="20"/>
          <w:szCs w:val="20"/>
        </w:rPr>
        <w:t>of OMO repo transactions of central banks to</w:t>
      </w:r>
      <w:r>
        <w:rPr>
          <w:spacing w:val="16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implement monetary pol</w:t>
      </w:r>
      <w:r>
        <w:rPr>
          <w:spacing w:val="-5"/>
          <w:sz w:val="20"/>
          <w:szCs w:val="20"/>
        </w:rPr>
        <w:t>icy.</w:t>
      </w:r>
    </w:p>
    <w:p>
      <w:pPr>
        <w:pStyle w:val="BodyText"/>
        <w:spacing w:line="256" w:lineRule="auto"/>
        <w:rPr>
          <w:sz w:val="21"/>
        </w:rPr>
      </w:pPr>
    </w:p>
    <w:p>
      <w:pPr>
        <w:pStyle w:val="BodyText"/>
        <w:spacing w:before="58" w:line="233" w:lineRule="auto"/>
        <w:ind w:left="3" w:right="161" w:hanging="3"/>
        <w:jc w:val="both"/>
        <w:rPr>
          <w:sz w:val="20"/>
          <w:szCs w:val="20"/>
        </w:rPr>
      </w:pPr>
      <w:r>
        <w:rPr>
          <w:spacing w:val="-5"/>
          <w:sz w:val="20"/>
          <w:szCs w:val="20"/>
        </w:rPr>
        <w:t>The collateral criteria of central banks are important in</w:t>
      </w:r>
      <w:r>
        <w:rPr>
          <w:spacing w:val="11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determining the accessibility of financial institutions to</w:t>
      </w:r>
      <w:r>
        <w:rPr>
          <w:spacing w:val="7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central bank liquidity.</w:t>
      </w:r>
      <w:r>
        <w:rPr>
          <w:spacing w:val="8"/>
          <w:position w:val="7"/>
          <w:sz w:val="12"/>
          <w:szCs w:val="12"/>
        </w:rPr>
        <w:t>7</w:t>
      </w:r>
      <w:r>
        <w:rPr>
          <w:spacing w:val="34"/>
          <w:w w:val="101"/>
          <w:position w:val="7"/>
          <w:sz w:val="12"/>
          <w:szCs w:val="12"/>
        </w:rPr>
        <w:t xml:space="preserve"> </w:t>
      </w:r>
      <w:r>
        <w:rPr>
          <w:spacing w:val="-7"/>
          <w:sz w:val="20"/>
          <w:szCs w:val="20"/>
        </w:rPr>
        <w:t>In general,</w:t>
      </w:r>
      <w:r>
        <w:rPr>
          <w:spacing w:val="-7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central ban</w:t>
      </w:r>
      <w:r>
        <w:rPr>
          <w:spacing w:val="-8"/>
          <w:sz w:val="20"/>
          <w:szCs w:val="20"/>
        </w:rPr>
        <w:t>ks’</w:t>
      </w:r>
    </w:p>
    <w:p>
      <w:pPr>
        <w:pStyle w:val="BodyText"/>
        <w:spacing w:before="50" w:line="224" w:lineRule="auto"/>
        <w:ind w:left="4" w:right="30"/>
        <w:rPr>
          <w:sz w:val="20"/>
          <w:szCs w:val="20"/>
        </w:rPr>
      </w:pPr>
      <w:r>
        <w:rPr>
          <w:spacing w:val="-6"/>
          <w:sz w:val="20"/>
          <w:szCs w:val="20"/>
        </w:rPr>
        <w:t>collateral frameworks are based on legal cert</w:t>
      </w:r>
      <w:r>
        <w:rPr>
          <w:spacing w:val="-7"/>
          <w:sz w:val="20"/>
          <w:szCs w:val="20"/>
        </w:rPr>
        <w:t>ainty, credit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quality, operational efficiency, market neutrality, and</w:t>
      </w:r>
    </w:p>
    <w:p>
      <w:pPr>
        <w:pStyle w:val="BodyText"/>
        <w:spacing w:before="51" w:line="198" w:lineRule="auto"/>
        <w:rPr>
          <w:sz w:val="20"/>
          <w:szCs w:val="20"/>
        </w:rPr>
      </w:pPr>
      <w:r>
        <w:rPr>
          <w:spacing w:val="-6"/>
          <w:sz w:val="20"/>
          <w:szCs w:val="20"/>
        </w:rPr>
        <w:t>transparency with regard to large transactions.</w:t>
      </w:r>
    </w:p>
    <w:p>
      <w:pPr>
        <w:pStyle w:val="BodyText"/>
        <w:spacing w:before="290" w:line="233" w:lineRule="auto"/>
        <w:ind w:left="4" w:right="448" w:firstLine="12"/>
        <w:rPr>
          <w:sz w:val="20"/>
          <w:szCs w:val="20"/>
        </w:rPr>
      </w:pPr>
      <w:r>
        <w:rPr>
          <w:spacing w:val="-6"/>
          <w:sz w:val="20"/>
          <w:szCs w:val="20"/>
        </w:rPr>
        <w:t>In practice, several collateral criteria factors can be</w:t>
      </w:r>
      <w:r>
        <w:rPr>
          <w:sz w:val="20"/>
          <w:szCs w:val="20"/>
        </w:rPr>
        <w:t xml:space="preserve">  </w:t>
      </w:r>
      <w:r>
        <w:rPr>
          <w:spacing w:val="-7"/>
          <w:sz w:val="20"/>
          <w:szCs w:val="20"/>
        </w:rPr>
        <w:t xml:space="preserve">observed across central </w:t>
      </w:r>
      <w:r>
        <w:rPr>
          <w:spacing w:val="-8"/>
          <w:sz w:val="20"/>
          <w:szCs w:val="20"/>
        </w:rPr>
        <w:t>banks. When central banks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conduct their OMO using repo</w:t>
      </w:r>
      <w:r>
        <w:rPr>
          <w:spacing w:val="-1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transaction</w:t>
      </w:r>
      <w:r>
        <w:rPr>
          <w:spacing w:val="-5"/>
          <w:sz w:val="20"/>
          <w:szCs w:val="20"/>
        </w:rPr>
        <w:t>s, they</w:t>
      </w:r>
    </w:p>
    <w:p>
      <w:pPr>
        <w:pStyle w:val="BodyText"/>
        <w:spacing w:before="49" w:line="225" w:lineRule="auto"/>
        <w:ind w:left="8" w:right="394" w:hanging="8"/>
        <w:rPr>
          <w:sz w:val="20"/>
          <w:szCs w:val="20"/>
        </w:rPr>
      </w:pPr>
      <w:r>
        <w:rPr>
          <w:spacing w:val="-7"/>
          <w:sz w:val="20"/>
          <w:szCs w:val="20"/>
        </w:rPr>
        <w:t>typically buy a specific set of asse</w:t>
      </w:r>
      <w:r>
        <w:rPr>
          <w:spacing w:val="-8"/>
          <w:sz w:val="20"/>
          <w:szCs w:val="20"/>
        </w:rPr>
        <w:t>ts. These</w:t>
      </w:r>
      <w:r>
        <w:rPr>
          <w:spacing w:val="-14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generally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include government bonds and various debt</w:t>
      </w:r>
    </w:p>
    <w:p>
      <w:pPr>
        <w:pStyle w:val="BodyText"/>
        <w:spacing w:before="50" w:line="197" w:lineRule="auto"/>
        <w:ind w:left="9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instruments issued by both the public </w:t>
      </w:r>
      <w:r>
        <w:rPr>
          <w:spacing w:val="-6"/>
          <w:sz w:val="20"/>
          <w:szCs w:val="20"/>
        </w:rPr>
        <w:t>sector</w:t>
      </w:r>
    </w:p>
    <w:p>
      <w:pPr>
        <w:pStyle w:val="BodyText"/>
        <w:spacing w:before="51" w:line="200" w:lineRule="auto"/>
        <w:ind w:left="11"/>
        <w:rPr>
          <w:sz w:val="20"/>
          <w:szCs w:val="20"/>
        </w:rPr>
      </w:pPr>
      <w:r>
        <w:rPr>
          <w:spacing w:val="-7"/>
          <w:sz w:val="20"/>
          <w:szCs w:val="20"/>
        </w:rPr>
        <w:t>(e.g., central banks and</w:t>
      </w:r>
      <w:r>
        <w:rPr>
          <w:spacing w:val="-13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government agencies) and</w:t>
      </w:r>
      <w:r>
        <w:rPr>
          <w:spacing w:val="-8"/>
          <w:sz w:val="20"/>
          <w:szCs w:val="20"/>
        </w:rPr>
        <w:t xml:space="preserve"> the</w:t>
      </w:r>
    </w:p>
    <w:p>
      <w:pPr>
        <w:pStyle w:val="BodyText"/>
        <w:spacing w:before="49" w:line="225" w:lineRule="auto"/>
        <w:ind w:left="4" w:right="804" w:firstLine="5"/>
        <w:rPr>
          <w:sz w:val="20"/>
          <w:szCs w:val="20"/>
        </w:rPr>
      </w:pPr>
      <w:r>
        <w:rPr>
          <w:spacing w:val="-4"/>
          <w:sz w:val="20"/>
          <w:szCs w:val="20"/>
        </w:rPr>
        <w:t>private sector (including credit institutions and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corporations).</w:t>
      </w:r>
    </w:p>
    <w:p>
      <w:pPr>
        <w:pStyle w:val="BodyText"/>
        <w:spacing w:line="255" w:lineRule="auto"/>
        <w:rPr>
          <w:sz w:val="21"/>
        </w:rPr>
      </w:pPr>
    </w:p>
    <w:p>
      <w:pPr>
        <w:pStyle w:val="BodyText"/>
        <w:spacing w:before="57" w:line="237" w:lineRule="auto"/>
        <w:ind w:left="8" w:right="176" w:hanging="8"/>
        <w:rPr>
          <w:sz w:val="20"/>
          <w:szCs w:val="20"/>
        </w:rPr>
      </w:pPr>
      <w:r>
        <w:rPr>
          <w:b/>
          <w:bCs/>
          <w:spacing w:val="-10"/>
          <w:sz w:val="19"/>
          <w:szCs w:val="19"/>
        </w:rPr>
        <w:t xml:space="preserve">Table 1 </w:t>
      </w:r>
      <w:r>
        <w:rPr>
          <w:spacing w:val="-10"/>
          <w:sz w:val="20"/>
          <w:szCs w:val="20"/>
        </w:rPr>
        <w:t>shows</w:t>
      </w:r>
      <w:r>
        <w:rPr>
          <w:spacing w:val="-5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the eligible</w:t>
      </w:r>
      <w:r>
        <w:rPr>
          <w:spacing w:val="-13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collateral</w:t>
      </w:r>
      <w:r>
        <w:rPr>
          <w:spacing w:val="-15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criteria</w:t>
      </w:r>
      <w:r>
        <w:rPr>
          <w:spacing w:val="-14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accepted</w:t>
      </w:r>
      <w:r>
        <w:rPr>
          <w:spacing w:val="-13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as</w:t>
      </w:r>
      <w:r>
        <w:rPr>
          <w:sz w:val="20"/>
          <w:szCs w:val="20"/>
        </w:rPr>
        <w:t xml:space="preserve">    </w:t>
      </w:r>
      <w:r>
        <w:rPr>
          <w:spacing w:val="-9"/>
          <w:sz w:val="20"/>
          <w:szCs w:val="20"/>
        </w:rPr>
        <w:t>part</w:t>
      </w:r>
      <w:r>
        <w:rPr>
          <w:spacing w:val="-1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of</w:t>
      </w:r>
      <w:r>
        <w:rPr>
          <w:spacing w:val="-19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the monetary policy</w:t>
      </w:r>
      <w:r>
        <w:rPr>
          <w:spacing w:val="-14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operations of</w:t>
      </w:r>
      <w:r>
        <w:rPr>
          <w:spacing w:val="-14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central banks in</w:t>
      </w:r>
      <w:r>
        <w:rPr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major economies.</w:t>
      </w:r>
      <w:r>
        <w:rPr>
          <w:spacing w:val="-15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The main</w:t>
      </w:r>
      <w:r>
        <w:rPr>
          <w:spacing w:val="-12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eli</w:t>
      </w:r>
      <w:r>
        <w:rPr>
          <w:spacing w:val="-9"/>
          <w:sz w:val="20"/>
          <w:szCs w:val="20"/>
        </w:rPr>
        <w:t>gibility</w:t>
      </w:r>
      <w:r>
        <w:rPr>
          <w:spacing w:val="-14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criteria refer</w:t>
      </w:r>
      <w:r>
        <w:rPr>
          <w:spacing w:val="-17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to</w:t>
      </w:r>
      <w:r>
        <w:rPr>
          <w:spacing w:val="-16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the</w:t>
      </w:r>
      <w:r>
        <w:rPr>
          <w:sz w:val="20"/>
          <w:szCs w:val="20"/>
        </w:rPr>
        <w:t xml:space="preserve">  </w:t>
      </w:r>
      <w:r>
        <w:rPr>
          <w:spacing w:val="-11"/>
          <w:sz w:val="20"/>
          <w:szCs w:val="20"/>
        </w:rPr>
        <w:t>issuer of</w:t>
      </w:r>
      <w:r>
        <w:rPr>
          <w:spacing w:val="-2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assets, credit</w:t>
      </w:r>
      <w:r>
        <w:rPr>
          <w:spacing w:val="-14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standards,</w:t>
      </w:r>
      <w:r>
        <w:rPr>
          <w:spacing w:val="-12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and</w:t>
      </w:r>
      <w:r>
        <w:rPr>
          <w:spacing w:val="-17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foreign</w:t>
      </w:r>
      <w:r>
        <w:rPr>
          <w:spacing w:val="-12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currency.</w:t>
      </w: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before="58" w:line="197" w:lineRule="auto"/>
        <w:ind w:left="17"/>
        <w:rPr>
          <w:sz w:val="20"/>
          <w:szCs w:val="20"/>
        </w:rPr>
      </w:pPr>
      <w:r>
        <w:rPr>
          <w:spacing w:val="-8"/>
          <w:sz w:val="20"/>
          <w:szCs w:val="20"/>
        </w:rPr>
        <w:t>In terms of the issuer of assets, the BOJ, Eurosystem,</w:t>
      </w:r>
    </w:p>
    <w:p>
      <w:pPr>
        <w:pStyle w:val="BodyText"/>
        <w:spacing w:before="51" w:line="225" w:lineRule="auto"/>
        <w:ind w:left="8" w:right="66" w:hanging="5"/>
        <w:rPr>
          <w:sz w:val="20"/>
          <w:szCs w:val="20"/>
        </w:rPr>
      </w:pPr>
      <w:r>
        <w:rPr>
          <w:spacing w:val="-9"/>
          <w:sz w:val="20"/>
          <w:szCs w:val="20"/>
        </w:rPr>
        <w:t>and</w:t>
      </w:r>
      <w:r>
        <w:rPr>
          <w:spacing w:val="24"/>
          <w:w w:val="101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Riksbank accept a</w:t>
      </w:r>
      <w:r>
        <w:rPr>
          <w:spacing w:val="-15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wide range of assets as collateral,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 xml:space="preserve">including bonds from </w:t>
      </w:r>
      <w:r>
        <w:rPr>
          <w:spacing w:val="-6"/>
          <w:sz w:val="20"/>
          <w:szCs w:val="20"/>
        </w:rPr>
        <w:t>the public sector as</w:t>
      </w:r>
      <w:r>
        <w:rPr>
          <w:spacing w:val="-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well as the</w:t>
      </w:r>
    </w:p>
    <w:p>
      <w:pPr>
        <w:pStyle w:val="BodyText"/>
        <w:spacing w:before="49" w:line="238" w:lineRule="auto"/>
        <w:ind w:right="97" w:firstLine="9"/>
        <w:rPr>
          <w:sz w:val="20"/>
          <w:szCs w:val="20"/>
        </w:rPr>
      </w:pPr>
      <w:r>
        <w:rPr>
          <w:spacing w:val="-6"/>
          <w:sz w:val="20"/>
          <w:szCs w:val="20"/>
        </w:rPr>
        <w:t>private sector. However, each central bank included</w:t>
      </w:r>
      <w:r>
        <w:rPr>
          <w:spacing w:val="-7"/>
          <w:sz w:val="20"/>
          <w:szCs w:val="20"/>
        </w:rPr>
        <w:t xml:space="preserve"> in</w:t>
      </w:r>
      <w:r>
        <w:rPr>
          <w:sz w:val="20"/>
          <w:szCs w:val="20"/>
        </w:rPr>
        <w:t xml:space="preserve">   </w:t>
      </w:r>
      <w:r>
        <w:rPr>
          <w:spacing w:val="-5"/>
          <w:sz w:val="20"/>
          <w:szCs w:val="20"/>
        </w:rPr>
        <w:t>Table 1 applies different st</w:t>
      </w:r>
      <w:r>
        <w:rPr>
          <w:spacing w:val="-6"/>
          <w:sz w:val="20"/>
          <w:szCs w:val="20"/>
        </w:rPr>
        <w:t>andards</w:t>
      </w:r>
      <w:r>
        <w:rPr>
          <w:spacing w:val="-12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for debt instruments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issued by</w:t>
      </w:r>
      <w:r>
        <w:rPr>
          <w:spacing w:val="-1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the private sector (</w:t>
      </w:r>
      <w:r>
        <w:rPr>
          <w:spacing w:val="-6"/>
          <w:sz w:val="20"/>
          <w:szCs w:val="20"/>
        </w:rPr>
        <w:t xml:space="preserve">e.g., credit institutions and </w:t>
      </w:r>
      <w:r>
        <w:rPr>
          <w:spacing w:val="-5"/>
          <w:sz w:val="20"/>
          <w:szCs w:val="20"/>
        </w:rPr>
        <w:t>corporations) and supran</w:t>
      </w:r>
      <w:r>
        <w:rPr>
          <w:spacing w:val="-6"/>
          <w:sz w:val="20"/>
          <w:szCs w:val="20"/>
        </w:rPr>
        <w:t>ationals. In the cases of</w:t>
      </w:r>
      <w:r>
        <w:rPr>
          <w:spacing w:val="-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the</w:t>
      </w:r>
    </w:p>
    <w:p>
      <w:pPr>
        <w:pStyle w:val="BodyText"/>
        <w:spacing w:before="48" w:line="200" w:lineRule="auto"/>
        <w:ind w:left="16"/>
        <w:rPr>
          <w:sz w:val="20"/>
          <w:szCs w:val="20"/>
        </w:rPr>
      </w:pPr>
      <w:r>
        <w:rPr>
          <w:spacing w:val="-9"/>
          <w:sz w:val="20"/>
          <w:szCs w:val="20"/>
        </w:rPr>
        <w:t>Bank of</w:t>
      </w:r>
      <w:r>
        <w:rPr>
          <w:spacing w:val="20"/>
          <w:w w:val="101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England (BOE) and the</w:t>
      </w:r>
      <w:r>
        <w:rPr>
          <w:spacing w:val="8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Federal Reserve, for</w:t>
      </w:r>
    </w:p>
    <w:p>
      <w:pPr>
        <w:pStyle w:val="BodyText"/>
        <w:spacing w:before="48" w:line="224" w:lineRule="auto"/>
        <w:ind w:left="3" w:right="163" w:firstLine="1"/>
        <w:rPr>
          <w:sz w:val="20"/>
          <w:szCs w:val="20"/>
        </w:rPr>
      </w:pPr>
      <w:r>
        <w:rPr>
          <w:spacing w:val="-4"/>
          <w:sz w:val="20"/>
          <w:szCs w:val="20"/>
        </w:rPr>
        <w:t xml:space="preserve">example, the eligibility criteria for OMO repo </w:t>
      </w:r>
      <w:r>
        <w:rPr>
          <w:spacing w:val="-5"/>
          <w:sz w:val="20"/>
          <w:szCs w:val="20"/>
        </w:rPr>
        <w:t>collateral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are limited basically to public s</w:t>
      </w:r>
      <w:r>
        <w:rPr>
          <w:spacing w:val="-6"/>
          <w:sz w:val="20"/>
          <w:szCs w:val="20"/>
        </w:rPr>
        <w:t>ector bonds.</w:t>
      </w:r>
    </w:p>
    <w:p>
      <w:pPr>
        <w:spacing w:line="224" w:lineRule="auto"/>
        <w:rPr>
          <w:sz w:val="20"/>
          <w:szCs w:val="20"/>
        </w:rPr>
        <w:sectPr>
          <w:type w:val="continuous"/>
          <w:pgSz w:w="12240" w:h="15840"/>
          <w:pgMar w:top="740" w:right="1068" w:bottom="0" w:left="1089" w:header="0" w:footer="0" w:gutter="0"/>
          <w:pgNumType w:start="9"/>
          <w:cols w:num="2" w:space="708" w:equalWidth="0">
            <w:col w:w="5305" w:space="100"/>
            <w:col w:w="4678" w:space="0"/>
          </w:cols>
        </w:sectPr>
      </w:pPr>
    </w:p>
    <w:p>
      <w:pPr>
        <w:pStyle w:val="BodyText"/>
        <w:spacing w:line="299" w:lineRule="auto"/>
        <w:rPr>
          <w:sz w:val="21"/>
        </w:rPr>
        <w:sectPr>
          <w:type w:val="continuous"/>
          <w:pgSz w:w="12240" w:h="15840"/>
          <w:pgMar w:top="740" w:right="1068" w:bottom="0" w:left="1089" w:header="0" w:footer="0" w:gutter="0"/>
          <w:pgNumType w:start="10"/>
          <w:cols w:num="1" w:space="708" w:equalWidth="0">
            <w:col w:w="10083" w:space="0"/>
          </w:cols>
        </w:sectPr>
      </w:pPr>
    </w:p>
    <w:p>
      <w:pPr>
        <w:pStyle w:val="BodyText"/>
        <w:spacing w:line="299" w:lineRule="auto"/>
        <w:rPr>
          <w:sz w:val="21"/>
        </w:rPr>
      </w:pPr>
    </w:p>
    <w:p>
      <w:pPr>
        <w:pStyle w:val="BodyText"/>
        <w:spacing w:line="299" w:lineRule="auto"/>
        <w:rPr>
          <w:sz w:val="21"/>
        </w:rPr>
      </w:pPr>
    </w:p>
    <w:p>
      <w:pPr>
        <w:pStyle w:val="BodyText"/>
        <w:spacing w:before="53" w:line="223" w:lineRule="auto"/>
        <w:ind w:left="119" w:right="90" w:hanging="114"/>
      </w:pPr>
      <w:r>
        <w:rPr>
          <w:spacing w:val="-5"/>
          <w:position w:val="6"/>
          <w:sz w:val="12"/>
          <w:szCs w:val="12"/>
        </w:rPr>
        <w:t>5</w:t>
      </w:r>
      <w:r>
        <w:rPr>
          <w:spacing w:val="16"/>
          <w:w w:val="102"/>
          <w:position w:val="6"/>
          <w:sz w:val="12"/>
          <w:szCs w:val="12"/>
        </w:rPr>
        <w:t xml:space="preserve"> </w:t>
      </w:r>
      <w:r>
        <w:rPr>
          <w:spacing w:val="-5"/>
        </w:rPr>
        <w:t>The PFMI</w:t>
      </w:r>
      <w:r>
        <w:rPr>
          <w:spacing w:val="-16"/>
        </w:rPr>
        <w:t xml:space="preserve"> </w:t>
      </w:r>
      <w:r>
        <w:rPr>
          <w:spacing w:val="-5"/>
        </w:rPr>
        <w:t>were established by</w:t>
      </w:r>
      <w:r>
        <w:rPr>
          <w:spacing w:val="-14"/>
        </w:rPr>
        <w:t xml:space="preserve"> </w:t>
      </w:r>
      <w:r>
        <w:rPr>
          <w:spacing w:val="-5"/>
        </w:rPr>
        <w:t>the Bank for International Settlements’ (BIS) Committee on Payments and Market</w:t>
      </w:r>
      <w:r>
        <w:rPr>
          <w:spacing w:val="9"/>
        </w:rPr>
        <w:t xml:space="preserve"> </w:t>
      </w:r>
      <w:r>
        <w:rPr>
          <w:spacing w:val="-5"/>
        </w:rPr>
        <w:t>Infrastructures and</w:t>
      </w:r>
      <w:r>
        <w:t xml:space="preserve"> </w:t>
      </w:r>
      <w:r>
        <w:rPr>
          <w:spacing w:val="-5"/>
        </w:rPr>
        <w:t>the International Organization of Securities Commissions in 2012. Selected parts of the PFMI recommendations are cited in the text.</w:t>
      </w:r>
    </w:p>
    <w:p>
      <w:pPr>
        <w:pStyle w:val="BodyText"/>
        <w:spacing w:before="33" w:line="209" w:lineRule="auto"/>
        <w:ind w:left="6"/>
      </w:pPr>
      <w:r>
        <w:rPr>
          <w:spacing w:val="-9"/>
          <w:position w:val="6"/>
          <w:sz w:val="12"/>
          <w:szCs w:val="12"/>
        </w:rPr>
        <w:t>6</w:t>
      </w:r>
      <w:r>
        <w:rPr>
          <w:spacing w:val="23"/>
          <w:w w:val="102"/>
          <w:position w:val="6"/>
          <w:sz w:val="12"/>
          <w:szCs w:val="12"/>
        </w:rPr>
        <w:t xml:space="preserve"> </w:t>
      </w:r>
      <w:r>
        <w:rPr>
          <w:spacing w:val="-9"/>
        </w:rPr>
        <w:t xml:space="preserve">ECB. 2013. </w:t>
      </w:r>
      <w:r>
        <w:rPr>
          <w:i/>
          <w:iCs/>
          <w:spacing w:val="-9"/>
        </w:rPr>
        <w:t xml:space="preserve">Collateral Eligibility </w:t>
      </w:r>
      <w:r>
        <w:rPr>
          <w:i/>
          <w:iCs/>
          <w:spacing w:val="-10"/>
        </w:rPr>
        <w:t>Requirements:</w:t>
      </w:r>
      <w:r>
        <w:rPr>
          <w:i/>
          <w:iCs/>
          <w:spacing w:val="-19"/>
        </w:rPr>
        <w:t xml:space="preserve"> </w:t>
      </w:r>
      <w:r>
        <w:rPr>
          <w:i/>
          <w:iCs/>
          <w:spacing w:val="-9"/>
        </w:rPr>
        <w:t>A Comparative</w:t>
      </w:r>
      <w:r>
        <w:rPr>
          <w:i/>
          <w:iCs/>
          <w:spacing w:val="-18"/>
        </w:rPr>
        <w:t xml:space="preserve"> </w:t>
      </w:r>
      <w:r>
        <w:rPr>
          <w:i/>
          <w:iCs/>
          <w:spacing w:val="-9"/>
        </w:rPr>
        <w:t>Study</w:t>
      </w:r>
      <w:r>
        <w:rPr>
          <w:i/>
          <w:iCs/>
          <w:spacing w:val="-16"/>
        </w:rPr>
        <w:t xml:space="preserve"> </w:t>
      </w:r>
      <w:r>
        <w:rPr>
          <w:i/>
          <w:iCs/>
          <w:spacing w:val="-9"/>
        </w:rPr>
        <w:t>across</w:t>
      </w:r>
      <w:r>
        <w:rPr>
          <w:i/>
          <w:iCs/>
          <w:spacing w:val="-17"/>
        </w:rPr>
        <w:t xml:space="preserve"> </w:t>
      </w:r>
      <w:r>
        <w:rPr>
          <w:i/>
          <w:iCs/>
          <w:spacing w:val="-9"/>
        </w:rPr>
        <w:t>Specific Frame</w:t>
      </w:r>
      <w:r>
        <w:rPr>
          <w:i/>
          <w:iCs/>
          <w:spacing w:val="-10"/>
        </w:rPr>
        <w:t>works</w:t>
      </w:r>
      <w:r>
        <w:rPr>
          <w:spacing w:val="-10"/>
        </w:rPr>
        <w:t>. Frankfurt. p. 7.</w:t>
      </w:r>
    </w:p>
    <w:p>
      <w:pPr>
        <w:pStyle w:val="BodyText"/>
        <w:spacing w:before="43" w:line="193" w:lineRule="auto"/>
        <w:ind w:left="3"/>
      </w:pPr>
      <w:r>
        <w:rPr>
          <w:spacing w:val="-8"/>
          <w:position w:val="6"/>
          <w:sz w:val="12"/>
          <w:szCs w:val="12"/>
        </w:rPr>
        <w:t>7</w:t>
      </w:r>
      <w:r>
        <w:rPr>
          <w:spacing w:val="8"/>
          <w:position w:val="6"/>
          <w:sz w:val="12"/>
          <w:szCs w:val="12"/>
        </w:rPr>
        <w:t xml:space="preserve"> </w:t>
      </w:r>
      <w:r>
        <w:rPr>
          <w:spacing w:val="-8"/>
        </w:rPr>
        <w:t xml:space="preserve">ADB. 2022. </w:t>
      </w:r>
      <w:r>
        <w:rPr>
          <w:i/>
          <w:iCs/>
          <w:spacing w:val="-8"/>
        </w:rPr>
        <w:t xml:space="preserve">Local Currency </w:t>
      </w:r>
      <w:r>
        <w:rPr>
          <w:i/>
          <w:iCs/>
          <w:spacing w:val="-9"/>
        </w:rPr>
        <w:t>Collateral</w:t>
      </w:r>
      <w:r>
        <w:rPr>
          <w:i/>
          <w:iCs/>
          <w:spacing w:val="-26"/>
        </w:rPr>
        <w:t xml:space="preserve"> </w:t>
      </w:r>
      <w:r>
        <w:rPr>
          <w:i/>
          <w:iCs/>
          <w:spacing w:val="-9"/>
        </w:rPr>
        <w:t>for Cross-Border Financial Transactions: Policy Recommendations</w:t>
      </w:r>
      <w:r>
        <w:rPr>
          <w:i/>
          <w:iCs/>
          <w:spacing w:val="-25"/>
        </w:rPr>
        <w:t xml:space="preserve"> </w:t>
      </w:r>
      <w:r>
        <w:rPr>
          <w:i/>
          <w:iCs/>
          <w:spacing w:val="-9"/>
        </w:rPr>
        <w:t>from</w:t>
      </w:r>
      <w:r>
        <w:rPr>
          <w:i/>
          <w:iCs/>
          <w:spacing w:val="-15"/>
        </w:rPr>
        <w:t xml:space="preserve"> </w:t>
      </w:r>
      <w:r>
        <w:rPr>
          <w:i/>
          <w:iCs/>
          <w:spacing w:val="-9"/>
        </w:rPr>
        <w:t>the CSIF</w:t>
      </w:r>
      <w:r>
        <w:rPr>
          <w:spacing w:val="-9"/>
        </w:rPr>
        <w:t>. Manila. p. 8.</w:t>
      </w:r>
    </w:p>
    <w:p>
      <w:pPr>
        <w:spacing w:line="193" w:lineRule="auto"/>
        <w:sectPr>
          <w:type w:val="nextPage"/>
          <w:pgSz w:w="12240" w:h="15840"/>
          <w:pgMar w:top="740" w:right="1068" w:bottom="0" w:left="1089" w:header="0" w:footer="0" w:gutter="0"/>
          <w:pgNumType w:start="11"/>
          <w:cols w:num="1" w:space="708" w:equalWidth="0">
            <w:col w:w="10083" w:space="0"/>
          </w:cols>
          <w:titlePg w:val="0"/>
        </w:sectPr>
      </w:pPr>
    </w:p>
    <w:p>
      <w:pPr>
        <w:pStyle w:val="BodyText"/>
        <w:spacing w:before="37" w:line="199" w:lineRule="auto"/>
        <w:rPr>
          <w:sz w:val="20"/>
          <w:szCs w:val="20"/>
        </w:rPr>
      </w:pPr>
      <w:r>
        <w:rPr>
          <w:spacing w:val="-5"/>
          <w:sz w:val="20"/>
          <w:szCs w:val="20"/>
        </w:rPr>
        <w:t>4</w:t>
      </w:r>
      <w:r>
        <w:rPr>
          <w:spacing w:val="1"/>
          <w:sz w:val="20"/>
          <w:szCs w:val="20"/>
        </w:rPr>
        <w:t xml:space="preserve">                                                     </w:t>
      </w:r>
      <w:r>
        <w:rPr>
          <w:sz w:val="20"/>
          <w:szCs w:val="20"/>
        </w:rPr>
        <w:t xml:space="preserve">                                                </w:t>
      </w:r>
      <w:r>
        <w:rPr>
          <w:spacing w:val="-5"/>
          <w:sz w:val="20"/>
          <w:szCs w:val="20"/>
        </w:rPr>
        <w:t>Comparative</w:t>
      </w:r>
      <w:r>
        <w:rPr>
          <w:spacing w:val="-1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Analysis of Collateral Eligibility Criteria</w:t>
      </w: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before="61" w:line="230" w:lineRule="auto"/>
        <w:ind w:left="3366" w:right="1228" w:hanging="2120"/>
        <w:rPr>
          <w:sz w:val="21"/>
          <w:szCs w:val="21"/>
        </w:rPr>
      </w:pPr>
      <w:r>
        <w:rPr>
          <w:b/>
          <w:bCs/>
          <w:color w:val="0088C7"/>
          <w:spacing w:val="-5"/>
          <w:sz w:val="21"/>
          <w:szCs w:val="21"/>
        </w:rPr>
        <w:t>Table 1:</w:t>
      </w:r>
      <w:r>
        <w:rPr>
          <w:b/>
          <w:bCs/>
          <w:color w:val="0088C7"/>
          <w:spacing w:val="15"/>
          <w:w w:val="101"/>
          <w:sz w:val="21"/>
          <w:szCs w:val="21"/>
        </w:rPr>
        <w:t xml:space="preserve"> </w:t>
      </w:r>
      <w:r>
        <w:rPr>
          <w:b/>
          <w:bCs/>
          <w:color w:val="0088C7"/>
          <w:spacing w:val="-5"/>
          <w:sz w:val="21"/>
          <w:szCs w:val="21"/>
        </w:rPr>
        <w:t>Eligible</w:t>
      </w:r>
      <w:r>
        <w:rPr>
          <w:b/>
          <w:bCs/>
          <w:color w:val="0088C7"/>
          <w:spacing w:val="12"/>
          <w:sz w:val="21"/>
          <w:szCs w:val="21"/>
        </w:rPr>
        <w:t xml:space="preserve"> </w:t>
      </w:r>
      <w:r>
        <w:rPr>
          <w:b/>
          <w:bCs/>
          <w:color w:val="0088C7"/>
          <w:spacing w:val="-5"/>
          <w:sz w:val="21"/>
          <w:szCs w:val="21"/>
        </w:rPr>
        <w:t>Collateral Criteria for</w:t>
      </w:r>
      <w:r>
        <w:rPr>
          <w:b/>
          <w:bCs/>
          <w:color w:val="0088C7"/>
          <w:spacing w:val="11"/>
          <w:sz w:val="21"/>
          <w:szCs w:val="21"/>
        </w:rPr>
        <w:t xml:space="preserve"> </w:t>
      </w:r>
      <w:r>
        <w:rPr>
          <w:b/>
          <w:bCs/>
          <w:color w:val="0088C7"/>
          <w:spacing w:val="-5"/>
          <w:sz w:val="21"/>
          <w:szCs w:val="21"/>
        </w:rPr>
        <w:t>Open Market Operation</w:t>
      </w:r>
      <w:r>
        <w:rPr>
          <w:b/>
          <w:bCs/>
          <w:color w:val="0088C7"/>
          <w:spacing w:val="18"/>
          <w:sz w:val="21"/>
          <w:szCs w:val="21"/>
        </w:rPr>
        <w:t xml:space="preserve"> </w:t>
      </w:r>
      <w:r>
        <w:rPr>
          <w:b/>
          <w:bCs/>
          <w:color w:val="0088C7"/>
          <w:spacing w:val="-5"/>
          <w:sz w:val="21"/>
          <w:szCs w:val="21"/>
        </w:rPr>
        <w:t>Repo Transactio</w:t>
      </w:r>
      <w:r>
        <w:rPr>
          <w:b/>
          <w:bCs/>
          <w:color w:val="0088C7"/>
          <w:spacing w:val="-6"/>
          <w:sz w:val="21"/>
          <w:szCs w:val="21"/>
        </w:rPr>
        <w:t>ns</w:t>
      </w:r>
      <w:r>
        <w:rPr>
          <w:b/>
          <w:bCs/>
          <w:color w:val="0088C7"/>
          <w:sz w:val="21"/>
          <w:szCs w:val="21"/>
        </w:rPr>
        <w:t xml:space="preserve"> </w:t>
      </w:r>
      <w:r>
        <w:rPr>
          <w:b/>
          <w:bCs/>
          <w:color w:val="0088C7"/>
          <w:spacing w:val="-7"/>
          <w:sz w:val="21"/>
          <w:szCs w:val="21"/>
        </w:rPr>
        <w:t>of Central</w:t>
      </w:r>
      <w:r>
        <w:rPr>
          <w:b/>
          <w:bCs/>
          <w:color w:val="0088C7"/>
          <w:spacing w:val="18"/>
          <w:sz w:val="21"/>
          <w:szCs w:val="21"/>
        </w:rPr>
        <w:t xml:space="preserve"> </w:t>
      </w:r>
      <w:r>
        <w:rPr>
          <w:b/>
          <w:bCs/>
          <w:color w:val="0088C7"/>
          <w:spacing w:val="-7"/>
          <w:sz w:val="21"/>
          <w:szCs w:val="21"/>
        </w:rPr>
        <w:t>Banks</w:t>
      </w:r>
      <w:r>
        <w:rPr>
          <w:b/>
          <w:bCs/>
          <w:color w:val="0088C7"/>
          <w:spacing w:val="11"/>
          <w:sz w:val="21"/>
          <w:szCs w:val="21"/>
        </w:rPr>
        <w:t xml:space="preserve"> </w:t>
      </w:r>
      <w:r>
        <w:rPr>
          <w:b/>
          <w:bCs/>
          <w:color w:val="0088C7"/>
          <w:spacing w:val="-7"/>
          <w:sz w:val="21"/>
          <w:szCs w:val="21"/>
        </w:rPr>
        <w:t>in Major</w:t>
      </w:r>
      <w:r>
        <w:rPr>
          <w:b/>
          <w:bCs/>
          <w:color w:val="0088C7"/>
          <w:spacing w:val="17"/>
          <w:sz w:val="21"/>
          <w:szCs w:val="21"/>
        </w:rPr>
        <w:t xml:space="preserve"> </w:t>
      </w:r>
      <w:r>
        <w:rPr>
          <w:b/>
          <w:bCs/>
          <w:color w:val="0088C7"/>
          <w:spacing w:val="-7"/>
          <w:sz w:val="21"/>
          <w:szCs w:val="21"/>
        </w:rPr>
        <w:t>Economies</w:t>
      </w:r>
    </w:p>
    <w:p>
      <w:pPr>
        <w:spacing w:line="153" w:lineRule="exact"/>
      </w:pPr>
    </w:p>
    <w:tbl>
      <w:tblPr>
        <w:tblStyle w:val="TableNormal1"/>
        <w:tblW w:w="10199" w:type="dxa"/>
        <w:tblInd w:w="19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</w:tblPr>
      <w:tblGrid>
        <w:gridCol w:w="2267"/>
        <w:gridCol w:w="1588"/>
        <w:gridCol w:w="1525"/>
        <w:gridCol w:w="1559"/>
        <w:gridCol w:w="1559"/>
        <w:gridCol w:w="1701"/>
      </w:tblGrid>
      <w:tr>
        <w:tblPrEx>
          <w:tblW w:w="10199" w:type="dxa"/>
          <w:tblInd w:w="19" w:type="dxa"/>
          <w:tblBorders>
            <w:top w:val="single" w:sz="4" w:space="0" w:color="4472C4"/>
            <w:left w:val="single" w:sz="4" w:space="0" w:color="4472C4"/>
            <w:bottom w:val="single" w:sz="4" w:space="0" w:color="4472C4"/>
            <w:right w:val="single" w:sz="4" w:space="0" w:color="4472C4"/>
            <w:insideH w:val="single" w:sz="4" w:space="0" w:color="4472C4"/>
            <w:insideV w:val="single" w:sz="4" w:space="0" w:color="4472C4"/>
          </w:tblBorders>
          <w:tblLayout w:type="fixed"/>
        </w:tblPrEx>
        <w:trPr>
          <w:trHeight w:val="563"/>
        </w:trPr>
        <w:tc>
          <w:tcPr>
            <w:tcW w:w="2267" w:type="dxa"/>
            <w:tcBorders>
              <w:top w:val="single" w:sz="2" w:space="0" w:color="4472C4"/>
              <w:lef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88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69" w:line="244" w:lineRule="auto"/>
              <w:ind w:left="507" w:right="168" w:hanging="337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Federal Reserve</w:t>
            </w:r>
            <w:r>
              <w:rPr>
                <w:spacing w:val="12"/>
                <w:w w:val="101"/>
                <w:sz w:val="18"/>
                <w:szCs w:val="18"/>
              </w:rPr>
              <w:t xml:space="preserve"> </w:t>
            </w:r>
            <w:r>
              <w:rPr>
                <w:spacing w:val="-6"/>
                <w:sz w:val="18"/>
                <w:szCs w:val="18"/>
              </w:rPr>
              <w:t>System</w:t>
            </w:r>
          </w:p>
        </w:tc>
        <w:tc>
          <w:tcPr>
            <w:tcW w:w="1525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68" w:lineRule="auto"/>
              <w:rPr>
                <w:sz w:val="21"/>
              </w:rPr>
            </w:pPr>
          </w:p>
          <w:p>
            <w:pPr>
              <w:pStyle w:val="TableText"/>
              <w:spacing w:before="52" w:line="195" w:lineRule="auto"/>
              <w:ind w:left="31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Eurosystem</w:t>
            </w:r>
          </w:p>
        </w:tc>
        <w:tc>
          <w:tcPr>
            <w:tcW w:w="1559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65" w:lineRule="auto"/>
              <w:rPr>
                <w:sz w:val="21"/>
              </w:rPr>
            </w:pPr>
          </w:p>
          <w:p>
            <w:pPr>
              <w:pStyle w:val="TableText"/>
              <w:spacing w:before="52" w:line="198" w:lineRule="auto"/>
              <w:ind w:left="60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BOE</w:t>
            </w:r>
          </w:p>
        </w:tc>
        <w:tc>
          <w:tcPr>
            <w:tcW w:w="1559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65" w:lineRule="auto"/>
              <w:rPr>
                <w:sz w:val="21"/>
              </w:rPr>
            </w:pPr>
          </w:p>
          <w:p>
            <w:pPr>
              <w:pStyle w:val="TableText"/>
              <w:spacing w:before="51" w:line="199" w:lineRule="auto"/>
              <w:ind w:left="432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Riksbank</w:t>
            </w:r>
          </w:p>
        </w:tc>
        <w:tc>
          <w:tcPr>
            <w:tcW w:w="1701" w:type="dxa"/>
            <w:tcBorders>
              <w:top w:val="single" w:sz="2" w:space="0" w:color="4472C4"/>
              <w:right w:val="single" w:sz="2" w:space="0" w:color="4472C4"/>
            </w:tcBorders>
            <w:vAlign w:val="top"/>
          </w:tcPr>
          <w:p>
            <w:pPr>
              <w:pStyle w:val="TableText"/>
              <w:spacing w:line="265" w:lineRule="auto"/>
              <w:rPr>
                <w:sz w:val="21"/>
              </w:rPr>
            </w:pPr>
          </w:p>
          <w:p>
            <w:pPr>
              <w:pStyle w:val="TableText"/>
              <w:spacing w:before="52" w:line="198" w:lineRule="auto"/>
              <w:ind w:left="693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BOJ</w:t>
            </w:r>
          </w:p>
        </w:tc>
      </w:tr>
      <w:tr>
        <w:tblPrEx>
          <w:tblW w:w="10199" w:type="dxa"/>
          <w:tblInd w:w="19" w:type="dxa"/>
          <w:tblLayout w:type="fixed"/>
        </w:tblPrEx>
        <w:trPr>
          <w:trHeight w:val="383"/>
        </w:trPr>
        <w:tc>
          <w:tcPr>
            <w:tcW w:w="2267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06" w:line="198" w:lineRule="auto"/>
              <w:ind w:left="114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Issuer of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6"/>
                <w:sz w:val="18"/>
                <w:szCs w:val="18"/>
              </w:rPr>
              <w:t>Asset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25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701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199" w:type="dxa"/>
          <w:tblInd w:w="19" w:type="dxa"/>
          <w:tblLayout w:type="fixed"/>
        </w:tblPrEx>
        <w:trPr>
          <w:trHeight w:val="388"/>
        </w:trPr>
        <w:tc>
          <w:tcPr>
            <w:tcW w:w="2267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06" w:line="198" w:lineRule="auto"/>
              <w:ind w:left="182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Government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spacing w:before="78" w:line="180" w:lineRule="auto"/>
              <w:ind w:left="709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25" w:type="dxa"/>
            <w:vAlign w:val="top"/>
          </w:tcPr>
          <w:p>
            <w:pPr>
              <w:pStyle w:val="TableText"/>
              <w:spacing w:before="78" w:line="180" w:lineRule="auto"/>
              <w:ind w:left="68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78" w:line="180" w:lineRule="auto"/>
              <w:ind w:left="701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78" w:line="180" w:lineRule="auto"/>
              <w:ind w:left="702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701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78" w:line="180" w:lineRule="auto"/>
              <w:ind w:left="77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199" w:type="dxa"/>
          <w:tblInd w:w="19" w:type="dxa"/>
          <w:tblLayout w:type="fixed"/>
        </w:tblPrEx>
        <w:trPr>
          <w:trHeight w:val="383"/>
        </w:trPr>
        <w:tc>
          <w:tcPr>
            <w:tcW w:w="2267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07" w:line="198" w:lineRule="auto"/>
              <w:ind w:left="190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Public Sector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spacing w:before="79" w:line="180" w:lineRule="auto"/>
              <w:ind w:left="709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25" w:type="dxa"/>
            <w:vAlign w:val="top"/>
          </w:tcPr>
          <w:p>
            <w:pPr>
              <w:pStyle w:val="TableText"/>
              <w:spacing w:before="79" w:line="180" w:lineRule="auto"/>
              <w:ind w:left="68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79" w:line="180" w:lineRule="auto"/>
              <w:ind w:left="701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79" w:line="180" w:lineRule="auto"/>
              <w:ind w:left="702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701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79" w:line="180" w:lineRule="auto"/>
              <w:ind w:left="77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199" w:type="dxa"/>
          <w:tblInd w:w="19" w:type="dxa"/>
          <w:tblLayout w:type="fixed"/>
        </w:tblPrEx>
        <w:trPr>
          <w:trHeight w:val="388"/>
        </w:trPr>
        <w:tc>
          <w:tcPr>
            <w:tcW w:w="2267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07" w:line="198" w:lineRule="auto"/>
              <w:ind w:left="182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Central Bank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25" w:type="dxa"/>
            <w:vAlign w:val="top"/>
          </w:tcPr>
          <w:p>
            <w:pPr>
              <w:pStyle w:val="TableText"/>
              <w:spacing w:before="79" w:line="180" w:lineRule="auto"/>
              <w:ind w:left="68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79" w:line="180" w:lineRule="auto"/>
              <w:ind w:left="701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79" w:line="180" w:lineRule="auto"/>
              <w:ind w:left="702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701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199" w:type="dxa"/>
          <w:tblInd w:w="19" w:type="dxa"/>
          <w:tblLayout w:type="fixed"/>
        </w:tblPrEx>
        <w:trPr>
          <w:trHeight w:val="383"/>
        </w:trPr>
        <w:tc>
          <w:tcPr>
            <w:tcW w:w="2267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08" w:line="198" w:lineRule="auto"/>
              <w:ind w:left="18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Credit</w:t>
            </w:r>
            <w:r>
              <w:rPr>
                <w:spacing w:val="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Institutions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25" w:type="dxa"/>
            <w:vAlign w:val="top"/>
          </w:tcPr>
          <w:p>
            <w:pPr>
              <w:pStyle w:val="TableText"/>
              <w:spacing w:before="80" w:line="180" w:lineRule="auto"/>
              <w:ind w:left="68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80" w:line="180" w:lineRule="auto"/>
              <w:ind w:left="702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701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199" w:type="dxa"/>
          <w:tblInd w:w="19" w:type="dxa"/>
          <w:tblLayout w:type="fixed"/>
        </w:tblPrEx>
        <w:trPr>
          <w:trHeight w:val="388"/>
        </w:trPr>
        <w:tc>
          <w:tcPr>
            <w:tcW w:w="2267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09" w:line="200" w:lineRule="auto"/>
              <w:ind w:lef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Corporations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25" w:type="dxa"/>
            <w:vAlign w:val="top"/>
          </w:tcPr>
          <w:p>
            <w:pPr>
              <w:pStyle w:val="TableText"/>
              <w:spacing w:before="80" w:line="180" w:lineRule="auto"/>
              <w:ind w:left="68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80" w:line="180" w:lineRule="auto"/>
              <w:ind w:left="702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701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80" w:line="180" w:lineRule="auto"/>
              <w:ind w:left="77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199" w:type="dxa"/>
          <w:tblInd w:w="19" w:type="dxa"/>
          <w:tblLayout w:type="fixed"/>
        </w:tblPrEx>
        <w:trPr>
          <w:trHeight w:val="383"/>
        </w:trPr>
        <w:tc>
          <w:tcPr>
            <w:tcW w:w="2267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08" w:line="201" w:lineRule="auto"/>
              <w:ind w:left="181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Supranationals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25" w:type="dxa"/>
            <w:vAlign w:val="top"/>
          </w:tcPr>
          <w:p>
            <w:pPr>
              <w:pStyle w:val="TableText"/>
              <w:spacing w:before="81" w:line="180" w:lineRule="auto"/>
              <w:ind w:left="68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81" w:line="180" w:lineRule="auto"/>
              <w:ind w:left="702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701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81" w:line="180" w:lineRule="auto"/>
              <w:ind w:left="77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199" w:type="dxa"/>
          <w:tblInd w:w="19" w:type="dxa"/>
          <w:tblLayout w:type="fixed"/>
        </w:tblPrEx>
        <w:trPr>
          <w:trHeight w:val="388"/>
        </w:trPr>
        <w:tc>
          <w:tcPr>
            <w:tcW w:w="2267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09" w:line="198" w:lineRule="auto"/>
              <w:ind w:left="106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Minimum Credit Standard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25" w:type="dxa"/>
            <w:vAlign w:val="top"/>
          </w:tcPr>
          <w:p>
            <w:pPr>
              <w:pStyle w:val="TableText"/>
              <w:spacing w:before="112" w:line="194" w:lineRule="auto"/>
              <w:ind w:left="567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BBB–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TableText"/>
              <w:spacing w:before="110" w:line="198" w:lineRule="auto"/>
              <w:ind w:left="668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A–</w:t>
            </w:r>
          </w:p>
        </w:tc>
        <w:tc>
          <w:tcPr>
            <w:tcW w:w="1701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112" w:line="194" w:lineRule="auto"/>
              <w:ind w:left="705"/>
              <w:rPr>
                <w:sz w:val="18"/>
                <w:szCs w:val="18"/>
              </w:rPr>
            </w:pPr>
            <w:r>
              <w:rPr>
                <w:spacing w:val="-11"/>
                <w:sz w:val="18"/>
                <w:szCs w:val="18"/>
              </w:rPr>
              <w:t>BBB</w:t>
            </w:r>
          </w:p>
        </w:tc>
      </w:tr>
      <w:tr>
        <w:tblPrEx>
          <w:tblW w:w="10199" w:type="dxa"/>
          <w:tblInd w:w="19" w:type="dxa"/>
          <w:tblLayout w:type="fixed"/>
        </w:tblPrEx>
        <w:trPr>
          <w:trHeight w:val="510"/>
        </w:trPr>
        <w:tc>
          <w:tcPr>
            <w:tcW w:w="2267" w:type="dxa"/>
            <w:tcBorders>
              <w:left w:val="single" w:sz="2" w:space="0" w:color="4472C4"/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2" w:line="200" w:lineRule="auto"/>
              <w:ind w:left="113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Foreign Currency</w:t>
            </w:r>
          </w:p>
        </w:tc>
        <w:tc>
          <w:tcPr>
            <w:tcW w:w="1588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25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59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2" w:line="205" w:lineRule="auto"/>
              <w:ind w:left="167"/>
              <w:rPr>
                <w:sz w:val="18"/>
                <w:szCs w:val="18"/>
              </w:rPr>
            </w:pPr>
            <w:r>
              <w:rPr>
                <w:spacing w:val="-9"/>
                <w:sz w:val="18"/>
                <w:szCs w:val="18"/>
              </w:rPr>
              <w:t>CAD, EUR,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-9"/>
                <w:sz w:val="18"/>
                <w:szCs w:val="18"/>
              </w:rPr>
              <w:t>USD</w:t>
            </w:r>
          </w:p>
        </w:tc>
        <w:tc>
          <w:tcPr>
            <w:tcW w:w="1559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2" w:line="228" w:lineRule="auto"/>
              <w:ind w:left="178" w:right="153" w:hanging="2"/>
              <w:rPr>
                <w:sz w:val="18"/>
                <w:szCs w:val="18"/>
              </w:rPr>
            </w:pPr>
            <w:r>
              <w:rPr>
                <w:spacing w:val="-12"/>
                <w:sz w:val="18"/>
                <w:szCs w:val="18"/>
              </w:rPr>
              <w:t>DKK, EUR, GBP,</w:t>
            </w:r>
            <w:r>
              <w:rPr>
                <w:spacing w:val="5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JPY,</w:t>
            </w:r>
            <w:r>
              <w:rPr>
                <w:spacing w:val="15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NOK, USD</w:t>
            </w:r>
          </w:p>
        </w:tc>
        <w:tc>
          <w:tcPr>
            <w:tcW w:w="1701" w:type="dxa"/>
            <w:tcBorders>
              <w:bottom w:val="single" w:sz="2" w:space="0" w:color="4472C4"/>
              <w:right w:val="single" w:sz="2" w:space="0" w:color="4472C4"/>
            </w:tcBorders>
            <w:vAlign w:val="top"/>
          </w:tcPr>
          <w:p>
            <w:pPr>
              <w:pStyle w:val="TableText"/>
              <w:spacing w:before="72" w:line="205" w:lineRule="auto"/>
              <w:ind w:left="268"/>
              <w:rPr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EUR, GBP,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-14"/>
                <w:sz w:val="18"/>
                <w:szCs w:val="18"/>
              </w:rPr>
              <w:t>USD</w:t>
            </w:r>
          </w:p>
        </w:tc>
      </w:tr>
    </w:tbl>
    <w:p>
      <w:pPr>
        <w:pStyle w:val="BodyText"/>
        <w:spacing w:before="185" w:line="225" w:lineRule="auto"/>
        <w:ind w:left="19" w:right="632" w:firstLine="16"/>
      </w:pPr>
      <w:r>
        <w:rPr>
          <w:spacing w:val="-8"/>
        </w:rPr>
        <w:t>BOE =</w:t>
      </w:r>
      <w:r>
        <w:rPr>
          <w:spacing w:val="7"/>
        </w:rPr>
        <w:t xml:space="preserve"> </w:t>
      </w:r>
      <w:r>
        <w:rPr>
          <w:spacing w:val="-8"/>
        </w:rPr>
        <w:t>Bank of England,</w:t>
      </w:r>
      <w:r>
        <w:rPr>
          <w:spacing w:val="8"/>
        </w:rPr>
        <w:t xml:space="preserve"> </w:t>
      </w:r>
      <w:r>
        <w:rPr>
          <w:spacing w:val="-8"/>
        </w:rPr>
        <w:t>BOJ = Bank of Japan, CAD = Cana</w:t>
      </w:r>
      <w:r>
        <w:rPr>
          <w:spacing w:val="-9"/>
        </w:rPr>
        <w:t>dian dollar,</w:t>
      </w:r>
      <w:r>
        <w:rPr>
          <w:spacing w:val="8"/>
        </w:rPr>
        <w:t xml:space="preserve"> </w:t>
      </w:r>
      <w:r>
        <w:rPr>
          <w:spacing w:val="-9"/>
        </w:rPr>
        <w:t>DKK =</w:t>
      </w:r>
      <w:r>
        <w:rPr>
          <w:spacing w:val="2"/>
        </w:rPr>
        <w:t xml:space="preserve"> </w:t>
      </w:r>
      <w:r>
        <w:rPr>
          <w:spacing w:val="-9"/>
        </w:rPr>
        <w:t>Denmark</w:t>
      </w:r>
      <w:r>
        <w:t xml:space="preserve"> </w:t>
      </w:r>
      <w:r>
        <w:rPr>
          <w:spacing w:val="-9"/>
        </w:rPr>
        <w:t>krone,</w:t>
      </w:r>
      <w:r>
        <w:rPr>
          <w:spacing w:val="3"/>
        </w:rPr>
        <w:t xml:space="preserve"> </w:t>
      </w:r>
      <w:r>
        <w:rPr>
          <w:spacing w:val="-9"/>
        </w:rPr>
        <w:t>EUR</w:t>
      </w:r>
      <w:r>
        <w:rPr>
          <w:spacing w:val="2"/>
        </w:rPr>
        <w:t xml:space="preserve"> </w:t>
      </w:r>
      <w:r>
        <w:rPr>
          <w:spacing w:val="-9"/>
        </w:rPr>
        <w:t>= euro, GBP</w:t>
      </w:r>
      <w:r>
        <w:rPr>
          <w:spacing w:val="-1"/>
        </w:rPr>
        <w:t xml:space="preserve"> </w:t>
      </w:r>
      <w:r>
        <w:rPr>
          <w:spacing w:val="-9"/>
        </w:rPr>
        <w:t>=</w:t>
      </w:r>
      <w:r>
        <w:rPr>
          <w:spacing w:val="-4"/>
        </w:rPr>
        <w:t xml:space="preserve"> </w:t>
      </w:r>
      <w:r>
        <w:rPr>
          <w:spacing w:val="-9"/>
        </w:rPr>
        <w:t>pound</w:t>
      </w:r>
      <w:r>
        <w:rPr>
          <w:spacing w:val="-2"/>
        </w:rPr>
        <w:t xml:space="preserve"> </w:t>
      </w:r>
      <w:r>
        <w:rPr>
          <w:spacing w:val="-9"/>
        </w:rPr>
        <w:t>sterling,</w:t>
      </w:r>
      <w:r>
        <w:t xml:space="preserve"> </w:t>
      </w:r>
      <w:r>
        <w:rPr>
          <w:spacing w:val="-7"/>
        </w:rPr>
        <w:t>JPY = Japanese yen, NOK = Norwegian krone, USD =</w:t>
      </w:r>
      <w:r>
        <w:rPr>
          <w:spacing w:val="4"/>
        </w:rPr>
        <w:t xml:space="preserve"> </w:t>
      </w:r>
      <w:r>
        <w:rPr>
          <w:spacing w:val="-7"/>
        </w:rPr>
        <w:t>United States dollar.</w:t>
      </w:r>
    </w:p>
    <w:p>
      <w:pPr>
        <w:pStyle w:val="BodyText"/>
        <w:spacing w:before="43" w:line="226" w:lineRule="auto"/>
        <w:ind w:left="29" w:right="20" w:hanging="4"/>
      </w:pPr>
      <w:r>
        <w:rPr>
          <w:spacing w:val="-7"/>
        </w:rPr>
        <w:t>Source: Bank for</w:t>
      </w:r>
      <w:r>
        <w:rPr>
          <w:spacing w:val="12"/>
        </w:rPr>
        <w:t xml:space="preserve"> </w:t>
      </w:r>
      <w:r>
        <w:rPr>
          <w:spacing w:val="-7"/>
        </w:rPr>
        <w:t xml:space="preserve">International Settlement’s Market Committee. 2022. </w:t>
      </w:r>
      <w:r>
        <w:rPr>
          <w:i/>
          <w:iCs/>
          <w:spacing w:val="-7"/>
        </w:rPr>
        <w:t>Compendium: Monetary Policy Frameworks and Central Bank</w:t>
      </w:r>
      <w:r>
        <w:rPr>
          <w:i/>
          <w:iCs/>
          <w:spacing w:val="-17"/>
        </w:rPr>
        <w:t xml:space="preserve"> </w:t>
      </w:r>
      <w:r>
        <w:rPr>
          <w:i/>
          <w:iCs/>
          <w:spacing w:val="-7"/>
        </w:rPr>
        <w:t>Market</w:t>
      </w:r>
      <w:r>
        <w:rPr>
          <w:i/>
          <w:iCs/>
        </w:rPr>
        <w:t xml:space="preserve"> </w:t>
      </w:r>
      <w:r>
        <w:rPr>
          <w:i/>
          <w:iCs/>
          <w:spacing w:val="-10"/>
        </w:rPr>
        <w:t>Operations</w:t>
      </w:r>
      <w:r>
        <w:rPr>
          <w:spacing w:val="-10"/>
        </w:rPr>
        <w:t>. Basel.</w:t>
      </w:r>
    </w:p>
    <w:p>
      <w:pPr>
        <w:spacing w:before="47"/>
      </w:pPr>
    </w:p>
    <w:p>
      <w:pPr>
        <w:sectPr>
          <w:pgSz w:w="12240" w:h="15840"/>
          <w:pgMar w:top="737" w:right="926" w:bottom="0" w:left="1092" w:header="0" w:footer="0" w:gutter="0"/>
          <w:pgNumType w:start="12"/>
          <w:cols w:num="1" w:space="708" w:equalWidth="0">
            <w:col w:w="10222" w:space="0"/>
          </w:cols>
        </w:sectPr>
      </w:pPr>
    </w:p>
    <w:p>
      <w:pPr>
        <w:pStyle w:val="BodyText"/>
        <w:spacing w:before="39" w:line="224" w:lineRule="auto"/>
        <w:ind w:left="11" w:right="1034" w:hanging="2"/>
        <w:rPr>
          <w:sz w:val="20"/>
          <w:szCs w:val="20"/>
        </w:rPr>
      </w:pPr>
      <w:r>
        <w:rPr>
          <w:spacing w:val="-6"/>
          <w:sz w:val="20"/>
          <w:szCs w:val="20"/>
        </w:rPr>
        <w:t>Concerning credit standards, central banks typical</w:t>
      </w:r>
      <w:r>
        <w:rPr>
          <w:spacing w:val="-7"/>
          <w:sz w:val="20"/>
          <w:szCs w:val="20"/>
        </w:rPr>
        <w:t>ly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require that such standards are set high.</w:t>
      </w:r>
    </w:p>
    <w:p>
      <w:pPr>
        <w:pStyle w:val="BodyText"/>
        <w:spacing w:before="290" w:line="225" w:lineRule="auto"/>
        <w:ind w:left="2" w:right="772" w:hanging="2"/>
        <w:rPr>
          <w:sz w:val="20"/>
          <w:szCs w:val="20"/>
        </w:rPr>
      </w:pPr>
      <w:r>
        <w:rPr>
          <w:spacing w:val="-5"/>
          <w:sz w:val="20"/>
          <w:szCs w:val="20"/>
        </w:rPr>
        <w:t>As for foreign currency, t</w:t>
      </w:r>
      <w:r>
        <w:rPr>
          <w:spacing w:val="-6"/>
          <w:sz w:val="20"/>
          <w:szCs w:val="20"/>
        </w:rPr>
        <w:t>hree central banks included in</w:t>
      </w:r>
      <w:r>
        <w:rPr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Table 1 (the BOE, the BOJ, and Riksbank) accept</w:t>
      </w:r>
    </w:p>
    <w:p>
      <w:pPr>
        <w:pStyle w:val="BodyText"/>
        <w:spacing w:before="48" w:line="199" w:lineRule="auto"/>
        <w:ind w:left="2"/>
        <w:rPr>
          <w:sz w:val="20"/>
          <w:szCs w:val="20"/>
        </w:rPr>
      </w:pPr>
      <w:r>
        <w:rPr>
          <w:spacing w:val="-7"/>
          <w:sz w:val="20"/>
          <w:szCs w:val="20"/>
        </w:rPr>
        <w:t>foreign assets denominated in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global reserve</w:t>
      </w:r>
    </w:p>
    <w:p>
      <w:pPr>
        <w:pStyle w:val="BodyText"/>
        <w:spacing w:before="50" w:line="199" w:lineRule="auto"/>
        <w:ind w:left="6"/>
        <w:rPr>
          <w:sz w:val="20"/>
          <w:szCs w:val="20"/>
        </w:rPr>
      </w:pPr>
      <w:r>
        <w:rPr>
          <w:spacing w:val="-8"/>
          <w:sz w:val="20"/>
          <w:szCs w:val="20"/>
        </w:rPr>
        <w:t>currencies—</w:t>
      </w:r>
      <w:r>
        <w:rPr>
          <w:spacing w:val="-18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such as the euro, US dollar, and pound</w:t>
      </w:r>
    </w:p>
    <w:p>
      <w:pPr>
        <w:pStyle w:val="BodyText"/>
        <w:spacing w:before="49" w:line="198" w:lineRule="auto"/>
        <w:ind w:left="5"/>
        <w:rPr>
          <w:sz w:val="20"/>
          <w:szCs w:val="20"/>
        </w:rPr>
      </w:pPr>
      <w:r>
        <w:rPr>
          <w:spacing w:val="-5"/>
          <w:sz w:val="20"/>
          <w:szCs w:val="20"/>
        </w:rPr>
        <w:t>sterling</w:t>
      </w:r>
      <w:r>
        <w:rPr>
          <w:spacing w:val="-26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—</w:t>
      </w:r>
      <w:r>
        <w:rPr>
          <w:spacing w:val="-28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in addition to collateral denominated in their</w:t>
      </w:r>
    </w:p>
    <w:p>
      <w:pPr>
        <w:pStyle w:val="BodyText"/>
        <w:spacing w:before="51" w:line="198" w:lineRule="auto"/>
        <w:ind w:left="6"/>
        <w:rPr>
          <w:sz w:val="20"/>
          <w:szCs w:val="20"/>
        </w:rPr>
      </w:pPr>
      <w:r>
        <w:rPr>
          <w:spacing w:val="-5"/>
          <w:sz w:val="20"/>
          <w:szCs w:val="20"/>
        </w:rPr>
        <w:t>domestic currencies. Notwithstanding, the</w:t>
      </w:r>
      <w:r>
        <w:rPr>
          <w:spacing w:val="-6"/>
          <w:sz w:val="20"/>
          <w:szCs w:val="20"/>
        </w:rPr>
        <w:t xml:space="preserve"> Federal</w:t>
      </w:r>
    </w:p>
    <w:p>
      <w:pPr>
        <w:pStyle w:val="BodyText"/>
        <w:spacing w:before="50" w:line="196" w:lineRule="auto"/>
        <w:ind w:left="18"/>
        <w:rPr>
          <w:sz w:val="20"/>
          <w:szCs w:val="20"/>
        </w:rPr>
      </w:pPr>
      <w:r>
        <w:rPr>
          <w:spacing w:val="-9"/>
          <w:sz w:val="20"/>
          <w:szCs w:val="20"/>
        </w:rPr>
        <w:t>Reserve and Eurosystem are some central bank</w:t>
      </w:r>
    </w:p>
    <w:p>
      <w:pPr>
        <w:pStyle w:val="BodyText"/>
        <w:spacing w:before="53" w:line="223" w:lineRule="auto"/>
        <w:ind w:left="6" w:right="839"/>
        <w:rPr>
          <w:sz w:val="20"/>
          <w:szCs w:val="20"/>
        </w:rPr>
      </w:pPr>
      <w:r>
        <w:rPr>
          <w:spacing w:val="-5"/>
          <w:sz w:val="20"/>
          <w:szCs w:val="20"/>
        </w:rPr>
        <w:t>examples</w:t>
      </w:r>
      <w:r>
        <w:rPr>
          <w:spacing w:val="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that have limited</w:t>
      </w:r>
      <w:r>
        <w:rPr>
          <w:spacing w:val="-11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their accepted currency</w:t>
      </w:r>
      <w:r>
        <w:rPr>
          <w:spacing w:val="-14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to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domestic only.</w:t>
      </w:r>
    </w:p>
    <w:p>
      <w:pPr>
        <w:pStyle w:val="BodyText"/>
        <w:spacing w:before="291" w:line="200" w:lineRule="auto"/>
        <w:ind w:left="19"/>
        <w:rPr>
          <w:sz w:val="20"/>
          <w:szCs w:val="20"/>
        </w:rPr>
      </w:pPr>
      <w:r>
        <w:rPr>
          <w:spacing w:val="-8"/>
          <w:sz w:val="20"/>
          <w:szCs w:val="20"/>
        </w:rPr>
        <w:t>In contrast, for ASEAN plus</w:t>
      </w:r>
      <w:r>
        <w:rPr>
          <w:spacing w:val="-13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the People’s Republic</w:t>
      </w:r>
      <w:r>
        <w:rPr>
          <w:spacing w:val="-13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of</w:t>
      </w:r>
    </w:p>
    <w:p>
      <w:pPr>
        <w:pStyle w:val="BodyText"/>
        <w:spacing w:before="49" w:line="233" w:lineRule="auto"/>
        <w:ind w:left="2" w:right="766" w:firstLine="6"/>
        <w:rPr>
          <w:sz w:val="20"/>
          <w:szCs w:val="20"/>
        </w:rPr>
      </w:pPr>
      <w:r>
        <w:rPr>
          <w:spacing w:val="-8"/>
          <w:sz w:val="20"/>
          <w:szCs w:val="20"/>
        </w:rPr>
        <w:t>China and the Republ</w:t>
      </w:r>
      <w:r>
        <w:rPr>
          <w:spacing w:val="-9"/>
          <w:sz w:val="20"/>
          <w:szCs w:val="20"/>
        </w:rPr>
        <w:t>ic of Korea (i.e.,</w:t>
      </w:r>
      <w:r>
        <w:rPr>
          <w:spacing w:val="-13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ASEAN+3 except</w:t>
      </w:r>
      <w:r>
        <w:rPr>
          <w:sz w:val="20"/>
          <w:szCs w:val="20"/>
        </w:rPr>
        <w:t xml:space="preserve">  </w:t>
      </w:r>
      <w:r>
        <w:rPr>
          <w:spacing w:val="-7"/>
          <w:sz w:val="20"/>
          <w:szCs w:val="20"/>
        </w:rPr>
        <w:t>for Japan), as shown in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7"/>
          <w:sz w:val="19"/>
          <w:szCs w:val="19"/>
        </w:rPr>
        <w:t>Table 2</w:t>
      </w:r>
      <w:r>
        <w:rPr>
          <w:spacing w:val="-7"/>
          <w:sz w:val="20"/>
          <w:szCs w:val="20"/>
        </w:rPr>
        <w:t>, collateral criteria</w:t>
      </w:r>
      <w:r>
        <w:rPr>
          <w:spacing w:val="-13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fo</w:t>
      </w:r>
      <w:r>
        <w:rPr>
          <w:spacing w:val="-8"/>
          <w:sz w:val="20"/>
          <w:szCs w:val="20"/>
        </w:rPr>
        <w:t>r</w:t>
      </w:r>
      <w:r>
        <w:rPr>
          <w:spacing w:val="-12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the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OMO</w:t>
      </w:r>
      <w:r>
        <w:rPr>
          <w:spacing w:val="-15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of regional central banks</w:t>
      </w:r>
      <w:r>
        <w:rPr>
          <w:spacing w:val="-9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are</w:t>
      </w:r>
      <w:r>
        <w:rPr>
          <w:spacing w:val="-8"/>
          <w:sz w:val="20"/>
          <w:szCs w:val="20"/>
        </w:rPr>
        <w:t xml:space="preserve"> more conservative</w:t>
      </w:r>
    </w:p>
    <w:p>
      <w:pPr>
        <w:pStyle w:val="BodyText"/>
        <w:spacing w:before="49" w:line="200" w:lineRule="auto"/>
        <w:ind w:left="2"/>
        <w:rPr>
          <w:sz w:val="20"/>
          <w:szCs w:val="20"/>
        </w:rPr>
      </w:pPr>
      <w:r>
        <w:rPr>
          <w:spacing w:val="-7"/>
          <w:sz w:val="20"/>
          <w:szCs w:val="20"/>
        </w:rPr>
        <w:t>than that</w:t>
      </w:r>
      <w:r>
        <w:rPr>
          <w:spacing w:val="-14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of central banks in develo</w:t>
      </w:r>
      <w:r>
        <w:rPr>
          <w:spacing w:val="-8"/>
          <w:sz w:val="20"/>
          <w:szCs w:val="20"/>
        </w:rPr>
        <w:t>ped</w:t>
      </w:r>
      <w:r>
        <w:rPr>
          <w:spacing w:val="-7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economies in</w:t>
      </w:r>
    </w:p>
    <w:p>
      <w:pPr>
        <w:pStyle w:val="BodyText"/>
        <w:spacing w:before="49" w:line="233" w:lineRule="auto"/>
        <w:ind w:left="5" w:right="674" w:hanging="3"/>
        <w:rPr>
          <w:sz w:val="20"/>
          <w:szCs w:val="20"/>
        </w:rPr>
      </w:pPr>
      <w:r>
        <w:rPr>
          <w:spacing w:val="-8"/>
          <w:sz w:val="20"/>
          <w:szCs w:val="20"/>
        </w:rPr>
        <w:t>terms of</w:t>
      </w:r>
      <w:r>
        <w:rPr>
          <w:spacing w:val="-9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the issuer of</w:t>
      </w:r>
      <w:r>
        <w:rPr>
          <w:spacing w:val="-15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assets and</w:t>
      </w:r>
      <w:r>
        <w:rPr>
          <w:spacing w:val="-11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foreign currency.</w:t>
      </w:r>
      <w:r>
        <w:rPr>
          <w:spacing w:val="-13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Almost</w:t>
      </w:r>
      <w:r>
        <w:rPr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all regional</w:t>
      </w:r>
      <w:r>
        <w:rPr>
          <w:spacing w:val="-15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central banks accept a sp</w:t>
      </w:r>
      <w:r>
        <w:rPr>
          <w:spacing w:val="-10"/>
          <w:sz w:val="20"/>
          <w:szCs w:val="20"/>
        </w:rPr>
        <w:t>ecific range</w:t>
      </w:r>
      <w:r>
        <w:rPr>
          <w:spacing w:val="-13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of assets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issued by</w:t>
      </w:r>
      <w:r>
        <w:rPr>
          <w:spacing w:val="-20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governments, public institu</w:t>
      </w:r>
      <w:r>
        <w:rPr>
          <w:spacing w:val="-8"/>
          <w:sz w:val="20"/>
          <w:szCs w:val="20"/>
        </w:rPr>
        <w:t>tions, and central</w:t>
      </w:r>
    </w:p>
    <w:p>
      <w:pPr>
        <w:pStyle w:val="BodyText"/>
        <w:spacing w:before="52" w:line="233" w:lineRule="auto"/>
        <w:ind w:left="10" w:right="770" w:firstLine="1"/>
        <w:rPr>
          <w:sz w:val="20"/>
          <w:szCs w:val="20"/>
        </w:rPr>
      </w:pPr>
      <w:r>
        <w:rPr>
          <w:spacing w:val="-8"/>
          <w:sz w:val="20"/>
          <w:szCs w:val="20"/>
        </w:rPr>
        <w:t>banks. In</w:t>
      </w:r>
      <w:r>
        <w:rPr>
          <w:spacing w:val="-2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general, they</w:t>
      </w:r>
      <w:r>
        <w:rPr>
          <w:spacing w:val="-14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do not accept</w:t>
      </w:r>
      <w:r>
        <w:rPr>
          <w:spacing w:val="-14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debt instruments</w:t>
      </w:r>
      <w:r>
        <w:rPr>
          <w:sz w:val="20"/>
          <w:szCs w:val="20"/>
        </w:rPr>
        <w:t xml:space="preserve">   </w:t>
      </w:r>
      <w:r>
        <w:rPr>
          <w:spacing w:val="-9"/>
          <w:sz w:val="20"/>
          <w:szCs w:val="20"/>
        </w:rPr>
        <w:t>issued by the private sector. Only Bank Ne</w:t>
      </w:r>
      <w:r>
        <w:rPr>
          <w:spacing w:val="-10"/>
          <w:sz w:val="20"/>
          <w:szCs w:val="20"/>
        </w:rPr>
        <w:t>gara Malaysia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(BNM) recognizes corporate bonds as collateral</w:t>
      </w:r>
      <w:r>
        <w:rPr>
          <w:spacing w:val="-15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for</w:t>
      </w:r>
    </w:p>
    <w:p>
      <w:pPr>
        <w:pStyle w:val="BodyText"/>
        <w:spacing w:before="49" w:line="198" w:lineRule="auto"/>
        <w:ind w:left="9"/>
        <w:rPr>
          <w:sz w:val="20"/>
          <w:szCs w:val="20"/>
        </w:rPr>
      </w:pPr>
      <w:r>
        <w:rPr>
          <w:spacing w:val="-6"/>
          <w:sz w:val="20"/>
          <w:szCs w:val="20"/>
        </w:rPr>
        <w:t>OMO repo transactions</w:t>
      </w:r>
      <w:r>
        <w:rPr>
          <w:spacing w:val="-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with a</w:t>
      </w:r>
      <w:r>
        <w:rPr>
          <w:spacing w:val="-8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high</w:t>
      </w:r>
      <w:r>
        <w:rPr>
          <w:spacing w:val="-12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credit</w:t>
      </w:r>
      <w:r>
        <w:rPr>
          <w:spacing w:val="-9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ra</w:t>
      </w:r>
      <w:r>
        <w:rPr>
          <w:spacing w:val="-7"/>
          <w:sz w:val="20"/>
          <w:szCs w:val="20"/>
        </w:rPr>
        <w:t>ting.</w:t>
      </w:r>
    </w:p>
    <w:p>
      <w:pPr>
        <w:pStyle w:val="BodyText"/>
        <w:spacing w:line="14" w:lineRule="auto"/>
        <w:rPr>
          <w:sz w:val="2"/>
        </w:rPr>
        <w:sectPr>
          <w:type w:val="continuous"/>
          <w:pgSz w:w="12240" w:h="15840"/>
          <w:pgMar w:top="737" w:right="926" w:bottom="0" w:left="1092" w:header="0" w:footer="0" w:gutter="0"/>
          <w:pgNumType w:start="13"/>
          <w:cols w:num="2" w:space="708" w:equalWidth="0">
            <w:col w:w="5300" w:space="100"/>
            <w:col w:w="4822" w:space="0"/>
          </w:cols>
        </w:sectPr>
      </w:pPr>
      <w:r>
        <w:rPr>
          <w:sz w:val="2"/>
          <w:szCs w:val="2"/>
        </w:rPr>
        <w:br w:type="column"/>
      </w:r>
    </w:p>
    <w:p>
      <w:pPr>
        <w:pStyle w:val="BodyText"/>
        <w:spacing w:before="37" w:line="198" w:lineRule="auto"/>
        <w:ind w:left="18"/>
        <w:rPr>
          <w:sz w:val="20"/>
          <w:szCs w:val="20"/>
        </w:rPr>
      </w:pPr>
      <w:r>
        <w:rPr>
          <w:spacing w:val="-6"/>
          <w:sz w:val="20"/>
          <w:szCs w:val="20"/>
        </w:rPr>
        <w:t>Regarding FCY-denominated collateral, similar to the</w:t>
      </w:r>
    </w:p>
    <w:p>
      <w:pPr>
        <w:pStyle w:val="BodyText"/>
        <w:spacing w:before="50" w:line="198" w:lineRule="auto"/>
        <w:ind w:left="18"/>
        <w:rPr>
          <w:sz w:val="20"/>
          <w:szCs w:val="20"/>
        </w:rPr>
      </w:pPr>
      <w:r>
        <w:rPr>
          <w:spacing w:val="-9"/>
          <w:sz w:val="20"/>
          <w:szCs w:val="20"/>
        </w:rPr>
        <w:t>Federal Reserve and the</w:t>
      </w:r>
      <w:r>
        <w:rPr>
          <w:spacing w:val="16"/>
          <w:w w:val="101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Eurosystem, most regional</w:t>
      </w:r>
    </w:p>
    <w:p>
      <w:pPr>
        <w:pStyle w:val="BodyText"/>
        <w:spacing w:before="50" w:line="199" w:lineRule="auto"/>
        <w:ind w:left="6"/>
        <w:rPr>
          <w:sz w:val="20"/>
          <w:szCs w:val="20"/>
        </w:rPr>
      </w:pPr>
      <w:r>
        <w:rPr>
          <w:spacing w:val="-6"/>
          <w:sz w:val="20"/>
          <w:szCs w:val="20"/>
        </w:rPr>
        <w:t>central banks do not accept assets den</w:t>
      </w:r>
      <w:r>
        <w:rPr>
          <w:spacing w:val="-7"/>
          <w:sz w:val="20"/>
          <w:szCs w:val="20"/>
        </w:rPr>
        <w:t>ominated in</w:t>
      </w:r>
    </w:p>
    <w:p>
      <w:pPr>
        <w:pStyle w:val="BodyText"/>
        <w:spacing w:before="50" w:line="233" w:lineRule="auto"/>
        <w:ind w:left="6" w:right="206" w:hanging="4"/>
        <w:rPr>
          <w:sz w:val="20"/>
          <w:szCs w:val="20"/>
        </w:rPr>
      </w:pPr>
      <w:r>
        <w:rPr>
          <w:spacing w:val="-4"/>
          <w:sz w:val="20"/>
          <w:szCs w:val="20"/>
        </w:rPr>
        <w:t xml:space="preserve">foreign currencies for </w:t>
      </w:r>
      <w:r>
        <w:rPr>
          <w:spacing w:val="-5"/>
          <w:sz w:val="20"/>
          <w:szCs w:val="20"/>
        </w:rPr>
        <w:t>OMO repo transactions. Only the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Bangko Sentral ng Pilipinas accepts FCY-deno</w:t>
      </w:r>
      <w:r>
        <w:rPr>
          <w:spacing w:val="-8"/>
          <w:sz w:val="20"/>
          <w:szCs w:val="20"/>
        </w:rPr>
        <w:t>minated</w:t>
      </w:r>
      <w:r>
        <w:rPr>
          <w:sz w:val="20"/>
          <w:szCs w:val="20"/>
        </w:rPr>
        <w:t xml:space="preserve">   </w:t>
      </w:r>
      <w:r>
        <w:rPr>
          <w:spacing w:val="-5"/>
          <w:sz w:val="20"/>
          <w:szCs w:val="20"/>
        </w:rPr>
        <w:t>obligations of the Government of</w:t>
      </w:r>
      <w:r>
        <w:rPr>
          <w:spacing w:val="-7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the Philippines as</w:t>
      </w:r>
    </w:p>
    <w:p>
      <w:pPr>
        <w:pStyle w:val="BodyText"/>
        <w:spacing w:before="49" w:line="200" w:lineRule="auto"/>
        <w:ind w:left="6"/>
        <w:rPr>
          <w:sz w:val="20"/>
          <w:szCs w:val="20"/>
        </w:rPr>
      </w:pPr>
      <w:r>
        <w:rPr>
          <w:spacing w:val="-5"/>
          <w:sz w:val="20"/>
          <w:szCs w:val="20"/>
        </w:rPr>
        <w:t>collateral for its repo transactions.</w:t>
      </w:r>
    </w:p>
    <w:p>
      <w:pPr>
        <w:pStyle w:val="BodyText"/>
        <w:spacing w:before="288" w:line="202" w:lineRule="auto"/>
        <w:ind w:left="9"/>
        <w:rPr>
          <w:sz w:val="19"/>
          <w:szCs w:val="19"/>
        </w:rPr>
      </w:pPr>
      <w:r>
        <w:rPr>
          <w:b/>
          <w:bCs/>
          <w:spacing w:val="-3"/>
          <w:sz w:val="19"/>
          <w:szCs w:val="19"/>
        </w:rPr>
        <w:t>Collateral Criteria for</w:t>
      </w:r>
      <w:r>
        <w:rPr>
          <w:b/>
          <w:bCs/>
          <w:spacing w:val="13"/>
          <w:sz w:val="19"/>
          <w:szCs w:val="19"/>
        </w:rPr>
        <w:t xml:space="preserve"> </w:t>
      </w:r>
      <w:r>
        <w:rPr>
          <w:b/>
          <w:bCs/>
          <w:spacing w:val="-4"/>
          <w:sz w:val="19"/>
          <w:szCs w:val="19"/>
        </w:rPr>
        <w:t>Cross-Border Collateral</w:t>
      </w:r>
    </w:p>
    <w:p>
      <w:pPr>
        <w:pStyle w:val="BodyText"/>
        <w:spacing w:before="57" w:line="204" w:lineRule="auto"/>
        <w:rPr>
          <w:sz w:val="19"/>
          <w:szCs w:val="19"/>
        </w:rPr>
      </w:pPr>
      <w:r>
        <w:rPr>
          <w:b/>
          <w:bCs/>
          <w:spacing w:val="-5"/>
          <w:sz w:val="19"/>
          <w:szCs w:val="19"/>
        </w:rPr>
        <w:t>Arrangement or Standing</w:t>
      </w:r>
      <w:r>
        <w:rPr>
          <w:b/>
          <w:bCs/>
          <w:spacing w:val="23"/>
          <w:w w:val="101"/>
          <w:sz w:val="19"/>
          <w:szCs w:val="19"/>
        </w:rPr>
        <w:t xml:space="preserve"> </w:t>
      </w:r>
      <w:r>
        <w:rPr>
          <w:b/>
          <w:bCs/>
          <w:spacing w:val="-5"/>
          <w:sz w:val="19"/>
          <w:szCs w:val="19"/>
        </w:rPr>
        <w:t>Facilities</w:t>
      </w:r>
    </w:p>
    <w:p>
      <w:pPr>
        <w:pStyle w:val="BodyText"/>
        <w:spacing w:before="53" w:line="225" w:lineRule="auto"/>
        <w:ind w:left="10" w:right="381" w:firstLine="8"/>
        <w:rPr>
          <w:sz w:val="20"/>
          <w:szCs w:val="20"/>
        </w:rPr>
      </w:pPr>
      <w:r>
        <w:rPr>
          <w:spacing w:val="-4"/>
          <w:sz w:val="20"/>
          <w:szCs w:val="20"/>
        </w:rPr>
        <w:t>In order to provide LCY liquidity to</w:t>
      </w:r>
      <w:r>
        <w:rPr>
          <w:spacing w:val="-5"/>
          <w:sz w:val="20"/>
          <w:szCs w:val="20"/>
        </w:rPr>
        <w:t xml:space="preserve"> domestic financial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institutions through the CBCA or s</w:t>
      </w:r>
      <w:r>
        <w:rPr>
          <w:spacing w:val="-5"/>
          <w:sz w:val="20"/>
          <w:szCs w:val="20"/>
        </w:rPr>
        <w:t>tanding facilities,</w:t>
      </w:r>
    </w:p>
    <w:p>
      <w:pPr>
        <w:pStyle w:val="BodyText"/>
        <w:spacing w:before="50"/>
        <w:ind w:right="304" w:firstLine="5"/>
        <w:rPr>
          <w:sz w:val="20"/>
          <w:szCs w:val="20"/>
        </w:rPr>
      </w:pPr>
      <w:r>
        <w:rPr>
          <w:spacing w:val="-6"/>
          <w:sz w:val="20"/>
          <w:szCs w:val="20"/>
        </w:rPr>
        <w:t>central banks may accept FCY-denominated collateral</w:t>
      </w:r>
      <w:r>
        <w:rPr>
          <w:spacing w:val="12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with a broader range of currencies.</w:t>
      </w:r>
      <w:r>
        <w:rPr>
          <w:spacing w:val="11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 xml:space="preserve">Basically, </w:t>
      </w:r>
      <w:r>
        <w:rPr>
          <w:spacing w:val="-8"/>
          <w:sz w:val="20"/>
          <w:szCs w:val="20"/>
        </w:rPr>
        <w:t>the major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collateral for the CBCA or standing facilities compr</w:t>
      </w:r>
      <w:r>
        <w:rPr>
          <w:spacing w:val="-6"/>
          <w:sz w:val="20"/>
          <w:szCs w:val="20"/>
        </w:rPr>
        <w:t>ise</w:t>
      </w:r>
      <w:r>
        <w:rPr>
          <w:sz w:val="20"/>
          <w:szCs w:val="20"/>
        </w:rPr>
        <w:t xml:space="preserve">  </w:t>
      </w:r>
      <w:r>
        <w:rPr>
          <w:spacing w:val="-5"/>
          <w:sz w:val="20"/>
          <w:szCs w:val="20"/>
        </w:rPr>
        <w:t>high-quality government bond</w:t>
      </w:r>
      <w:r>
        <w:rPr>
          <w:spacing w:val="-6"/>
          <w:sz w:val="20"/>
          <w:szCs w:val="20"/>
        </w:rPr>
        <w:t xml:space="preserve">s, central bank bills, and </w:t>
      </w:r>
      <w:r>
        <w:rPr>
          <w:spacing w:val="-5"/>
          <w:sz w:val="20"/>
          <w:szCs w:val="20"/>
        </w:rPr>
        <w:t>government-guaranteed bonds.</w:t>
      </w:r>
    </w:p>
    <w:p>
      <w:pPr>
        <w:pStyle w:val="BodyText"/>
        <w:spacing w:before="290" w:line="197" w:lineRule="auto"/>
        <w:ind w:left="9"/>
        <w:rPr>
          <w:sz w:val="20"/>
          <w:szCs w:val="20"/>
        </w:rPr>
      </w:pPr>
      <w:r>
        <w:rPr>
          <w:spacing w:val="-5"/>
          <w:sz w:val="20"/>
          <w:szCs w:val="20"/>
        </w:rPr>
        <w:t>CBCA is a monetary policy instrument in whic</w:t>
      </w:r>
      <w:r>
        <w:rPr>
          <w:spacing w:val="-6"/>
          <w:sz w:val="20"/>
          <w:szCs w:val="20"/>
        </w:rPr>
        <w:t>h the</w:t>
      </w:r>
    </w:p>
    <w:p>
      <w:pPr>
        <w:pStyle w:val="BodyText"/>
        <w:spacing w:before="51" w:line="199" w:lineRule="auto"/>
        <w:ind w:left="6"/>
        <w:rPr>
          <w:sz w:val="20"/>
          <w:szCs w:val="20"/>
        </w:rPr>
      </w:pPr>
      <w:r>
        <w:rPr>
          <w:spacing w:val="-4"/>
          <w:sz w:val="20"/>
          <w:szCs w:val="20"/>
        </w:rPr>
        <w:t>central banks of the two parti</w:t>
      </w:r>
      <w:r>
        <w:rPr>
          <w:spacing w:val="-5"/>
          <w:sz w:val="20"/>
          <w:szCs w:val="20"/>
        </w:rPr>
        <w:t>cipating countries enter</w:t>
      </w:r>
    </w:p>
    <w:p>
      <w:pPr>
        <w:pStyle w:val="BodyText"/>
        <w:spacing w:before="50" w:line="198" w:lineRule="auto"/>
        <w:ind w:left="10"/>
        <w:rPr>
          <w:sz w:val="20"/>
          <w:szCs w:val="20"/>
        </w:rPr>
      </w:pPr>
      <w:r>
        <w:rPr>
          <w:spacing w:val="-4"/>
          <w:sz w:val="20"/>
          <w:szCs w:val="20"/>
        </w:rPr>
        <w:t>into a reciprocal arrangement to p</w:t>
      </w:r>
      <w:r>
        <w:rPr>
          <w:spacing w:val="-5"/>
          <w:sz w:val="20"/>
          <w:szCs w:val="20"/>
        </w:rPr>
        <w:t>rovide liquidity to</w:t>
      </w:r>
    </w:p>
    <w:p>
      <w:pPr>
        <w:pStyle w:val="BodyText"/>
        <w:spacing w:before="49" w:line="199" w:lineRule="auto"/>
        <w:ind w:left="2"/>
        <w:rPr>
          <w:sz w:val="20"/>
          <w:szCs w:val="20"/>
        </w:rPr>
      </w:pPr>
      <w:r>
        <w:rPr>
          <w:spacing w:val="-4"/>
          <w:sz w:val="20"/>
          <w:szCs w:val="20"/>
        </w:rPr>
        <w:t>financial institutions accepting FCY-denominated</w:t>
      </w:r>
    </w:p>
    <w:p>
      <w:pPr>
        <w:pStyle w:val="BodyText"/>
        <w:spacing w:before="50" w:line="233" w:lineRule="auto"/>
        <w:ind w:left="2" w:right="210" w:firstLine="3"/>
        <w:rPr>
          <w:sz w:val="20"/>
          <w:szCs w:val="20"/>
        </w:rPr>
      </w:pPr>
      <w:r>
        <w:rPr>
          <w:spacing w:val="-6"/>
          <w:sz w:val="20"/>
          <w:szCs w:val="20"/>
        </w:rPr>
        <w:t>assets as collateral.</w:t>
      </w:r>
      <w:r>
        <w:rPr>
          <w:spacing w:val="12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In othe</w:t>
      </w:r>
      <w:r>
        <w:rPr>
          <w:spacing w:val="-7"/>
          <w:sz w:val="20"/>
          <w:szCs w:val="20"/>
        </w:rPr>
        <w:t>r words, it is a policy tool that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helps a central bank smoothly supply liquidity to f</w:t>
      </w:r>
      <w:r>
        <w:rPr>
          <w:spacing w:val="-6"/>
          <w:sz w:val="20"/>
          <w:szCs w:val="20"/>
        </w:rPr>
        <w:t>oreign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financial institutions operating in its market wi</w:t>
      </w:r>
      <w:r>
        <w:rPr>
          <w:spacing w:val="-5"/>
          <w:sz w:val="20"/>
          <w:szCs w:val="20"/>
        </w:rPr>
        <w:t>th FCY-</w:t>
      </w:r>
    </w:p>
    <w:p>
      <w:pPr>
        <w:pStyle w:val="BodyText"/>
        <w:spacing w:before="51" w:line="148" w:lineRule="exact"/>
        <w:ind w:left="6"/>
        <w:rPr>
          <w:sz w:val="20"/>
          <w:szCs w:val="20"/>
        </w:rPr>
      </w:pPr>
      <w:r>
        <w:rPr>
          <w:spacing w:val="-5"/>
          <w:position w:val="-3"/>
          <w:sz w:val="20"/>
          <w:szCs w:val="20"/>
        </w:rPr>
        <w:t>denominated bonds held in their home countries. In this</w:t>
      </w:r>
    </w:p>
    <w:p>
      <w:pPr>
        <w:spacing w:line="148" w:lineRule="exact"/>
        <w:rPr>
          <w:sz w:val="20"/>
          <w:szCs w:val="20"/>
        </w:rPr>
        <w:sectPr>
          <w:type w:val="nextPage"/>
          <w:pgSz w:w="12240" w:h="15840"/>
          <w:pgMar w:top="737" w:right="926" w:bottom="0" w:left="1092" w:header="0" w:footer="0" w:gutter="0"/>
          <w:pgNumType w:start="14"/>
          <w:cols w:num="2" w:space="708" w:equalWidth="0">
            <w:col w:w="5300" w:space="100"/>
            <w:col w:w="4822" w:space="0"/>
          </w:cols>
          <w:titlePg w:val="0"/>
        </w:sectPr>
      </w:pPr>
    </w:p>
    <w:p>
      <w:pPr>
        <w:pStyle w:val="BodyText"/>
        <w:spacing w:before="35" w:line="227" w:lineRule="auto"/>
        <w:ind w:left="11"/>
        <w:rPr>
          <w:sz w:val="20"/>
          <w:szCs w:val="20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691776</wp:posOffset>
            </wp:positionH>
            <wp:positionV relativeFrom="page">
              <wp:posOffset>8710938</wp:posOffset>
            </wp:positionV>
            <wp:extent cx="1828800" cy="63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0"/>
          <w:szCs w:val="20"/>
        </w:rPr>
        <w:t>Cross-Border Settlement Inf</w:t>
      </w:r>
      <w:r>
        <w:rPr>
          <w:spacing w:val="-5"/>
          <w:sz w:val="20"/>
          <w:szCs w:val="20"/>
        </w:rPr>
        <w:t>rastructure Forum Brief No. 2</w:t>
      </w: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pacing w:val="-5"/>
          <w:sz w:val="20"/>
          <w:szCs w:val="20"/>
        </w:rPr>
        <w:t>5</w:t>
      </w:r>
    </w:p>
    <w:p>
      <w:pPr>
        <w:pStyle w:val="BodyText"/>
        <w:spacing w:line="400" w:lineRule="auto"/>
        <w:rPr>
          <w:sz w:val="21"/>
        </w:rPr>
      </w:pPr>
    </w:p>
    <w:p>
      <w:pPr>
        <w:pStyle w:val="BodyText"/>
        <w:spacing w:before="61" w:line="232" w:lineRule="auto"/>
        <w:ind w:left="3710" w:right="1026" w:hanging="2663"/>
        <w:rPr>
          <w:sz w:val="21"/>
          <w:szCs w:val="21"/>
        </w:rPr>
      </w:pPr>
      <w:r>
        <w:rPr>
          <w:b/>
          <w:bCs/>
          <w:color w:val="0088C7"/>
          <w:spacing w:val="-4"/>
          <w:sz w:val="21"/>
          <w:szCs w:val="21"/>
        </w:rPr>
        <w:t>Table 2:</w:t>
      </w:r>
      <w:r>
        <w:rPr>
          <w:b/>
          <w:bCs/>
          <w:color w:val="0088C7"/>
          <w:spacing w:val="16"/>
          <w:sz w:val="21"/>
          <w:szCs w:val="21"/>
        </w:rPr>
        <w:t xml:space="preserve"> </w:t>
      </w:r>
      <w:r>
        <w:rPr>
          <w:b/>
          <w:bCs/>
          <w:color w:val="0088C7"/>
          <w:spacing w:val="-4"/>
          <w:sz w:val="21"/>
          <w:szCs w:val="21"/>
        </w:rPr>
        <w:t>Eligible Collateral Criteria for the Open</w:t>
      </w:r>
      <w:r>
        <w:rPr>
          <w:b/>
          <w:bCs/>
          <w:color w:val="0088C7"/>
          <w:spacing w:val="8"/>
          <w:sz w:val="21"/>
          <w:szCs w:val="21"/>
        </w:rPr>
        <w:t xml:space="preserve"> </w:t>
      </w:r>
      <w:r>
        <w:rPr>
          <w:b/>
          <w:bCs/>
          <w:color w:val="0088C7"/>
          <w:spacing w:val="-4"/>
          <w:sz w:val="21"/>
          <w:szCs w:val="21"/>
        </w:rPr>
        <w:t>Market</w:t>
      </w:r>
      <w:r>
        <w:rPr>
          <w:b/>
          <w:bCs/>
          <w:color w:val="0088C7"/>
          <w:spacing w:val="4"/>
          <w:sz w:val="21"/>
          <w:szCs w:val="21"/>
        </w:rPr>
        <w:t xml:space="preserve"> </w:t>
      </w:r>
      <w:r>
        <w:rPr>
          <w:b/>
          <w:bCs/>
          <w:color w:val="0088C7"/>
          <w:spacing w:val="-4"/>
          <w:sz w:val="21"/>
          <w:szCs w:val="21"/>
        </w:rPr>
        <w:t>Oper</w:t>
      </w:r>
      <w:r>
        <w:rPr>
          <w:b/>
          <w:bCs/>
          <w:color w:val="0088C7"/>
          <w:spacing w:val="-5"/>
          <w:sz w:val="21"/>
          <w:szCs w:val="21"/>
        </w:rPr>
        <w:t>ation</w:t>
      </w:r>
      <w:r>
        <w:rPr>
          <w:b/>
          <w:bCs/>
          <w:color w:val="0088C7"/>
          <w:spacing w:val="23"/>
          <w:sz w:val="21"/>
          <w:szCs w:val="21"/>
        </w:rPr>
        <w:t xml:space="preserve"> </w:t>
      </w:r>
      <w:r>
        <w:rPr>
          <w:b/>
          <w:bCs/>
          <w:color w:val="0088C7"/>
          <w:spacing w:val="-5"/>
          <w:sz w:val="21"/>
          <w:szCs w:val="21"/>
        </w:rPr>
        <w:t>Repo Transactions</w:t>
      </w:r>
      <w:r>
        <w:rPr>
          <w:b/>
          <w:bCs/>
          <w:color w:val="0088C7"/>
          <w:sz w:val="21"/>
          <w:szCs w:val="21"/>
        </w:rPr>
        <w:t xml:space="preserve"> </w:t>
      </w:r>
      <w:r>
        <w:rPr>
          <w:b/>
          <w:bCs/>
          <w:color w:val="0088C7"/>
          <w:spacing w:val="-5"/>
          <w:sz w:val="21"/>
          <w:szCs w:val="21"/>
        </w:rPr>
        <w:t>of Central</w:t>
      </w:r>
      <w:r>
        <w:rPr>
          <w:b/>
          <w:bCs/>
          <w:color w:val="0088C7"/>
          <w:spacing w:val="16"/>
          <w:w w:val="101"/>
          <w:sz w:val="21"/>
          <w:szCs w:val="21"/>
        </w:rPr>
        <w:t xml:space="preserve"> </w:t>
      </w:r>
      <w:r>
        <w:rPr>
          <w:b/>
          <w:bCs/>
          <w:color w:val="0088C7"/>
          <w:spacing w:val="-5"/>
          <w:sz w:val="21"/>
          <w:szCs w:val="21"/>
        </w:rPr>
        <w:t xml:space="preserve">Banks in </w:t>
      </w:r>
      <w:r>
        <w:rPr>
          <w:b/>
          <w:bCs/>
          <w:color w:val="0088C7"/>
          <w:spacing w:val="-6"/>
          <w:sz w:val="21"/>
          <w:szCs w:val="21"/>
        </w:rPr>
        <w:t>ASEAN+2</w:t>
      </w:r>
    </w:p>
    <w:p>
      <w:pPr>
        <w:spacing w:line="154" w:lineRule="exact"/>
      </w:pPr>
    </w:p>
    <w:tbl>
      <w:tblPr>
        <w:tblStyle w:val="TableNormal2"/>
        <w:tblW w:w="10209" w:type="dxa"/>
        <w:tblInd w:w="16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</w:tblPr>
      <w:tblGrid>
        <w:gridCol w:w="2238"/>
        <w:gridCol w:w="936"/>
        <w:gridCol w:w="1079"/>
        <w:gridCol w:w="993"/>
        <w:gridCol w:w="988"/>
        <w:gridCol w:w="993"/>
        <w:gridCol w:w="993"/>
        <w:gridCol w:w="993"/>
        <w:gridCol w:w="996"/>
      </w:tblGrid>
      <w:tr>
        <w:tblPrEx>
          <w:tblW w:w="10209" w:type="dxa"/>
          <w:tblInd w:w="16" w:type="dxa"/>
          <w:tblBorders>
            <w:top w:val="single" w:sz="4" w:space="0" w:color="4472C4"/>
            <w:left w:val="single" w:sz="4" w:space="0" w:color="4472C4"/>
            <w:bottom w:val="single" w:sz="4" w:space="0" w:color="4472C4"/>
            <w:right w:val="single" w:sz="4" w:space="0" w:color="4472C4"/>
            <w:insideH w:val="single" w:sz="4" w:space="0" w:color="4472C4"/>
            <w:insideV w:val="single" w:sz="4" w:space="0" w:color="4472C4"/>
          </w:tblBorders>
          <w:tblLayout w:type="fixed"/>
        </w:tblPrEx>
        <w:trPr>
          <w:trHeight w:val="424"/>
        </w:trPr>
        <w:tc>
          <w:tcPr>
            <w:tcW w:w="2238" w:type="dxa"/>
            <w:tcBorders>
              <w:top w:val="single" w:sz="2" w:space="0" w:color="4472C4"/>
              <w:lef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36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129" w:line="194" w:lineRule="auto"/>
              <w:ind w:left="391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BI</w:t>
            </w:r>
          </w:p>
        </w:tc>
        <w:tc>
          <w:tcPr>
            <w:tcW w:w="1079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128" w:line="199" w:lineRule="auto"/>
              <w:ind w:left="343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BNM</w:t>
            </w:r>
          </w:p>
        </w:tc>
        <w:tc>
          <w:tcPr>
            <w:tcW w:w="993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127" w:line="198" w:lineRule="auto"/>
              <w:ind w:left="31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BOK</w:t>
            </w:r>
          </w:p>
        </w:tc>
        <w:tc>
          <w:tcPr>
            <w:tcW w:w="988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127" w:line="198" w:lineRule="auto"/>
              <w:ind w:left="32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BOT</w:t>
            </w:r>
          </w:p>
        </w:tc>
        <w:tc>
          <w:tcPr>
            <w:tcW w:w="993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127" w:line="198" w:lineRule="auto"/>
              <w:ind w:left="350"/>
              <w:rPr>
                <w:sz w:val="18"/>
                <w:szCs w:val="18"/>
              </w:rPr>
            </w:pPr>
            <w:r>
              <w:rPr>
                <w:spacing w:val="-15"/>
                <w:sz w:val="18"/>
                <w:szCs w:val="18"/>
              </w:rPr>
              <w:t>BSP</w:t>
            </w:r>
          </w:p>
        </w:tc>
        <w:tc>
          <w:tcPr>
            <w:tcW w:w="993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127" w:line="198" w:lineRule="auto"/>
              <w:ind w:left="305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MAS</w:t>
            </w:r>
          </w:p>
        </w:tc>
        <w:tc>
          <w:tcPr>
            <w:tcW w:w="993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127" w:line="198" w:lineRule="auto"/>
              <w:ind w:left="265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PBOC</w:t>
            </w:r>
          </w:p>
        </w:tc>
        <w:tc>
          <w:tcPr>
            <w:tcW w:w="996" w:type="dxa"/>
            <w:tcBorders>
              <w:top w:val="single" w:sz="2" w:space="0" w:color="4472C4"/>
              <w:right w:val="single" w:sz="2" w:space="0" w:color="4472C4"/>
            </w:tcBorders>
            <w:vAlign w:val="top"/>
          </w:tcPr>
          <w:p>
            <w:pPr>
              <w:pStyle w:val="TableText"/>
              <w:spacing w:before="127" w:line="198" w:lineRule="auto"/>
              <w:ind w:left="330"/>
              <w:rPr>
                <w:sz w:val="18"/>
                <w:szCs w:val="18"/>
              </w:rPr>
            </w:pPr>
            <w:r>
              <w:rPr>
                <w:spacing w:val="-11"/>
                <w:sz w:val="18"/>
                <w:szCs w:val="18"/>
              </w:rPr>
              <w:t>SBV</w:t>
            </w: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16"/>
        </w:trPr>
        <w:tc>
          <w:tcPr>
            <w:tcW w:w="223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20" w:line="198" w:lineRule="auto"/>
              <w:ind w:left="119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Issuer of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6"/>
                <w:sz w:val="18"/>
                <w:szCs w:val="18"/>
              </w:rPr>
              <w:t>Asset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6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17"/>
        </w:trPr>
        <w:tc>
          <w:tcPr>
            <w:tcW w:w="223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26" w:line="198" w:lineRule="auto"/>
              <w:ind w:left="18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Government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spacing w:before="112" w:line="180" w:lineRule="auto"/>
              <w:ind w:left="38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spacing w:before="112" w:line="180" w:lineRule="auto"/>
              <w:ind w:left="459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12" w:line="180" w:lineRule="auto"/>
              <w:ind w:left="41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spacing w:before="112" w:line="180" w:lineRule="auto"/>
              <w:ind w:left="418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12" w:line="180" w:lineRule="auto"/>
              <w:ind w:left="418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12" w:line="180" w:lineRule="auto"/>
              <w:ind w:left="419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12" w:line="180" w:lineRule="auto"/>
              <w:ind w:left="420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6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112" w:line="180" w:lineRule="auto"/>
              <w:ind w:left="41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21"/>
        </w:trPr>
        <w:tc>
          <w:tcPr>
            <w:tcW w:w="223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26" w:line="198" w:lineRule="auto"/>
              <w:ind w:left="195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Public Sector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spacing w:before="112" w:line="180" w:lineRule="auto"/>
              <w:ind w:left="459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12" w:line="180" w:lineRule="auto"/>
              <w:ind w:left="41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spacing w:before="112" w:line="180" w:lineRule="auto"/>
              <w:ind w:left="418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12" w:line="180" w:lineRule="auto"/>
              <w:ind w:left="420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6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112" w:line="180" w:lineRule="auto"/>
              <w:ind w:left="41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17"/>
        </w:trPr>
        <w:tc>
          <w:tcPr>
            <w:tcW w:w="223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22" w:line="198" w:lineRule="auto"/>
              <w:ind w:left="18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Central Bank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spacing w:before="109" w:line="180" w:lineRule="auto"/>
              <w:ind w:left="38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spacing w:before="109" w:line="180" w:lineRule="auto"/>
              <w:ind w:left="459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09" w:line="180" w:lineRule="auto"/>
              <w:ind w:left="41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spacing w:before="109" w:line="180" w:lineRule="auto"/>
              <w:ind w:left="418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09" w:line="180" w:lineRule="auto"/>
              <w:ind w:left="419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09" w:line="180" w:lineRule="auto"/>
              <w:ind w:left="420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6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109" w:line="180" w:lineRule="auto"/>
              <w:ind w:left="41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17"/>
        </w:trPr>
        <w:tc>
          <w:tcPr>
            <w:tcW w:w="223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23" w:line="198" w:lineRule="auto"/>
              <w:ind w:left="1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Credit</w:t>
            </w:r>
            <w:r>
              <w:rPr>
                <w:spacing w:val="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Institutions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6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17"/>
        </w:trPr>
        <w:tc>
          <w:tcPr>
            <w:tcW w:w="223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23" w:line="200" w:lineRule="auto"/>
              <w:ind w:left="18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Corporates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spacing w:before="114" w:line="180" w:lineRule="auto"/>
              <w:ind w:left="459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6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16"/>
        </w:trPr>
        <w:tc>
          <w:tcPr>
            <w:tcW w:w="223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23" w:line="201" w:lineRule="auto"/>
              <w:ind w:left="186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Supranationals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6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17"/>
        </w:trPr>
        <w:tc>
          <w:tcPr>
            <w:tcW w:w="223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129" w:line="198" w:lineRule="auto"/>
              <w:ind w:left="11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Minimum Credit Standard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spacing w:before="129" w:line="198" w:lineRule="auto"/>
              <w:ind w:left="425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A–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vAlign w:val="top"/>
          </w:tcPr>
          <w:p>
            <w:pPr>
              <w:pStyle w:val="TableText"/>
              <w:spacing w:before="129" w:line="198" w:lineRule="auto"/>
              <w:ind w:left="307"/>
              <w:rPr>
                <w:sz w:val="18"/>
                <w:szCs w:val="18"/>
              </w:rPr>
            </w:pPr>
            <w:r>
              <w:rPr>
                <w:spacing w:val="4"/>
                <w:sz w:val="18"/>
                <w:szCs w:val="18"/>
              </w:rPr>
              <w:t>AAA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6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209" w:type="dxa"/>
          <w:tblInd w:w="16" w:type="dxa"/>
          <w:tblLayout w:type="fixed"/>
        </w:tblPrEx>
        <w:trPr>
          <w:trHeight w:val="424"/>
        </w:trPr>
        <w:tc>
          <w:tcPr>
            <w:tcW w:w="2238" w:type="dxa"/>
            <w:tcBorders>
              <w:left w:val="single" w:sz="2" w:space="0" w:color="4472C4"/>
              <w:bottom w:val="single" w:sz="2" w:space="0" w:color="4472C4"/>
            </w:tcBorders>
            <w:vAlign w:val="top"/>
          </w:tcPr>
          <w:p>
            <w:pPr>
              <w:pStyle w:val="TableText"/>
              <w:spacing w:before="129" w:line="200" w:lineRule="auto"/>
              <w:ind w:left="118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Foreign Currency</w:t>
            </w:r>
          </w:p>
        </w:tc>
        <w:tc>
          <w:tcPr>
            <w:tcW w:w="936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79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129" w:line="198" w:lineRule="auto"/>
              <w:ind w:left="327"/>
              <w:rPr>
                <w:sz w:val="18"/>
                <w:szCs w:val="18"/>
              </w:rPr>
            </w:pPr>
            <w:r>
              <w:rPr>
                <w:spacing w:val="-11"/>
                <w:sz w:val="18"/>
                <w:szCs w:val="18"/>
              </w:rPr>
              <w:t>USD</w:t>
            </w:r>
          </w:p>
        </w:tc>
        <w:tc>
          <w:tcPr>
            <w:tcW w:w="993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3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96" w:type="dxa"/>
            <w:tcBorders>
              <w:bottom w:val="single" w:sz="2" w:space="0" w:color="4472C4"/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</w:tbl>
    <w:p>
      <w:pPr>
        <w:pStyle w:val="BodyText"/>
        <w:spacing w:before="185" w:line="225" w:lineRule="auto"/>
        <w:ind w:left="30" w:right="269" w:firstLine="8"/>
      </w:pPr>
      <w:r>
        <w:rPr>
          <w:spacing w:val="-9"/>
        </w:rPr>
        <w:t>BI =</w:t>
      </w:r>
      <w:r>
        <w:rPr>
          <w:spacing w:val="7"/>
        </w:rPr>
        <w:t xml:space="preserve"> </w:t>
      </w:r>
      <w:r>
        <w:rPr>
          <w:spacing w:val="-9"/>
        </w:rPr>
        <w:t>Bank Indonesia,</w:t>
      </w:r>
      <w:r>
        <w:rPr>
          <w:spacing w:val="9"/>
        </w:rPr>
        <w:t xml:space="preserve"> </w:t>
      </w:r>
      <w:r>
        <w:rPr>
          <w:spacing w:val="-9"/>
        </w:rPr>
        <w:t>BNM =</w:t>
      </w:r>
      <w:r>
        <w:rPr>
          <w:spacing w:val="7"/>
        </w:rPr>
        <w:t xml:space="preserve"> </w:t>
      </w:r>
      <w:r>
        <w:rPr>
          <w:spacing w:val="-9"/>
        </w:rPr>
        <w:t>Bank</w:t>
      </w:r>
      <w:r>
        <w:rPr>
          <w:spacing w:val="9"/>
        </w:rPr>
        <w:t xml:space="preserve"> </w:t>
      </w:r>
      <w:r>
        <w:rPr>
          <w:spacing w:val="-9"/>
        </w:rPr>
        <w:t>Negara Malaysia,</w:t>
      </w:r>
      <w:r>
        <w:rPr>
          <w:spacing w:val="8"/>
        </w:rPr>
        <w:t xml:space="preserve"> </w:t>
      </w:r>
      <w:r>
        <w:rPr>
          <w:spacing w:val="-9"/>
        </w:rPr>
        <w:t>BOK = Bank of</w:t>
      </w:r>
      <w:r>
        <w:rPr>
          <w:spacing w:val="8"/>
        </w:rPr>
        <w:t xml:space="preserve"> </w:t>
      </w:r>
      <w:r>
        <w:rPr>
          <w:spacing w:val="-9"/>
        </w:rPr>
        <w:t>Korea,</w:t>
      </w:r>
      <w:r>
        <w:rPr>
          <w:spacing w:val="3"/>
        </w:rPr>
        <w:t xml:space="preserve"> </w:t>
      </w:r>
      <w:r>
        <w:rPr>
          <w:spacing w:val="-9"/>
        </w:rPr>
        <w:t>BOT</w:t>
      </w:r>
      <w:r>
        <w:rPr>
          <w:spacing w:val="6"/>
        </w:rPr>
        <w:t xml:space="preserve"> </w:t>
      </w:r>
      <w:r>
        <w:rPr>
          <w:spacing w:val="-9"/>
        </w:rPr>
        <w:t>=</w:t>
      </w:r>
      <w:r>
        <w:rPr>
          <w:spacing w:val="2"/>
        </w:rPr>
        <w:t xml:space="preserve"> </w:t>
      </w:r>
      <w:r>
        <w:rPr>
          <w:spacing w:val="-9"/>
        </w:rPr>
        <w:t>Bank of Thailand, BSP</w:t>
      </w:r>
      <w:r>
        <w:rPr>
          <w:spacing w:val="-1"/>
        </w:rPr>
        <w:t xml:space="preserve"> </w:t>
      </w:r>
      <w:r>
        <w:rPr>
          <w:spacing w:val="-9"/>
        </w:rPr>
        <w:t>=</w:t>
      </w:r>
      <w:r>
        <w:rPr>
          <w:spacing w:val="8"/>
        </w:rPr>
        <w:t xml:space="preserve"> </w:t>
      </w:r>
      <w:r>
        <w:rPr>
          <w:spacing w:val="-9"/>
        </w:rPr>
        <w:t>Bangko Sent</w:t>
      </w:r>
      <w:r>
        <w:rPr>
          <w:spacing w:val="-10"/>
        </w:rPr>
        <w:t>ral</w:t>
      </w:r>
      <w:r>
        <w:rPr>
          <w:spacing w:val="-1"/>
        </w:rPr>
        <w:t xml:space="preserve"> </w:t>
      </w:r>
      <w:r>
        <w:rPr>
          <w:spacing w:val="-10"/>
        </w:rPr>
        <w:t>ng</w:t>
      </w:r>
      <w:r>
        <w:rPr>
          <w:spacing w:val="3"/>
        </w:rPr>
        <w:t xml:space="preserve"> </w:t>
      </w:r>
      <w:r>
        <w:rPr>
          <w:spacing w:val="-10"/>
        </w:rPr>
        <w:t>Pilipinas,</w:t>
      </w:r>
      <w:r>
        <w:t xml:space="preserve"> </w:t>
      </w:r>
      <w:r>
        <w:rPr>
          <w:spacing w:val="-6"/>
        </w:rPr>
        <w:t xml:space="preserve">MAS = Monetary Authority of Singapore, PBOC = People’s Bank of China, SBV = </w:t>
      </w:r>
      <w:r>
        <w:rPr>
          <w:spacing w:val="-7"/>
        </w:rPr>
        <w:t>State Bank of</w:t>
      </w:r>
      <w:r>
        <w:rPr>
          <w:spacing w:val="-14"/>
        </w:rPr>
        <w:t xml:space="preserve"> </w:t>
      </w:r>
      <w:r>
        <w:rPr>
          <w:spacing w:val="-7"/>
        </w:rPr>
        <w:t>Vietnam, USD</w:t>
      </w:r>
      <w:r>
        <w:rPr>
          <w:spacing w:val="5"/>
        </w:rPr>
        <w:t xml:space="preserve"> </w:t>
      </w:r>
      <w:r>
        <w:rPr>
          <w:spacing w:val="-7"/>
        </w:rPr>
        <w:t>=</w:t>
      </w:r>
      <w:r>
        <w:rPr>
          <w:spacing w:val="5"/>
        </w:rPr>
        <w:t xml:space="preserve"> </w:t>
      </w:r>
      <w:r>
        <w:rPr>
          <w:spacing w:val="-7"/>
        </w:rPr>
        <w:t>United States dollar.</w:t>
      </w:r>
    </w:p>
    <w:p>
      <w:pPr>
        <w:pStyle w:val="BodyText"/>
        <w:spacing w:before="43" w:line="226" w:lineRule="auto"/>
        <w:ind w:left="26" w:right="142" w:firstLine="10"/>
      </w:pPr>
      <w:r>
        <w:rPr>
          <w:spacing w:val="-5"/>
        </w:rPr>
        <w:t>Note: ASEAN+2 refers to the</w:t>
      </w:r>
      <w:r>
        <w:rPr>
          <w:spacing w:val="-12"/>
        </w:rPr>
        <w:t xml:space="preserve"> </w:t>
      </w:r>
      <w:r>
        <w:rPr>
          <w:spacing w:val="-5"/>
        </w:rPr>
        <w:t>10 members of the Association of Southeast Asian Nations (ASEAN) plus</w:t>
      </w:r>
      <w:r>
        <w:rPr>
          <w:spacing w:val="-14"/>
        </w:rPr>
        <w:t xml:space="preserve"> </w:t>
      </w:r>
      <w:r>
        <w:rPr>
          <w:spacing w:val="-5"/>
        </w:rPr>
        <w:t xml:space="preserve">the People’s </w:t>
      </w:r>
      <w:r>
        <w:rPr>
          <w:spacing w:val="-6"/>
        </w:rPr>
        <w:t>Republic of China</w:t>
      </w:r>
      <w:r>
        <w:t xml:space="preserve"> </w:t>
      </w:r>
      <w:r>
        <w:rPr>
          <w:spacing w:val="-6"/>
        </w:rPr>
        <w:t>and the Republic of Korea.</w:t>
      </w:r>
    </w:p>
    <w:p>
      <w:pPr>
        <w:pStyle w:val="BodyText"/>
        <w:spacing w:before="42" w:line="226" w:lineRule="auto"/>
        <w:ind w:left="31" w:right="25" w:hanging="4"/>
      </w:pPr>
      <w:r>
        <w:rPr>
          <w:spacing w:val="-7"/>
        </w:rPr>
        <w:t>Source: Bank for</w:t>
      </w:r>
      <w:r>
        <w:rPr>
          <w:spacing w:val="12"/>
          <w:w w:val="101"/>
        </w:rPr>
        <w:t xml:space="preserve"> </w:t>
      </w:r>
      <w:r>
        <w:rPr>
          <w:spacing w:val="-7"/>
        </w:rPr>
        <w:t xml:space="preserve">International Settlement’s Market Committee. 2022. </w:t>
      </w:r>
      <w:r>
        <w:rPr>
          <w:i/>
          <w:iCs/>
          <w:spacing w:val="-7"/>
        </w:rPr>
        <w:t>Compendium: Monetary Policy Frameworks and Central Bank</w:t>
      </w:r>
      <w:r>
        <w:rPr>
          <w:i/>
          <w:iCs/>
          <w:spacing w:val="-17"/>
        </w:rPr>
        <w:t xml:space="preserve"> </w:t>
      </w:r>
      <w:r>
        <w:rPr>
          <w:i/>
          <w:iCs/>
          <w:spacing w:val="-7"/>
        </w:rPr>
        <w:t>Market</w:t>
      </w:r>
      <w:r>
        <w:rPr>
          <w:i/>
          <w:iCs/>
        </w:rPr>
        <w:t xml:space="preserve"> </w:t>
      </w:r>
      <w:r>
        <w:rPr>
          <w:i/>
          <w:iCs/>
          <w:spacing w:val="-10"/>
        </w:rPr>
        <w:t>Operations</w:t>
      </w:r>
      <w:r>
        <w:rPr>
          <w:spacing w:val="-10"/>
        </w:rPr>
        <w:t>. Basel.</w:t>
      </w:r>
    </w:p>
    <w:p>
      <w:pPr>
        <w:spacing w:before="142"/>
      </w:pPr>
    </w:p>
    <w:p>
      <w:pPr>
        <w:sectPr>
          <w:pgSz w:w="12240" w:h="15840"/>
          <w:pgMar w:top="740" w:right="921" w:bottom="0" w:left="1089" w:header="0" w:footer="0" w:gutter="0"/>
          <w:pgNumType w:start="15"/>
          <w:cols w:num="1" w:space="708" w:equalWidth="0">
            <w:col w:w="10229" w:space="0"/>
          </w:cols>
        </w:sectPr>
      </w:pPr>
    </w:p>
    <w:p>
      <w:pPr>
        <w:pStyle w:val="BodyText"/>
        <w:spacing w:before="38" w:line="237" w:lineRule="auto"/>
        <w:ind w:left="14"/>
        <w:rPr>
          <w:sz w:val="20"/>
          <w:szCs w:val="20"/>
        </w:rPr>
      </w:pPr>
      <w:r>
        <w:rPr>
          <w:spacing w:val="-7"/>
          <w:sz w:val="20"/>
          <w:szCs w:val="20"/>
        </w:rPr>
        <w:t>regard, central banks accept v</w:t>
      </w:r>
      <w:r>
        <w:rPr>
          <w:spacing w:val="-8"/>
          <w:sz w:val="20"/>
          <w:szCs w:val="20"/>
        </w:rPr>
        <w:t>arious types of assets</w:t>
      </w:r>
    </w:p>
    <w:p>
      <w:pPr>
        <w:pStyle w:val="BodyText"/>
        <w:spacing w:line="212" w:lineRule="auto"/>
        <w:ind w:left="8"/>
        <w:rPr>
          <w:sz w:val="12"/>
          <w:szCs w:val="12"/>
        </w:rPr>
      </w:pPr>
      <w:r>
        <w:rPr>
          <w:spacing w:val="-6"/>
          <w:sz w:val="20"/>
          <w:szCs w:val="20"/>
        </w:rPr>
        <w:t>denominated in a range of f</w:t>
      </w:r>
      <w:r>
        <w:rPr>
          <w:spacing w:val="-7"/>
          <w:sz w:val="20"/>
          <w:szCs w:val="20"/>
        </w:rPr>
        <w:t>oreign currencies.</w:t>
      </w:r>
      <w:r>
        <w:rPr>
          <w:position w:val="7"/>
          <w:sz w:val="12"/>
          <w:szCs w:val="12"/>
        </w:rPr>
        <w:t>8</w:t>
      </w:r>
    </w:p>
    <w:p>
      <w:pPr>
        <w:pStyle w:val="BodyText"/>
        <w:spacing w:before="290" w:line="225" w:lineRule="auto"/>
        <w:ind w:left="5" w:right="629"/>
        <w:rPr>
          <w:sz w:val="20"/>
          <w:szCs w:val="20"/>
        </w:rPr>
      </w:pPr>
      <w:r>
        <w:rPr>
          <w:spacing w:val="-6"/>
          <w:sz w:val="20"/>
          <w:szCs w:val="20"/>
        </w:rPr>
        <w:t>To be eligible as F</w:t>
      </w:r>
      <w:r>
        <w:rPr>
          <w:spacing w:val="-7"/>
          <w:sz w:val="20"/>
          <w:szCs w:val="20"/>
        </w:rPr>
        <w:t>CY collateral for the CBCA or standing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facilities, assets need to meet specific requirements,</w:t>
      </w:r>
    </w:p>
    <w:p>
      <w:pPr>
        <w:pStyle w:val="BodyText"/>
        <w:spacing w:before="48" w:line="199" w:lineRule="auto"/>
        <w:ind w:left="14"/>
        <w:rPr>
          <w:sz w:val="20"/>
          <w:szCs w:val="20"/>
        </w:rPr>
      </w:pPr>
      <w:r>
        <w:rPr>
          <w:spacing w:val="-6"/>
          <w:sz w:val="20"/>
          <w:szCs w:val="20"/>
        </w:rPr>
        <w:t>ranging from foreign exchange risk to counterparty</w:t>
      </w:r>
    </w:p>
    <w:p>
      <w:pPr>
        <w:pStyle w:val="BodyText"/>
        <w:spacing w:before="49" w:line="225" w:lineRule="auto"/>
        <w:ind w:left="14" w:right="923" w:hanging="5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credit risk, to ensure sufficient quality </w:t>
      </w:r>
      <w:r>
        <w:rPr>
          <w:spacing w:val="-6"/>
          <w:sz w:val="20"/>
          <w:szCs w:val="20"/>
        </w:rPr>
        <w:t>and proper risk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management of central banks.</w:t>
      </w:r>
    </w:p>
    <w:p>
      <w:pPr>
        <w:pStyle w:val="BodyText"/>
        <w:spacing w:before="291" w:line="224" w:lineRule="auto"/>
        <w:ind w:left="5" w:right="866"/>
        <w:rPr>
          <w:sz w:val="20"/>
          <w:szCs w:val="20"/>
        </w:rPr>
      </w:pPr>
      <w:r>
        <w:rPr>
          <w:b/>
          <w:bCs/>
          <w:spacing w:val="-4"/>
          <w:sz w:val="19"/>
          <w:szCs w:val="19"/>
        </w:rPr>
        <w:t xml:space="preserve">Table 3 </w:t>
      </w:r>
      <w:r>
        <w:rPr>
          <w:spacing w:val="-4"/>
          <w:sz w:val="20"/>
          <w:szCs w:val="20"/>
        </w:rPr>
        <w:t>presents FCY-den</w:t>
      </w:r>
      <w:r>
        <w:rPr>
          <w:spacing w:val="-5"/>
          <w:sz w:val="20"/>
          <w:szCs w:val="20"/>
        </w:rPr>
        <w:t>ominated collateral criteria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for the CBCA or standing facilities of c</w:t>
      </w:r>
      <w:r>
        <w:rPr>
          <w:spacing w:val="-6"/>
          <w:sz w:val="20"/>
          <w:szCs w:val="20"/>
        </w:rPr>
        <w:t>entral banks in</w:t>
      </w:r>
    </w:p>
    <w:p>
      <w:pPr>
        <w:pStyle w:val="BodyText"/>
        <w:spacing w:before="50" w:line="197" w:lineRule="auto"/>
        <w:ind w:left="14"/>
        <w:rPr>
          <w:sz w:val="20"/>
          <w:szCs w:val="20"/>
        </w:rPr>
      </w:pPr>
      <w:r>
        <w:rPr>
          <w:spacing w:val="-7"/>
          <w:sz w:val="20"/>
          <w:szCs w:val="20"/>
        </w:rPr>
        <w:t>major economies as well as economies from AS</w:t>
      </w:r>
      <w:r>
        <w:rPr>
          <w:spacing w:val="-8"/>
          <w:sz w:val="20"/>
          <w:szCs w:val="20"/>
        </w:rPr>
        <w:t>EAN+3.</w:t>
      </w:r>
    </w:p>
    <w:p>
      <w:pPr>
        <w:pStyle w:val="BodyText"/>
        <w:spacing w:before="293" w:line="237" w:lineRule="auto"/>
        <w:ind w:left="5" w:right="732"/>
        <w:rPr>
          <w:sz w:val="20"/>
          <w:szCs w:val="20"/>
        </w:rPr>
      </w:pPr>
      <w:r>
        <w:rPr>
          <w:spacing w:val="-6"/>
          <w:sz w:val="20"/>
          <w:szCs w:val="20"/>
        </w:rPr>
        <w:t>The central banks listed in Table 3 accept</w:t>
      </w:r>
      <w:r>
        <w:rPr>
          <w:spacing w:val="-15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va</w:t>
      </w:r>
      <w:r>
        <w:rPr>
          <w:spacing w:val="-7"/>
          <w:sz w:val="20"/>
          <w:szCs w:val="20"/>
        </w:rPr>
        <w:t>rious</w:t>
      </w:r>
      <w:r>
        <w:rPr>
          <w:spacing w:val="-13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types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of foreign assets as collat</w:t>
      </w:r>
      <w:r>
        <w:rPr>
          <w:spacing w:val="-7"/>
          <w:sz w:val="20"/>
          <w:szCs w:val="20"/>
        </w:rPr>
        <w:t>eral for the CBCA or standing</w:t>
      </w:r>
      <w:r>
        <w:rPr>
          <w:sz w:val="20"/>
          <w:szCs w:val="20"/>
        </w:rPr>
        <w:t xml:space="preserve">  </w:t>
      </w:r>
      <w:r>
        <w:rPr>
          <w:spacing w:val="-6"/>
          <w:sz w:val="20"/>
          <w:szCs w:val="20"/>
        </w:rPr>
        <w:t xml:space="preserve">facilities with a range of currencies. The major types of  </w:t>
      </w:r>
      <w:r>
        <w:rPr>
          <w:spacing w:val="-5"/>
          <w:sz w:val="20"/>
          <w:szCs w:val="20"/>
        </w:rPr>
        <w:t>collateral include government bonds,</w:t>
      </w:r>
      <w:r>
        <w:rPr>
          <w:spacing w:val="4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government-</w:t>
      </w:r>
    </w:p>
    <w:p>
      <w:pPr>
        <w:pStyle w:val="BodyText"/>
        <w:spacing w:before="50" w:line="224" w:lineRule="auto"/>
        <w:ind w:left="8" w:right="929" w:hanging="5"/>
        <w:rPr>
          <w:sz w:val="20"/>
          <w:szCs w:val="20"/>
        </w:rPr>
      </w:pPr>
      <w:r>
        <w:rPr>
          <w:spacing w:val="-7"/>
          <w:sz w:val="20"/>
          <w:szCs w:val="20"/>
        </w:rPr>
        <w:t>guaranteed bonds, and central bank bills. The eligible</w:t>
      </w:r>
      <w:r>
        <w:rPr>
          <w:spacing w:val="10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collateral criteria of the BOE is more</w:t>
      </w:r>
      <w:r>
        <w:rPr>
          <w:spacing w:val="-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 xml:space="preserve">general </w:t>
      </w:r>
      <w:r>
        <w:rPr>
          <w:spacing w:val="-7"/>
          <w:sz w:val="20"/>
          <w:szCs w:val="20"/>
        </w:rPr>
        <w:t>and</w:t>
      </w:r>
    </w:p>
    <w:p>
      <w:pPr>
        <w:pStyle w:val="BodyText"/>
        <w:spacing w:before="50" w:line="199" w:lineRule="auto"/>
        <w:ind w:left="13"/>
        <w:rPr>
          <w:sz w:val="20"/>
          <w:szCs w:val="20"/>
        </w:rPr>
      </w:pPr>
      <w:r>
        <w:rPr>
          <w:spacing w:val="-8"/>
          <w:sz w:val="20"/>
          <w:szCs w:val="20"/>
        </w:rPr>
        <w:t>includes a broader range of ass</w:t>
      </w:r>
      <w:r>
        <w:rPr>
          <w:spacing w:val="-9"/>
          <w:sz w:val="20"/>
          <w:szCs w:val="20"/>
        </w:rPr>
        <w:t>ets such as asset-backed</w:t>
      </w:r>
    </w:p>
    <w:p>
      <w:pPr>
        <w:pStyle w:val="BodyText"/>
        <w:spacing w:before="50" w:line="240" w:lineRule="exact"/>
        <w:ind w:left="8"/>
        <w:rPr>
          <w:sz w:val="20"/>
          <w:szCs w:val="20"/>
        </w:rPr>
      </w:pPr>
      <w:r>
        <w:rPr>
          <w:spacing w:val="-5"/>
          <w:position w:val="5"/>
          <w:sz w:val="20"/>
          <w:szCs w:val="20"/>
        </w:rPr>
        <w:t>securities and corporate bonds</w:t>
      </w:r>
      <w:r>
        <w:rPr>
          <w:spacing w:val="-15"/>
          <w:position w:val="5"/>
          <w:sz w:val="20"/>
          <w:szCs w:val="20"/>
        </w:rPr>
        <w:t xml:space="preserve"> </w:t>
      </w:r>
      <w:r>
        <w:rPr>
          <w:spacing w:val="-5"/>
          <w:position w:val="5"/>
          <w:sz w:val="20"/>
          <w:szCs w:val="20"/>
        </w:rPr>
        <w:t>with high credit</w:t>
      </w:r>
    </w:p>
    <w:p>
      <w:pPr>
        <w:pStyle w:val="BodyText"/>
        <w:spacing w:line="196" w:lineRule="auto"/>
        <w:ind w:left="8"/>
        <w:rPr>
          <w:sz w:val="20"/>
          <w:szCs w:val="20"/>
        </w:rPr>
      </w:pPr>
      <w:r>
        <w:rPr>
          <w:spacing w:val="-7"/>
          <w:sz w:val="20"/>
          <w:szCs w:val="20"/>
        </w:rPr>
        <w:t>standards.</w:t>
      </w:r>
    </w:p>
    <w:p>
      <w:pPr>
        <w:pStyle w:val="BodyText"/>
        <w:spacing w:line="354" w:lineRule="auto"/>
        <w:rPr>
          <w:sz w:val="21"/>
        </w:rPr>
      </w:pPr>
    </w:p>
    <w:p>
      <w:pPr>
        <w:pStyle w:val="BodyText"/>
        <w:spacing w:before="53" w:line="207" w:lineRule="auto"/>
        <w:ind w:left="5"/>
      </w:pPr>
      <w:r>
        <w:rPr>
          <w:spacing w:val="-8"/>
          <w:position w:val="6"/>
          <w:sz w:val="12"/>
          <w:szCs w:val="12"/>
        </w:rPr>
        <w:t>8</w:t>
      </w:r>
      <w:r>
        <w:rPr>
          <w:spacing w:val="28"/>
          <w:w w:val="101"/>
          <w:position w:val="6"/>
          <w:sz w:val="12"/>
          <w:szCs w:val="12"/>
        </w:rPr>
        <w:t xml:space="preserve"> </w:t>
      </w:r>
      <w:r>
        <w:rPr>
          <w:spacing w:val="-8"/>
        </w:rPr>
        <w:t>Footnote 7, p. 16.</w:t>
      </w:r>
    </w:p>
    <w:p>
      <w:pPr>
        <w:pStyle w:val="BodyText"/>
        <w:spacing w:line="14" w:lineRule="auto"/>
        <w:rPr>
          <w:sz w:val="2"/>
        </w:rPr>
        <w:sectPr>
          <w:type w:val="continuous"/>
          <w:pgSz w:w="12240" w:h="15840"/>
          <w:pgMar w:top="740" w:right="921" w:bottom="0" w:left="1089" w:header="0" w:footer="0" w:gutter="0"/>
          <w:pgNumType w:start="16"/>
          <w:cols w:num="2" w:space="708" w:equalWidth="0">
            <w:col w:w="5303" w:space="100"/>
            <w:col w:w="4827" w:space="0"/>
          </w:cols>
        </w:sectPr>
      </w:pPr>
      <w:r>
        <w:rPr>
          <w:sz w:val="2"/>
          <w:szCs w:val="2"/>
        </w:rPr>
        <w:br w:type="column"/>
      </w:r>
    </w:p>
    <w:p>
      <w:pPr>
        <w:pStyle w:val="BodyText"/>
        <w:spacing w:before="36" w:line="225" w:lineRule="auto"/>
        <w:ind w:left="2" w:right="176" w:firstLine="17"/>
        <w:rPr>
          <w:sz w:val="20"/>
          <w:szCs w:val="20"/>
        </w:rPr>
      </w:pPr>
      <w:r>
        <w:rPr>
          <w:spacing w:val="-5"/>
          <w:sz w:val="20"/>
          <w:szCs w:val="20"/>
        </w:rPr>
        <w:t>In terms of currency, ce</w:t>
      </w:r>
      <w:r>
        <w:rPr>
          <w:spacing w:val="-6"/>
          <w:sz w:val="20"/>
          <w:szCs w:val="20"/>
        </w:rPr>
        <w:t>ntral banks provide LCY liquidity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 xml:space="preserve">to their financial institutions. </w:t>
      </w:r>
      <w:r>
        <w:rPr>
          <w:spacing w:val="-5"/>
          <w:sz w:val="20"/>
          <w:szCs w:val="20"/>
        </w:rPr>
        <w:t>They do so by accepting</w:t>
      </w:r>
    </w:p>
    <w:p>
      <w:pPr>
        <w:pStyle w:val="BodyText"/>
        <w:spacing w:before="51" w:line="224" w:lineRule="auto"/>
        <w:ind w:left="2" w:right="284" w:firstLine="16"/>
        <w:rPr>
          <w:sz w:val="20"/>
          <w:szCs w:val="20"/>
        </w:rPr>
      </w:pPr>
      <w:r>
        <w:rPr>
          <w:spacing w:val="-6"/>
          <w:sz w:val="20"/>
          <w:szCs w:val="20"/>
        </w:rPr>
        <w:t>LCY- or FCY-denominated asse</w:t>
      </w:r>
      <w:r>
        <w:rPr>
          <w:spacing w:val="-7"/>
          <w:sz w:val="20"/>
          <w:szCs w:val="20"/>
        </w:rPr>
        <w:t>ts as collateral through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the CBCA or standing fac</w:t>
      </w:r>
      <w:r>
        <w:rPr>
          <w:spacing w:val="-6"/>
          <w:sz w:val="20"/>
          <w:szCs w:val="20"/>
        </w:rPr>
        <w:t>ilities.</w:t>
      </w:r>
    </w:p>
    <w:p>
      <w:pPr>
        <w:pStyle w:val="BodyText"/>
        <w:spacing w:before="290" w:line="197" w:lineRule="auto"/>
        <w:rPr>
          <w:sz w:val="20"/>
          <w:szCs w:val="20"/>
        </w:rPr>
      </w:pPr>
      <w:r>
        <w:rPr>
          <w:spacing w:val="-6"/>
          <w:sz w:val="20"/>
          <w:szCs w:val="20"/>
        </w:rPr>
        <w:t>Almost all central banks in major economies accept</w:t>
      </w:r>
    </w:p>
    <w:p>
      <w:pPr>
        <w:pStyle w:val="BodyText"/>
        <w:spacing w:before="50" w:line="225" w:lineRule="auto"/>
        <w:ind w:left="2" w:right="323" w:firstLine="16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FCY-denominated collateral for </w:t>
      </w:r>
      <w:r>
        <w:rPr>
          <w:spacing w:val="-6"/>
          <w:sz w:val="20"/>
          <w:szCs w:val="20"/>
        </w:rPr>
        <w:t>the CBCA or standing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facilities.</w:t>
      </w:r>
      <w:r>
        <w:rPr>
          <w:spacing w:val="15"/>
          <w:w w:val="10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However, in the region, only a</w:t>
      </w:r>
      <w:r>
        <w:rPr>
          <w:spacing w:val="-13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few central</w:t>
      </w:r>
    </w:p>
    <w:p>
      <w:pPr>
        <w:pStyle w:val="BodyText"/>
        <w:spacing w:before="50" w:line="237" w:lineRule="auto"/>
        <w:ind w:right="191" w:firstLine="11"/>
        <w:rPr>
          <w:sz w:val="20"/>
          <w:szCs w:val="20"/>
        </w:rPr>
      </w:pPr>
      <w:r>
        <w:rPr>
          <w:spacing w:val="-9"/>
          <w:sz w:val="20"/>
          <w:szCs w:val="20"/>
        </w:rPr>
        <w:t>banks—</w:t>
      </w:r>
      <w:r>
        <w:rPr>
          <w:spacing w:val="-21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Bank</w:t>
      </w:r>
      <w:r>
        <w:rPr>
          <w:spacing w:val="8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Indonesia,</w:t>
      </w:r>
      <w:r>
        <w:rPr>
          <w:spacing w:val="10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BNM,</w:t>
      </w:r>
      <w:r>
        <w:rPr>
          <w:spacing w:val="11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 xml:space="preserve">BOJ, Bank of Thailand,    </w:t>
      </w:r>
      <w:r>
        <w:rPr>
          <w:spacing w:val="-4"/>
          <w:sz w:val="20"/>
          <w:szCs w:val="20"/>
        </w:rPr>
        <w:t>and the Monetary Authority of Singap</w:t>
      </w:r>
      <w:r>
        <w:rPr>
          <w:spacing w:val="-5"/>
          <w:sz w:val="20"/>
          <w:szCs w:val="20"/>
        </w:rPr>
        <w:t>ore (MAS)—</w:t>
      </w:r>
      <w:r>
        <w:rPr>
          <w:spacing w:val="-34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all of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which introduced</w:t>
      </w:r>
      <w:r>
        <w:rPr>
          <w:spacing w:val="-1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the CBCA,</w:t>
      </w:r>
      <w:r>
        <w:rPr>
          <w:spacing w:val="-5"/>
          <w:sz w:val="20"/>
          <w:szCs w:val="20"/>
        </w:rPr>
        <w:t xml:space="preserve"> accept FCY-denominated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collateral to provide LCY liquidity.</w:t>
      </w:r>
    </w:p>
    <w:p>
      <w:pPr>
        <w:pStyle w:val="BodyText"/>
        <w:spacing w:before="292" w:line="198" w:lineRule="auto"/>
        <w:ind w:left="2"/>
        <w:rPr>
          <w:sz w:val="20"/>
          <w:szCs w:val="20"/>
        </w:rPr>
      </w:pPr>
      <w:r>
        <w:rPr>
          <w:spacing w:val="-6"/>
          <w:sz w:val="20"/>
          <w:szCs w:val="20"/>
        </w:rPr>
        <w:t>The major currencies recognized include the euro,</w:t>
      </w:r>
    </w:p>
    <w:p>
      <w:pPr>
        <w:pStyle w:val="BodyText"/>
        <w:spacing w:before="51" w:line="233" w:lineRule="auto"/>
        <w:ind w:left="5" w:right="169" w:firstLine="10"/>
        <w:rPr>
          <w:sz w:val="20"/>
          <w:szCs w:val="20"/>
        </w:rPr>
      </w:pPr>
      <w:r>
        <w:rPr>
          <w:spacing w:val="-8"/>
          <w:sz w:val="20"/>
          <w:szCs w:val="20"/>
        </w:rPr>
        <w:t>US dollar, pound sterling, an</w:t>
      </w:r>
      <w:r>
        <w:rPr>
          <w:spacing w:val="-9"/>
          <w:sz w:val="20"/>
          <w:szCs w:val="20"/>
        </w:rPr>
        <w:t>d Japanese yen.</w:t>
      </w:r>
      <w:r>
        <w:rPr>
          <w:spacing w:val="11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By contrast,</w:t>
      </w:r>
      <w:r>
        <w:rPr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some central banks (e.g.,</w:t>
      </w:r>
      <w:r>
        <w:rPr>
          <w:spacing w:val="11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BNM,</w:t>
      </w:r>
      <w:r>
        <w:rPr>
          <w:spacing w:val="10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Fe</w:t>
      </w:r>
      <w:r>
        <w:rPr>
          <w:spacing w:val="-10"/>
          <w:sz w:val="20"/>
          <w:szCs w:val="20"/>
        </w:rPr>
        <w:t xml:space="preserve">deral Reserve, MAS,    </w:t>
      </w:r>
      <w:r>
        <w:rPr>
          <w:spacing w:val="-7"/>
          <w:sz w:val="20"/>
          <w:szCs w:val="20"/>
        </w:rPr>
        <w:t>and</w:t>
      </w:r>
      <w:r>
        <w:rPr>
          <w:spacing w:val="9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Riksbank) accept an ex</w:t>
      </w:r>
      <w:r>
        <w:rPr>
          <w:spacing w:val="-8"/>
          <w:sz w:val="20"/>
          <w:szCs w:val="20"/>
        </w:rPr>
        <w:t>tensive range of major or</w:t>
      </w:r>
    </w:p>
    <w:p>
      <w:pPr>
        <w:pStyle w:val="BodyText"/>
        <w:spacing w:before="49" w:line="198" w:lineRule="auto"/>
        <w:ind w:left="11"/>
        <w:rPr>
          <w:sz w:val="20"/>
          <w:szCs w:val="20"/>
        </w:rPr>
      </w:pPr>
      <w:r>
        <w:rPr>
          <w:spacing w:val="-5"/>
          <w:sz w:val="20"/>
          <w:szCs w:val="20"/>
        </w:rPr>
        <w:t>regional-currency-den</w:t>
      </w:r>
      <w:r>
        <w:rPr>
          <w:spacing w:val="-6"/>
          <w:sz w:val="20"/>
          <w:szCs w:val="20"/>
        </w:rPr>
        <w:t>ominated assets as collateral.</w:t>
      </w:r>
    </w:p>
    <w:p>
      <w:pPr>
        <w:spacing w:line="198" w:lineRule="auto"/>
        <w:rPr>
          <w:sz w:val="20"/>
          <w:szCs w:val="20"/>
        </w:rPr>
        <w:sectPr>
          <w:type w:val="nextPage"/>
          <w:pgSz w:w="12240" w:h="15840"/>
          <w:pgMar w:top="740" w:right="921" w:bottom="0" w:left="1089" w:header="0" w:footer="0" w:gutter="0"/>
          <w:pgNumType w:start="17"/>
          <w:cols w:num="2" w:space="708" w:equalWidth="0">
            <w:col w:w="5303" w:space="100"/>
            <w:col w:w="4827" w:space="0"/>
          </w:cols>
          <w:titlePg w:val="0"/>
        </w:sectPr>
      </w:pPr>
    </w:p>
    <w:p>
      <w:pPr>
        <w:pStyle w:val="BodyText"/>
        <w:spacing w:before="37" w:line="199" w:lineRule="auto"/>
        <w:ind w:left="10"/>
        <w:rPr>
          <w:sz w:val="20"/>
          <w:szCs w:val="20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691776</wp:posOffset>
            </wp:positionH>
            <wp:positionV relativeFrom="page">
              <wp:posOffset>8710938</wp:posOffset>
            </wp:positionV>
            <wp:extent cx="1828800" cy="63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0"/>
          <w:szCs w:val="20"/>
        </w:rPr>
        <w:t>6</w:t>
      </w:r>
      <w:r>
        <w:rPr>
          <w:spacing w:val="1"/>
          <w:sz w:val="20"/>
          <w:szCs w:val="20"/>
        </w:rPr>
        <w:t xml:space="preserve">                                             </w:t>
      </w:r>
      <w:r>
        <w:rPr>
          <w:sz w:val="20"/>
          <w:szCs w:val="20"/>
        </w:rPr>
        <w:t xml:space="preserve">                                                        </w:t>
      </w:r>
      <w:r>
        <w:rPr>
          <w:spacing w:val="-5"/>
          <w:sz w:val="20"/>
          <w:szCs w:val="20"/>
        </w:rPr>
        <w:t>Comparative</w:t>
      </w:r>
      <w:r>
        <w:rPr>
          <w:spacing w:val="-1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Analysis of Collateral Eligibility Criteria</w:t>
      </w:r>
    </w:p>
    <w:p>
      <w:pPr>
        <w:pStyle w:val="BodyText"/>
        <w:spacing w:line="389" w:lineRule="auto"/>
        <w:rPr>
          <w:sz w:val="21"/>
        </w:rPr>
      </w:pPr>
    </w:p>
    <w:p>
      <w:pPr>
        <w:pStyle w:val="BodyText"/>
        <w:spacing w:before="61" w:line="233" w:lineRule="auto"/>
        <w:ind w:left="3262" w:right="1274" w:hanging="1951"/>
        <w:rPr>
          <w:sz w:val="21"/>
          <w:szCs w:val="21"/>
        </w:rPr>
      </w:pPr>
      <w:r>
        <w:rPr>
          <w:b/>
          <w:bCs/>
          <w:color w:val="0088C7"/>
          <w:spacing w:val="-4"/>
          <w:sz w:val="21"/>
          <w:szCs w:val="21"/>
        </w:rPr>
        <w:t>Table 3:</w:t>
      </w:r>
      <w:r>
        <w:rPr>
          <w:b/>
          <w:bCs/>
          <w:color w:val="0088C7"/>
          <w:spacing w:val="26"/>
          <w:w w:val="101"/>
          <w:sz w:val="21"/>
          <w:szCs w:val="21"/>
        </w:rPr>
        <w:t xml:space="preserve"> </w:t>
      </w:r>
      <w:r>
        <w:rPr>
          <w:b/>
          <w:bCs/>
          <w:color w:val="0088C7"/>
          <w:spacing w:val="-4"/>
          <w:sz w:val="21"/>
          <w:szCs w:val="21"/>
        </w:rPr>
        <w:t>FCY-Denominated Collateral for Cross-Border Collateral Arrangements</w:t>
      </w:r>
      <w:r>
        <w:rPr>
          <w:b/>
          <w:bCs/>
          <w:color w:val="0088C7"/>
          <w:sz w:val="21"/>
          <w:szCs w:val="21"/>
        </w:rPr>
        <w:t xml:space="preserve"> </w:t>
      </w:r>
      <w:r>
        <w:rPr>
          <w:b/>
          <w:bCs/>
          <w:color w:val="0088C7"/>
          <w:spacing w:val="-7"/>
          <w:sz w:val="21"/>
          <w:szCs w:val="21"/>
        </w:rPr>
        <w:t>and Standing</w:t>
      </w:r>
      <w:r>
        <w:rPr>
          <w:b/>
          <w:bCs/>
          <w:color w:val="0088C7"/>
          <w:spacing w:val="15"/>
          <w:sz w:val="21"/>
          <w:szCs w:val="21"/>
        </w:rPr>
        <w:t xml:space="preserve"> </w:t>
      </w:r>
      <w:r>
        <w:rPr>
          <w:b/>
          <w:bCs/>
          <w:color w:val="0088C7"/>
          <w:spacing w:val="-7"/>
          <w:sz w:val="21"/>
          <w:szCs w:val="21"/>
        </w:rPr>
        <w:t>Facilities of Central</w:t>
      </w:r>
      <w:r>
        <w:rPr>
          <w:b/>
          <w:bCs/>
          <w:color w:val="0088C7"/>
          <w:spacing w:val="20"/>
          <w:w w:val="101"/>
          <w:sz w:val="21"/>
          <w:szCs w:val="21"/>
        </w:rPr>
        <w:t xml:space="preserve"> </w:t>
      </w:r>
      <w:r>
        <w:rPr>
          <w:b/>
          <w:bCs/>
          <w:color w:val="0088C7"/>
          <w:spacing w:val="-7"/>
          <w:sz w:val="21"/>
          <w:szCs w:val="21"/>
        </w:rPr>
        <w:t>B</w:t>
      </w:r>
      <w:r>
        <w:rPr>
          <w:b/>
          <w:bCs/>
          <w:color w:val="0088C7"/>
          <w:spacing w:val="-8"/>
          <w:sz w:val="21"/>
          <w:szCs w:val="21"/>
        </w:rPr>
        <w:t>anks</w:t>
      </w:r>
    </w:p>
    <w:p>
      <w:pPr>
        <w:spacing w:line="152" w:lineRule="exact"/>
      </w:pPr>
    </w:p>
    <w:tbl>
      <w:tblPr>
        <w:tblStyle w:val="TableNormal3"/>
        <w:tblW w:w="10209" w:type="dxa"/>
        <w:tblInd w:w="36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</w:tblPr>
      <w:tblGrid>
        <w:gridCol w:w="2128"/>
        <w:gridCol w:w="849"/>
        <w:gridCol w:w="854"/>
        <w:gridCol w:w="960"/>
        <w:gridCol w:w="1041"/>
        <w:gridCol w:w="748"/>
        <w:gridCol w:w="830"/>
        <w:gridCol w:w="988"/>
        <w:gridCol w:w="969"/>
        <w:gridCol w:w="842"/>
      </w:tblGrid>
      <w:tr>
        <w:tblPrEx>
          <w:tblW w:w="10209" w:type="dxa"/>
          <w:tblInd w:w="36" w:type="dxa"/>
          <w:tblBorders>
            <w:top w:val="single" w:sz="4" w:space="0" w:color="4472C4"/>
            <w:left w:val="single" w:sz="4" w:space="0" w:color="4472C4"/>
            <w:bottom w:val="single" w:sz="4" w:space="0" w:color="4472C4"/>
            <w:right w:val="single" w:sz="4" w:space="0" w:color="4472C4"/>
            <w:insideH w:val="single" w:sz="4" w:space="0" w:color="4472C4"/>
            <w:insideV w:val="single" w:sz="4" w:space="0" w:color="4472C4"/>
          </w:tblBorders>
          <w:tblLayout w:type="fixed"/>
        </w:tblPrEx>
        <w:trPr>
          <w:trHeight w:val="812"/>
        </w:trPr>
        <w:tc>
          <w:tcPr>
            <w:tcW w:w="2128" w:type="dxa"/>
            <w:tcBorders>
              <w:top w:val="single" w:sz="2" w:space="0" w:color="4472C4"/>
              <w:lef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49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before="74" w:line="257" w:lineRule="auto"/>
              <w:ind w:left="117" w:right="106" w:firstLine="24"/>
              <w:jc w:val="both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Federal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>Reserve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System</w:t>
            </w:r>
          </w:p>
        </w:tc>
        <w:tc>
          <w:tcPr>
            <w:tcW w:w="854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72" w:lineRule="auto"/>
              <w:rPr>
                <w:sz w:val="21"/>
              </w:rPr>
            </w:pPr>
          </w:p>
          <w:p>
            <w:pPr>
              <w:pStyle w:val="TableText"/>
              <w:spacing w:before="52"/>
              <w:ind w:left="152" w:right="141" w:firstLine="6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Euro-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-4"/>
                <w:sz w:val="18"/>
                <w:szCs w:val="18"/>
              </w:rPr>
              <w:t>system</w:t>
            </w:r>
          </w:p>
        </w:tc>
        <w:tc>
          <w:tcPr>
            <w:tcW w:w="960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56" w:lineRule="auto"/>
              <w:rPr>
                <w:sz w:val="21"/>
              </w:rPr>
            </w:pPr>
          </w:p>
          <w:p>
            <w:pPr>
              <w:pStyle w:val="TableText"/>
              <w:spacing w:line="257" w:lineRule="auto"/>
              <w:rPr>
                <w:sz w:val="21"/>
              </w:rPr>
            </w:pPr>
          </w:p>
          <w:p>
            <w:pPr>
              <w:pStyle w:val="TableText"/>
              <w:spacing w:before="52" w:line="198" w:lineRule="auto"/>
              <w:ind w:left="30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BOE</w:t>
            </w:r>
          </w:p>
        </w:tc>
        <w:tc>
          <w:tcPr>
            <w:tcW w:w="1041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56" w:lineRule="auto"/>
              <w:rPr>
                <w:sz w:val="21"/>
              </w:rPr>
            </w:pPr>
          </w:p>
          <w:p>
            <w:pPr>
              <w:pStyle w:val="TableText"/>
              <w:spacing w:line="257" w:lineRule="auto"/>
              <w:rPr>
                <w:sz w:val="21"/>
              </w:rPr>
            </w:pPr>
          </w:p>
          <w:p>
            <w:pPr>
              <w:pStyle w:val="TableText"/>
              <w:spacing w:before="51" w:line="199" w:lineRule="auto"/>
              <w:ind w:left="171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Riksbank</w:t>
            </w:r>
          </w:p>
        </w:tc>
        <w:tc>
          <w:tcPr>
            <w:tcW w:w="748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56" w:lineRule="auto"/>
              <w:rPr>
                <w:sz w:val="21"/>
              </w:rPr>
            </w:pPr>
          </w:p>
          <w:p>
            <w:pPr>
              <w:pStyle w:val="TableText"/>
              <w:spacing w:line="257" w:lineRule="auto"/>
              <w:rPr>
                <w:sz w:val="21"/>
              </w:rPr>
            </w:pPr>
          </w:p>
          <w:p>
            <w:pPr>
              <w:pStyle w:val="TableText"/>
              <w:spacing w:before="52" w:line="198" w:lineRule="auto"/>
              <w:ind w:left="21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BOJ</w:t>
            </w:r>
          </w:p>
        </w:tc>
        <w:tc>
          <w:tcPr>
            <w:tcW w:w="830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58" w:lineRule="auto"/>
              <w:rPr>
                <w:sz w:val="21"/>
              </w:rPr>
            </w:pPr>
          </w:p>
          <w:p>
            <w:pPr>
              <w:pStyle w:val="TableText"/>
              <w:spacing w:line="258" w:lineRule="auto"/>
              <w:rPr>
                <w:sz w:val="21"/>
              </w:rPr>
            </w:pPr>
          </w:p>
          <w:p>
            <w:pPr>
              <w:pStyle w:val="TableText"/>
              <w:spacing w:before="52" w:line="194" w:lineRule="auto"/>
              <w:ind w:left="34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BI</w:t>
            </w:r>
          </w:p>
        </w:tc>
        <w:tc>
          <w:tcPr>
            <w:tcW w:w="988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57" w:lineRule="auto"/>
              <w:rPr>
                <w:sz w:val="21"/>
              </w:rPr>
            </w:pPr>
          </w:p>
          <w:p>
            <w:pPr>
              <w:pStyle w:val="TableText"/>
              <w:spacing w:line="257" w:lineRule="auto"/>
              <w:rPr>
                <w:sz w:val="21"/>
              </w:rPr>
            </w:pPr>
          </w:p>
          <w:p>
            <w:pPr>
              <w:pStyle w:val="TableText"/>
              <w:spacing w:before="52" w:line="199" w:lineRule="auto"/>
              <w:ind w:left="293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BNM</w:t>
            </w:r>
          </w:p>
        </w:tc>
        <w:tc>
          <w:tcPr>
            <w:tcW w:w="969" w:type="dxa"/>
            <w:tcBorders>
              <w:top w:val="single" w:sz="2" w:space="0" w:color="4472C4"/>
            </w:tcBorders>
            <w:vAlign w:val="top"/>
          </w:tcPr>
          <w:p>
            <w:pPr>
              <w:pStyle w:val="TableText"/>
              <w:spacing w:line="256" w:lineRule="auto"/>
              <w:rPr>
                <w:sz w:val="21"/>
              </w:rPr>
            </w:pPr>
          </w:p>
          <w:p>
            <w:pPr>
              <w:pStyle w:val="TableText"/>
              <w:spacing w:line="257" w:lineRule="auto"/>
              <w:rPr>
                <w:sz w:val="21"/>
              </w:rPr>
            </w:pPr>
          </w:p>
          <w:p>
            <w:pPr>
              <w:pStyle w:val="TableText"/>
              <w:spacing w:before="52" w:line="198" w:lineRule="auto"/>
              <w:ind w:left="308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BOT</w:t>
            </w:r>
          </w:p>
        </w:tc>
        <w:tc>
          <w:tcPr>
            <w:tcW w:w="842" w:type="dxa"/>
            <w:tcBorders>
              <w:top w:val="single" w:sz="2" w:space="0" w:color="4472C4"/>
              <w:right w:val="single" w:sz="2" w:space="0" w:color="4472C4"/>
            </w:tcBorders>
            <w:vAlign w:val="top"/>
          </w:tcPr>
          <w:p>
            <w:pPr>
              <w:pStyle w:val="TableText"/>
              <w:spacing w:line="256" w:lineRule="auto"/>
              <w:rPr>
                <w:sz w:val="21"/>
              </w:rPr>
            </w:pPr>
          </w:p>
          <w:p>
            <w:pPr>
              <w:pStyle w:val="TableText"/>
              <w:spacing w:line="257" w:lineRule="auto"/>
              <w:rPr>
                <w:sz w:val="21"/>
              </w:rPr>
            </w:pPr>
          </w:p>
          <w:p>
            <w:pPr>
              <w:pStyle w:val="TableText"/>
              <w:spacing w:before="52" w:line="198" w:lineRule="auto"/>
              <w:ind w:left="229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MAS</w:t>
            </w:r>
          </w:p>
        </w:tc>
      </w:tr>
      <w:tr>
        <w:tblPrEx>
          <w:tblW w:w="10209" w:type="dxa"/>
          <w:tblInd w:w="36" w:type="dxa"/>
          <w:tblLayout w:type="fixed"/>
        </w:tblPrEx>
        <w:trPr>
          <w:trHeight w:val="513"/>
        </w:trPr>
        <w:tc>
          <w:tcPr>
            <w:tcW w:w="212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68" w:line="198" w:lineRule="auto"/>
              <w:ind w:left="106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Type of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Asset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54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6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41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74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42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209" w:type="dxa"/>
          <w:tblInd w:w="36" w:type="dxa"/>
          <w:tblLayout w:type="fixed"/>
        </w:tblPrEx>
        <w:trPr>
          <w:trHeight w:val="517"/>
        </w:trPr>
        <w:tc>
          <w:tcPr>
            <w:tcW w:w="212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68" w:line="198" w:lineRule="auto"/>
              <w:ind w:left="18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Government Bonds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spacing w:before="45" w:line="180" w:lineRule="auto"/>
              <w:ind w:left="344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854" w:type="dxa"/>
            <w:vAlign w:val="top"/>
          </w:tcPr>
          <w:p>
            <w:pPr>
              <w:pStyle w:val="TableText"/>
              <w:spacing w:before="45" w:line="180" w:lineRule="auto"/>
              <w:ind w:left="344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60" w:type="dxa"/>
            <w:vAlign w:val="top"/>
          </w:tcPr>
          <w:p>
            <w:pPr>
              <w:pStyle w:val="TableText"/>
              <w:spacing w:before="45" w:line="180" w:lineRule="auto"/>
              <w:ind w:left="39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041" w:type="dxa"/>
            <w:vAlign w:val="top"/>
          </w:tcPr>
          <w:p>
            <w:pPr>
              <w:pStyle w:val="TableText"/>
              <w:spacing w:before="45" w:line="180" w:lineRule="auto"/>
              <w:ind w:left="441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748" w:type="dxa"/>
            <w:vAlign w:val="top"/>
          </w:tcPr>
          <w:p>
            <w:pPr>
              <w:pStyle w:val="TableText"/>
              <w:spacing w:before="45" w:line="180" w:lineRule="auto"/>
              <w:ind w:left="29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830" w:type="dxa"/>
            <w:vAlign w:val="top"/>
          </w:tcPr>
          <w:p>
            <w:pPr>
              <w:pStyle w:val="TableText"/>
              <w:spacing w:before="45" w:line="180" w:lineRule="auto"/>
              <w:ind w:left="336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spacing w:before="45" w:line="180" w:lineRule="auto"/>
              <w:ind w:left="414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45" w:line="180" w:lineRule="auto"/>
              <w:ind w:left="40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842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45" w:line="180" w:lineRule="auto"/>
              <w:ind w:left="338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209" w:type="dxa"/>
          <w:tblInd w:w="36" w:type="dxa"/>
          <w:tblLayout w:type="fixed"/>
        </w:tblPrEx>
        <w:trPr>
          <w:trHeight w:val="513"/>
        </w:trPr>
        <w:tc>
          <w:tcPr>
            <w:tcW w:w="212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69" w:line="198" w:lineRule="auto"/>
              <w:ind w:left="18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Government</w:t>
            </w:r>
          </w:p>
          <w:p>
            <w:pPr>
              <w:pStyle w:val="TableText"/>
              <w:spacing w:before="45" w:line="198" w:lineRule="auto"/>
              <w:ind w:left="189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-Guaranteed Bonds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spacing w:before="41" w:line="180" w:lineRule="auto"/>
              <w:ind w:left="344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854" w:type="dxa"/>
            <w:vAlign w:val="top"/>
          </w:tcPr>
          <w:p>
            <w:pPr>
              <w:pStyle w:val="TableText"/>
              <w:spacing w:before="41" w:line="180" w:lineRule="auto"/>
              <w:ind w:left="344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60" w:type="dxa"/>
            <w:vAlign w:val="top"/>
          </w:tcPr>
          <w:p>
            <w:pPr>
              <w:pStyle w:val="TableText"/>
              <w:spacing w:before="41" w:line="180" w:lineRule="auto"/>
              <w:ind w:left="39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041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74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vAlign w:val="top"/>
          </w:tcPr>
          <w:p>
            <w:pPr>
              <w:pStyle w:val="TableText"/>
              <w:spacing w:before="41" w:line="180" w:lineRule="auto"/>
              <w:ind w:left="414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42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209" w:type="dxa"/>
          <w:tblInd w:w="36" w:type="dxa"/>
          <w:tblLayout w:type="fixed"/>
        </w:tblPrEx>
        <w:trPr>
          <w:trHeight w:val="513"/>
        </w:trPr>
        <w:tc>
          <w:tcPr>
            <w:tcW w:w="212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69" w:line="198" w:lineRule="auto"/>
              <w:ind w:left="18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Central Bank</w:t>
            </w:r>
            <w:r>
              <w:rPr>
                <w:spacing w:val="10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Bills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54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60" w:type="dxa"/>
            <w:vAlign w:val="top"/>
          </w:tcPr>
          <w:p>
            <w:pPr>
              <w:pStyle w:val="TableText"/>
              <w:spacing w:before="46" w:line="180" w:lineRule="auto"/>
              <w:ind w:left="39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041" w:type="dxa"/>
            <w:vAlign w:val="top"/>
          </w:tcPr>
          <w:p>
            <w:pPr>
              <w:pStyle w:val="TableText"/>
              <w:spacing w:before="46" w:line="180" w:lineRule="auto"/>
              <w:ind w:left="441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74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30" w:type="dxa"/>
            <w:vAlign w:val="top"/>
          </w:tcPr>
          <w:p>
            <w:pPr>
              <w:pStyle w:val="TableText"/>
              <w:spacing w:before="46" w:line="180" w:lineRule="auto"/>
              <w:ind w:left="336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spacing w:before="46" w:line="180" w:lineRule="auto"/>
              <w:ind w:left="414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before="46" w:line="180" w:lineRule="auto"/>
              <w:ind w:left="405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842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spacing w:before="46" w:line="180" w:lineRule="auto"/>
              <w:ind w:left="338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</w:tr>
      <w:tr>
        <w:tblPrEx>
          <w:tblW w:w="10209" w:type="dxa"/>
          <w:tblInd w:w="36" w:type="dxa"/>
          <w:tblLayout w:type="fixed"/>
        </w:tblPrEx>
        <w:trPr>
          <w:trHeight w:val="517"/>
        </w:trPr>
        <w:tc>
          <w:tcPr>
            <w:tcW w:w="2128" w:type="dxa"/>
            <w:tcBorders>
              <w:left w:val="single" w:sz="2" w:space="0" w:color="4472C4"/>
            </w:tcBorders>
            <w:vAlign w:val="top"/>
          </w:tcPr>
          <w:p>
            <w:pPr>
              <w:pStyle w:val="TableText"/>
              <w:spacing w:before="69" w:line="201" w:lineRule="auto"/>
              <w:ind w:left="178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ABS, Corporate Bonds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54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60" w:type="dxa"/>
            <w:vAlign w:val="top"/>
          </w:tcPr>
          <w:p>
            <w:pPr>
              <w:pStyle w:val="TableText"/>
              <w:spacing w:before="46" w:line="180" w:lineRule="auto"/>
              <w:ind w:left="397"/>
              <w:rPr>
                <w:sz w:val="23"/>
                <w:szCs w:val="23"/>
              </w:rPr>
            </w:pPr>
            <w:r>
              <w:rPr>
                <w:b/>
                <w:bCs/>
                <w:spacing w:val="13"/>
                <w:sz w:val="23"/>
                <w:szCs w:val="23"/>
              </w:rPr>
              <w:t>P</w:t>
            </w:r>
          </w:p>
        </w:tc>
        <w:tc>
          <w:tcPr>
            <w:tcW w:w="1041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74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88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42" w:type="dxa"/>
            <w:tcBorders>
              <w:right w:val="single" w:sz="2" w:space="0" w:color="4472C4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209" w:type="dxa"/>
          <w:tblInd w:w="36" w:type="dxa"/>
          <w:tblLayout w:type="fixed"/>
        </w:tblPrEx>
        <w:trPr>
          <w:trHeight w:val="1877"/>
        </w:trPr>
        <w:tc>
          <w:tcPr>
            <w:tcW w:w="2128" w:type="dxa"/>
            <w:tcBorders>
              <w:left w:val="single" w:sz="2" w:space="0" w:color="4472C4"/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1" w:line="200" w:lineRule="auto"/>
              <w:ind w:left="118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Foreign Currency</w:t>
            </w:r>
          </w:p>
        </w:tc>
        <w:tc>
          <w:tcPr>
            <w:tcW w:w="849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1" w:line="216" w:lineRule="exact"/>
              <w:ind w:left="204"/>
              <w:rPr>
                <w:sz w:val="18"/>
                <w:szCs w:val="18"/>
              </w:rPr>
            </w:pPr>
            <w:r>
              <w:rPr>
                <w:position w:val="4"/>
                <w:sz w:val="18"/>
                <w:szCs w:val="18"/>
              </w:rPr>
              <w:t>AUD</w:t>
            </w:r>
            <w:r>
              <w:rPr>
                <w:spacing w:val="10"/>
                <w:position w:val="4"/>
                <w:sz w:val="18"/>
                <w:szCs w:val="18"/>
              </w:rPr>
              <w:t>,</w:t>
            </w:r>
          </w:p>
          <w:p>
            <w:pPr>
              <w:pStyle w:val="TableText"/>
              <w:spacing w:line="205" w:lineRule="auto"/>
              <w:ind w:left="21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CAD,</w:t>
            </w:r>
          </w:p>
          <w:p>
            <w:pPr>
              <w:pStyle w:val="TableText"/>
              <w:spacing w:before="39" w:line="205" w:lineRule="auto"/>
              <w:ind w:left="231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CHF,</w:t>
            </w:r>
          </w:p>
          <w:p>
            <w:pPr>
              <w:pStyle w:val="TableText"/>
              <w:spacing w:before="40" w:line="203" w:lineRule="auto"/>
              <w:ind w:left="235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DKK,</w:t>
            </w:r>
          </w:p>
          <w:p>
            <w:pPr>
              <w:pStyle w:val="TableText"/>
              <w:spacing w:before="40" w:line="203" w:lineRule="auto"/>
              <w:ind w:left="245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EUR,</w:t>
            </w:r>
          </w:p>
          <w:p>
            <w:pPr>
              <w:pStyle w:val="TableText"/>
              <w:spacing w:before="39" w:line="205" w:lineRule="auto"/>
              <w:ind w:left="236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GBP,</w:t>
            </w:r>
          </w:p>
          <w:p>
            <w:pPr>
              <w:pStyle w:val="TableText"/>
              <w:spacing w:before="41" w:line="203" w:lineRule="auto"/>
              <w:ind w:left="262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JPY,</w:t>
            </w:r>
          </w:p>
          <w:p>
            <w:pPr>
              <w:pStyle w:val="TableText"/>
              <w:spacing w:before="39" w:line="198" w:lineRule="auto"/>
              <w:ind w:left="273"/>
              <w:rPr>
                <w:sz w:val="18"/>
                <w:szCs w:val="18"/>
              </w:rPr>
            </w:pPr>
            <w:r>
              <w:rPr>
                <w:spacing w:val="-18"/>
                <w:sz w:val="18"/>
                <w:szCs w:val="18"/>
              </w:rPr>
              <w:t>SEK</w:t>
            </w:r>
          </w:p>
        </w:tc>
        <w:tc>
          <w:tcPr>
            <w:tcW w:w="854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3" w:line="214" w:lineRule="exact"/>
              <w:ind w:left="263"/>
              <w:rPr>
                <w:sz w:val="18"/>
                <w:szCs w:val="18"/>
              </w:rPr>
            </w:pPr>
            <w:r>
              <w:rPr>
                <w:spacing w:val="-13"/>
                <w:position w:val="4"/>
                <w:sz w:val="18"/>
                <w:szCs w:val="18"/>
              </w:rPr>
              <w:t>JPY,</w:t>
            </w:r>
          </w:p>
          <w:p>
            <w:pPr>
              <w:pStyle w:val="TableText"/>
              <w:spacing w:line="197" w:lineRule="auto"/>
              <w:ind w:left="257"/>
              <w:rPr>
                <w:sz w:val="18"/>
                <w:szCs w:val="18"/>
              </w:rPr>
            </w:pPr>
            <w:r>
              <w:rPr>
                <w:spacing w:val="-11"/>
                <w:sz w:val="18"/>
                <w:szCs w:val="18"/>
              </w:rPr>
              <w:t>USD</w:t>
            </w:r>
          </w:p>
        </w:tc>
        <w:tc>
          <w:tcPr>
            <w:tcW w:w="960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1" w:line="218" w:lineRule="exact"/>
              <w:ind w:left="271"/>
              <w:rPr>
                <w:sz w:val="18"/>
                <w:szCs w:val="18"/>
              </w:rPr>
            </w:pPr>
            <w:r>
              <w:rPr>
                <w:spacing w:val="-2"/>
                <w:position w:val="4"/>
                <w:sz w:val="18"/>
                <w:szCs w:val="18"/>
              </w:rPr>
              <w:t>CAD,</w:t>
            </w:r>
          </w:p>
          <w:p>
            <w:pPr>
              <w:pStyle w:val="TableText"/>
              <w:spacing w:line="203" w:lineRule="auto"/>
              <w:ind w:left="299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EUR,</w:t>
            </w:r>
          </w:p>
          <w:p>
            <w:pPr>
              <w:pStyle w:val="TableText"/>
              <w:spacing w:before="38" w:line="198" w:lineRule="auto"/>
              <w:ind w:left="306"/>
              <w:rPr>
                <w:sz w:val="18"/>
                <w:szCs w:val="18"/>
              </w:rPr>
            </w:pPr>
            <w:r>
              <w:rPr>
                <w:spacing w:val="-11"/>
                <w:sz w:val="18"/>
                <w:szCs w:val="18"/>
              </w:rPr>
              <w:t>USD</w:t>
            </w:r>
          </w:p>
        </w:tc>
        <w:tc>
          <w:tcPr>
            <w:tcW w:w="1041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2" w:line="235" w:lineRule="auto"/>
              <w:ind w:left="115" w:right="94" w:firstLine="5"/>
              <w:jc w:val="both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DKK,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3"/>
                <w:sz w:val="18"/>
                <w:szCs w:val="18"/>
              </w:rPr>
              <w:t>EUR,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1"/>
                <w:sz w:val="18"/>
                <w:szCs w:val="18"/>
              </w:rPr>
              <w:t>GBP,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11"/>
                <w:sz w:val="18"/>
                <w:szCs w:val="18"/>
              </w:rPr>
              <w:t>JPY,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-7"/>
                <w:sz w:val="18"/>
                <w:szCs w:val="18"/>
              </w:rPr>
              <w:t>NOK, USD</w:t>
            </w:r>
          </w:p>
        </w:tc>
        <w:tc>
          <w:tcPr>
            <w:tcW w:w="748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3" w:line="214" w:lineRule="exact"/>
              <w:ind w:left="198"/>
              <w:rPr>
                <w:sz w:val="18"/>
                <w:szCs w:val="18"/>
              </w:rPr>
            </w:pPr>
            <w:r>
              <w:rPr>
                <w:spacing w:val="-13"/>
                <w:position w:val="4"/>
                <w:sz w:val="18"/>
                <w:szCs w:val="18"/>
              </w:rPr>
              <w:t>EUR,</w:t>
            </w:r>
          </w:p>
          <w:p>
            <w:pPr>
              <w:pStyle w:val="TableText"/>
              <w:spacing w:line="205" w:lineRule="auto"/>
              <w:ind w:left="190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GBP,</w:t>
            </w:r>
          </w:p>
          <w:p>
            <w:pPr>
              <w:pStyle w:val="TableText"/>
              <w:spacing w:before="38" w:line="198" w:lineRule="auto"/>
              <w:ind w:left="206"/>
              <w:rPr>
                <w:sz w:val="18"/>
                <w:szCs w:val="18"/>
              </w:rPr>
            </w:pPr>
            <w:r>
              <w:rPr>
                <w:spacing w:val="-11"/>
                <w:sz w:val="18"/>
                <w:szCs w:val="18"/>
              </w:rPr>
              <w:t>USD</w:t>
            </w:r>
          </w:p>
        </w:tc>
        <w:tc>
          <w:tcPr>
            <w:tcW w:w="830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3" w:line="195" w:lineRule="auto"/>
              <w:ind w:left="269"/>
              <w:rPr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JPY</w:t>
            </w:r>
          </w:p>
        </w:tc>
        <w:tc>
          <w:tcPr>
            <w:tcW w:w="988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3" w:line="203" w:lineRule="auto"/>
              <w:ind w:left="315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EUR,</w:t>
            </w:r>
          </w:p>
          <w:p>
            <w:pPr>
              <w:pStyle w:val="TableText"/>
              <w:spacing w:before="39" w:line="205" w:lineRule="auto"/>
              <w:ind w:left="129"/>
              <w:rPr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GBP,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14"/>
                <w:sz w:val="18"/>
                <w:szCs w:val="18"/>
              </w:rPr>
              <w:t>JPY,</w:t>
            </w:r>
          </w:p>
          <w:p>
            <w:pPr>
              <w:pStyle w:val="TableText"/>
              <w:spacing w:before="39" w:line="205" w:lineRule="auto"/>
              <w:ind w:left="303"/>
              <w:rPr>
                <w:sz w:val="18"/>
                <w:szCs w:val="18"/>
              </w:rPr>
            </w:pPr>
            <w:r>
              <w:rPr>
                <w:spacing w:val="-9"/>
                <w:sz w:val="18"/>
                <w:szCs w:val="18"/>
              </w:rPr>
              <w:t>USD,</w:t>
            </w:r>
          </w:p>
          <w:p>
            <w:pPr>
              <w:pStyle w:val="TableText"/>
              <w:spacing w:before="39" w:line="199" w:lineRule="auto"/>
              <w:ind w:left="214"/>
              <w:rPr>
                <w:sz w:val="18"/>
                <w:szCs w:val="18"/>
              </w:rPr>
            </w:pPr>
            <w:r>
              <w:rPr>
                <w:spacing w:val="-9"/>
                <w:sz w:val="18"/>
                <w:szCs w:val="18"/>
              </w:rPr>
              <w:t>EMEAP</w:t>
            </w:r>
          </w:p>
          <w:p>
            <w:pPr>
              <w:pStyle w:val="TableText"/>
              <w:spacing w:before="44" w:line="197" w:lineRule="auto"/>
              <w:ind w:left="14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-member</w:t>
            </w:r>
          </w:p>
          <w:p>
            <w:pPr>
              <w:pStyle w:val="TableText"/>
              <w:spacing w:before="55" w:line="186" w:lineRule="auto"/>
              <w:ind w:left="102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currencies</w:t>
            </w:r>
          </w:p>
        </w:tc>
        <w:tc>
          <w:tcPr>
            <w:tcW w:w="969" w:type="dxa"/>
            <w:tcBorders>
              <w:bottom w:val="single" w:sz="2" w:space="0" w:color="4472C4"/>
            </w:tcBorders>
            <w:vAlign w:val="top"/>
          </w:tcPr>
          <w:p>
            <w:pPr>
              <w:pStyle w:val="TableText"/>
              <w:spacing w:before="73" w:line="214" w:lineRule="exact"/>
              <w:ind w:left="323"/>
              <w:rPr>
                <w:sz w:val="18"/>
                <w:szCs w:val="18"/>
              </w:rPr>
            </w:pPr>
            <w:r>
              <w:rPr>
                <w:spacing w:val="-13"/>
                <w:position w:val="4"/>
                <w:sz w:val="18"/>
                <w:szCs w:val="18"/>
              </w:rPr>
              <w:t>JPY,</w:t>
            </w:r>
          </w:p>
          <w:p>
            <w:pPr>
              <w:pStyle w:val="TableText"/>
              <w:spacing w:line="205" w:lineRule="auto"/>
              <w:ind w:left="279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MYR,</w:t>
            </w:r>
          </w:p>
          <w:p>
            <w:pPr>
              <w:pStyle w:val="TableText"/>
              <w:spacing w:before="38" w:line="198" w:lineRule="auto"/>
              <w:ind w:left="310"/>
              <w:rPr>
                <w:sz w:val="18"/>
                <w:szCs w:val="18"/>
              </w:rPr>
            </w:pPr>
            <w:r>
              <w:rPr>
                <w:spacing w:val="-12"/>
                <w:sz w:val="18"/>
                <w:szCs w:val="18"/>
              </w:rPr>
              <w:t>SGD</w:t>
            </w:r>
          </w:p>
        </w:tc>
        <w:tc>
          <w:tcPr>
            <w:tcW w:w="842" w:type="dxa"/>
            <w:tcBorders>
              <w:bottom w:val="single" w:sz="2" w:space="0" w:color="4472C4"/>
              <w:right w:val="single" w:sz="2" w:space="0" w:color="4472C4"/>
            </w:tcBorders>
            <w:vAlign w:val="top"/>
          </w:tcPr>
          <w:p>
            <w:pPr>
              <w:pStyle w:val="TableText"/>
              <w:spacing w:before="73" w:line="214" w:lineRule="exact"/>
              <w:ind w:left="239"/>
              <w:rPr>
                <w:sz w:val="18"/>
                <w:szCs w:val="18"/>
              </w:rPr>
            </w:pPr>
            <w:r>
              <w:rPr>
                <w:spacing w:val="-13"/>
                <w:position w:val="4"/>
                <w:sz w:val="18"/>
                <w:szCs w:val="18"/>
              </w:rPr>
              <w:t>EUR,</w:t>
            </w:r>
          </w:p>
          <w:p>
            <w:pPr>
              <w:pStyle w:val="TableText"/>
              <w:spacing w:line="205" w:lineRule="auto"/>
              <w:ind w:left="236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GBP,</w:t>
            </w:r>
          </w:p>
          <w:p>
            <w:pPr>
              <w:pStyle w:val="TableText"/>
              <w:spacing w:before="40" w:line="203" w:lineRule="auto"/>
              <w:ind w:left="257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JPY,</w:t>
            </w:r>
          </w:p>
          <w:p>
            <w:pPr>
              <w:pStyle w:val="TableText"/>
              <w:spacing w:before="39" w:line="205" w:lineRule="auto"/>
              <w:ind w:left="212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MYR,</w:t>
            </w:r>
          </w:p>
          <w:p>
            <w:pPr>
              <w:pStyle w:val="TableText"/>
              <w:spacing w:before="40" w:line="203" w:lineRule="auto"/>
              <w:ind w:left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THB,</w:t>
            </w:r>
          </w:p>
          <w:p>
            <w:pPr>
              <w:pStyle w:val="TableText"/>
              <w:spacing w:before="39" w:line="198" w:lineRule="auto"/>
              <w:ind w:left="251"/>
              <w:rPr>
                <w:sz w:val="18"/>
                <w:szCs w:val="18"/>
              </w:rPr>
            </w:pPr>
            <w:r>
              <w:rPr>
                <w:spacing w:val="-11"/>
                <w:sz w:val="18"/>
                <w:szCs w:val="18"/>
              </w:rPr>
              <w:t>USD</w:t>
            </w:r>
          </w:p>
        </w:tc>
      </w:tr>
    </w:tbl>
    <w:p>
      <w:pPr>
        <w:pStyle w:val="BodyText"/>
        <w:spacing w:before="183" w:line="234" w:lineRule="auto"/>
        <w:ind w:left="48" w:right="250" w:hanging="8"/>
      </w:pPr>
      <w:r>
        <w:rPr>
          <w:spacing w:val="-7"/>
        </w:rPr>
        <w:t>ABS = asset-backed securities,</w:t>
      </w:r>
      <w:r>
        <w:rPr>
          <w:spacing w:val="-13"/>
        </w:rPr>
        <w:t xml:space="preserve"> </w:t>
      </w:r>
      <w:r>
        <w:rPr>
          <w:spacing w:val="-7"/>
        </w:rPr>
        <w:t>AUD = Australian dollar, BI = Ban</w:t>
      </w:r>
      <w:r>
        <w:rPr>
          <w:spacing w:val="-8"/>
        </w:rPr>
        <w:t>k Indonesia,</w:t>
      </w:r>
      <w:r>
        <w:rPr>
          <w:spacing w:val="4"/>
        </w:rPr>
        <w:t xml:space="preserve"> </w:t>
      </w:r>
      <w:r>
        <w:rPr>
          <w:spacing w:val="-8"/>
        </w:rPr>
        <w:t>BNM</w:t>
      </w:r>
      <w:r>
        <w:rPr>
          <w:spacing w:val="5"/>
        </w:rPr>
        <w:t xml:space="preserve"> </w:t>
      </w:r>
      <w:r>
        <w:rPr>
          <w:spacing w:val="-8"/>
        </w:rPr>
        <w:t>=</w:t>
      </w:r>
      <w:r>
        <w:rPr>
          <w:spacing w:val="2"/>
        </w:rPr>
        <w:t xml:space="preserve"> </w:t>
      </w:r>
      <w:r>
        <w:rPr>
          <w:spacing w:val="-8"/>
        </w:rPr>
        <w:t>Bank</w:t>
      </w:r>
      <w:r>
        <w:rPr>
          <w:spacing w:val="4"/>
        </w:rPr>
        <w:t xml:space="preserve"> </w:t>
      </w:r>
      <w:r>
        <w:rPr>
          <w:spacing w:val="-8"/>
        </w:rPr>
        <w:t>Negara Malaysia,</w:t>
      </w:r>
      <w:r>
        <w:rPr>
          <w:spacing w:val="4"/>
        </w:rPr>
        <w:t xml:space="preserve"> </w:t>
      </w:r>
      <w:r>
        <w:rPr>
          <w:spacing w:val="-8"/>
        </w:rPr>
        <w:t>BOE</w:t>
      </w:r>
      <w:r>
        <w:rPr>
          <w:spacing w:val="6"/>
        </w:rPr>
        <w:t xml:space="preserve"> </w:t>
      </w:r>
      <w:r>
        <w:rPr>
          <w:spacing w:val="-8"/>
        </w:rPr>
        <w:t>=</w:t>
      </w:r>
      <w:r>
        <w:rPr>
          <w:spacing w:val="2"/>
        </w:rPr>
        <w:t xml:space="preserve"> </w:t>
      </w:r>
      <w:r>
        <w:rPr>
          <w:spacing w:val="-8"/>
        </w:rPr>
        <w:t>Bank of England,</w:t>
      </w:r>
      <w:r>
        <w:t xml:space="preserve">   </w:t>
      </w:r>
      <w:r>
        <w:rPr>
          <w:spacing w:val="-8"/>
        </w:rPr>
        <w:t>BOJ = Bank of Japan,</w:t>
      </w:r>
      <w:r>
        <w:rPr>
          <w:spacing w:val="13"/>
        </w:rPr>
        <w:t xml:space="preserve"> </w:t>
      </w:r>
      <w:r>
        <w:rPr>
          <w:spacing w:val="-8"/>
        </w:rPr>
        <w:t>BOT =</w:t>
      </w:r>
      <w:r>
        <w:rPr>
          <w:spacing w:val="7"/>
        </w:rPr>
        <w:t xml:space="preserve"> </w:t>
      </w:r>
      <w:r>
        <w:rPr>
          <w:spacing w:val="-8"/>
        </w:rPr>
        <w:t>Bank of Thailand, CAD = Canadian dollar, CHF = Swiss franc, DKK</w:t>
      </w:r>
      <w:r>
        <w:rPr>
          <w:spacing w:val="-1"/>
        </w:rPr>
        <w:t xml:space="preserve"> </w:t>
      </w:r>
      <w:r>
        <w:rPr>
          <w:spacing w:val="-8"/>
        </w:rPr>
        <w:t>=</w:t>
      </w:r>
      <w:r>
        <w:rPr>
          <w:spacing w:val="7"/>
        </w:rPr>
        <w:t xml:space="preserve"> </w:t>
      </w:r>
      <w:r>
        <w:rPr>
          <w:spacing w:val="-8"/>
        </w:rPr>
        <w:t>Danish</w:t>
      </w:r>
      <w:r>
        <w:rPr>
          <w:spacing w:val="-1"/>
        </w:rPr>
        <w:t xml:space="preserve"> </w:t>
      </w:r>
      <w:r>
        <w:rPr>
          <w:spacing w:val="-8"/>
        </w:rPr>
        <w:t>krone,</w:t>
      </w:r>
      <w:r>
        <w:rPr>
          <w:spacing w:val="4"/>
        </w:rPr>
        <w:t xml:space="preserve"> </w:t>
      </w:r>
      <w:r>
        <w:rPr>
          <w:spacing w:val="-8"/>
        </w:rPr>
        <w:t>EMEAP</w:t>
      </w:r>
      <w:r>
        <w:rPr>
          <w:spacing w:val="4"/>
        </w:rPr>
        <w:t xml:space="preserve"> </w:t>
      </w:r>
      <w:r>
        <w:rPr>
          <w:spacing w:val="-8"/>
        </w:rPr>
        <w:t>=</w:t>
      </w:r>
      <w:r>
        <w:rPr>
          <w:spacing w:val="2"/>
        </w:rPr>
        <w:t xml:space="preserve"> </w:t>
      </w:r>
      <w:r>
        <w:rPr>
          <w:spacing w:val="-8"/>
        </w:rPr>
        <w:t>Executives’</w:t>
      </w:r>
      <w:r>
        <w:t xml:space="preserve"> </w:t>
      </w:r>
      <w:r>
        <w:rPr>
          <w:spacing w:val="-8"/>
        </w:rPr>
        <w:t>Meeting of East Asia and</w:t>
      </w:r>
      <w:r>
        <w:rPr>
          <w:spacing w:val="24"/>
        </w:rPr>
        <w:t xml:space="preserve"> </w:t>
      </w:r>
      <w:r>
        <w:rPr>
          <w:spacing w:val="-8"/>
        </w:rPr>
        <w:t>Pacific Central Banks, EUR = euro,</w:t>
      </w:r>
      <w:r>
        <w:rPr>
          <w:spacing w:val="8"/>
        </w:rPr>
        <w:t xml:space="preserve"> </w:t>
      </w:r>
      <w:r>
        <w:rPr>
          <w:spacing w:val="-8"/>
        </w:rPr>
        <w:t>FCY = foreign currency, GBP = pound sterling, JPY</w:t>
      </w:r>
      <w:r>
        <w:rPr>
          <w:spacing w:val="3"/>
        </w:rPr>
        <w:t xml:space="preserve"> </w:t>
      </w:r>
      <w:r>
        <w:rPr>
          <w:spacing w:val="-8"/>
        </w:rPr>
        <w:t>=</w:t>
      </w:r>
      <w:r>
        <w:rPr>
          <w:spacing w:val="-14"/>
        </w:rPr>
        <w:t xml:space="preserve"> </w:t>
      </w:r>
      <w:r>
        <w:rPr>
          <w:spacing w:val="-8"/>
        </w:rPr>
        <w:t>Japanese yen,</w:t>
      </w:r>
    </w:p>
    <w:p>
      <w:pPr>
        <w:pStyle w:val="BodyText"/>
        <w:spacing w:before="44" w:line="228" w:lineRule="auto"/>
        <w:ind w:left="46" w:right="364" w:firstLine="10"/>
      </w:pPr>
      <w:r>
        <w:rPr>
          <w:spacing w:val="-6"/>
        </w:rPr>
        <w:t>NOK = Norwegian krone, MAS = Monetar</w:t>
      </w:r>
      <w:r>
        <w:rPr>
          <w:spacing w:val="-7"/>
        </w:rPr>
        <w:t>y Authority of Singapore, MYR = Malaysian ringgit, SEK = Swedish krona, SGD = Singapore</w:t>
      </w:r>
      <w:r>
        <w:t xml:space="preserve"> </w:t>
      </w:r>
      <w:r>
        <w:rPr>
          <w:spacing w:val="-5"/>
        </w:rPr>
        <w:t>dollar, THB =</w:t>
      </w:r>
      <w:r>
        <w:rPr>
          <w:spacing w:val="-12"/>
        </w:rPr>
        <w:t xml:space="preserve"> </w:t>
      </w:r>
      <w:r>
        <w:rPr>
          <w:spacing w:val="-5"/>
        </w:rPr>
        <w:t>Thai baht, USD = United St</w:t>
      </w:r>
      <w:r>
        <w:rPr>
          <w:spacing w:val="-6"/>
        </w:rPr>
        <w:t>ates dollar.</w:t>
      </w:r>
    </w:p>
    <w:p>
      <w:pPr>
        <w:pStyle w:val="BodyText"/>
        <w:spacing w:before="38" w:line="234" w:lineRule="auto"/>
        <w:ind w:left="46" w:right="190"/>
      </w:pPr>
      <w:r>
        <w:rPr>
          <w:spacing w:val="-8"/>
        </w:rPr>
        <w:t>Sources: Asian Development</w:t>
      </w:r>
      <w:r>
        <w:rPr>
          <w:spacing w:val="8"/>
        </w:rPr>
        <w:t xml:space="preserve"> </w:t>
      </w:r>
      <w:r>
        <w:rPr>
          <w:spacing w:val="-8"/>
        </w:rPr>
        <w:t xml:space="preserve">Bank. 2022. </w:t>
      </w:r>
      <w:r>
        <w:rPr>
          <w:i/>
          <w:iCs/>
          <w:spacing w:val="-8"/>
        </w:rPr>
        <w:t>Local Cur</w:t>
      </w:r>
      <w:r>
        <w:rPr>
          <w:i/>
          <w:iCs/>
          <w:spacing w:val="-9"/>
        </w:rPr>
        <w:t>rency Collateral</w:t>
      </w:r>
      <w:r>
        <w:rPr>
          <w:i/>
          <w:iCs/>
          <w:spacing w:val="-25"/>
        </w:rPr>
        <w:t xml:space="preserve"> </w:t>
      </w:r>
      <w:r>
        <w:rPr>
          <w:i/>
          <w:iCs/>
          <w:spacing w:val="-9"/>
        </w:rPr>
        <w:t>for Cross-Border Financial Transactions: Policy Recommendations</w:t>
      </w:r>
      <w:r>
        <w:rPr>
          <w:i/>
          <w:iCs/>
          <w:spacing w:val="-26"/>
        </w:rPr>
        <w:t xml:space="preserve"> </w:t>
      </w:r>
      <w:r>
        <w:rPr>
          <w:i/>
          <w:iCs/>
          <w:spacing w:val="-9"/>
        </w:rPr>
        <w:t>from</w:t>
      </w:r>
      <w:r>
        <w:rPr>
          <w:i/>
          <w:iCs/>
        </w:rPr>
        <w:t xml:space="preserve"> </w:t>
      </w:r>
      <w:r>
        <w:rPr>
          <w:i/>
          <w:iCs/>
          <w:spacing w:val="-7"/>
        </w:rPr>
        <w:t>the CSIF</w:t>
      </w:r>
      <w:r>
        <w:rPr>
          <w:spacing w:val="-7"/>
        </w:rPr>
        <w:t>. Manila; Bank for</w:t>
      </w:r>
      <w:r>
        <w:rPr>
          <w:spacing w:val="11"/>
        </w:rPr>
        <w:t xml:space="preserve"> </w:t>
      </w:r>
      <w:r>
        <w:rPr>
          <w:spacing w:val="-7"/>
        </w:rPr>
        <w:t xml:space="preserve">International Settlements’ Market Committee. 2022. </w:t>
      </w:r>
      <w:r>
        <w:rPr>
          <w:i/>
          <w:iCs/>
          <w:spacing w:val="-7"/>
        </w:rPr>
        <w:t>Compendium: Monetary Policy Fr</w:t>
      </w:r>
      <w:r>
        <w:rPr>
          <w:i/>
          <w:iCs/>
          <w:spacing w:val="-8"/>
        </w:rPr>
        <w:t>ameworks and Central</w:t>
      </w:r>
      <w:r>
        <w:rPr>
          <w:i/>
          <w:iCs/>
        </w:rPr>
        <w:t xml:space="preserve">   </w:t>
      </w:r>
      <w:r>
        <w:rPr>
          <w:i/>
          <w:iCs/>
          <w:spacing w:val="-9"/>
        </w:rPr>
        <w:t>Bank Market Operations</w:t>
      </w:r>
      <w:r>
        <w:rPr>
          <w:spacing w:val="-9"/>
        </w:rPr>
        <w:t>. Basel.</w:t>
      </w:r>
    </w:p>
    <w:p>
      <w:pPr>
        <w:spacing w:before="14"/>
      </w:pPr>
    </w:p>
    <w:p>
      <w:pPr>
        <w:sectPr>
          <w:pgSz w:w="12240" w:h="15840"/>
          <w:pgMar w:top="737" w:right="902" w:bottom="0" w:left="1089" w:header="0" w:footer="0" w:gutter="0"/>
          <w:pgNumType w:start="18"/>
          <w:cols w:num="1" w:space="708" w:equalWidth="0">
            <w:col w:w="10249" w:space="0"/>
          </w:cols>
        </w:sectPr>
      </w:pPr>
    </w:p>
    <w:p>
      <w:pPr>
        <w:pStyle w:val="BodyText"/>
        <w:spacing w:before="38" w:line="203" w:lineRule="auto"/>
        <w:ind w:left="8"/>
        <w:outlineLvl w:val="6"/>
        <w:rPr>
          <w:sz w:val="19"/>
          <w:szCs w:val="19"/>
        </w:rPr>
      </w:pPr>
      <w:r>
        <w:rPr>
          <w:b/>
          <w:bCs/>
          <w:color w:val="E9532B"/>
          <w:spacing w:val="-3"/>
          <w:sz w:val="19"/>
          <w:szCs w:val="19"/>
        </w:rPr>
        <w:t>2. Central Counterparty Collater</w:t>
      </w:r>
      <w:r>
        <w:rPr>
          <w:b/>
          <w:bCs/>
          <w:color w:val="E9532B"/>
          <w:spacing w:val="-4"/>
          <w:sz w:val="19"/>
          <w:szCs w:val="19"/>
        </w:rPr>
        <w:t>al</w:t>
      </w:r>
      <w:r>
        <w:rPr>
          <w:b/>
          <w:bCs/>
          <w:color w:val="E9532B"/>
          <w:spacing w:val="18"/>
          <w:w w:val="101"/>
          <w:sz w:val="19"/>
          <w:szCs w:val="19"/>
        </w:rPr>
        <w:t xml:space="preserve"> </w:t>
      </w:r>
      <w:r>
        <w:rPr>
          <w:b/>
          <w:bCs/>
          <w:color w:val="E9532B"/>
          <w:spacing w:val="-4"/>
          <w:sz w:val="19"/>
          <w:szCs w:val="19"/>
        </w:rPr>
        <w:t>Frameworks</w:t>
      </w:r>
    </w:p>
    <w:p>
      <w:pPr>
        <w:pStyle w:val="BodyText"/>
        <w:spacing w:before="295" w:line="198" w:lineRule="auto"/>
        <w:ind w:left="11"/>
        <w:rPr>
          <w:sz w:val="20"/>
          <w:szCs w:val="20"/>
        </w:rPr>
      </w:pPr>
      <w:r>
        <w:rPr>
          <w:spacing w:val="-7"/>
          <w:sz w:val="20"/>
          <w:szCs w:val="20"/>
        </w:rPr>
        <w:t>CCPs manage their risk exposur</w:t>
      </w:r>
      <w:r>
        <w:rPr>
          <w:spacing w:val="-8"/>
          <w:sz w:val="20"/>
          <w:szCs w:val="20"/>
        </w:rPr>
        <w:t>e to the clearing</w:t>
      </w:r>
    </w:p>
    <w:p>
      <w:pPr>
        <w:pStyle w:val="BodyText"/>
        <w:spacing w:before="49" w:line="225" w:lineRule="auto"/>
        <w:ind w:left="8" w:right="744" w:firstLine="6"/>
        <w:rPr>
          <w:sz w:val="20"/>
          <w:szCs w:val="20"/>
        </w:rPr>
      </w:pPr>
      <w:r>
        <w:rPr>
          <w:spacing w:val="-7"/>
          <w:sz w:val="20"/>
          <w:szCs w:val="20"/>
        </w:rPr>
        <w:t>members, employing a set of management instruments</w:t>
      </w:r>
      <w:r>
        <w:rPr>
          <w:spacing w:val="14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such as minimum credit ra</w:t>
      </w:r>
      <w:r>
        <w:rPr>
          <w:spacing w:val="-7"/>
          <w:sz w:val="20"/>
          <w:szCs w:val="20"/>
        </w:rPr>
        <w:t>tings and margin</w:t>
      </w:r>
    </w:p>
    <w:p>
      <w:pPr>
        <w:pStyle w:val="BodyText"/>
        <w:spacing w:before="49" w:line="225" w:lineRule="auto"/>
        <w:ind w:left="9" w:right="870" w:firstLine="5"/>
        <w:rPr>
          <w:sz w:val="20"/>
          <w:szCs w:val="20"/>
        </w:rPr>
      </w:pPr>
      <w:r>
        <w:rPr>
          <w:spacing w:val="-6"/>
          <w:sz w:val="20"/>
          <w:szCs w:val="20"/>
        </w:rPr>
        <w:t>requirements. The scope of eligible collateral for each</w:t>
      </w:r>
      <w:r>
        <w:rPr>
          <w:spacing w:val="2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clearing business is defi</w:t>
      </w:r>
      <w:r>
        <w:rPr>
          <w:spacing w:val="-8"/>
          <w:sz w:val="20"/>
          <w:szCs w:val="20"/>
        </w:rPr>
        <w:t>ned based on these policies.</w:t>
      </w:r>
    </w:p>
    <w:p>
      <w:pPr>
        <w:pStyle w:val="BodyText"/>
        <w:spacing w:before="49" w:line="233" w:lineRule="auto"/>
        <w:ind w:left="8" w:right="751" w:hanging="3"/>
        <w:rPr>
          <w:sz w:val="20"/>
          <w:szCs w:val="20"/>
        </w:rPr>
      </w:pPr>
      <w:r>
        <w:rPr>
          <w:spacing w:val="-7"/>
          <w:sz w:val="20"/>
          <w:szCs w:val="20"/>
        </w:rPr>
        <w:t>Therefore, all CCPs have b</w:t>
      </w:r>
      <w:r>
        <w:rPr>
          <w:spacing w:val="-8"/>
          <w:sz w:val="20"/>
          <w:szCs w:val="20"/>
        </w:rPr>
        <w:t>asic policies and procedures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of accepting collateral with l</w:t>
      </w:r>
      <w:r>
        <w:rPr>
          <w:spacing w:val="-5"/>
          <w:sz w:val="20"/>
          <w:szCs w:val="20"/>
        </w:rPr>
        <w:t>ow risk in relation to credit,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liquidity, and market.</w:t>
      </w:r>
    </w:p>
    <w:p>
      <w:pPr>
        <w:pStyle w:val="BodyText"/>
        <w:spacing w:before="291" w:line="197" w:lineRule="auto"/>
        <w:ind w:left="5"/>
        <w:rPr>
          <w:sz w:val="20"/>
          <w:szCs w:val="20"/>
        </w:rPr>
      </w:pPr>
      <w:r>
        <w:rPr>
          <w:spacing w:val="-5"/>
          <w:sz w:val="20"/>
          <w:szCs w:val="20"/>
        </w:rPr>
        <w:t>The collateral fram</w:t>
      </w:r>
      <w:r>
        <w:rPr>
          <w:spacing w:val="-6"/>
          <w:sz w:val="20"/>
          <w:szCs w:val="20"/>
        </w:rPr>
        <w:t>eworks of CCPs related to the</w:t>
      </w:r>
    </w:p>
    <w:p>
      <w:pPr>
        <w:pStyle w:val="BodyText"/>
        <w:spacing w:before="51" w:line="225" w:lineRule="auto"/>
        <w:ind w:left="15" w:right="659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(i) underlying collateral pool for </w:t>
      </w:r>
      <w:r>
        <w:rPr>
          <w:spacing w:val="-6"/>
          <w:sz w:val="20"/>
          <w:szCs w:val="20"/>
        </w:rPr>
        <w:t>CCP-cleared repos, and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(ii) initial margin collateral for centra</w:t>
      </w:r>
      <w:r>
        <w:rPr>
          <w:spacing w:val="-5"/>
          <w:sz w:val="20"/>
          <w:szCs w:val="20"/>
        </w:rPr>
        <w:t>lly cleared repos</w:t>
      </w:r>
    </w:p>
    <w:p>
      <w:pPr>
        <w:pStyle w:val="BodyText"/>
        <w:spacing w:before="49" w:line="199" w:lineRule="auto"/>
        <w:ind w:left="8"/>
        <w:rPr>
          <w:sz w:val="20"/>
          <w:szCs w:val="20"/>
        </w:rPr>
      </w:pPr>
      <w:r>
        <w:rPr>
          <w:spacing w:val="-6"/>
          <w:sz w:val="20"/>
          <w:szCs w:val="20"/>
        </w:rPr>
        <w:t>and OTC derivatives are presented in this section.</w:t>
      </w: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5" w:lineRule="auto"/>
        <w:rPr>
          <w:sz w:val="21"/>
        </w:rPr>
      </w:pPr>
    </w:p>
    <w:p>
      <w:pPr>
        <w:pStyle w:val="BodyText"/>
        <w:spacing w:before="52" w:line="191" w:lineRule="auto"/>
        <w:ind w:left="6"/>
      </w:pPr>
      <w:r>
        <w:rPr>
          <w:spacing w:val="-8"/>
          <w:position w:val="6"/>
          <w:sz w:val="12"/>
          <w:szCs w:val="12"/>
        </w:rPr>
        <w:t>9</w:t>
      </w:r>
      <w:r>
        <w:rPr>
          <w:spacing w:val="32"/>
          <w:w w:val="102"/>
          <w:position w:val="6"/>
          <w:sz w:val="12"/>
          <w:szCs w:val="12"/>
        </w:rPr>
        <w:t xml:space="preserve"> </w:t>
      </w:r>
      <w:r>
        <w:rPr>
          <w:spacing w:val="-8"/>
        </w:rPr>
        <w:t>Footnote 6, p. 21.</w:t>
      </w:r>
    </w:p>
    <w:p>
      <w:pPr>
        <w:pStyle w:val="BodyText"/>
        <w:spacing w:line="14" w:lineRule="auto"/>
        <w:rPr>
          <w:sz w:val="2"/>
        </w:rPr>
        <w:sectPr>
          <w:type w:val="continuous"/>
          <w:pgSz w:w="12240" w:h="15840"/>
          <w:pgMar w:top="737" w:right="902" w:bottom="0" w:left="1089" w:header="0" w:footer="0" w:gutter="0"/>
          <w:pgNumType w:start="19"/>
          <w:cols w:num="2" w:space="708" w:equalWidth="0">
            <w:col w:w="5305" w:space="100"/>
            <w:col w:w="4844" w:space="0"/>
          </w:cols>
        </w:sectPr>
      </w:pPr>
      <w:r>
        <w:rPr>
          <w:sz w:val="2"/>
          <w:szCs w:val="2"/>
        </w:rPr>
        <w:br w:type="column"/>
      </w:r>
    </w:p>
    <w:p>
      <w:pPr>
        <w:pStyle w:val="BodyText"/>
        <w:spacing w:before="36" w:line="235" w:lineRule="auto"/>
        <w:ind w:left="7" w:right="271" w:firstLine="6"/>
        <w:rPr>
          <w:sz w:val="19"/>
          <w:szCs w:val="19"/>
        </w:rPr>
      </w:pPr>
      <w:r>
        <w:rPr>
          <w:b/>
          <w:bCs/>
          <w:spacing w:val="-3"/>
          <w:sz w:val="19"/>
          <w:szCs w:val="19"/>
        </w:rPr>
        <w:t>Underlying Collateral</w:t>
      </w:r>
      <w:r>
        <w:rPr>
          <w:b/>
          <w:bCs/>
          <w:spacing w:val="14"/>
          <w:sz w:val="19"/>
          <w:szCs w:val="19"/>
        </w:rPr>
        <w:t xml:space="preserve"> </w:t>
      </w:r>
      <w:r>
        <w:rPr>
          <w:b/>
          <w:bCs/>
          <w:spacing w:val="-3"/>
          <w:sz w:val="19"/>
          <w:szCs w:val="19"/>
        </w:rPr>
        <w:t>Pool for Central Counterpart</w:t>
      </w:r>
      <w:r>
        <w:rPr>
          <w:b/>
          <w:bCs/>
          <w:spacing w:val="-4"/>
          <w:sz w:val="19"/>
          <w:szCs w:val="19"/>
        </w:rPr>
        <w:t>y-</w:t>
      </w:r>
      <w:r>
        <w:rPr>
          <w:b/>
          <w:bCs/>
          <w:sz w:val="19"/>
          <w:szCs w:val="19"/>
        </w:rPr>
        <w:t xml:space="preserve"> </w:t>
      </w:r>
      <w:r>
        <w:rPr>
          <w:b/>
          <w:bCs/>
          <w:spacing w:val="-7"/>
          <w:sz w:val="19"/>
          <w:szCs w:val="19"/>
        </w:rPr>
        <w:t>Cleared</w:t>
      </w:r>
      <w:r>
        <w:rPr>
          <w:b/>
          <w:bCs/>
          <w:spacing w:val="25"/>
          <w:sz w:val="19"/>
          <w:szCs w:val="19"/>
        </w:rPr>
        <w:t xml:space="preserve"> </w:t>
      </w:r>
      <w:r>
        <w:rPr>
          <w:b/>
          <w:bCs/>
          <w:spacing w:val="-7"/>
          <w:sz w:val="19"/>
          <w:szCs w:val="19"/>
        </w:rPr>
        <w:t>Repo</w:t>
      </w:r>
    </w:p>
    <w:p>
      <w:pPr>
        <w:pStyle w:val="BodyText"/>
        <w:spacing w:before="52" w:line="225" w:lineRule="auto"/>
        <w:ind w:left="10" w:right="273" w:firstLine="6"/>
        <w:rPr>
          <w:sz w:val="20"/>
          <w:szCs w:val="20"/>
        </w:rPr>
      </w:pPr>
      <w:r>
        <w:rPr>
          <w:spacing w:val="-6"/>
          <w:sz w:val="20"/>
          <w:szCs w:val="20"/>
        </w:rPr>
        <w:t>For repo transactions, if the</w:t>
      </w:r>
      <w:r>
        <w:rPr>
          <w:spacing w:val="-7"/>
          <w:sz w:val="20"/>
          <w:szCs w:val="20"/>
        </w:rPr>
        <w:t xml:space="preserve"> parties agree that a specific</w:t>
      </w:r>
      <w:r>
        <w:rPr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basket be used rather than a specif</w:t>
      </w:r>
      <w:r>
        <w:rPr>
          <w:spacing w:val="-8"/>
          <w:sz w:val="20"/>
          <w:szCs w:val="20"/>
        </w:rPr>
        <w:t>ic asset, the</w:t>
      </w:r>
    </w:p>
    <w:p>
      <w:pPr>
        <w:pStyle w:val="BodyText"/>
        <w:spacing w:before="48" w:line="233" w:lineRule="auto"/>
        <w:ind w:left="4" w:right="334" w:hanging="4"/>
        <w:jc w:val="both"/>
        <w:rPr>
          <w:sz w:val="12"/>
          <w:szCs w:val="12"/>
        </w:rPr>
      </w:pPr>
      <w:r>
        <w:rPr>
          <w:spacing w:val="-5"/>
          <w:sz w:val="20"/>
          <w:szCs w:val="20"/>
        </w:rPr>
        <w:t>transaction is referred to as a “gen</w:t>
      </w:r>
      <w:r>
        <w:rPr>
          <w:spacing w:val="-6"/>
          <w:sz w:val="20"/>
          <w:szCs w:val="20"/>
        </w:rPr>
        <w:t>eral collateral” (GC)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repo. GC refers</w:t>
      </w:r>
      <w:r>
        <w:rPr>
          <w:spacing w:val="-1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to eith</w:t>
      </w:r>
      <w:r>
        <w:rPr>
          <w:spacing w:val="-5"/>
          <w:sz w:val="20"/>
          <w:szCs w:val="20"/>
        </w:rPr>
        <w:t>er the “narrow” or “broad” set of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collateral.</w:t>
      </w:r>
      <w:r>
        <w:rPr>
          <w:spacing w:val="9"/>
          <w:position w:val="6"/>
          <w:sz w:val="12"/>
          <w:szCs w:val="12"/>
        </w:rPr>
        <w:t>9</w:t>
      </w:r>
    </w:p>
    <w:p>
      <w:pPr>
        <w:pStyle w:val="BodyText"/>
        <w:spacing w:before="292" w:line="224" w:lineRule="auto"/>
        <w:ind w:right="210"/>
        <w:rPr>
          <w:sz w:val="20"/>
          <w:szCs w:val="20"/>
        </w:rPr>
      </w:pPr>
      <w:r>
        <w:rPr>
          <w:b/>
          <w:bCs/>
          <w:spacing w:val="-5"/>
          <w:sz w:val="19"/>
          <w:szCs w:val="19"/>
        </w:rPr>
        <w:t xml:space="preserve">Table 4 </w:t>
      </w:r>
      <w:r>
        <w:rPr>
          <w:spacing w:val="-5"/>
          <w:sz w:val="20"/>
          <w:szCs w:val="20"/>
        </w:rPr>
        <w:t>introduces</w:t>
      </w:r>
      <w:r>
        <w:rPr>
          <w:spacing w:val="1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the narrow eligible collateral baskets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for CCP repo-clearing arrangements in m</w:t>
      </w:r>
      <w:r>
        <w:rPr>
          <w:spacing w:val="-7"/>
          <w:sz w:val="20"/>
          <w:szCs w:val="20"/>
        </w:rPr>
        <w:t>ajor</w:t>
      </w:r>
      <w:r>
        <w:rPr>
          <w:spacing w:val="-13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global</w:t>
      </w:r>
    </w:p>
    <w:p>
      <w:pPr>
        <w:pStyle w:val="BodyText"/>
        <w:spacing w:before="50" w:line="197" w:lineRule="auto"/>
        <w:ind w:left="10"/>
        <w:rPr>
          <w:sz w:val="20"/>
          <w:szCs w:val="20"/>
        </w:rPr>
      </w:pPr>
      <w:r>
        <w:rPr>
          <w:spacing w:val="-5"/>
          <w:sz w:val="20"/>
          <w:szCs w:val="20"/>
        </w:rPr>
        <w:t>markets. It includes four different na</w:t>
      </w:r>
      <w:r>
        <w:rPr>
          <w:spacing w:val="-6"/>
          <w:sz w:val="20"/>
          <w:szCs w:val="20"/>
        </w:rPr>
        <w:t>rrow baskets:</w:t>
      </w:r>
    </w:p>
    <w:p>
      <w:pPr>
        <w:pStyle w:val="BodyText"/>
        <w:spacing w:before="51" w:line="225" w:lineRule="auto"/>
        <w:ind w:left="15" w:right="181" w:hanging="5"/>
        <w:rPr>
          <w:sz w:val="20"/>
          <w:szCs w:val="20"/>
        </w:rPr>
      </w:pPr>
      <w:r>
        <w:rPr>
          <w:spacing w:val="-4"/>
          <w:sz w:val="20"/>
          <w:szCs w:val="20"/>
        </w:rPr>
        <w:t xml:space="preserve">(i) the ECB and (ii) INT MXQ </w:t>
      </w:r>
      <w:r>
        <w:rPr>
          <w:spacing w:val="-5"/>
          <w:sz w:val="20"/>
          <w:szCs w:val="20"/>
        </w:rPr>
        <w:t>baskets, both operated by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 xml:space="preserve">Eurex Clearing; (iii) </w:t>
      </w:r>
      <w:r>
        <w:rPr>
          <w:spacing w:val="-7"/>
          <w:sz w:val="20"/>
          <w:szCs w:val="20"/>
        </w:rPr>
        <w:t>the</w:t>
      </w:r>
      <w:r>
        <w:rPr>
          <w:spacing w:val="-14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€GCPlus basket</w:t>
      </w:r>
      <w:r>
        <w:rPr>
          <w:spacing w:val="-14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1 operated by</w:t>
      </w:r>
    </w:p>
    <w:p>
      <w:pPr>
        <w:pStyle w:val="BodyText"/>
        <w:spacing w:before="49" w:line="225" w:lineRule="auto"/>
        <w:ind w:right="218" w:firstLine="16"/>
        <w:rPr>
          <w:sz w:val="20"/>
          <w:szCs w:val="20"/>
        </w:rPr>
      </w:pPr>
      <w:r>
        <w:rPr>
          <w:spacing w:val="-7"/>
          <w:sz w:val="20"/>
          <w:szCs w:val="20"/>
        </w:rPr>
        <w:t>LCH SA in</w:t>
      </w:r>
      <w:r>
        <w:rPr>
          <w:spacing w:val="10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t>European markets; and (iv) general colla</w:t>
      </w:r>
      <w:r>
        <w:rPr>
          <w:spacing w:val="-8"/>
          <w:sz w:val="20"/>
          <w:szCs w:val="20"/>
        </w:rPr>
        <w:t>teral</w:t>
      </w:r>
      <w:r>
        <w:rPr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financing (GCF) repo operated by</w:t>
      </w:r>
      <w:r>
        <w:rPr>
          <w:spacing w:val="-14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the Fixed Inc</w:t>
      </w:r>
      <w:r>
        <w:rPr>
          <w:spacing w:val="-6"/>
          <w:sz w:val="20"/>
          <w:szCs w:val="20"/>
        </w:rPr>
        <w:t>ome</w:t>
      </w:r>
    </w:p>
    <w:p>
      <w:pPr>
        <w:pStyle w:val="BodyText"/>
        <w:spacing w:before="49" w:line="198" w:lineRule="auto"/>
        <w:ind w:left="7"/>
        <w:rPr>
          <w:sz w:val="20"/>
          <w:szCs w:val="20"/>
        </w:rPr>
      </w:pPr>
      <w:r>
        <w:rPr>
          <w:spacing w:val="-6"/>
          <w:sz w:val="20"/>
          <w:szCs w:val="20"/>
        </w:rPr>
        <w:t>Clearing Corporation in the US market.</w:t>
      </w:r>
    </w:p>
    <w:p>
      <w:pPr>
        <w:spacing w:line="198" w:lineRule="auto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https://d.book118.com/288017135135006041</w:t>
        </w:r>
      </w:hyperlink>
    </w:p>
    <w:p>
      <w:pPr>
        <w:spacing w:line="198" w:lineRule="auto"/>
        <w:rPr>
          <w:sz w:val="20"/>
          <w:szCs w:val="20"/>
        </w:rPr>
      </w:pPr>
    </w:p>
    <w:sectPr>
      <w:type w:val="nextPage"/>
      <w:pgSz w:w="12240" w:h="15840"/>
      <w:pgMar w:top="737" w:right="902" w:bottom="0" w:left="1089" w:header="0" w:footer="0" w:gutter="0"/>
      <w:pgNumType w:start="20"/>
      <w:cols w:num="2" w:space="708" w:equalWidth="0">
        <w:col w:w="5305" w:space="100"/>
        <w:col w:w="4844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18"/>
      <w:szCs w:val="1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0"/>
      <w:szCs w:val="20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yperlink" Target="https://d.book118.com/288017135135006041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hyperlink" Target="https://www.frbdiscountwindow.org/Pages/Collateral/collateral" TargetMode="External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2024-03-02T21:12:12Z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2024-03-02T21:12:23Z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65e325a879f318001fdaf8a0wl</vt:lpwstr>
  </property>
</Properties>
</file>