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  <w:rPr>
          <w:rFonts w:hint="default"/>
          <w:sz w:val="32"/>
          <w:szCs w:val="32"/>
        </w:rPr>
      </w:pPr>
      <w:r>
        <w:rPr>
          <w:rFonts w:ascii="宋体" w:hAnsi="宋体" w:cs="宋体" w:hint="eastAsia"/>
          <w:b/>
          <w:spacing w:val="20"/>
          <w:sz w:val="32"/>
          <w:szCs w:val="32"/>
          <w:highlight w:val="none"/>
          <w:lang w:val="en-US" w:eastAsia="zh-CN"/>
        </w:rPr>
        <w:t>某</w:t>
      </w:r>
      <w:r>
        <w:rPr>
          <w:rFonts w:ascii="宋体" w:eastAsia="宋体" w:hAnsi="宋体" w:cs="宋体" w:hint="eastAsia"/>
          <w:b/>
          <w:spacing w:val="20"/>
          <w:sz w:val="32"/>
          <w:szCs w:val="32"/>
          <w:highlight w:val="none"/>
          <w:lang w:val="en-US" w:eastAsia="zh-CN"/>
        </w:rPr>
        <w:t>医院</w:t>
      </w:r>
      <w:r>
        <w:rPr>
          <w:rFonts w:ascii="宋体" w:hAnsi="宋体" w:cs="宋体" w:hint="eastAsia"/>
          <w:b/>
          <w:spacing w:val="20"/>
          <w:sz w:val="32"/>
          <w:szCs w:val="32"/>
          <w:highlight w:val="none"/>
          <w:lang w:val="en-US" w:eastAsia="zh-CN"/>
        </w:rPr>
        <w:t>智慧医疗需求方案</w:t>
      </w:r>
    </w:p>
    <w:tbl>
      <w:tblPr>
        <w:tblStyle w:val="TableNormal"/>
        <w:tblW w:w="4999" w:type="pc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1153"/>
        <w:gridCol w:w="1152"/>
        <w:gridCol w:w="7893"/>
      </w:tblGrid>
      <w:tr>
        <w:tblPrEx>
          <w:tblW w:w="4999" w:type="pct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/>
        </w:trPr>
        <w:tc>
          <w:tcPr>
            <w:tcW w:w="370" w:type="pct"/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center"/>
              <w:rPr>
                <w:rFonts w:ascii="宋体" w:hAnsi="宋体" w:cs="宋体" w:hint="eastAsia"/>
                <w:b/>
                <w:bCs/>
                <w:sz w:val="28"/>
                <w:szCs w:val="28"/>
                <w:highlight w:val="none"/>
              </w:rPr>
            </w:pPr>
            <w:bookmarkStart w:id="0" w:name="_GoBack"/>
            <w:bookmarkEnd w:id="0"/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  <w:highlight w:val="none"/>
                <w:lang w:bidi="ar"/>
              </w:rPr>
              <w:t>名称</w:t>
            </w:r>
          </w:p>
        </w:tc>
        <w:tc>
          <w:tcPr>
            <w:tcW w:w="523" w:type="pct"/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center"/>
              <w:rPr>
                <w:rFonts w:ascii="宋体" w:hAnsi="宋体" w:cs="宋体" w:hint="eastAsia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  <w:highlight w:val="none"/>
                <w:lang w:bidi="ar"/>
              </w:rPr>
              <w:t>模块</w:t>
            </w:r>
          </w:p>
        </w:tc>
        <w:tc>
          <w:tcPr>
            <w:tcW w:w="523" w:type="pct"/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center"/>
              <w:rPr>
                <w:rFonts w:ascii="宋体" w:hAnsi="宋体" w:cs="宋体" w:hint="eastAsia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  <w:highlight w:val="none"/>
                <w:lang w:bidi="ar"/>
              </w:rPr>
              <w:t>功能</w:t>
            </w:r>
          </w:p>
        </w:tc>
        <w:tc>
          <w:tcPr>
            <w:tcW w:w="3581" w:type="pct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center"/>
              <w:rPr>
                <w:rFonts w:ascii="宋体" w:hAnsi="宋体" w:cs="宋体" w:hint="eastAsia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  <w:highlight w:val="none"/>
                <w:lang w:bidi="ar"/>
              </w:rPr>
              <w:t>具体参数要求</w:t>
            </w:r>
          </w:p>
        </w:tc>
      </w:tr>
      <w:tr>
        <w:tblPrEx>
          <w:tblW w:w="4999" w:type="pct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0" w:type="pct"/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center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智慧医疗</w:t>
            </w:r>
          </w:p>
        </w:tc>
        <w:tc>
          <w:tcPr>
            <w:tcW w:w="523" w:type="pct"/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center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基础业务系统(一套)</w:t>
            </w:r>
          </w:p>
        </w:tc>
        <w:tc>
          <w:tcPr>
            <w:tcW w:w="523" w:type="pct"/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center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门急诊挂号系统</w:t>
            </w:r>
          </w:p>
        </w:tc>
        <w:tc>
          <w:tcPr>
            <w:tcW w:w="3581" w:type="pct"/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支持建立挂号类别、出诊时间、科室名称、专家名单、限号数量等功能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能够展示临床出诊安排，上班时间段、节假日管理等的功能应用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支持月出诊和周出诊两种方式的出诊安排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tabs>
                <w:tab w:val="left" w:pos="5496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支持临床号源增加、修改、删除管理的功能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tabs>
                <w:tab w:val="left" w:pos="5496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支持号源的停用、启用管理功能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tabs>
                <w:tab w:val="left" w:pos="5496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能够提供号源序号控制、预约方式设置，分诊方式设置等功能应用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tabs>
                <w:tab w:val="left" w:pos="5496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支持按照号码、科室、医生的方式过滤查询号源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支持挂号收入统计核算，能完成科室核算、门诊工作量统计等功能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支持退号功能，并正确处理病人应退费用等功能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tabs>
                <w:tab w:val="left" w:pos="5496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可以实现预约挂号操作的功能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支持职称的自定义标识设置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支持退号票据打印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支持退号信息自定义统计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tabs>
                <w:tab w:val="left" w:pos="5496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textAlignment w:val="center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支持异常退号记录进行重退的功能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支持异常退号历史记录的查询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</w:p>
        </w:tc>
      </w:tr>
    </w:tbl>
    <w:p>
      <w:pPr>
        <w:sectPr>
          <w:pgSz w:w="11906" w:h="16838"/>
          <w:pgMar w:top="1440" w:right="506" w:bottom="1440" w:left="600" w:header="851" w:footer="992" w:gutter="0"/>
          <w:cols w:num="1" w:space="425"/>
          <w:docGrid w:type="lines" w:linePitch="312" w:charSpace="0"/>
        </w:sectPr>
      </w:pPr>
    </w:p>
    <w:tbl>
      <w:tblPr>
        <w:tblStyle w:val="TableNormal"/>
        <w:tblW w:w="4999" w:type="pc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1153"/>
        <w:gridCol w:w="1152"/>
        <w:gridCol w:w="7893"/>
      </w:tblGrid>
      <w:tr>
        <w:tblPrEx>
          <w:tblW w:w="4999" w:type="pct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0" w:type="pct"/>
            <w:vMerge w:val="restart"/>
            <w:noWrap/>
            <w:vAlign w:val="center"/>
          </w:tcPr>
          <w:p/>
        </w:tc>
        <w:tc>
          <w:tcPr>
            <w:tcW w:w="523" w:type="pct"/>
            <w:vMerge w:val="restart"/>
            <w:noWrap/>
            <w:vAlign w:val="center"/>
          </w:tcPr>
          <w:p/>
        </w:tc>
        <w:tc>
          <w:tcPr>
            <w:tcW w:w="523" w:type="pct"/>
            <w:noWrap/>
            <w:vAlign w:val="center"/>
          </w:tcPr>
          <w:p/>
        </w:tc>
        <w:tc>
          <w:tcPr>
            <w:tcW w:w="3581" w:type="pct"/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before="0"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支持患者服务中心，实现因停诊，替诊通知病人，同步实现预约取消，换诊等工作。实现针对复诊病人的预约通知和预约登记。实时接收到停诊或替诊或复诊病人的复诊等消息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支持换诊和查询历史信息的功能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支持历史信息打印、输出excle功能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支持收费清单打印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支持收费证明格式设置和打印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支持按病人批量打印票据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</w:tc>
      </w:tr>
      <w:tr>
        <w:tblPrEx>
          <w:tblW w:w="4999" w:type="pct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0" w:type="pct"/>
            <w:vMerge/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</w:p>
        </w:tc>
        <w:tc>
          <w:tcPr>
            <w:tcW w:w="523" w:type="pct"/>
            <w:vMerge/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</w:p>
        </w:tc>
        <w:tc>
          <w:tcPr>
            <w:tcW w:w="523" w:type="pct"/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center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门急诊收费系统</w:t>
            </w:r>
          </w:p>
        </w:tc>
        <w:tc>
          <w:tcPr>
            <w:tcW w:w="3581" w:type="pct"/>
            <w:noWrap w:val="0"/>
            <w:vAlign w:val="center"/>
          </w:tcPr>
          <w:p>
            <w:pPr>
              <w:pageBreakBefore w:val="0"/>
              <w:widowControl/>
              <w:tabs>
                <w:tab w:val="left" w:pos="5496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支持中草药配方功能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tabs>
                <w:tab w:val="left" w:pos="5496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支持治疗、检验、检查等费用划价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tabs>
                <w:tab w:val="left" w:pos="5496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支持划价单修改、删除操作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tabs>
                <w:tab w:val="left" w:pos="5496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支持划价单历史查询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tabs>
                <w:tab w:val="left" w:pos="5496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支持针对不同病人身份的费用折扣处理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tabs>
                <w:tab w:val="left" w:pos="5496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支持收入统计核算，能完成科室核算统计等功能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tabs>
                <w:tab w:val="left" w:pos="5496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支持自定义零钞处理规则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tabs>
                <w:tab w:val="left" w:pos="5496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支持门急诊记账、修改，销账等功能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tabs>
                <w:tab w:val="left" w:pos="5496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支持记账查阅和根据条件过滤统计功能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tabs>
                <w:tab w:val="left" w:pos="5496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支持记账审核流程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tabs>
                <w:tab w:val="left" w:pos="5496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支持退费数据统计及报表数据打印、预览和输出的功能</w:t>
            </w:r>
          </w:p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支持现金、银行卡、支票、消费卡、医保账户等多种结算方式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支持对一个病人同时输入多张单据收费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支持收费员打印缴款书，提供收费员日报、组长日报等统计报表功能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</w:tc>
      </w:tr>
    </w:tbl>
    <w:p>
      <w:pPr>
        <w:sectPr>
          <w:type w:val="nextPage"/>
          <w:pgSz w:w="11906" w:h="16838"/>
          <w:pgMar w:top="1440" w:right="506" w:bottom="1440" w:left="600" w:header="851" w:footer="992" w:gutter="0"/>
          <w:pgNumType w:start="2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4999" w:type="pc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1153"/>
        <w:gridCol w:w="1152"/>
        <w:gridCol w:w="7893"/>
      </w:tblGrid>
      <w:tr>
        <w:tblPrEx>
          <w:tblW w:w="4999" w:type="pct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0" w:type="pct"/>
            <w:vMerge w:val="restart"/>
            <w:noWrap/>
            <w:vAlign w:val="center"/>
          </w:tcPr>
          <w:p/>
        </w:tc>
        <w:tc>
          <w:tcPr>
            <w:tcW w:w="523" w:type="pct"/>
            <w:vMerge w:val="restart"/>
            <w:noWrap/>
            <w:vAlign w:val="center"/>
          </w:tcPr>
          <w:p/>
        </w:tc>
        <w:tc>
          <w:tcPr>
            <w:tcW w:w="523" w:type="pct"/>
            <w:noWrap/>
            <w:vAlign w:val="center"/>
          </w:tcPr>
          <w:p/>
        </w:tc>
        <w:tc>
          <w:tcPr>
            <w:tcW w:w="3581" w:type="pct"/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支持加班加价管理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支持退费申请功能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支持退费审核的功能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支持退费单据打印的功能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支持票据报损、核对等功能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支持票据历史记录查看，使用情况查看等功能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支持对门急诊划价、记账、收费数据的查询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支持对门急诊退费的查询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支持根据要求自定义查询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支持通过接口进行医保/农合结算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支持挂号结算、收费结算、结算退费的功能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支持正常结算记录、异常结算记录、异常退费记录的查询功能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支持历史记录的预览、打印、输出的功能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支持对收费的扎帐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支持历史扎帐信息查询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支持扎帐作废、明细查询、现金点钞的功能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支持轧帐单自定义且可以打印功能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支持报表统计功能及打印、预览和输出的功能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</w:tc>
      </w:tr>
      <w:tr>
        <w:tblPrEx>
          <w:tblW w:w="4999" w:type="pct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0" w:type="pct"/>
            <w:vMerge/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</w:p>
        </w:tc>
        <w:tc>
          <w:tcPr>
            <w:tcW w:w="523" w:type="pct"/>
            <w:vMerge/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</w:p>
        </w:tc>
        <w:tc>
          <w:tcPr>
            <w:tcW w:w="523" w:type="pct"/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center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收费管理系统</w:t>
            </w:r>
          </w:p>
        </w:tc>
        <w:tc>
          <w:tcPr>
            <w:tcW w:w="3581" w:type="pct"/>
            <w:noWrap w:val="0"/>
            <w:vAlign w:val="center"/>
          </w:tcPr>
          <w:p>
            <w:pPr>
              <w:pageBreakBefore w:val="0"/>
              <w:widowControl/>
              <w:tabs>
                <w:tab w:val="left" w:pos="5496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支持病人费用记账、划价、审核、结账等功能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tabs>
                <w:tab w:val="left" w:pos="5496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支持病人欠费提醒与控制，支持分别设置不同科室、不同病人类型、医保/非医保的提醒限额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tabs>
                <w:tab w:val="left" w:pos="5496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支持票据领用、注销、作废、补打、重打等管理功能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</w:tc>
      </w:tr>
    </w:tbl>
    <w:p>
      <w:pPr>
        <w:sectPr>
          <w:type w:val="nextPage"/>
          <w:pgSz w:w="11906" w:h="16838"/>
          <w:pgMar w:top="1440" w:right="506" w:bottom="1440" w:left="600" w:header="851" w:footer="992" w:gutter="0"/>
          <w:pgNumType w:start="3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4999" w:type="pc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1153"/>
        <w:gridCol w:w="1152"/>
        <w:gridCol w:w="7893"/>
      </w:tblGrid>
      <w:tr>
        <w:tblPrEx>
          <w:tblW w:w="4999" w:type="pct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0" w:type="pct"/>
            <w:noWrap/>
            <w:vAlign w:val="center"/>
          </w:tcPr>
          <w:p/>
        </w:tc>
        <w:tc>
          <w:tcPr>
            <w:tcW w:w="523" w:type="pct"/>
            <w:noWrap/>
            <w:vAlign w:val="center"/>
          </w:tcPr>
          <w:p/>
        </w:tc>
        <w:tc>
          <w:tcPr>
            <w:tcW w:w="523" w:type="pct"/>
            <w:noWrap/>
            <w:vAlign w:val="center"/>
          </w:tcPr>
          <w:p/>
        </w:tc>
        <w:tc>
          <w:tcPr>
            <w:tcW w:w="3581" w:type="pct"/>
            <w:noWrap w:val="0"/>
            <w:vAlign w:val="center"/>
          </w:tcPr>
          <w:p>
            <w:pPr>
              <w:pageBreakBefore w:val="0"/>
              <w:widowControl/>
              <w:tabs>
                <w:tab w:val="left" w:pos="5496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支持执行科室分散记账功能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tabs>
                <w:tab w:val="left" w:pos="5496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支持记账费用的历史查询，支持修改、删除、销账申请等功能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tabs>
                <w:tab w:val="left" w:pos="5496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支持保存成套收费及调用成套收费的功能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tabs>
                <w:tab w:val="left" w:pos="5496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支持成套收费的修改、删除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tabs>
                <w:tab w:val="left" w:pos="5496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支持根据床位等级、护理等级自动计费支持前台自定义维护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tabs>
                <w:tab w:val="left" w:pos="5496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支持添加固定费用的自动记帐功能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tabs>
                <w:tab w:val="left" w:pos="5496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支持现金、银行卡、支票、消费卡、医保账户等多种结算方式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tabs>
                <w:tab w:val="left" w:pos="5496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支持中途结账功能，支持按自选费用期间、类型、科室等条件进行结账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tabs>
                <w:tab w:val="left" w:pos="5496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支持病人费用查询/一日清单/催款单打印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tabs>
                <w:tab w:val="left" w:pos="5496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支持病人医嘱查询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tabs>
                <w:tab w:val="left" w:pos="5496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支持病人医嘱与费用对照查询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tabs>
                <w:tab w:val="left" w:pos="5496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支持批量打印功能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tabs>
                <w:tab w:val="left" w:pos="5496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支持自定义条件功能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tabs>
                <w:tab w:val="left" w:pos="5496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支持执行登记管理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tabs>
                <w:tab w:val="left" w:pos="5496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支持分配全院或科室权限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tabs>
                <w:tab w:val="left" w:pos="5496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支持按照条件自定义查询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tabs>
                <w:tab w:val="left" w:pos="5496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支持门诊转住院费用的审核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tabs>
                <w:tab w:val="left" w:pos="5496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支持历史转住院费用记录查询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tabs>
                <w:tab w:val="left" w:pos="5496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支持过滤和定位功能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tabs>
                <w:tab w:val="left" w:pos="5496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支持历史记录打印、预览和输出的功能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tabs>
                <w:tab w:val="left" w:pos="5496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支持人员借款登记及还款处理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</w:tc>
      </w:tr>
    </w:tbl>
    <w:p>
      <w:pPr>
        <w:sectPr>
          <w:type w:val="nextPage"/>
          <w:pgSz w:w="11906" w:h="16838"/>
          <w:pgMar w:top="1440" w:right="506" w:bottom="1440" w:left="6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4999" w:type="pc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1153"/>
        <w:gridCol w:w="1152"/>
        <w:gridCol w:w="7893"/>
      </w:tblGrid>
      <w:tr>
        <w:tblPrEx>
          <w:tblW w:w="4999" w:type="pct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0" w:type="pct"/>
            <w:vMerge w:val="restart"/>
            <w:noWrap/>
            <w:vAlign w:val="center"/>
          </w:tcPr>
          <w:p/>
        </w:tc>
        <w:tc>
          <w:tcPr>
            <w:tcW w:w="523" w:type="pct"/>
            <w:vMerge w:val="restart"/>
            <w:noWrap/>
            <w:vAlign w:val="center"/>
          </w:tcPr>
          <w:p/>
        </w:tc>
        <w:tc>
          <w:tcPr>
            <w:tcW w:w="523" w:type="pct"/>
            <w:noWrap/>
            <w:vAlign w:val="center"/>
          </w:tcPr>
          <w:p/>
        </w:tc>
        <w:tc>
          <w:tcPr>
            <w:tcW w:w="3581" w:type="pct"/>
            <w:noWrap w:val="0"/>
            <w:vAlign w:val="center"/>
          </w:tcPr>
          <w:p>
            <w:pPr>
              <w:pageBreakBefore w:val="0"/>
              <w:widowControl/>
              <w:tabs>
                <w:tab w:val="left" w:pos="5496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支持我的借款记录和借出记录查询功能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tabs>
                <w:tab w:val="left" w:pos="5496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支持借款单据的打印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tabs>
                <w:tab w:val="left" w:pos="5496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支持收费扎帐、取消扎帐支持打印功能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</w:tc>
      </w:tr>
      <w:tr>
        <w:tblPrEx>
          <w:tblW w:w="4999" w:type="pct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0" w:type="pct"/>
            <w:vMerge/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</w:p>
        </w:tc>
        <w:tc>
          <w:tcPr>
            <w:tcW w:w="523" w:type="pct"/>
            <w:vMerge/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</w:p>
        </w:tc>
        <w:tc>
          <w:tcPr>
            <w:tcW w:w="523" w:type="pct"/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center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门诊中西药房管理系统</w:t>
            </w:r>
          </w:p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center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</w:p>
        </w:tc>
        <w:tc>
          <w:tcPr>
            <w:tcW w:w="3581" w:type="pct"/>
            <w:noWrap w:val="0"/>
            <w:vAlign w:val="center"/>
          </w:tcPr>
          <w:p>
            <w:pPr>
              <w:pageBreakBefore w:val="0"/>
              <w:widowControl/>
              <w:tabs>
                <w:tab w:val="left" w:pos="5496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支持领用单据的增加、删除、修改功能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tabs>
                <w:tab w:val="left" w:pos="5496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支持领用单据的审核和冲销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tabs>
                <w:tab w:val="left" w:pos="5496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支持领用单据的打印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tabs>
                <w:tab w:val="left" w:pos="5496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支持领用单据的统计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tabs>
                <w:tab w:val="left" w:pos="5496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提供药品盘点、报损和退库功能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tabs>
                <w:tab w:val="left" w:pos="5496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支持按照不同要求不同库房进行盘点的设置功能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tabs>
                <w:tab w:val="left" w:pos="5496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可随时查询任意时间段、任意药品的入、出、存明细账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tabs>
                <w:tab w:val="left" w:pos="5496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可以查看每个库房的药品库存，支持分批次查看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tabs>
                <w:tab w:val="left" w:pos="5496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支持查找、分类查看功能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tabs>
                <w:tab w:val="left" w:pos="5496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支持查看总账功能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tabs>
                <w:tab w:val="left" w:pos="5496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支持历史单据查看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tabs>
                <w:tab w:val="left" w:pos="5496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支持审核、复核、清除、取消功能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tabs>
                <w:tab w:val="left" w:pos="5496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支持按照条件查询和过滤功能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tabs>
                <w:tab w:val="left" w:pos="5496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支持审核列表输出、打印和预览功能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</w:tc>
      </w:tr>
      <w:tr>
        <w:tblPrEx>
          <w:tblW w:w="4999" w:type="pct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0" w:type="pct"/>
            <w:vMerge/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</w:p>
        </w:tc>
        <w:tc>
          <w:tcPr>
            <w:tcW w:w="523" w:type="pct"/>
            <w:vMerge/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</w:p>
        </w:tc>
        <w:tc>
          <w:tcPr>
            <w:tcW w:w="523" w:type="pct"/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center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住院药房管理系统</w:t>
            </w:r>
          </w:p>
        </w:tc>
        <w:tc>
          <w:tcPr>
            <w:tcW w:w="3581" w:type="pct"/>
            <w:noWrap w:val="0"/>
            <w:vAlign w:val="center"/>
          </w:tcPr>
          <w:p>
            <w:pPr>
              <w:pageBreakBefore w:val="0"/>
              <w:widowControl/>
              <w:tabs>
                <w:tab w:val="left" w:pos="5496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打印盘点清单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tabs>
                <w:tab w:val="left" w:pos="5496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支持冲销盘点单功能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tabs>
                <w:tab w:val="left" w:pos="5496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支持药品目录增加、删除、修改功能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tabs>
                <w:tab w:val="left" w:pos="5496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支持药品价格管理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tabs>
                <w:tab w:val="left" w:pos="5496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支持药品目录自定义查询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</w:tc>
      </w:tr>
    </w:tbl>
    <w:p>
      <w:pPr>
        <w:sectPr>
          <w:type w:val="nextPage"/>
          <w:pgSz w:w="11906" w:h="16838"/>
          <w:pgMar w:top="1440" w:right="506" w:bottom="1440" w:left="6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4999" w:type="pc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1153"/>
        <w:gridCol w:w="1152"/>
        <w:gridCol w:w="7893"/>
      </w:tblGrid>
      <w:tr>
        <w:tblPrEx>
          <w:tblW w:w="4999" w:type="pct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0" w:type="pct"/>
            <w:noWrap/>
            <w:vAlign w:val="center"/>
          </w:tcPr>
          <w:p/>
        </w:tc>
        <w:tc>
          <w:tcPr>
            <w:tcW w:w="523" w:type="pct"/>
            <w:noWrap/>
            <w:vAlign w:val="center"/>
          </w:tcPr>
          <w:p/>
        </w:tc>
        <w:tc>
          <w:tcPr>
            <w:tcW w:w="523" w:type="pct"/>
            <w:noWrap/>
            <w:vAlign w:val="center"/>
          </w:tcPr>
          <w:p/>
        </w:tc>
        <w:tc>
          <w:tcPr>
            <w:tcW w:w="3581" w:type="pct"/>
            <w:noWrap w:val="0"/>
            <w:vAlign w:val="center"/>
          </w:tcPr>
          <w:p>
            <w:pPr>
              <w:pageBreakBefore w:val="0"/>
              <w:widowControl/>
              <w:tabs>
                <w:tab w:val="left" w:pos="5496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支持移库单据增加、修改、删除功能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tabs>
                <w:tab w:val="left" w:pos="5496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支持移库单据审核、冲销功能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tabs>
                <w:tab w:val="left" w:pos="5496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支持备药、发送、回退流程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tabs>
                <w:tab w:val="left" w:pos="5496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支持移库单据的打印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tabs>
                <w:tab w:val="left" w:pos="5496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支持移库单据的统计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tabs>
                <w:tab w:val="left" w:pos="5496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提供对药品处方明细的发药核对确认，消减库存并统计工作量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tabs>
                <w:tab w:val="left" w:pos="5496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支持按照不同库房查询库存功能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tabs>
                <w:tab w:val="left" w:pos="5496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支持药品有效期特殊标注功能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tabs>
                <w:tab w:val="left" w:pos="5496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支持库存输出到EXCEL功能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tabs>
                <w:tab w:val="left" w:pos="5496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支持增加、删除、修改计划功能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tabs>
                <w:tab w:val="left" w:pos="5496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支持计划打印、输出到表格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tabs>
                <w:tab w:val="left" w:pos="5496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支持增加、修改、删除单据功能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tabs>
                <w:tab w:val="left" w:pos="5496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支持处理药品和回退清除功能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tabs>
                <w:tab w:val="left" w:pos="5496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支持单据查阅、打印及输出到表格功能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tabs>
                <w:tab w:val="left" w:pos="5496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支持月底结存功能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tabs>
                <w:tab w:val="left" w:pos="5496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支持结存明细查看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tabs>
                <w:tab w:val="left" w:pos="5496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支持药品明细查看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tabs>
                <w:tab w:val="left" w:pos="5496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支持误差明细查看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tabs>
                <w:tab w:val="left" w:pos="5496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支持增加、删除、修改申领单据功能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tabs>
                <w:tab w:val="left" w:pos="5496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支持申领列表信息打印、输出到表格功能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tabs>
                <w:tab w:val="left" w:pos="5496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支持发药窗口的新增、修改和删除功能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tabs>
                <w:tab w:val="left" w:pos="5496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支持发药窗口上班下班的设置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</w:tc>
      </w:tr>
    </w:tbl>
    <w:p>
      <w:pPr>
        <w:sectPr>
          <w:type w:val="nextPage"/>
          <w:pgSz w:w="11906" w:h="16838"/>
          <w:pgMar w:top="1440" w:right="506" w:bottom="1440" w:left="6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4999" w:type="pc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1153"/>
        <w:gridCol w:w="1152"/>
        <w:gridCol w:w="7893"/>
      </w:tblGrid>
      <w:tr>
        <w:tblPrEx>
          <w:tblW w:w="4999" w:type="pct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0" w:type="pct"/>
            <w:vMerge w:val="restart"/>
            <w:noWrap/>
            <w:vAlign w:val="center"/>
          </w:tcPr>
          <w:p/>
        </w:tc>
        <w:tc>
          <w:tcPr>
            <w:tcW w:w="523" w:type="pct"/>
            <w:vMerge w:val="restart"/>
            <w:noWrap/>
            <w:vAlign w:val="center"/>
          </w:tcPr>
          <w:p/>
        </w:tc>
        <w:tc>
          <w:tcPr>
            <w:tcW w:w="523" w:type="pct"/>
            <w:noWrap/>
            <w:vAlign w:val="center"/>
          </w:tcPr>
          <w:p/>
        </w:tc>
        <w:tc>
          <w:tcPr>
            <w:tcW w:w="3581" w:type="pct"/>
            <w:noWrap w:val="0"/>
            <w:vAlign w:val="center"/>
          </w:tcPr>
          <w:p>
            <w:pPr>
              <w:pageBreakBefore w:val="0"/>
              <w:widowControl/>
              <w:tabs>
                <w:tab w:val="left" w:pos="5496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支持打印设置和打印预览功能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tabs>
                <w:tab w:val="left" w:pos="5496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可自动打印配药单、处方签、发药清单、退药通知单等相关单据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tabs>
                <w:tab w:val="left" w:pos="5496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提供分别按病人的临时医嘱和长期医嘱执行确认上账功能，并自动生成各类药品的摆药单和汇总清单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tabs>
                <w:tab w:val="left" w:pos="5496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支持根据普通、儿科、急诊、精神、麻醉药品类别自动显示相应处方颜色，提醒药剂师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tabs>
                <w:tab w:val="left" w:pos="5496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支持大处方跟踪与审查处理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</w:tc>
      </w:tr>
      <w:tr>
        <w:tblPrEx>
          <w:tblW w:w="4999" w:type="pct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0" w:type="pct"/>
            <w:vMerge/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</w:p>
        </w:tc>
        <w:tc>
          <w:tcPr>
            <w:tcW w:w="523" w:type="pct"/>
            <w:vMerge/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</w:p>
        </w:tc>
        <w:tc>
          <w:tcPr>
            <w:tcW w:w="523" w:type="pct"/>
            <w:noWrap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center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治疗系统</w:t>
            </w:r>
          </w:p>
        </w:tc>
        <w:tc>
          <w:tcPr>
            <w:tcW w:w="3581" w:type="pct"/>
            <w:noWrap w:val="0"/>
            <w:vAlign w:val="center"/>
          </w:tcPr>
          <w:p>
            <w:pPr>
              <w:pageBreakBefore w:val="0"/>
              <w:widowControl/>
              <w:tabs>
                <w:tab w:val="left" w:pos="5496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支持治疗安排信息可被全院查询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tabs>
                <w:tab w:val="left" w:pos="5496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支持治疗记录数据可供全院访问，有数据交换接口</w:t>
            </w: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  <w:lang w:eastAsia="zh-CN"/>
              </w:rPr>
              <w:t>。</w:t>
            </w:r>
          </w:p>
          <w:p>
            <w:pPr>
              <w:pageBreakBefore w:val="0"/>
              <w:widowControl/>
              <w:tabs>
                <w:tab w:val="left" w:pos="5496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可对本科室开展的治疗项目、可进行操作的医师人员进行时间排班的安排，并可进行查询。</w:t>
            </w:r>
          </w:p>
          <w:p>
            <w:pPr>
              <w:pageBreakBefore w:val="0"/>
              <w:widowControl/>
              <w:tabs>
                <w:tab w:val="left" w:pos="5496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支持按时间、科室、住院号等信息过滤治疗申请。</w:t>
            </w:r>
          </w:p>
          <w:p>
            <w:pPr>
              <w:pageBreakBefore w:val="0"/>
              <w:widowControl/>
              <w:tabs>
                <w:tab w:val="left" w:pos="5496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支持对已选择的治疗申请进行取消操作。</w:t>
            </w:r>
          </w:p>
          <w:p>
            <w:pPr>
              <w:pageBreakBefore w:val="0"/>
              <w:widowControl/>
              <w:tabs>
                <w:tab w:val="left" w:pos="5496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支持查阅选择病人的病历、医嘱等信息。</w:t>
            </w:r>
          </w:p>
          <w:p>
            <w:pPr>
              <w:pageBreakBefore w:val="0"/>
              <w:widowControl/>
              <w:tabs>
                <w:tab w:val="left" w:pos="5496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可根据患者申请的治疗项目，依据该项目的排班安排，对患者治疗治疗周期中的每次治疗进行时间预约和计划安排。</w:t>
            </w:r>
          </w:p>
          <w:p>
            <w:pPr>
              <w:pageBreakBefore w:val="0"/>
              <w:widowControl/>
              <w:tabs>
                <w:tab w:val="left" w:pos="5496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各科室可查看本科各项目已预约的患者情况，包括预约数量统计、预约时间等。</w:t>
            </w:r>
          </w:p>
          <w:p>
            <w:pPr>
              <w:pageBreakBefore w:val="0"/>
              <w:widowControl/>
              <w:tabs>
                <w:tab w:val="left" w:pos="5496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可根据各科治疗项目的特点，自定义各治疗操作中需要记录的信息内容。</w:t>
            </w:r>
          </w:p>
          <w:p>
            <w:pPr>
              <w:pageBreakBefore w:val="0"/>
              <w:widowControl/>
              <w:tabs>
                <w:tab w:val="left" w:pos="5496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ascii="宋体" w:hAnsi="宋体" w:cs="宋体" w:hint="eastAsia"/>
                <w:sz w:val="28"/>
                <w:szCs w:val="28"/>
                <w:highlight w:val="none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highlight w:val="none"/>
              </w:rPr>
              <w:t>支持平面单选、下拉多选等多种方式新增治疗项目。</w:t>
            </w:r>
          </w:p>
        </w:tc>
      </w:tr>
    </w:tbl>
    <w:p>
      <w:r>
        <w:br/>
      </w:r>
      <w:r>
        <w:br/>
      </w:r>
    </w:p>
    <w:p>
      <w:pPr>
        <w:widowControl/>
        <w:adjustRightInd/>
        <w:spacing w:line="240" w:lineRule="auto"/>
        <w:textAlignment w:val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https://d.book118.com/288022135121006037</w:t>
        </w:r>
      </w:hyperlink>
    </w:p>
    <w:p/>
    <w:sectPr>
      <w:type w:val="nextPage"/>
      <w:pgSz w:w="11906" w:h="16838"/>
      <w:pgMar w:top="1440" w:right="506" w:bottom="1440" w:left="600" w:header="851" w:footer="992" w:gutter="0"/>
      <w:pgNumType w:start="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2C1AF9ED"/>
    <w:multiLevelType w:val="multilevel"/>
    <w:tmpl w:val="2C1AF9ED"/>
    <w:lvl w:ilvl="0">
      <w:start w:val="1"/>
      <w:numFmt w:val="decimal"/>
      <w:pStyle w:val="Heading1"/>
      <w:lvlText w:val="%1."/>
      <w:lvlJc w:val="left"/>
      <w:pPr>
        <w:ind w:left="432" w:hanging="432"/>
      </w:pPr>
      <w:rPr>
        <w:rFonts w:hint="default"/>
        <w:sz w:val="44"/>
        <w:szCs w:val="44"/>
      </w:rPr>
    </w:lvl>
    <w:lvl w:ilvl="1">
      <w:start w:val="1"/>
      <w:numFmt w:val="decimal"/>
      <w:pStyle w:val="Heading2"/>
      <w:lvlText w:val="%1.%2."/>
      <w:lvlJc w:val="left"/>
      <w:pPr>
        <w:ind w:left="575" w:hanging="575"/>
      </w:pPr>
      <w:rPr>
        <w:rFonts w:hint="default"/>
        <w:sz w:val="36"/>
        <w:szCs w:val="36"/>
      </w:rPr>
    </w:lvl>
    <w:lvl w:ilvl="2">
      <w:start w:val="1"/>
      <w:numFmt w:val="decimal"/>
      <w:pStyle w:val="Heading3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Heading4"/>
      <w:lvlText w:val="%1.%2.%3.%4.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Heading5"/>
      <w:lvlText w:val="%1.%2.%3.%4.%5.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."/>
      <w:lvlJc w:val="left"/>
      <w:pPr>
        <w:ind w:left="1151" w:hanging="1151"/>
      </w:pPr>
      <w:rPr>
        <w:rFonts w:hint="default"/>
      </w:rPr>
    </w:lvl>
    <w:lvl w:ilvl="6">
      <w:start w:val="1"/>
      <w:numFmt w:val="decimal"/>
      <w:pStyle w:val="Heading7"/>
      <w:lvlText w:val="%1.%2.%3.%4.%5.%6.%7.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."/>
      <w:lvlJc w:val="left"/>
      <w:pPr>
        <w:ind w:left="1583" w:hanging="1583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17865BB"/>
    <w:rsid w:val="000D4162"/>
    <w:rsid w:val="268830E0"/>
    <w:rsid w:val="298C22CD"/>
    <w:rsid w:val="2F7A5300"/>
    <w:rsid w:val="317865BB"/>
    <w:rsid w:val="41081344"/>
    <w:rsid w:val="4D0104F9"/>
    <w:rsid w:val="4DD86E9F"/>
    <w:rsid w:val="53662F7C"/>
    <w:rsid w:val="5C3A6E77"/>
    <w:rsid w:val="6368231F"/>
    <w:rsid w:val="67B212F0"/>
    <w:rsid w:val="75BE5576"/>
  </w:rsids>
  <w:docVars>
    <w:docVar w:name="commondata" w:val="eyJoZGlkIjoiNGJhOTJjZTFjYWFlMjZjYzc3NTAwMGEyYTVmYWFkYWM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nhideWhenUsed="0" w:qFormat="1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next w:val="HTMLPreformatted"/>
    <w:autoRedefine/>
    <w:qFormat/>
    <w:pPr>
      <w:widowControl w:val="0"/>
      <w:adjustRightInd w:val="0"/>
      <w:spacing w:line="360" w:lineRule="atLeast"/>
      <w:textAlignment w:val="baseline"/>
    </w:pPr>
    <w:rPr>
      <w:rFonts w:ascii="Times New Roman" w:eastAsia="宋体" w:hAnsi="Times New Roman" w:cs="Times New Roman"/>
      <w:sz w:val="24"/>
      <w:lang w:val="en-US" w:eastAsia="zh-CN" w:bidi="ar-SA"/>
    </w:rPr>
  </w:style>
  <w:style w:type="paragraph" w:styleId="Heading1">
    <w:name w:val="heading 1"/>
    <w:basedOn w:val="Normal"/>
    <w:next w:val="Normal"/>
    <w:link w:val="Char"/>
    <w:autoRedefine/>
    <w:qFormat/>
    <w:pPr>
      <w:keepNext/>
      <w:keepLines/>
      <w:numPr>
        <w:ilvl w:val="0"/>
        <w:numId w:val="1"/>
      </w:numPr>
      <w:spacing w:before="120" w:after="120" w:line="360" w:lineRule="auto"/>
      <w:ind w:left="432" w:hanging="432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autoRedefine/>
    <w:semiHidden/>
    <w:unhideWhenUsed/>
    <w:qFormat/>
    <w:pPr>
      <w:keepNext/>
      <w:keepLines/>
      <w:numPr>
        <w:ilvl w:val="1"/>
        <w:numId w:val="1"/>
      </w:numPr>
      <w:tabs>
        <w:tab w:val="left" w:pos="964"/>
      </w:tabs>
      <w:spacing w:before="120" w:after="120" w:line="360" w:lineRule="auto"/>
      <w:ind w:left="575" w:hanging="575"/>
      <w:outlineLvl w:val="1"/>
    </w:pPr>
    <w:rPr>
      <w:rFonts w:ascii="Cambria" w:hAnsi="Cambria"/>
      <w:b/>
      <w:bCs/>
      <w:sz w:val="36"/>
      <w:szCs w:val="32"/>
    </w:rPr>
  </w:style>
  <w:style w:type="paragraph" w:styleId="Heading3">
    <w:name w:val="heading 3"/>
    <w:basedOn w:val="Normal"/>
    <w:next w:val="Normal"/>
    <w:link w:val="3Char"/>
    <w:autoRedefine/>
    <w:semiHidden/>
    <w:unhideWhenUsed/>
    <w:qFormat/>
    <w:pPr>
      <w:keepNext/>
      <w:keepLines/>
      <w:numPr>
        <w:ilvl w:val="2"/>
        <w:numId w:val="1"/>
      </w:numPr>
      <w:spacing w:before="120" w:after="120" w:line="360" w:lineRule="auto"/>
      <w:ind w:left="720" w:hanging="720"/>
      <w:outlineLvl w:val="2"/>
    </w:pPr>
    <w:rPr>
      <w:rFonts w:ascii="Times New Roman" w:eastAsia="宋体" w:hAnsi="Times New Roman" w:cs="Times New Roman"/>
      <w:b/>
      <w:bCs/>
      <w:sz w:val="32"/>
      <w:szCs w:val="32"/>
    </w:rPr>
  </w:style>
  <w:style w:type="paragraph" w:styleId="Heading4">
    <w:name w:val="heading 4"/>
    <w:basedOn w:val="Normal"/>
    <w:next w:val="Normal"/>
    <w:link w:val="CharChar"/>
    <w:autoRedefine/>
    <w:semiHidden/>
    <w:unhideWhenUsed/>
    <w:qFormat/>
    <w:pPr>
      <w:keepNext/>
      <w:keepLines/>
      <w:numPr>
        <w:ilvl w:val="3"/>
        <w:numId w:val="1"/>
      </w:numPr>
      <w:spacing w:before="120" w:after="120"/>
      <w:ind w:left="862" w:hanging="862"/>
      <w:outlineLvl w:val="3"/>
    </w:pPr>
    <w:rPr>
      <w:rFonts w:ascii="宋体" w:eastAsia="宋体" w:hAnsi="宋体" w:cs="Times New Roman"/>
      <w:b/>
      <w:bCs/>
      <w:sz w:val="30"/>
      <w:szCs w:val="28"/>
    </w:rPr>
  </w:style>
  <w:style w:type="paragraph" w:styleId="Heading5">
    <w:name w:val="heading 5"/>
    <w:basedOn w:val="Normal"/>
    <w:next w:val="Normal"/>
    <w:autoRedefine/>
    <w:semiHidden/>
    <w:unhideWhenUsed/>
    <w:qFormat/>
    <w:pPr>
      <w:keepNext/>
      <w:keepLines/>
      <w:numPr>
        <w:ilvl w:val="4"/>
        <w:numId w:val="1"/>
      </w:numPr>
      <w:spacing w:before="280" w:beforeLines="0" w:beforeAutospacing="0" w:after="290" w:afterLines="0" w:afterAutospacing="0" w:line="372" w:lineRule="auto"/>
      <w:ind w:left="1008" w:hanging="1008"/>
      <w:outlineLvl w:val="4"/>
    </w:pPr>
    <w:rPr>
      <w:b/>
      <w:sz w:val="28"/>
    </w:rPr>
  </w:style>
  <w:style w:type="paragraph" w:styleId="Heading6">
    <w:name w:val="heading 6"/>
    <w:basedOn w:val="Normal"/>
    <w:next w:val="Normal"/>
    <w:autoRedefine/>
    <w:semiHidden/>
    <w:unhideWhenUsed/>
    <w:qFormat/>
    <w:pPr>
      <w:keepNext/>
      <w:keepLines/>
      <w:numPr>
        <w:ilvl w:val="5"/>
        <w:numId w:val="1"/>
      </w:numPr>
      <w:spacing w:before="240" w:beforeLines="0" w:beforeAutospacing="0" w:after="64" w:afterLines="0" w:afterAutospacing="0" w:line="317" w:lineRule="auto"/>
      <w:ind w:left="1151" w:hanging="1151"/>
      <w:outlineLvl w:val="5"/>
    </w:pPr>
    <w:rPr>
      <w:rFonts w:ascii="Arial" w:eastAsia="黑体" w:hAnsi="Arial"/>
      <w:b/>
      <w:sz w:val="24"/>
    </w:rPr>
  </w:style>
  <w:style w:type="paragraph" w:styleId="Heading7">
    <w:name w:val="heading 7"/>
    <w:basedOn w:val="Normal"/>
    <w:next w:val="Normal"/>
    <w:autoRedefine/>
    <w:semiHidden/>
    <w:unhideWhenUsed/>
    <w:qFormat/>
    <w:pPr>
      <w:keepNext/>
      <w:keepLines/>
      <w:numPr>
        <w:ilvl w:val="6"/>
        <w:numId w:val="1"/>
      </w:numPr>
      <w:spacing w:before="240" w:beforeLines="0" w:beforeAutospacing="0" w:after="64" w:afterLines="0" w:afterAutospacing="0" w:line="317" w:lineRule="auto"/>
      <w:ind w:left="1296" w:hanging="1296"/>
      <w:outlineLvl w:val="6"/>
    </w:pPr>
    <w:rPr>
      <w:b/>
      <w:sz w:val="24"/>
    </w:rPr>
  </w:style>
  <w:style w:type="paragraph" w:styleId="Heading8">
    <w:name w:val="heading 8"/>
    <w:basedOn w:val="Normal"/>
    <w:next w:val="Normal"/>
    <w:autoRedefine/>
    <w:semiHidden/>
    <w:unhideWhenUsed/>
    <w:qFormat/>
    <w:pPr>
      <w:keepNext/>
      <w:keepLines/>
      <w:numPr>
        <w:ilvl w:val="7"/>
        <w:numId w:val="1"/>
      </w:numPr>
      <w:spacing w:before="240" w:beforeLines="0" w:beforeAutospacing="0" w:after="64" w:afterLines="0" w:afterAutospacing="0" w:line="317" w:lineRule="auto"/>
      <w:ind w:left="1440" w:hanging="1440"/>
      <w:outlineLvl w:val="7"/>
    </w:pPr>
    <w:rPr>
      <w:rFonts w:ascii="Arial" w:eastAsia="黑体" w:hAnsi="Arial"/>
      <w:sz w:val="24"/>
    </w:rPr>
  </w:style>
  <w:style w:type="paragraph" w:styleId="Heading9">
    <w:name w:val="heading 9"/>
    <w:basedOn w:val="Normal"/>
    <w:next w:val="Normal"/>
    <w:autoRedefine/>
    <w:semiHidden/>
    <w:unhideWhenUsed/>
    <w:qFormat/>
    <w:pPr>
      <w:keepNext/>
      <w:keepLines/>
      <w:numPr>
        <w:ilvl w:val="8"/>
        <w:numId w:val="1"/>
      </w:numPr>
      <w:spacing w:before="240" w:beforeLines="0" w:beforeAutospacing="0" w:after="64" w:afterLines="0" w:afterAutospacing="0" w:line="317" w:lineRule="auto"/>
      <w:ind w:left="1583" w:hanging="1583"/>
      <w:outlineLvl w:val="8"/>
    </w:pPr>
    <w:rPr>
      <w:rFonts w:ascii="Arial" w:eastAsia="黑体" w:hAnsi="Arial"/>
      <w:sz w:val="21"/>
    </w:rPr>
  </w:style>
  <w:style w:type="character" w:default="1" w:styleId="DefaultParagraphFont">
    <w:name w:val="Default Paragraph Font"/>
    <w:autoRedefine/>
    <w:uiPriority w:val="1"/>
    <w:semiHidden/>
    <w:unhideWhenUsed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HTMLPreformatted">
    <w:name w:val="HTML Preformatted"/>
    <w:basedOn w:val="Normal"/>
    <w:next w:val="Normal"/>
    <w:uiPriority w:val="99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330" w:lineRule="atLeast"/>
      <w:jc w:val="left"/>
    </w:pPr>
    <w:rPr>
      <w:rFonts w:ascii="Arial" w:hAnsi="Arial"/>
      <w:kern w:val="0"/>
      <w:szCs w:val="21"/>
    </w:rPr>
  </w:style>
  <w:style w:type="character" w:customStyle="1" w:styleId="Char">
    <w:name w:val="一级标题 Char"/>
    <w:basedOn w:val="DefaultParagraphFont"/>
    <w:link w:val="Heading1"/>
    <w:autoRedefine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CharChar">
    <w:name w:val="四级标题 Char Char"/>
    <w:basedOn w:val="DefaultParagraphFont"/>
    <w:link w:val="Heading4"/>
    <w:autoRedefine/>
    <w:uiPriority w:val="9"/>
    <w:qFormat/>
    <w:rPr>
      <w:rFonts w:ascii="宋体" w:eastAsia="宋体" w:hAnsi="宋体" w:cs="Times New Roman"/>
      <w:b/>
      <w:bCs/>
      <w:kern w:val="2"/>
      <w:sz w:val="30"/>
      <w:szCs w:val="28"/>
    </w:rPr>
  </w:style>
  <w:style w:type="character" w:customStyle="1" w:styleId="3Char">
    <w:name w:val="标题 3 Char"/>
    <w:basedOn w:val="DefaultParagraphFont"/>
    <w:link w:val="Heading3"/>
    <w:autoRedefine/>
    <w:qFormat/>
    <w:rPr>
      <w:rFonts w:ascii="Times New Roman" w:eastAsia="宋体" w:hAnsi="Times New Roman" w:cs="Times New Roman"/>
      <w:b/>
      <w:bCs/>
      <w:sz w:val="32"/>
      <w:szCs w:val="32"/>
    </w:rPr>
  </w:style>
  <w:style w:type="paragraph" w:styleId="ListParagraph">
    <w:name w:val="List Paragraph"/>
    <w:basedOn w:val="Normal"/>
    <w:autoRedefine/>
    <w:uiPriority w:val="34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288022135121006037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竹老乡</dc:creator>
  <cp:lastModifiedBy>竹老乡</cp:lastModifiedBy>
  <cp:revision>1</cp:revision>
  <dcterms:created xsi:type="dcterms:W3CDTF">2024-02-23T07:02:00Z</dcterms:created>
  <dcterms:modified xsi:type="dcterms:W3CDTF">2024-02-23T07:03:39Z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B553A36CE569462AACD8BC85F71DD392_11</vt:lpwstr>
  </property>
  <property fmtid="{D5CDD505-2E9C-101B-9397-08002B2CF9AE}" pid="3" name="KSOProductBuildVer">
    <vt:lpwstr>2052-12.1.0.16388</vt:lpwstr>
  </property>
</Properties>
</file>