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2015-2023年广西卫生职业技术学院高职单招（数学／语文／英语）历年参考题库带答案解析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在思想内容和艺术成就方面都堪称中国古代长篇小说高峰的作品是（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A.《三国演义》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B.《红楼梦》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C.《水浒传》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D.《儒林外史》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下列议论文中，属于驳论的是（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B.《论快乐》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D.《论毅力》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《苦恼》一文在刻画人物形象时运用了哪些手法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A.肖像描写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B.环境烘托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C.白描手法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D.对话、细节与心理描写方法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下列句子中加点的“其”可作为语气词的是（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1752784" cy="1562264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52784" cy="1562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《论学问》一文指出治学的目的是（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A.能权衡轻重，审察事理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B.娱乐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C.增长才识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D.装饰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杜甫诗歌风格是以（  ）为主。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A.沉郁顿挫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B.豪放飘逸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C.古直悲凉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D.慷慨激昂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“贻笑大方”这个成语源自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是“以心为形役”还是选择“立德立功立言以求不朽”一句出自（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A.《发现》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B.《风波》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D.《谈时间》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陶渊明《饮酒》中，最富有哲理意味的诗句是（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A.飞鸟相与还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B.心远地自偏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C.结庐在人境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D.悠然见南山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《红楼梦》的体裁是（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A.长篇章回白话小说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B.长篇文言文小说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C.诗体韵文小说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D.现实主义小说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七斤的主要性格特征是（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A.见多识广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B.憎恶复辟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C.愚昧落后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D.伺机复辟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《往事（一之十四）》一文创作于（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A.1923年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B.1922年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C.1920年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D.1925年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马伶在《鸣风记》扮演的是（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A.严嵩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B.杨继盛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C.夏言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D.顾秉谦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宋代作家中，文艺成就最为全面的一位作家是（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https://d.book118.com/288055013032006041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hyperlink" Target="https://d.book118.com/288055013032006041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