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exact"/>
        <w:rPr>
          <w:rFonts w:ascii="黑体" w:eastAsia="黑体" w:hAnsi="黑体" w:cs="Times New Roman"/>
          <w:sz w:val="36"/>
          <w:szCs w:val="36"/>
        </w:rPr>
      </w:pPr>
    </w:p>
    <w:p>
      <w:pPr>
        <w:spacing w:line="400" w:lineRule="exact"/>
        <w:jc w:val="both"/>
        <w:rPr>
          <w:rFonts w:ascii="黑体" w:eastAsia="黑体" w:hAnsi="黑体" w:cs="Times New Roman"/>
          <w:sz w:val="36"/>
          <w:szCs w:val="36"/>
        </w:rPr>
      </w:pPr>
      <w:bookmarkStart w:id="0" w:name="_GoBack"/>
      <w:r>
        <w:rPr>
          <w:rFonts w:ascii="宋体" w:eastAsia="宋体" w:hAnsi="宋体" w:cs="宋体" w:hint="eastAsia"/>
          <w:sz w:val="36"/>
          <w:szCs w:val="36"/>
          <w:u w:val="single"/>
        </w:rPr>
        <w:t>长春市城市社区老年活动中心管理问题研究</w:t>
      </w:r>
    </w:p>
    <w:bookmarkEnd w:id="0"/>
    <w:p>
      <w:pPr>
        <w:spacing w:line="400" w:lineRule="exact"/>
        <w:jc w:val="center"/>
        <w:rPr>
          <w:rFonts w:ascii="黑体" w:eastAsia="黑体" w:hAnsi="黑体" w:cs="Times New Roman"/>
          <w:sz w:val="36"/>
          <w:szCs w:val="36"/>
        </w:rPr>
      </w:pPr>
    </w:p>
    <w:p>
      <w:pPr>
        <w:spacing w:line="400" w:lineRule="exact"/>
        <w:rPr>
          <w:rFonts w:ascii="黑体" w:eastAsia="黑体" w:hAnsi="黑体" w:cs="Times New Roman"/>
          <w:sz w:val="36"/>
          <w:szCs w:val="36"/>
        </w:rPr>
      </w:pPr>
    </w:p>
    <w:tbl>
      <w:tblPr>
        <w:tblStyle w:val="TableNormal"/>
        <w:tblW w:w="0" w:type="auto"/>
        <w:jc w:val="center"/>
        <w:tblCellMar>
          <w:top w:w="0" w:type="dxa"/>
          <w:left w:w="108" w:type="dxa"/>
          <w:bottom w:w="0" w:type="dxa"/>
          <w:right w:w="108" w:type="dxa"/>
        </w:tblCellMar>
      </w:tblPr>
      <w:tblGrid>
        <w:gridCol w:w="1501"/>
        <w:gridCol w:w="4536"/>
      </w:tblGrid>
      <w:tr>
        <w:tblPrEx>
          <w:tblW w:w="0" w:type="auto"/>
          <w:jc w:val="center"/>
          <w:tblCellMar>
            <w:top w:w="0" w:type="dxa"/>
            <w:left w:w="108" w:type="dxa"/>
            <w:bottom w:w="0" w:type="dxa"/>
            <w:right w:w="108" w:type="dxa"/>
          </w:tblCellMar>
        </w:tblPrEx>
        <w:trPr>
          <w:jc w:val="center"/>
        </w:trPr>
        <w:tc>
          <w:tcPr>
            <w:tcW w:w="1501" w:type="dxa"/>
            <w:shd w:val="clear" w:color="auto" w:fill="auto"/>
          </w:tcPr>
          <w:p>
            <w:pPr>
              <w:spacing w:line="400" w:lineRule="exact"/>
              <w:jc w:val="center"/>
              <w:rPr>
                <w:rFonts w:ascii="华文中宋" w:eastAsia="华文中宋" w:hAnsi="华文中宋" w:cs="Times New Roman"/>
                <w:sz w:val="32"/>
                <w:szCs w:val="32"/>
              </w:rPr>
            </w:pPr>
            <w:r>
              <w:rPr>
                <w:rFonts w:ascii="宋体" w:eastAsia="宋体" w:hAnsi="宋体" w:cs="宋体" w:hint="eastAsia"/>
                <w:sz w:val="32"/>
                <w:szCs w:val="32"/>
              </w:rPr>
              <w:t>题   目</w:t>
            </w:r>
            <w:r>
              <w:rPr>
                <w:rFonts w:ascii="华文中宋" w:eastAsia="华文中宋" w:hAnsi="华文中宋" w:cs="Times New Roman" w:hint="eastAsia"/>
                <w:sz w:val="32"/>
                <w:szCs w:val="32"/>
              </w:rPr>
              <w:t xml:space="preserve">  </w:t>
            </w:r>
          </w:p>
        </w:tc>
        <w:tc>
          <w:tcPr>
            <w:tcW w:w="4536" w:type="dxa"/>
            <w:shd w:val="clear" w:color="auto" w:fill="auto"/>
            <w:vAlign w:val="center"/>
          </w:tcPr>
          <w:p>
            <w:pPr>
              <w:spacing w:line="400" w:lineRule="exact"/>
              <w:jc w:val="center"/>
              <w:rPr>
                <w:rFonts w:ascii="宋体" w:eastAsia="宋体" w:hAnsi="宋体" w:cs="宋体"/>
                <w:sz w:val="36"/>
                <w:szCs w:val="36"/>
                <w:u w:val="single"/>
              </w:rPr>
            </w:pPr>
            <w:r>
              <w:rPr>
                <w:rFonts w:ascii="宋体" w:eastAsia="宋体" w:hAnsi="宋体" w:cs="宋体" w:hint="eastAsia"/>
                <w:sz w:val="36"/>
                <w:szCs w:val="36"/>
                <w:u w:val="single"/>
              </w:rPr>
              <w:t>长春市城市社区老年活动</w:t>
            </w:r>
          </w:p>
          <w:p>
            <w:pPr>
              <w:spacing w:line="400" w:lineRule="exact"/>
              <w:jc w:val="center"/>
              <w:rPr>
                <w:rFonts w:ascii="宋体" w:eastAsia="宋体" w:hAnsi="宋体" w:cs="Times New Roman"/>
                <w:sz w:val="36"/>
                <w:szCs w:val="36"/>
                <w:u w:val="single"/>
              </w:rPr>
            </w:pPr>
            <w:r>
              <w:rPr>
                <w:rFonts w:ascii="宋体" w:eastAsia="宋体" w:hAnsi="宋体" w:cs="宋体" w:hint="eastAsia"/>
                <w:sz w:val="36"/>
                <w:szCs w:val="36"/>
                <w:u w:val="single"/>
              </w:rPr>
              <w:t>中心管理问题研究</w:t>
            </w:r>
          </w:p>
        </w:tc>
      </w:tr>
    </w:tbl>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p>
    <w:p>
      <w:pPr>
        <w:spacing w:line="400" w:lineRule="exact"/>
        <w:jc w:val="center"/>
        <w:rPr>
          <w:b/>
          <w:sz w:val="32"/>
          <w:szCs w:val="32"/>
        </w:rPr>
      </w:pPr>
      <w:r>
        <w:rPr>
          <w:rFonts w:hint="eastAsia"/>
          <w:b/>
          <w:sz w:val="32"/>
          <w:szCs w:val="32"/>
        </w:rPr>
        <w:t>摘  要</w:t>
      </w:r>
    </w:p>
    <w:p>
      <w:pPr>
        <w:spacing w:line="400" w:lineRule="exact"/>
        <w:jc w:val="center"/>
        <w:rPr>
          <w:b/>
          <w:sz w:val="32"/>
          <w:szCs w:val="32"/>
        </w:rPr>
      </w:pPr>
    </w:p>
    <w:p>
      <w:pPr>
        <w:spacing w:line="400" w:lineRule="exact"/>
        <w:ind w:firstLine="480" w:firstLineChars="200"/>
        <w:jc w:val="left"/>
        <w:rPr>
          <w:sz w:val="24"/>
          <w:szCs w:val="24"/>
        </w:rPr>
      </w:pPr>
      <w:r>
        <w:rPr>
          <w:rFonts w:hint="eastAsia"/>
          <w:sz w:val="24"/>
          <w:szCs w:val="24"/>
        </w:rPr>
        <w:t>当今社会，人口老龄化已逐步发展为世界性难题，我国人口老龄化问题也越来越严重。我也是世界各国人口中人口最多老龄化人口最多的国家。养老问题已经受到各行各业的关注。由此催生出社区老年活动中心这一新兴的产物。其发展体系在欧美发达国家以及中国沿海等发达城市较为成熟，而在长春这个经济发展较为一般的城市中，如何让长春老年人更好的享受晚年生活是长春市从业规划人员的职责与挑战所在。</w:t>
      </w:r>
    </w:p>
    <w:p>
      <w:pPr>
        <w:spacing w:line="400" w:lineRule="exact"/>
        <w:ind w:firstLine="480" w:firstLineChars="200"/>
        <w:jc w:val="left"/>
        <w:rPr>
          <w:color w:val="000000" w:themeColor="text1"/>
          <w:sz w:val="24"/>
          <w:szCs w:val="24"/>
        </w:rPr>
      </w:pPr>
      <w:r>
        <w:rPr>
          <w:rFonts w:hint="eastAsia"/>
          <w:color w:val="000000" w:themeColor="text1"/>
          <w:sz w:val="24"/>
          <w:szCs w:val="24"/>
        </w:rPr>
        <w:t>论文运用文献研究、实证研究的方法，对长春市朝阳区的社区老年活动中心的管理问题进行了调查与分析。本文认为，长春市朝阳区的老年活动中心在管理上还存在收费不合理、选址不科学、基础设施不完善、工作人员管理不完善等问题，并就以上问题，提出对选址布局进行合理规划、提高社区养老服务软硬件建设水平、加强专业人才队伍建设，提高服务质量、增多对老年活动中心的融资渠道等对策建议。</w:t>
      </w:r>
    </w:p>
    <w:p>
      <w:pPr>
        <w:spacing w:line="400" w:lineRule="exact"/>
        <w:ind w:firstLine="480" w:firstLineChars="200"/>
        <w:jc w:val="left"/>
        <w:rPr>
          <w:color w:val="000000" w:themeColor="text1"/>
          <w:sz w:val="24"/>
          <w:szCs w:val="24"/>
        </w:rPr>
      </w:pPr>
    </w:p>
    <w:p>
      <w:pPr>
        <w:spacing w:line="400" w:lineRule="exact"/>
        <w:jc w:val="left"/>
        <w:rPr>
          <w:sz w:val="24"/>
          <w:szCs w:val="24"/>
        </w:rPr>
      </w:pPr>
      <w:r>
        <w:rPr>
          <w:rFonts w:hint="eastAsia"/>
          <w:b/>
          <w:sz w:val="24"/>
          <w:szCs w:val="24"/>
        </w:rPr>
        <w:t>关键词：</w:t>
      </w:r>
      <w:r>
        <w:rPr>
          <w:rFonts w:hint="eastAsia"/>
          <w:sz w:val="24"/>
          <w:szCs w:val="24"/>
        </w:rPr>
        <w:t>城市社区；老年活动中心；管理</w:t>
      </w:r>
    </w:p>
    <w:p>
      <w:pPr>
        <w:spacing w:line="400" w:lineRule="exact"/>
        <w:jc w:val="left"/>
        <w:rPr>
          <w:sz w:val="24"/>
          <w:szCs w:val="24"/>
        </w:rPr>
        <w:sectPr>
          <w:pgSz w:w="11906" w:h="16838"/>
          <w:pgMar w:top="1440" w:right="1800" w:bottom="1440" w:left="1800" w:header="851" w:footer="992" w:gutter="0"/>
          <w:cols w:num="1" w:space="425"/>
          <w:docGrid w:type="lines" w:linePitch="312" w:charSpace="0"/>
        </w:sectPr>
      </w:pPr>
    </w:p>
    <w:p>
      <w:pPr>
        <w:spacing w:line="400" w:lineRule="exact"/>
        <w:jc w:val="center"/>
        <w:rPr>
          <w:rFonts w:ascii="Times New Roman" w:hAnsi="Times New Roman" w:cs="Times New Roman"/>
          <w:b/>
          <w:sz w:val="24"/>
          <w:szCs w:val="24"/>
        </w:rPr>
      </w:pPr>
    </w:p>
    <w:p>
      <w:pPr>
        <w:spacing w:line="400" w:lineRule="exact"/>
        <w:jc w:val="center"/>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rPr>
          <w:rFonts w:ascii="Times New Roman" w:hAnsi="Times New Roman" w:cs="Times New Roman"/>
          <w:b/>
          <w:sz w:val="24"/>
          <w:szCs w:val="24"/>
        </w:rPr>
      </w:pPr>
    </w:p>
    <w:p>
      <w:pPr>
        <w:spacing w:line="400" w:lineRule="exact"/>
        <w:jc w:val="center"/>
        <w:rPr>
          <w:rFonts w:ascii="Times New Roman" w:hAnsi="Times New Roman" w:cs="Times New Roman"/>
          <w:b/>
          <w:sz w:val="24"/>
          <w:szCs w:val="24"/>
        </w:rPr>
      </w:pPr>
    </w:p>
    <w:p>
      <w:pPr>
        <w:spacing w:line="400" w:lineRule="exact"/>
        <w:jc w:val="center"/>
        <w:rPr>
          <w:rFonts w:ascii="Times New Roman" w:hAnsi="Times New Roman" w:cs="Times New Roman"/>
          <w:b/>
          <w:sz w:val="24"/>
          <w:szCs w:val="24"/>
        </w:rPr>
      </w:pPr>
    </w:p>
    <w:p>
      <w:pPr>
        <w:spacing w:line="400" w:lineRule="exact"/>
        <w:jc w:val="center"/>
        <w:rPr>
          <w:rFonts w:ascii="Times New Roman" w:hAnsi="Times New Roman" w:cs="Times New Roman"/>
          <w:b/>
          <w:sz w:val="30"/>
          <w:szCs w:val="30"/>
        </w:rPr>
      </w:pPr>
      <w:r>
        <w:rPr>
          <w:rFonts w:ascii="Times New Roman" w:hAnsi="Times New Roman" w:cs="Times New Roman"/>
          <w:b/>
          <w:sz w:val="30"/>
          <w:szCs w:val="30"/>
        </w:rPr>
        <w:t>Abstract</w:t>
      </w:r>
    </w:p>
    <w:p>
      <w:pPr>
        <w:spacing w:line="400" w:lineRule="exact"/>
        <w:jc w:val="center"/>
        <w:rPr>
          <w:rFonts w:ascii="Times New Roman" w:hAnsi="Times New Roman" w:cs="Times New Roman"/>
          <w:b/>
          <w:sz w:val="30"/>
          <w:szCs w:val="30"/>
        </w:rPr>
      </w:pPr>
    </w:p>
    <w:p>
      <w:pPr>
        <w:spacing w:line="400" w:lineRule="exact"/>
        <w:rPr>
          <w:rFonts w:ascii="Times New Roman" w:hAnsi="Times New Roman" w:cs="Times New Roman"/>
          <w:b/>
          <w:sz w:val="24"/>
          <w:szCs w:val="24"/>
        </w:rPr>
      </w:pPr>
    </w:p>
    <w:p>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Population aging is a significant trend in today's world. At the same time, the process of population aging in China is showing a significant acceleration trend. I am also the most populous and aging country in the world. The problem of providing for the aged has been concerned by all walks of life. From this, the community activity room for the elderly is a new product. Its development system is relatively mature in developed countries in Europe, America and coastal cities in China. In Changchun, a city with more general economic development, how to make the elderly in Changchun enjoy their old age better is the responsibility and challenge of Changchun practitioners and planners.</w:t>
      </w:r>
    </w:p>
    <w:p>
      <w:pPr>
        <w:spacing w:line="400" w:lineRule="exact"/>
        <w:ind w:firstLine="480" w:firstLineChars="200"/>
        <w:rPr>
          <w:rFonts w:ascii="Times New Roman" w:hAnsi="Times New Roman" w:cs="Times New Roman"/>
          <w:sz w:val="24"/>
          <w:szCs w:val="24"/>
        </w:rPr>
      </w:pPr>
      <w:r>
        <w:rPr>
          <w:rFonts w:ascii="Times New Roman" w:hAnsi="Times New Roman" w:cs="Times New Roman"/>
          <w:sz w:val="24"/>
          <w:szCs w:val="24"/>
        </w:rPr>
        <w:t>Urban</w:t>
      </w:r>
      <w:r>
        <w:rPr>
          <w:rFonts w:ascii="Times New Roman" w:hAnsi="Times New Roman" w:cs="Times New Roman"/>
          <w:sz w:val="24"/>
          <w:szCs w:val="24"/>
        </w:rPr>
        <w:t xml:space="preserve"> community</w:t>
      </w:r>
      <w:r>
        <w:rPr>
          <w:rFonts w:ascii="Times New Roman" w:hAnsi="Times New Roman" w:cs="Times New Roman"/>
          <w:sz w:val="24"/>
          <w:szCs w:val="24"/>
        </w:rPr>
        <w:t xml:space="preserve"> is</w:t>
      </w:r>
      <w:r>
        <w:rPr>
          <w:rFonts w:ascii="Times New Roman" w:hAnsi="Times New Roman" w:cs="Times New Roman"/>
          <w:sz w:val="24"/>
          <w:szCs w:val="24"/>
        </w:rPr>
        <w:t xml:space="preserve"> the</w:t>
      </w:r>
      <w:r>
        <w:rPr>
          <w:rFonts w:ascii="Times New Roman" w:hAnsi="Times New Roman" w:cs="Times New Roman"/>
          <w:sz w:val="24"/>
          <w:szCs w:val="24"/>
        </w:rPr>
        <w:t xml:space="preserve"> main</w:t>
      </w:r>
      <w:r>
        <w:rPr>
          <w:rFonts w:ascii="Times New Roman" w:hAnsi="Times New Roman" w:cs="Times New Roman"/>
          <w:sz w:val="24"/>
          <w:szCs w:val="24"/>
        </w:rPr>
        <w:t xml:space="preserve"> living</w:t>
      </w:r>
      <w:r>
        <w:rPr>
          <w:rFonts w:ascii="Times New Roman" w:hAnsi="Times New Roman" w:cs="Times New Roman"/>
          <w:sz w:val="24"/>
          <w:szCs w:val="24"/>
        </w:rPr>
        <w:t xml:space="preserve"> and</w:t>
      </w:r>
      <w:r>
        <w:rPr>
          <w:rFonts w:ascii="Times New Roman" w:hAnsi="Times New Roman" w:cs="Times New Roman"/>
          <w:sz w:val="24"/>
          <w:szCs w:val="24"/>
        </w:rPr>
        <w:t xml:space="preserve"> activity</w:t>
      </w:r>
      <w:r>
        <w:rPr>
          <w:rFonts w:ascii="Times New Roman" w:hAnsi="Times New Roman" w:cs="Times New Roman"/>
          <w:sz w:val="24"/>
          <w:szCs w:val="24"/>
        </w:rPr>
        <w:t xml:space="preserve"> place</w:t>
      </w:r>
      <w:r>
        <w:rPr>
          <w:rFonts w:ascii="Times New Roman" w:hAnsi="Times New Roman" w:cs="Times New Roman"/>
          <w:sz w:val="24"/>
          <w:szCs w:val="24"/>
        </w:rPr>
        <w:t xml:space="preserve"> for</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The</w:t>
      </w:r>
      <w:r>
        <w:rPr>
          <w:rFonts w:ascii="Times New Roman" w:hAnsi="Times New Roman" w:cs="Times New Roman"/>
          <w:sz w:val="24"/>
          <w:szCs w:val="24"/>
        </w:rPr>
        <w:t xml:space="preserve"> allocation</w:t>
      </w:r>
      <w:r>
        <w:rPr>
          <w:rFonts w:ascii="Times New Roman" w:hAnsi="Times New Roman" w:cs="Times New Roman"/>
          <w:sz w:val="24"/>
          <w:szCs w:val="24"/>
        </w:rPr>
        <w:t xml:space="preserve"> of</w:t>
      </w:r>
      <w:r>
        <w:rPr>
          <w:rFonts w:ascii="Times New Roman" w:hAnsi="Times New Roman" w:cs="Times New Roman"/>
          <w:sz w:val="24"/>
          <w:szCs w:val="24"/>
        </w:rPr>
        <w:t xml:space="preserve"> old-age</w:t>
      </w:r>
      <w:r>
        <w:rPr>
          <w:rFonts w:ascii="Times New Roman" w:hAnsi="Times New Roman" w:cs="Times New Roman"/>
          <w:sz w:val="24"/>
          <w:szCs w:val="24"/>
        </w:rPr>
        <w:t xml:space="preserve"> facilities</w:t>
      </w:r>
      <w:r>
        <w:rPr>
          <w:rFonts w:ascii="Times New Roman" w:hAnsi="Times New Roman" w:cs="Times New Roman"/>
          <w:sz w:val="24"/>
          <w:szCs w:val="24"/>
        </w:rPr>
        <w:t xml:space="preserve"> in</w:t>
      </w:r>
      <w:r>
        <w:rPr>
          <w:rFonts w:ascii="Times New Roman" w:hAnsi="Times New Roman" w:cs="Times New Roman"/>
          <w:sz w:val="24"/>
          <w:szCs w:val="24"/>
        </w:rPr>
        <w:t xml:space="preserve"> urban</w:t>
      </w:r>
      <w:r>
        <w:rPr>
          <w:rFonts w:ascii="Times New Roman" w:hAnsi="Times New Roman" w:cs="Times New Roman"/>
          <w:sz w:val="24"/>
          <w:szCs w:val="24"/>
        </w:rPr>
        <w:t xml:space="preserve"> community</w:t>
      </w:r>
      <w:r>
        <w:rPr>
          <w:rFonts w:ascii="Times New Roman" w:hAnsi="Times New Roman" w:cs="Times New Roman"/>
          <w:sz w:val="24"/>
          <w:szCs w:val="24"/>
        </w:rPr>
        <w:t xml:space="preserve"> directly</w:t>
      </w:r>
      <w:r>
        <w:rPr>
          <w:rFonts w:ascii="Times New Roman" w:hAnsi="Times New Roman" w:cs="Times New Roman"/>
          <w:sz w:val="24"/>
          <w:szCs w:val="24"/>
        </w:rPr>
        <w:t xml:space="preserve"> affects</w:t>
      </w:r>
      <w:r>
        <w:rPr>
          <w:rFonts w:ascii="Times New Roman" w:hAnsi="Times New Roman" w:cs="Times New Roman"/>
          <w:sz w:val="24"/>
          <w:szCs w:val="24"/>
        </w:rPr>
        <w:t xml:space="preserve"> the</w:t>
      </w:r>
      <w:r>
        <w:rPr>
          <w:rFonts w:ascii="Times New Roman" w:hAnsi="Times New Roman" w:cs="Times New Roman"/>
          <w:sz w:val="24"/>
          <w:szCs w:val="24"/>
        </w:rPr>
        <w:t xml:space="preserve"> living</w:t>
      </w:r>
      <w:r>
        <w:rPr>
          <w:rFonts w:ascii="Times New Roman" w:hAnsi="Times New Roman" w:cs="Times New Roman"/>
          <w:sz w:val="24"/>
          <w:szCs w:val="24"/>
        </w:rPr>
        <w:t xml:space="preserve"> standard</w:t>
      </w:r>
      <w:r>
        <w:rPr>
          <w:rFonts w:ascii="Times New Roman" w:hAnsi="Times New Roman" w:cs="Times New Roman"/>
          <w:sz w:val="24"/>
          <w:szCs w:val="24"/>
        </w:rPr>
        <w:t xml:space="preserve"> and</w:t>
      </w:r>
      <w:r>
        <w:rPr>
          <w:rFonts w:ascii="Times New Roman" w:hAnsi="Times New Roman" w:cs="Times New Roman"/>
          <w:sz w:val="24"/>
          <w:szCs w:val="24"/>
        </w:rPr>
        <w:t xml:space="preserve"> quality</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However,</w:t>
      </w:r>
      <w:r>
        <w:rPr>
          <w:rFonts w:ascii="Times New Roman" w:hAnsi="Times New Roman" w:cs="Times New Roman"/>
          <w:sz w:val="24"/>
          <w:szCs w:val="24"/>
        </w:rPr>
        <w:t xml:space="preserve"> the</w:t>
      </w:r>
      <w:r>
        <w:rPr>
          <w:rFonts w:ascii="Times New Roman" w:hAnsi="Times New Roman" w:cs="Times New Roman"/>
          <w:sz w:val="24"/>
          <w:szCs w:val="24"/>
        </w:rPr>
        <w:t xml:space="preserve"> infrastructure</w:t>
      </w:r>
      <w:r>
        <w:rPr>
          <w:rFonts w:ascii="Times New Roman" w:hAnsi="Times New Roman" w:cs="Times New Roman"/>
          <w:sz w:val="24"/>
          <w:szCs w:val="24"/>
        </w:rPr>
        <w:t xml:space="preserve"> for</w:t>
      </w:r>
      <w:r>
        <w:rPr>
          <w:rFonts w:ascii="Times New Roman" w:hAnsi="Times New Roman" w:cs="Times New Roman"/>
          <w:sz w:val="24"/>
          <w:szCs w:val="24"/>
        </w:rPr>
        <w:t xml:space="preserve"> the</w:t>
      </w:r>
      <w:r>
        <w:rPr>
          <w:rFonts w:ascii="Times New Roman" w:hAnsi="Times New Roman" w:cs="Times New Roman"/>
          <w:sz w:val="24"/>
          <w:szCs w:val="24"/>
        </w:rPr>
        <w:t xml:space="preserve"> elderly</w:t>
      </w:r>
      <w:r>
        <w:rPr>
          <w:rFonts w:ascii="Times New Roman" w:hAnsi="Times New Roman" w:cs="Times New Roman"/>
          <w:sz w:val="24"/>
          <w:szCs w:val="24"/>
        </w:rPr>
        <w:t xml:space="preserve"> in</w:t>
      </w:r>
      <w:r>
        <w:rPr>
          <w:rFonts w:ascii="Times New Roman" w:hAnsi="Times New Roman" w:cs="Times New Roman"/>
          <w:sz w:val="24"/>
          <w:szCs w:val="24"/>
        </w:rPr>
        <w:t xml:space="preserve"> urban</w:t>
      </w:r>
      <w:r>
        <w:rPr>
          <w:rFonts w:ascii="Times New Roman" w:hAnsi="Times New Roman" w:cs="Times New Roman"/>
          <w:sz w:val="24"/>
          <w:szCs w:val="24"/>
        </w:rPr>
        <w:t xml:space="preserve"> communities</w:t>
      </w:r>
      <w:r>
        <w:rPr>
          <w:rFonts w:ascii="Times New Roman" w:hAnsi="Times New Roman" w:cs="Times New Roman"/>
          <w:sz w:val="24"/>
          <w:szCs w:val="24"/>
        </w:rPr>
        <w:t xml:space="preserve"> is</w:t>
      </w:r>
      <w:r>
        <w:rPr>
          <w:rFonts w:ascii="Times New Roman" w:hAnsi="Times New Roman" w:cs="Times New Roman"/>
          <w:sz w:val="24"/>
          <w:szCs w:val="24"/>
        </w:rPr>
        <w:t xml:space="preserve"> not</w:t>
      </w:r>
      <w:r>
        <w:rPr>
          <w:rFonts w:ascii="Times New Roman" w:hAnsi="Times New Roman" w:cs="Times New Roman"/>
          <w:sz w:val="24"/>
          <w:szCs w:val="24"/>
        </w:rPr>
        <w:t xml:space="preserve"> only</w:t>
      </w:r>
      <w:r>
        <w:rPr>
          <w:rFonts w:ascii="Times New Roman" w:hAnsi="Times New Roman" w:cs="Times New Roman"/>
          <w:sz w:val="24"/>
          <w:szCs w:val="24"/>
        </w:rPr>
        <w:t xml:space="preserve"> the</w:t>
      </w:r>
      <w:r>
        <w:rPr>
          <w:rFonts w:ascii="Times New Roman" w:hAnsi="Times New Roman" w:cs="Times New Roman"/>
          <w:sz w:val="24"/>
          <w:szCs w:val="24"/>
        </w:rPr>
        <w:t xml:space="preserve"> simple</w:t>
      </w:r>
      <w:r>
        <w:rPr>
          <w:rFonts w:ascii="Times New Roman" w:hAnsi="Times New Roman" w:cs="Times New Roman"/>
          <w:sz w:val="24"/>
          <w:szCs w:val="24"/>
        </w:rPr>
        <w:t xml:space="preserve"> material</w:t>
      </w:r>
      <w:r>
        <w:rPr>
          <w:rFonts w:ascii="Times New Roman" w:hAnsi="Times New Roman" w:cs="Times New Roman"/>
          <w:sz w:val="24"/>
          <w:szCs w:val="24"/>
        </w:rPr>
        <w:t xml:space="preserve"> environment</w:t>
      </w:r>
      <w:r>
        <w:rPr>
          <w:rFonts w:ascii="Times New Roman" w:hAnsi="Times New Roman" w:cs="Times New Roman"/>
          <w:sz w:val="24"/>
          <w:szCs w:val="24"/>
        </w:rPr>
        <w:t xml:space="preserve"> and</w:t>
      </w:r>
      <w:r>
        <w:rPr>
          <w:rFonts w:ascii="Times New Roman" w:hAnsi="Times New Roman" w:cs="Times New Roman"/>
          <w:sz w:val="24"/>
          <w:szCs w:val="24"/>
        </w:rPr>
        <w:t xml:space="preserve"> material</w:t>
      </w:r>
      <w:r>
        <w:rPr>
          <w:rFonts w:ascii="Times New Roman" w:hAnsi="Times New Roman" w:cs="Times New Roman"/>
          <w:sz w:val="24"/>
          <w:szCs w:val="24"/>
        </w:rPr>
        <w:t xml:space="preserve"> requirements,</w:t>
      </w:r>
      <w:r>
        <w:rPr>
          <w:rFonts w:ascii="Times New Roman" w:hAnsi="Times New Roman" w:cs="Times New Roman"/>
          <w:sz w:val="24"/>
          <w:szCs w:val="24"/>
        </w:rPr>
        <w:t xml:space="preserve"> but</w:t>
      </w:r>
      <w:r>
        <w:rPr>
          <w:rFonts w:ascii="Times New Roman" w:hAnsi="Times New Roman" w:cs="Times New Roman"/>
          <w:sz w:val="24"/>
          <w:szCs w:val="24"/>
        </w:rPr>
        <w:t xml:space="preserve"> also</w:t>
      </w:r>
      <w:r>
        <w:rPr>
          <w:rFonts w:ascii="Times New Roman" w:hAnsi="Times New Roman" w:cs="Times New Roman"/>
          <w:sz w:val="24"/>
          <w:szCs w:val="24"/>
        </w:rPr>
        <w:t xml:space="preserve"> the</w:t>
      </w:r>
      <w:r>
        <w:rPr>
          <w:rFonts w:ascii="Times New Roman" w:hAnsi="Times New Roman" w:cs="Times New Roman"/>
          <w:sz w:val="24"/>
          <w:szCs w:val="24"/>
        </w:rPr>
        <w:t xml:space="preserve"> result</w:t>
      </w:r>
      <w:r>
        <w:rPr>
          <w:rFonts w:ascii="Times New Roman" w:hAnsi="Times New Roman" w:cs="Times New Roman"/>
          <w:sz w:val="24"/>
          <w:szCs w:val="24"/>
        </w:rPr>
        <w:t xml:space="preserve"> of</w:t>
      </w:r>
      <w:r>
        <w:rPr>
          <w:rFonts w:ascii="Times New Roman" w:hAnsi="Times New Roman" w:cs="Times New Roman"/>
          <w:sz w:val="24"/>
          <w:szCs w:val="24"/>
        </w:rPr>
        <w:t xml:space="preserve"> the</w:t>
      </w:r>
      <w:r>
        <w:rPr>
          <w:rFonts w:ascii="Times New Roman" w:hAnsi="Times New Roman" w:cs="Times New Roman"/>
          <w:sz w:val="24"/>
          <w:szCs w:val="24"/>
        </w:rPr>
        <w:t xml:space="preserve"> mutual</w:t>
      </w:r>
      <w:r>
        <w:rPr>
          <w:rFonts w:ascii="Times New Roman" w:hAnsi="Times New Roman" w:cs="Times New Roman"/>
          <w:sz w:val="24"/>
          <w:szCs w:val="24"/>
        </w:rPr>
        <w:t xml:space="preserve"> improvement</w:t>
      </w:r>
      <w:r>
        <w:rPr>
          <w:rFonts w:ascii="Times New Roman" w:hAnsi="Times New Roman" w:cs="Times New Roman"/>
          <w:sz w:val="24"/>
          <w:szCs w:val="24"/>
        </w:rPr>
        <w:t xml:space="preserve"> and</w:t>
      </w:r>
      <w:r>
        <w:rPr>
          <w:rFonts w:ascii="Times New Roman" w:hAnsi="Times New Roman" w:cs="Times New Roman"/>
          <w:sz w:val="24"/>
          <w:szCs w:val="24"/>
        </w:rPr>
        <w:t xml:space="preserve"> utilization</w:t>
      </w:r>
      <w:r>
        <w:rPr>
          <w:rFonts w:ascii="Times New Roman" w:hAnsi="Times New Roman" w:cs="Times New Roman"/>
          <w:sz w:val="24"/>
          <w:szCs w:val="24"/>
        </w:rPr>
        <w:t xml:space="preserve"> of</w:t>
      </w:r>
      <w:r>
        <w:rPr>
          <w:rFonts w:ascii="Times New Roman" w:hAnsi="Times New Roman" w:cs="Times New Roman"/>
          <w:sz w:val="24"/>
          <w:szCs w:val="24"/>
        </w:rPr>
        <w:t xml:space="preserve"> many</w:t>
      </w:r>
      <w:r>
        <w:rPr>
          <w:rFonts w:ascii="Times New Roman" w:hAnsi="Times New Roman" w:cs="Times New Roman"/>
          <w:sz w:val="24"/>
          <w:szCs w:val="24"/>
        </w:rPr>
        <w:t xml:space="preserve"> conditions.</w:t>
      </w:r>
      <w:r>
        <w:rPr>
          <w:rFonts w:ascii="Times New Roman" w:hAnsi="Times New Roman" w:cs="Times New Roman"/>
          <w:sz w:val="24"/>
          <w:szCs w:val="24"/>
        </w:rPr>
        <w:t xml:space="preserve"> This</w:t>
      </w:r>
      <w:r>
        <w:rPr>
          <w:rFonts w:ascii="Times New Roman" w:hAnsi="Times New Roman" w:cs="Times New Roman"/>
          <w:sz w:val="24"/>
          <w:szCs w:val="24"/>
        </w:rPr>
        <w:br/>
      </w:r>
      <w:r>
        <w:rPr>
          <w:rFonts w:ascii="Times New Roman" w:hAnsi="Times New Roman" w:cs="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https://d.book118.com/288055135024006044</w:t>
        </w:r>
      </w:hyperlink>
    </w:p>
    <w:p>
      <w:pPr>
        <w:spacing w:line="400" w:lineRule="exact"/>
        <w:ind w:firstLine="480" w:firstLineChars="200"/>
        <w:rPr>
          <w:rFonts w:ascii="Times New Roman" w:hAnsi="Times New Roman" w:cs="Times New Roman"/>
          <w:sz w:val="24"/>
          <w:szCs w:val="24"/>
        </w:rPr>
      </w:pPr>
    </w:p>
    <w:sectPr>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2424A1"/>
    <w:multiLevelType w:val="multilevel"/>
    <w:tmpl w:val="002424A1"/>
    <w:lvl w:ilvl="0">
      <w:start w:val="1"/>
      <w:numFmt w:val="decimal"/>
      <w:lvlText w:val="%1."/>
      <w:lvlJc w:val="left"/>
      <w:pPr>
        <w:ind w:left="675" w:hanging="360"/>
      </w:pPr>
      <w:rPr>
        <w:rFonts w:hint="default"/>
      </w:r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1">
    <w:nsid w:val="1F9132A6"/>
    <w:multiLevelType w:val="multilevel"/>
    <w:tmpl w:val="1F9132A6"/>
    <w:lvl w:ilvl="0">
      <w:start w:val="1"/>
      <w:numFmt w:val="japaneseCounting"/>
      <w:lvlText w:val="（%1）"/>
      <w:lvlJc w:val="left"/>
      <w:pPr>
        <w:ind w:left="885" w:hanging="885"/>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3814CA4"/>
    <w:multiLevelType w:val="multilevel"/>
    <w:tmpl w:val="23814CA4"/>
    <w:lvl w:ilvl="0">
      <w:start w:val="1"/>
      <w:numFmt w:val="upperLetter"/>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249D5DE3"/>
    <w:multiLevelType w:val="multilevel"/>
    <w:tmpl w:val="249D5DE3"/>
    <w:lvl w:ilvl="0">
      <w:start w:val="1"/>
      <w:numFmt w:val="decimal"/>
      <w:lvlText w:val="%1."/>
      <w:lvlJc w:val="left"/>
      <w:pPr>
        <w:ind w:left="615" w:hanging="360"/>
      </w:pPr>
      <w:rPr>
        <w:rFonts w:hint="default"/>
      </w:rPr>
    </w:lvl>
    <w:lvl w:ilvl="1">
      <w:start w:val="1"/>
      <w:numFmt w:val="lowerLetter"/>
      <w:lvlText w:val="%2)"/>
      <w:lvlJc w:val="left"/>
      <w:pPr>
        <w:ind w:left="1095" w:hanging="420"/>
      </w:pPr>
    </w:lvl>
    <w:lvl w:ilvl="2">
      <w:start w:val="1"/>
      <w:numFmt w:val="lowerRoman"/>
      <w:lvlText w:val="%3."/>
      <w:lvlJc w:val="right"/>
      <w:pPr>
        <w:ind w:left="1515" w:hanging="420"/>
      </w:pPr>
    </w:lvl>
    <w:lvl w:ilvl="3">
      <w:start w:val="1"/>
      <w:numFmt w:val="decimal"/>
      <w:lvlText w:val="%4."/>
      <w:lvlJc w:val="left"/>
      <w:pPr>
        <w:ind w:left="1935" w:hanging="420"/>
      </w:pPr>
    </w:lvl>
    <w:lvl w:ilvl="4">
      <w:start w:val="1"/>
      <w:numFmt w:val="lowerLetter"/>
      <w:lvlText w:val="%5)"/>
      <w:lvlJc w:val="left"/>
      <w:pPr>
        <w:ind w:left="2355" w:hanging="420"/>
      </w:pPr>
    </w:lvl>
    <w:lvl w:ilvl="5">
      <w:start w:val="1"/>
      <w:numFmt w:val="lowerRoman"/>
      <w:lvlText w:val="%6."/>
      <w:lvlJc w:val="right"/>
      <w:pPr>
        <w:ind w:left="2775" w:hanging="420"/>
      </w:pPr>
    </w:lvl>
    <w:lvl w:ilvl="6">
      <w:start w:val="1"/>
      <w:numFmt w:val="decimal"/>
      <w:lvlText w:val="%7."/>
      <w:lvlJc w:val="left"/>
      <w:pPr>
        <w:ind w:left="3195" w:hanging="420"/>
      </w:pPr>
    </w:lvl>
    <w:lvl w:ilvl="7">
      <w:start w:val="1"/>
      <w:numFmt w:val="lowerLetter"/>
      <w:lvlText w:val="%8)"/>
      <w:lvlJc w:val="left"/>
      <w:pPr>
        <w:ind w:left="3615" w:hanging="420"/>
      </w:pPr>
    </w:lvl>
    <w:lvl w:ilvl="8">
      <w:start w:val="1"/>
      <w:numFmt w:val="lowerRoman"/>
      <w:lvlText w:val="%9."/>
      <w:lvlJc w:val="right"/>
      <w:pPr>
        <w:ind w:left="4035" w:hanging="420"/>
      </w:pPr>
    </w:lvl>
  </w:abstractNum>
  <w:abstractNum w:abstractNumId="4">
    <w:nsid w:val="3BBF5B3C"/>
    <w:multiLevelType w:val="multilevel"/>
    <w:tmpl w:val="3BBF5B3C"/>
    <w:lvl w:ilvl="0">
      <w:start w:val="1"/>
      <w:numFmt w:val="decimal"/>
      <w:lvlText w:val="%1."/>
      <w:lvlJc w:val="left"/>
      <w:pPr>
        <w:ind w:left="360" w:hanging="360"/>
      </w:pPr>
      <w:rPr>
        <w:rFonts w:hint="default"/>
      </w:rPr>
    </w:lvl>
    <w:lvl w:ilvl="1">
      <w:start w:val="1"/>
      <w:numFmt w:val="lowerLetter"/>
      <w:lvlText w:val="%2)"/>
      <w:lvlJc w:val="left"/>
      <w:pPr>
        <w:ind w:left="1095" w:hanging="420"/>
      </w:pPr>
    </w:lvl>
    <w:lvl w:ilvl="2">
      <w:start w:val="1"/>
      <w:numFmt w:val="lowerRoman"/>
      <w:lvlText w:val="%3."/>
      <w:lvlJc w:val="right"/>
      <w:pPr>
        <w:ind w:left="1515" w:hanging="420"/>
      </w:pPr>
    </w:lvl>
    <w:lvl w:ilvl="3">
      <w:start w:val="1"/>
      <w:numFmt w:val="decimal"/>
      <w:lvlText w:val="%4."/>
      <w:lvlJc w:val="left"/>
      <w:pPr>
        <w:ind w:left="1935" w:hanging="420"/>
      </w:pPr>
    </w:lvl>
    <w:lvl w:ilvl="4">
      <w:start w:val="1"/>
      <w:numFmt w:val="lowerLetter"/>
      <w:lvlText w:val="%5)"/>
      <w:lvlJc w:val="left"/>
      <w:pPr>
        <w:ind w:left="2355" w:hanging="420"/>
      </w:pPr>
    </w:lvl>
    <w:lvl w:ilvl="5">
      <w:start w:val="1"/>
      <w:numFmt w:val="lowerRoman"/>
      <w:lvlText w:val="%6."/>
      <w:lvlJc w:val="right"/>
      <w:pPr>
        <w:ind w:left="2775" w:hanging="420"/>
      </w:pPr>
    </w:lvl>
    <w:lvl w:ilvl="6">
      <w:start w:val="1"/>
      <w:numFmt w:val="decimal"/>
      <w:lvlText w:val="%7."/>
      <w:lvlJc w:val="left"/>
      <w:pPr>
        <w:ind w:left="3195" w:hanging="420"/>
      </w:pPr>
    </w:lvl>
    <w:lvl w:ilvl="7">
      <w:start w:val="1"/>
      <w:numFmt w:val="lowerLetter"/>
      <w:lvlText w:val="%8)"/>
      <w:lvlJc w:val="left"/>
      <w:pPr>
        <w:ind w:left="3615" w:hanging="420"/>
      </w:pPr>
    </w:lvl>
    <w:lvl w:ilvl="8">
      <w:start w:val="1"/>
      <w:numFmt w:val="lowerRoman"/>
      <w:lvlText w:val="%9."/>
      <w:lvlJc w:val="right"/>
      <w:pPr>
        <w:ind w:left="4035" w:hanging="420"/>
      </w:pPr>
    </w:lvl>
  </w:abstractNum>
  <w:abstractNum w:abstractNumId="5">
    <w:nsid w:val="3E28384E"/>
    <w:multiLevelType w:val="multilevel"/>
    <w:tmpl w:val="3E28384E"/>
    <w:lvl w:ilvl="0">
      <w:start w:val="1"/>
      <w:numFmt w:val="japaneseCounting"/>
      <w:lvlText w:val="（%1）"/>
      <w:lvlJc w:val="left"/>
      <w:pPr>
        <w:ind w:left="885" w:hanging="88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9A347E8"/>
    <w:multiLevelType w:val="multilevel"/>
    <w:tmpl w:val="49A347E8"/>
    <w:lvl w:ilvl="0">
      <w:start w:val="1"/>
      <w:numFmt w:val="japaneseCounting"/>
      <w:lvlText w:val="%1、"/>
      <w:lvlJc w:val="left"/>
      <w:pPr>
        <w:ind w:left="802" w:hanging="660"/>
      </w:pPr>
      <w:rPr>
        <w:rFonts w:hint="default"/>
      </w:rPr>
    </w:lvl>
    <w:lvl w:ilvl="1">
      <w:start w:val="1"/>
      <w:numFmt w:val="lowerLetter"/>
      <w:lvlText w:val="%2)"/>
      <w:lvlJc w:val="left"/>
      <w:pPr>
        <w:ind w:left="3534" w:hanging="420"/>
      </w:pPr>
    </w:lvl>
    <w:lvl w:ilvl="2">
      <w:start w:val="1"/>
      <w:numFmt w:val="lowerRoman"/>
      <w:lvlText w:val="%3."/>
      <w:lvlJc w:val="right"/>
      <w:pPr>
        <w:ind w:left="3954" w:hanging="420"/>
      </w:pPr>
    </w:lvl>
    <w:lvl w:ilvl="3">
      <w:start w:val="1"/>
      <w:numFmt w:val="decimal"/>
      <w:lvlText w:val="%4."/>
      <w:lvlJc w:val="left"/>
      <w:pPr>
        <w:ind w:left="4374" w:hanging="420"/>
      </w:pPr>
    </w:lvl>
    <w:lvl w:ilvl="4">
      <w:start w:val="1"/>
      <w:numFmt w:val="lowerLetter"/>
      <w:lvlText w:val="%5)"/>
      <w:lvlJc w:val="left"/>
      <w:pPr>
        <w:ind w:left="4794" w:hanging="420"/>
      </w:pPr>
    </w:lvl>
    <w:lvl w:ilvl="5">
      <w:start w:val="1"/>
      <w:numFmt w:val="lowerRoman"/>
      <w:lvlText w:val="%6."/>
      <w:lvlJc w:val="right"/>
      <w:pPr>
        <w:ind w:left="5214" w:hanging="420"/>
      </w:pPr>
    </w:lvl>
    <w:lvl w:ilvl="6">
      <w:start w:val="1"/>
      <w:numFmt w:val="decimal"/>
      <w:lvlText w:val="%7."/>
      <w:lvlJc w:val="left"/>
      <w:pPr>
        <w:ind w:left="5634" w:hanging="420"/>
      </w:pPr>
    </w:lvl>
    <w:lvl w:ilvl="7">
      <w:start w:val="1"/>
      <w:numFmt w:val="lowerLetter"/>
      <w:lvlText w:val="%8)"/>
      <w:lvlJc w:val="left"/>
      <w:pPr>
        <w:ind w:left="6054" w:hanging="420"/>
      </w:pPr>
    </w:lvl>
    <w:lvl w:ilvl="8">
      <w:start w:val="1"/>
      <w:numFmt w:val="lowerRoman"/>
      <w:lvlText w:val="%9."/>
      <w:lvlJc w:val="right"/>
      <w:pPr>
        <w:ind w:left="6474" w:hanging="420"/>
      </w:pPr>
    </w:lvl>
  </w:abstractNum>
  <w:abstractNum w:abstractNumId="7">
    <w:nsid w:val="5F300ADF"/>
    <w:multiLevelType w:val="multilevel"/>
    <w:tmpl w:val="5F300ADF"/>
    <w:lvl w:ilvl="0">
      <w:start w:val="1"/>
      <w:numFmt w:val="japaneseCounting"/>
      <w:lvlText w:val="（%1）"/>
      <w:lvlJc w:val="left"/>
      <w:pPr>
        <w:ind w:left="885" w:hanging="88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6C85602"/>
    <w:multiLevelType w:val="multilevel"/>
    <w:tmpl w:val="66C85602"/>
    <w:lvl w:ilvl="0">
      <w:start w:val="1"/>
      <w:numFmt w:val="decimal"/>
      <w:lvlText w:val="%1."/>
      <w:lvlJc w:val="left"/>
      <w:pPr>
        <w:ind w:left="615" w:hanging="360"/>
      </w:pPr>
      <w:rPr>
        <w:rFonts w:hint="default"/>
      </w:rPr>
    </w:lvl>
    <w:lvl w:ilvl="1">
      <w:start w:val="1"/>
      <w:numFmt w:val="lowerLetter"/>
      <w:lvlText w:val="%2)"/>
      <w:lvlJc w:val="left"/>
      <w:pPr>
        <w:ind w:left="1095" w:hanging="420"/>
      </w:pPr>
    </w:lvl>
    <w:lvl w:ilvl="2">
      <w:start w:val="1"/>
      <w:numFmt w:val="lowerRoman"/>
      <w:lvlText w:val="%3."/>
      <w:lvlJc w:val="right"/>
      <w:pPr>
        <w:ind w:left="1515" w:hanging="420"/>
      </w:pPr>
    </w:lvl>
    <w:lvl w:ilvl="3">
      <w:start w:val="1"/>
      <w:numFmt w:val="decimal"/>
      <w:lvlText w:val="%4."/>
      <w:lvlJc w:val="left"/>
      <w:pPr>
        <w:ind w:left="1935" w:hanging="420"/>
      </w:pPr>
    </w:lvl>
    <w:lvl w:ilvl="4">
      <w:start w:val="1"/>
      <w:numFmt w:val="lowerLetter"/>
      <w:lvlText w:val="%5)"/>
      <w:lvlJc w:val="left"/>
      <w:pPr>
        <w:ind w:left="2355" w:hanging="420"/>
      </w:pPr>
    </w:lvl>
    <w:lvl w:ilvl="5">
      <w:start w:val="1"/>
      <w:numFmt w:val="lowerRoman"/>
      <w:lvlText w:val="%6."/>
      <w:lvlJc w:val="right"/>
      <w:pPr>
        <w:ind w:left="2775" w:hanging="420"/>
      </w:pPr>
    </w:lvl>
    <w:lvl w:ilvl="6">
      <w:start w:val="1"/>
      <w:numFmt w:val="decimal"/>
      <w:lvlText w:val="%7."/>
      <w:lvlJc w:val="left"/>
      <w:pPr>
        <w:ind w:left="3195" w:hanging="420"/>
      </w:pPr>
    </w:lvl>
    <w:lvl w:ilvl="7">
      <w:start w:val="1"/>
      <w:numFmt w:val="lowerLetter"/>
      <w:lvlText w:val="%8)"/>
      <w:lvlJc w:val="left"/>
      <w:pPr>
        <w:ind w:left="3615" w:hanging="420"/>
      </w:pPr>
    </w:lvl>
    <w:lvl w:ilvl="8">
      <w:start w:val="1"/>
      <w:numFmt w:val="lowerRoman"/>
      <w:lvlText w:val="%9."/>
      <w:lvlJc w:val="right"/>
      <w:pPr>
        <w:ind w:left="4035" w:hanging="420"/>
      </w:pPr>
    </w:lvl>
  </w:abstractNum>
  <w:abstractNum w:abstractNumId="9">
    <w:nsid w:val="691D4DE4"/>
    <w:multiLevelType w:val="multilevel"/>
    <w:tmpl w:val="691D4DE4"/>
    <w:lvl w:ilvl="0">
      <w:start w:val="1"/>
      <w:numFmt w:val="upperLetter"/>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6"/>
  </w:num>
  <w:num w:numId="2">
    <w:abstractNumId w:val="1"/>
  </w:num>
  <w:num w:numId="3">
    <w:abstractNumId w:val="8"/>
  </w:num>
  <w:num w:numId="4">
    <w:abstractNumId w:val="4"/>
  </w:num>
  <w:num w:numId="5">
    <w:abstractNumId w:val="7"/>
  </w:num>
  <w:num w:numId="6">
    <w:abstractNumId w:val="0"/>
  </w:num>
  <w:num w:numId="7">
    <w:abstractNumId w:val="3"/>
  </w:num>
  <w:num w:numId="8">
    <w:abstractNumId w:val="5"/>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B6A"/>
    <w:rsid w:val="000829A7"/>
    <w:rsid w:val="00210A2E"/>
    <w:rsid w:val="00260635"/>
    <w:rsid w:val="0030439E"/>
    <w:rsid w:val="00324659"/>
    <w:rsid w:val="00366F75"/>
    <w:rsid w:val="00385186"/>
    <w:rsid w:val="0039199C"/>
    <w:rsid w:val="00395A19"/>
    <w:rsid w:val="004421FA"/>
    <w:rsid w:val="004C14B1"/>
    <w:rsid w:val="00533BB4"/>
    <w:rsid w:val="005404EA"/>
    <w:rsid w:val="005531C3"/>
    <w:rsid w:val="005977CE"/>
    <w:rsid w:val="005B2B6A"/>
    <w:rsid w:val="0060001B"/>
    <w:rsid w:val="00617FED"/>
    <w:rsid w:val="00646C6C"/>
    <w:rsid w:val="006B0237"/>
    <w:rsid w:val="00703845"/>
    <w:rsid w:val="00747627"/>
    <w:rsid w:val="00761666"/>
    <w:rsid w:val="007D0E9B"/>
    <w:rsid w:val="007E71FC"/>
    <w:rsid w:val="007F1AF5"/>
    <w:rsid w:val="00832199"/>
    <w:rsid w:val="00856EB8"/>
    <w:rsid w:val="008E477D"/>
    <w:rsid w:val="009E1BC6"/>
    <w:rsid w:val="00AE6798"/>
    <w:rsid w:val="00B11D97"/>
    <w:rsid w:val="00B37206"/>
    <w:rsid w:val="00B96A0E"/>
    <w:rsid w:val="00BC5F78"/>
    <w:rsid w:val="00C50D71"/>
    <w:rsid w:val="00C9313F"/>
    <w:rsid w:val="00CA3AE4"/>
    <w:rsid w:val="00CC4376"/>
    <w:rsid w:val="00D02155"/>
    <w:rsid w:val="00D17386"/>
    <w:rsid w:val="00D17AEB"/>
    <w:rsid w:val="00D5563B"/>
    <w:rsid w:val="00DD2853"/>
    <w:rsid w:val="00E2034F"/>
    <w:rsid w:val="00E41F52"/>
    <w:rsid w:val="00E44491"/>
    <w:rsid w:val="00E53CC7"/>
    <w:rsid w:val="00ED24C2"/>
    <w:rsid w:val="111B478F"/>
    <w:rsid w:val="210E543E"/>
    <w:rsid w:val="22C47030"/>
    <w:rsid w:val="4D821FEB"/>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spacing w:after="100" w:line="276" w:lineRule="auto"/>
      <w:ind w:left="440"/>
      <w:jc w:val="left"/>
    </w:pPr>
    <w:rPr>
      <w:kern w:val="0"/>
      <w:sz w:val="22"/>
    </w:r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link w:val="Char2"/>
    <w:uiPriority w:val="99"/>
    <w:unhideWhenUsed/>
    <w:qFormat/>
    <w:pPr>
      <w:tabs>
        <w:tab w:val="center" w:pos="4153"/>
        <w:tab w:val="right" w:pos="8306"/>
      </w:tabs>
      <w:snapToGrid w:val="0"/>
      <w:jc w:val="left"/>
    </w:pPr>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FootnoteText">
    <w:name w:val="footnote text"/>
    <w:basedOn w:val="Normal"/>
    <w:link w:val="Char0"/>
    <w:uiPriority w:val="99"/>
    <w:semiHidden/>
    <w:unhideWhenUsed/>
    <w:qFormat/>
    <w:pPr>
      <w:snapToGrid w:val="0"/>
      <w:jc w:val="left"/>
    </w:pPr>
    <w:rPr>
      <w:sz w:val="18"/>
      <w:szCs w:val="18"/>
    </w:rPr>
  </w:style>
  <w:style w:type="paragraph" w:styleId="TOC2">
    <w:name w:val="toc 2"/>
    <w:basedOn w:val="Normal"/>
    <w:next w:val="Normal"/>
    <w:uiPriority w:val="39"/>
    <w:unhideWhenUsed/>
    <w:qFormat/>
    <w:pPr>
      <w:widowControl/>
      <w:spacing w:after="100" w:line="276" w:lineRule="auto"/>
      <w:ind w:left="220"/>
      <w:jc w:val="left"/>
    </w:pPr>
    <w:rPr>
      <w:kern w:val="0"/>
      <w:sz w:val="22"/>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styleId="FootnoteReference">
    <w:name w:val="footnote reference"/>
    <w:basedOn w:val="DefaultParagraphFont"/>
    <w:uiPriority w:val="99"/>
    <w:semiHidden/>
    <w:unhideWhenUsed/>
    <w:qFormat/>
    <w:rPr>
      <w:vertAlign w:val="superscript"/>
    </w:rPr>
  </w:style>
  <w:style w:type="character" w:customStyle="1" w:styleId="1Char">
    <w:name w:val="标题 1 Char"/>
    <w:basedOn w:val="DefaultParagraphFont"/>
    <w:link w:val="Heading1"/>
    <w:uiPriority w:val="9"/>
    <w:qFormat/>
    <w:rPr>
      <w:b/>
      <w:bCs/>
      <w:kern w:val="44"/>
      <w:sz w:val="44"/>
      <w:szCs w:val="44"/>
    </w:rPr>
  </w:style>
  <w:style w:type="character" w:customStyle="1" w:styleId="2Char">
    <w:name w:val="标题 2 Char"/>
    <w:basedOn w:val="DefaultParagraphFont"/>
    <w:link w:val="Heading2"/>
    <w:uiPriority w:val="9"/>
    <w:qFormat/>
    <w:rPr>
      <w:rFonts w:asciiTheme="majorHAnsi" w:eastAsiaTheme="majorEastAsia" w:hAnsiTheme="majorHAnsi" w:cstheme="majorBidi"/>
      <w:b/>
      <w:bCs/>
      <w:sz w:val="32"/>
      <w:szCs w:val="32"/>
    </w:rPr>
  </w:style>
  <w:style w:type="paragraph" w:styleId="ListParagraph">
    <w:name w:val="List Paragraph"/>
    <w:basedOn w:val="Normal"/>
    <w:uiPriority w:val="34"/>
    <w:qFormat/>
    <w:pPr>
      <w:ind w:firstLine="420" w:firstLineChars="200"/>
    </w:pPr>
  </w:style>
  <w:style w:type="character" w:customStyle="1" w:styleId="3Char">
    <w:name w:val="标题 3 Char"/>
    <w:basedOn w:val="DefaultParagraphFont"/>
    <w:link w:val="Heading3"/>
    <w:uiPriority w:val="9"/>
    <w:qFormat/>
    <w:rPr>
      <w:b/>
      <w:bCs/>
      <w:sz w:val="32"/>
      <w:szCs w:val="32"/>
    </w:rPr>
  </w:style>
  <w:style w:type="character" w:customStyle="1" w:styleId="4Char">
    <w:name w:val="标题 4 Char"/>
    <w:basedOn w:val="DefaultParagraphFont"/>
    <w:link w:val="Heading4"/>
    <w:uiPriority w:val="9"/>
    <w:qFormat/>
    <w:rPr>
      <w:rFonts w:asciiTheme="majorHAnsi" w:eastAsiaTheme="majorEastAsia" w:hAnsiTheme="majorHAnsi" w:cstheme="majorBidi"/>
      <w:b/>
      <w:bCs/>
      <w:sz w:val="28"/>
      <w:szCs w:val="28"/>
    </w:rPr>
  </w:style>
  <w:style w:type="character" w:customStyle="1" w:styleId="apple-converted-space">
    <w:name w:val="apple-converted-space"/>
    <w:basedOn w:val="DefaultParagraphFont"/>
    <w:qFormat/>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Char">
    <w:name w:val="批注框文本 Char"/>
    <w:basedOn w:val="DefaultParagraphFont"/>
    <w:link w:val="BalloonText"/>
    <w:uiPriority w:val="99"/>
    <w:semiHidden/>
    <w:qFormat/>
    <w:rPr>
      <w:sz w:val="18"/>
      <w:szCs w:val="18"/>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Char0">
    <w:name w:val="脚注文本 Char"/>
    <w:basedOn w:val="DefaultParagraphFont"/>
    <w:link w:val="FootnoteText"/>
    <w:uiPriority w:val="99"/>
    <w:semiHidden/>
    <w:qFormat/>
    <w:rPr>
      <w:rFonts w:asciiTheme="minorHAnsi" w:eastAsiaTheme="minorEastAsia" w:hAnsiTheme="minorHAnsi" w:cstheme="minorBidi"/>
      <w:kern w:val="2"/>
      <w:sz w:val="18"/>
      <w:szCs w:val="18"/>
    </w:rPr>
  </w:style>
  <w:style w:type="character" w:customStyle="1" w:styleId="Char1">
    <w:name w:val="页眉 Char"/>
    <w:basedOn w:val="DefaultParagraphFont"/>
    <w:link w:val="Header"/>
    <w:uiPriority w:val="99"/>
    <w:qFormat/>
    <w:rPr>
      <w:rFonts w:asciiTheme="minorHAnsi" w:eastAsiaTheme="minorEastAsia" w:hAnsiTheme="minorHAnsi" w:cstheme="minorBidi"/>
      <w:kern w:val="2"/>
      <w:sz w:val="18"/>
      <w:szCs w:val="18"/>
    </w:rPr>
  </w:style>
  <w:style w:type="character" w:customStyle="1" w:styleId="Char2">
    <w:name w:val="页脚 Char"/>
    <w:basedOn w:val="DefaultParagraphFont"/>
    <w:link w:val="Footer"/>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8055135024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2E7803E-F7EA-4926-AEA1-BED059F40B9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2773</Words>
  <Characters>15812</Characters>
  <Application>Microsoft Office Word</Application>
  <DocSecurity>0</DocSecurity>
  <Lines>131</Lines>
  <Paragraphs>37</Paragraphs>
  <ScaleCrop>false</ScaleCrop>
  <Company/>
  <LinksUpToDate>false</LinksUpToDate>
  <CharactersWithSpaces>18548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张老师</cp:lastModifiedBy>
  <cp:revision>7</cp:revision>
  <cp:lastPrinted>2021-05-20T03:06:00Z</cp:lastPrinted>
  <dcterms:created xsi:type="dcterms:W3CDTF">2019-06-18T14:52:00Z</dcterms:created>
  <dcterms:modified xsi:type="dcterms:W3CDTF">2023-11-04T12:05:33Z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0498879F4FAE4BECADF1019B7D5F3FDA_12</vt:lpwstr>
  </property>
  <property fmtid="{D5CDD505-2E9C-101B-9397-08002B2CF9AE}" pid="3" name="KSOProductBuildVer">
    <vt:lpwstr>2052-12.1.0.15712</vt:lpwstr>
  </property>
</Properties>
</file>