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77B3E" w:rsidRPr="002A4A49" w:rsidP="002A4A49" w14:paraId="08CB4920" w14:textId="77777777">
      <w:pPr>
        <w:spacing w:before="48" w:beforeLines="20" w:after="360" w:afterLines="150" w:line="360" w:lineRule="auto"/>
        <w:jc w:val="center"/>
        <w:rPr>
          <w:rFonts w:ascii="华文中宋" w:eastAsia="华文中宋" w:hAnsi="华文中宋"/>
          <w:b/>
          <w:sz w:val="30"/>
        </w:rPr>
      </w:pPr>
      <w:r w:rsidRPr="002A4A49">
        <w:rPr>
          <w:rFonts w:ascii="华文中宋" w:eastAsia="华文中宋" w:hAnsi="华文中宋"/>
          <w:b/>
          <w:sz w:val="30"/>
        </w:rPr>
        <w:t>2024</w:t>
      </w:r>
      <w:r w:rsidRPr="002A4A49">
        <w:rPr>
          <w:rFonts w:ascii="华文中宋" w:eastAsia="华文中宋" w:hAnsi="华文中宋"/>
          <w:b/>
          <w:sz w:val="30"/>
        </w:rPr>
        <w:t>年北京市丰台区国有资本运营管理有限公司人员招聘考试题库及答案解析</w:t>
      </w:r>
    </w:p>
    <w:p w:rsidR="00A77B3E" w14:paraId="79C10898" w14:textId="77777777">
      <w:pPr>
        <w:spacing w:after="260" w:line="360" w:lineRule="auto"/>
        <w:jc w:val="center"/>
        <w:rPr>
          <w:sz w:val="21"/>
        </w:rPr>
      </w:pPr>
      <w:r>
        <w:rPr>
          <w:rFonts w:eastAsia="微软雅黑"/>
        </w:rPr>
        <w:t>毕业院校：</w:t>
      </w:r>
      <w:r>
        <w:rPr>
          <w:rFonts w:eastAsia="微软雅黑"/>
        </w:rPr>
        <w:t xml:space="preserve">__________ </w:t>
      </w:r>
      <w:r>
        <w:rPr>
          <w:rFonts w:eastAsia="微软雅黑"/>
        </w:rPr>
        <w:t>姓名：</w:t>
      </w:r>
      <w:r>
        <w:rPr>
          <w:rFonts w:eastAsia="微软雅黑"/>
        </w:rPr>
        <w:t xml:space="preserve">__________ </w:t>
      </w:r>
      <w:r>
        <w:rPr>
          <w:rFonts w:eastAsia="微软雅黑"/>
        </w:rPr>
        <w:t>考场：</w:t>
      </w:r>
      <w:r>
        <w:rPr>
          <w:rFonts w:eastAsia="微软雅黑"/>
        </w:rPr>
        <w:t xml:space="preserve">__________ </w:t>
      </w:r>
      <w:r>
        <w:rPr>
          <w:rFonts w:eastAsia="微软雅黑"/>
        </w:rPr>
        <w:t>考号：</w:t>
      </w:r>
      <w:r>
        <w:rPr>
          <w:rFonts w:eastAsia="微软雅黑"/>
        </w:rPr>
        <w:t>__________</w:t>
      </w:r>
    </w:p>
    <w:p w:rsidR="00A77B3E" w14:paraId="7D73A35B" w14:textId="77777777">
      <w:pPr>
        <w:spacing w:after="260" w:line="360" w:lineRule="auto"/>
      </w:pPr>
      <w:r>
        <w:rPr>
          <w:rFonts w:eastAsia="微软雅黑" w:cs="宋体"/>
          <w:b/>
        </w:rPr>
        <w:t>一、言语理解与表达</w:t>
      </w:r>
    </w:p>
    <w:p w:rsidR="00E0697D" w14:paraId="584EC8E0"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color w:val="0000FF"/>
          <w:szCs w:val="18"/>
        </w:rPr>
        <w:t>1</w:t>
      </w:r>
      <w:r w:rsidRPr="00E0697D">
        <w:rPr>
          <w:rFonts w:ascii="Times New Roman" w:eastAsia="微软雅黑" w:hAnsi="微软雅黑" w:cs="宋体" w:hint="eastAsia"/>
          <w:color w:val="0000FF"/>
          <w:szCs w:val="18"/>
        </w:rPr>
        <w:t>．</w:t>
      </w:r>
      <w:r w:rsidRPr="00E0697D">
        <w:rPr>
          <w:rFonts w:ascii="Times New Roman" w:eastAsia="微软雅黑" w:hAnsi="微软雅黑" w:cs="宋体" w:hint="eastAsia"/>
          <w:szCs w:val="18"/>
        </w:rPr>
        <w:t>①事实上，在耕田之外也几乎没有其他的选择。</w:t>
      </w:r>
    </w:p>
    <w:p w:rsidR="00E0697D" w14:paraId="617D2C17"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②同样地，生活上的大小事情，除了可以遵循风俗习惯之外，也有宗亲长老按祖训家法裁夺。</w:t>
      </w:r>
    </w:p>
    <w:p w:rsidR="00E0697D" w14:paraId="1A114BB8"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③在传统的农业社会里，绝大多数的人以农业为生。</w:t>
      </w:r>
    </w:p>
    <w:p w:rsidR="00E0697D" w14:paraId="249291C2"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④</w:t>
      </w:r>
      <w:r w:rsidRPr="00E0697D">
        <w:rPr>
          <w:rFonts w:ascii="Times New Roman" w:eastAsia="微软雅黑" w:hAnsi="微软雅黑" w:cs="宋体" w:hint="eastAsia"/>
          <w:szCs w:val="18"/>
        </w:rPr>
        <w:t>在某一层意义上来说，一个人几乎没有什么机会要他自己做决定，在少数需要他自己做决定的时候，也有现成的规矩习惯等可以作为参考。</w:t>
      </w:r>
    </w:p>
    <w:p w:rsidR="00E0697D" w14:paraId="25EE96FF"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⑤农作上的点点滴滴，除了靠自己经年累月的积累，也由宗亲长老口耳相传。</w:t>
      </w:r>
    </w:p>
    <w:p w:rsidR="00E0697D" w14:paraId="4D236E1B"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⑥这些经验、规矩、风俗、习惯、祖训、家法，可以说涵盖了一个人生老病死、婚丧嫁娶的每一个环节。将以上</w:t>
      </w:r>
      <w:r w:rsidRPr="00E0697D">
        <w:rPr>
          <w:rFonts w:ascii="Times New Roman" w:eastAsia="微软雅黑" w:hAnsi="微软雅黑" w:cs="宋体" w:hint="eastAsia"/>
          <w:szCs w:val="18"/>
        </w:rPr>
        <w:t>6</w:t>
      </w:r>
      <w:r w:rsidRPr="00E0697D">
        <w:rPr>
          <w:rFonts w:ascii="Times New Roman" w:eastAsia="微软雅黑" w:hAnsi="微软雅黑" w:cs="宋体" w:hint="eastAsia"/>
          <w:szCs w:val="18"/>
        </w:rPr>
        <w:t>个句子重新排列，语序正确的是</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w:t>
      </w:r>
    </w:p>
    <w:p w:rsidR="00E0697D" w14:paraId="6343E7DC"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、①③⑤④②⑥</w:t>
      </w:r>
    </w:p>
    <w:p w:rsidR="00E0697D" w14:paraId="3F22CBE6"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、③①⑤②⑥④</w:t>
      </w:r>
    </w:p>
    <w:p w:rsidR="00E0697D" w14:paraId="34F4FC64"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、①③⑤②⑥④</w:t>
      </w:r>
    </w:p>
    <w:p w:rsidR="00E0697D" w14:paraId="358346E5" w14:textId="77777777">
      <w:pPr>
        <w:pStyle w:val="NormalWeb"/>
        <w:widowControl/>
        <w:snapToGrid w:val="0"/>
        <w:spacing w:beforeAutospacing="0" w:after="260" w:afterAutospacing="0" w:line="360" w:lineRule="auto"/>
        <w:rPr>
          <w:rFonts w:ascii="微软雅黑" w:eastAsia="微软雅黑" w:hAnsi="微软雅黑" w:cs="微软雅黑"/>
          <w:szCs w:val="18"/>
        </w:rPr>
        <w:sectPr>
          <w:headerReference w:type="even" r:id="rId4"/>
          <w:headerReference w:type="default" r:id="rId5"/>
          <w:footerReference w:type="even" r:id="rId6"/>
          <w:footerReference w:type="default" r:id="rId7"/>
          <w:headerReference w:type="first" r:id="rId8"/>
          <w:footerReference w:type="first" r:id="rId9"/>
          <w:pgSz w:w="11906" w:h="16838"/>
          <w:pgMar w:top="1134" w:right="1474" w:bottom="1134" w:left="1474" w:header="708" w:footer="708" w:gutter="0"/>
          <w:cols w:sep="1" w:space="708"/>
          <w:docGrid w:linePitch="360"/>
        </w:sectPr>
      </w:pP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、③①⑤④②⑥</w:t>
      </w:r>
    </w:p>
    <w:p w:rsidR="00E0697D" w14:paraId="08438C5F"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b/>
          <w:color w:val="228B22"/>
          <w:szCs w:val="18"/>
        </w:rPr>
        <w:t>答案：</w:t>
      </w:r>
      <w:r w:rsidRPr="00E0697D">
        <w:rPr>
          <w:rFonts w:ascii="Times New Roman" w:eastAsia="微软雅黑" w:hAnsi="微软雅黑" w:cs="宋体" w:hint="eastAsia"/>
          <w:szCs w:val="18"/>
        </w:rPr>
        <w:t>B</w:t>
      </w:r>
    </w:p>
    <w:p w:rsidR="00E0697D" w14:paraId="226CCF70" w14:textId="77777777">
      <w:pPr>
        <w:pStyle w:val="NormalWeb"/>
        <w:widowControl/>
        <w:snapToGrid w:val="0"/>
        <w:spacing w:beforeAutospacing="0" w:after="260" w:afterAutospacing="0" w:line="360" w:lineRule="auto"/>
        <w:rPr>
          <w:rFonts w:ascii="微软雅黑" w:eastAsia="微软雅黑" w:hAnsi="微软雅黑" w:cs="微软雅黑"/>
          <w:b/>
          <w:color w:val="4066F4"/>
          <w:szCs w:val="18"/>
        </w:rPr>
      </w:pPr>
      <w:r w:rsidRPr="00E0697D">
        <w:rPr>
          <w:rFonts w:ascii="Times New Roman" w:eastAsia="微软雅黑" w:hAnsi="微软雅黑" w:cs="宋体" w:hint="eastAsia"/>
          <w:color w:val="228B22"/>
          <w:szCs w:val="18"/>
        </w:rPr>
        <w:t>解析：</w:t>
      </w:r>
      <w:r w:rsidRPr="00E0697D">
        <w:rPr>
          <w:rFonts w:ascii="Times New Roman" w:eastAsia="微软雅黑" w:hAnsi="微软雅黑" w:cs="宋体" w:hint="eastAsia"/>
          <w:szCs w:val="18"/>
        </w:rPr>
        <w:t>分析首尾句①中“事实上”不适合开头，排除</w:t>
      </w: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两项</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②中“同样地”与⑤相连，围绕“宗亲长老”展开，因此⑤②捆绑，⑥中“这些经验”既有农作经验又有生活经验，是对⑤②的总结，放在⑤②之后。故选</w:t>
      </w: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w:t>
      </w:r>
    </w:p>
    <w:p w:rsidR="003F588C" w14:paraId="435EB4A2"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color w:val="0000FF"/>
          <w:szCs w:val="18"/>
        </w:rPr>
        <w:t>2</w:t>
      </w:r>
      <w:r w:rsidRPr="003F588C">
        <w:rPr>
          <w:rFonts w:ascii="Times New Roman" w:eastAsia="微软雅黑" w:hAnsi="微软雅黑" w:cs="宋体" w:hint="eastAsia"/>
          <w:color w:val="0000FF"/>
          <w:szCs w:val="18"/>
        </w:rPr>
        <w:t>．</w:t>
      </w:r>
      <w:r w:rsidRPr="003F588C">
        <w:rPr>
          <w:rFonts w:ascii="Times New Roman" w:eastAsia="微软雅黑" w:hAnsi="微软雅黑" w:cs="宋体" w:hint="eastAsia"/>
          <w:szCs w:val="18"/>
        </w:rPr>
        <w:t>看病难的实质是病人为获得治疗疾病信息，需要付出很多时间，经历和费用，而最后得到的服务质量并不如意，医患矛盾和冲突由此产生。美国著名经济学家肯尼思·阿罗，在其标志卫生经济学诞生的划时代论文中指出，风险和不确定性是医疗卫生所有特点产生的根源。他指出，正是由于不确定性的存在，使得信息成为医疗卫生中最重要的要素。病人从医生那里要求获得的最重要服务，便是信息。信息在医生与病人之间的不对称分配，是病人需要求医的根本原因。这段文字概括最恰当的是</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w:t>
      </w:r>
    </w:p>
    <w:p w:rsidR="003F588C" w14:paraId="2344867E"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、卫生经济学具有划时代的意义</w:t>
      </w:r>
    </w:p>
    <w:p w:rsidR="003F588C" w14:paraId="16E848DF"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B</w:t>
      </w:r>
      <w:r w:rsidRPr="003F588C">
        <w:rPr>
          <w:rFonts w:ascii="Times New Roman" w:eastAsia="微软雅黑" w:hAnsi="微软雅黑" w:cs="宋体" w:hint="eastAsia"/>
          <w:szCs w:val="18"/>
        </w:rPr>
        <w:t>、信息是医疗卫生最重要的因素</w:t>
      </w:r>
    </w:p>
    <w:p w:rsidR="003F588C" w14:paraId="68405638"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C</w:t>
      </w:r>
      <w:r w:rsidRPr="003F588C">
        <w:rPr>
          <w:rFonts w:ascii="Times New Roman" w:eastAsia="微软雅黑" w:hAnsi="微软雅黑" w:cs="宋体" w:hint="eastAsia"/>
          <w:szCs w:val="18"/>
        </w:rPr>
        <w:t>、完善医疗信息服务是重中之重</w:t>
      </w:r>
    </w:p>
    <w:p w:rsidR="003F588C" w14:paraId="07389FED"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、信息不对称是医患矛盾的根源</w:t>
      </w:r>
    </w:p>
    <w:p w:rsidR="003F588C" w14:paraId="225C0B0F"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b/>
          <w:color w:val="228B22"/>
          <w:szCs w:val="18"/>
        </w:rPr>
        <w:t>答案：</w:t>
      </w:r>
      <w:r w:rsidRPr="003F588C">
        <w:rPr>
          <w:rFonts w:ascii="Times New Roman" w:eastAsia="微软雅黑" w:hAnsi="微软雅黑" w:cs="宋体" w:hint="eastAsia"/>
          <w:szCs w:val="18"/>
        </w:rPr>
        <w:t>D</w:t>
      </w:r>
    </w:p>
    <w:p w:rsidR="003F588C" w14:paraId="40210E9F" w14:textId="77777777">
      <w:pPr>
        <w:pStyle w:val="NormalWeb"/>
        <w:widowControl/>
        <w:spacing w:beforeAutospacing="0" w:after="260" w:afterAutospacing="0" w:line="360" w:lineRule="auto"/>
        <w:rPr>
          <w:rFonts w:ascii="微软雅黑" w:eastAsia="微软雅黑" w:hAnsi="微软雅黑" w:cs="微软雅黑"/>
          <w:b/>
          <w:color w:val="4066F4"/>
          <w:szCs w:val="18"/>
        </w:rPr>
      </w:pPr>
      <w:r w:rsidRPr="003F588C">
        <w:rPr>
          <w:rFonts w:ascii="Times New Roman" w:eastAsia="微软雅黑" w:hAnsi="微软雅黑" w:cs="宋体" w:hint="eastAsia"/>
          <w:color w:val="228B22"/>
          <w:szCs w:val="18"/>
        </w:rPr>
        <w:t>解析：</w:t>
      </w:r>
      <w:r w:rsidRPr="003F588C">
        <w:rPr>
          <w:rFonts w:ascii="Times New Roman" w:eastAsia="微软雅黑" w:hAnsi="微软雅黑" w:cs="宋体" w:hint="eastAsia"/>
          <w:szCs w:val="18"/>
        </w:rPr>
        <w:t>本文为总</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分</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总的行文脉络。首句和尾句共同阐述医患矛盾的根源为信息的不对称。故选</w:t>
      </w: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w:t>
      </w:r>
    </w:p>
    <w:p w:rsidR="00E0697D" w14:paraId="4F3AD13D" w14:textId="77777777">
      <w:pPr>
        <w:pStyle w:val="NormalWeb"/>
        <w:widowControl/>
        <w:snapToGrid w:val="0"/>
        <w:spacing w:beforeAutospacing="0" w:after="260" w:afterAutospacing="0" w:line="360" w:lineRule="auto"/>
        <w:rPr>
          <w:rFonts w:ascii="微软雅黑" w:eastAsia="微软雅黑" w:hAnsi="微软雅黑" w:cs="微软雅黑"/>
          <w:szCs w:val="18"/>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134" w:right="1474" w:bottom="1134" w:left="1474" w:header="708" w:footer="708" w:gutter="0"/>
          <w:pgNumType w:start="2"/>
          <w:cols w:sep="1" w:space="708"/>
          <w:titlePg w:val="0"/>
          <w:docGrid w:linePitch="360"/>
        </w:sectPr>
      </w:pPr>
      <w:r w:rsidRPr="00E0697D">
        <w:rPr>
          <w:rFonts w:ascii="Times New Roman" w:eastAsia="微软雅黑" w:hAnsi="微软雅黑" w:cs="宋体" w:hint="eastAsia"/>
          <w:color w:val="0000FF"/>
          <w:szCs w:val="18"/>
        </w:rPr>
        <w:t>3</w:t>
      </w:r>
      <w:r w:rsidRPr="00E0697D">
        <w:rPr>
          <w:rFonts w:ascii="Times New Roman" w:eastAsia="微软雅黑" w:hAnsi="微软雅黑" w:cs="宋体" w:hint="eastAsia"/>
          <w:color w:val="0000FF"/>
          <w:szCs w:val="18"/>
        </w:rPr>
        <w:t>．</w:t>
      </w:r>
    </w:p>
    <w:p w:rsidR="00E0697D"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对于传承经典，站在当代立场上的中国学者虽然看到了以往理论框架不适应当下国际视野及跨学科发展趋势的需要，但是他们中的相当一部分人也认识到，在这个传统框架下</w:t>
      </w:r>
      <w:r w:rsidRPr="00E0697D">
        <w:rPr>
          <w:rFonts w:ascii="Times New Roman" w:eastAsia="微软雅黑" w:hAnsi="微软雅黑" w:cs="宋体" w:hint="eastAsia"/>
          <w:szCs w:val="18"/>
        </w:rPr>
        <w:t>_____</w:t>
      </w:r>
      <w:r w:rsidRPr="00E0697D">
        <w:rPr>
          <w:rFonts w:ascii="Times New Roman" w:eastAsia="微软雅黑" w:hAnsi="微软雅黑" w:cs="宋体" w:hint="eastAsia"/>
          <w:szCs w:val="18"/>
        </w:rPr>
        <w:t>的中国民俗学基础是深厚的，如果</w:t>
      </w:r>
      <w:r w:rsidRPr="00E0697D">
        <w:rPr>
          <w:rFonts w:ascii="Times New Roman" w:eastAsia="微软雅黑" w:hAnsi="微软雅黑" w:cs="宋体" w:hint="eastAsia"/>
          <w:szCs w:val="18"/>
        </w:rPr>
        <w:t>_____</w:t>
      </w:r>
      <w:r w:rsidRPr="00E0697D">
        <w:rPr>
          <w:rFonts w:ascii="Times New Roman" w:eastAsia="微软雅黑" w:hAnsi="微软雅黑" w:cs="宋体" w:hint="eastAsia"/>
          <w:szCs w:val="18"/>
        </w:rPr>
        <w:t>地抛弃这个传统，那么我们的研究将使民俗学的主体性越来越弱，以至于被</w:t>
      </w:r>
      <w:r w:rsidRPr="00E0697D">
        <w:rPr>
          <w:rFonts w:ascii="Times New Roman" w:eastAsia="微软雅黑" w:hAnsi="微软雅黑" w:cs="宋体" w:hint="eastAsia"/>
          <w:szCs w:val="18"/>
        </w:rPr>
        <w:t>_____</w:t>
      </w:r>
      <w:r w:rsidRPr="00E0697D">
        <w:rPr>
          <w:rFonts w:ascii="Times New Roman" w:eastAsia="微软雅黑" w:hAnsi="微软雅黑" w:cs="宋体" w:hint="eastAsia"/>
          <w:szCs w:val="18"/>
        </w:rPr>
        <w:t>到其他学科中去。</w:t>
      </w:r>
    </w:p>
    <w:p w:rsidR="00E0697D" w14:paraId="1E79E515"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依次填入划横线部分最恰当的一项是</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w:t>
      </w:r>
    </w:p>
    <w:p w:rsidR="00E0697D" w14:paraId="45561AE3"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、打造</w:t>
      </w:r>
      <w:r w:rsidRPr="00E0697D">
        <w:rPr>
          <w:rFonts w:ascii="Times New Roman" w:eastAsia="微软雅黑" w:hAnsi="微软雅黑" w:cs="宋体" w:hint="eastAsia"/>
          <w:szCs w:val="18"/>
        </w:rPr>
        <w:t xml:space="preserve"> </w:t>
      </w:r>
      <w:r w:rsidRPr="00E0697D">
        <w:rPr>
          <w:rFonts w:ascii="Times New Roman" w:eastAsia="微软雅黑" w:hAnsi="微软雅黑" w:cs="宋体" w:hint="eastAsia"/>
          <w:szCs w:val="18"/>
        </w:rPr>
        <w:t>直接</w:t>
      </w:r>
      <w:r w:rsidRPr="00E0697D">
        <w:rPr>
          <w:rFonts w:ascii="Times New Roman" w:eastAsia="微软雅黑" w:hAnsi="微软雅黑" w:cs="宋体" w:hint="eastAsia"/>
          <w:szCs w:val="18"/>
        </w:rPr>
        <w:t xml:space="preserve"> </w:t>
      </w:r>
      <w:r w:rsidRPr="00E0697D">
        <w:rPr>
          <w:rFonts w:ascii="Times New Roman" w:eastAsia="微软雅黑" w:hAnsi="微软雅黑" w:cs="宋体" w:hint="eastAsia"/>
          <w:szCs w:val="18"/>
        </w:rPr>
        <w:t>同化</w:t>
      </w:r>
    </w:p>
    <w:p w:rsidR="00E0697D" w14:paraId="13526284"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、形成</w:t>
      </w:r>
      <w:r w:rsidRPr="00E0697D">
        <w:rPr>
          <w:rFonts w:ascii="Times New Roman" w:eastAsia="微软雅黑" w:hAnsi="微软雅黑" w:cs="宋体" w:hint="eastAsia"/>
          <w:szCs w:val="18"/>
        </w:rPr>
        <w:t xml:space="preserve"> </w:t>
      </w:r>
      <w:r w:rsidRPr="00E0697D">
        <w:rPr>
          <w:rFonts w:ascii="Times New Roman" w:eastAsia="微软雅黑" w:hAnsi="微软雅黑" w:cs="宋体" w:hint="eastAsia"/>
          <w:szCs w:val="18"/>
        </w:rPr>
        <w:t>武断</w:t>
      </w:r>
      <w:r w:rsidRPr="00E0697D">
        <w:rPr>
          <w:rFonts w:ascii="Times New Roman" w:eastAsia="微软雅黑" w:hAnsi="微软雅黑" w:cs="宋体" w:hint="eastAsia"/>
          <w:szCs w:val="18"/>
        </w:rPr>
        <w:t xml:space="preserve"> </w:t>
      </w:r>
      <w:r w:rsidRPr="00E0697D">
        <w:rPr>
          <w:rFonts w:ascii="Times New Roman" w:eastAsia="微软雅黑" w:hAnsi="微软雅黑" w:cs="宋体" w:hint="eastAsia"/>
          <w:szCs w:val="18"/>
        </w:rPr>
        <w:t>淹没</w:t>
      </w:r>
    </w:p>
    <w:p w:rsidR="00E0697D" w14:paraId="5A9A1295"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、建立</w:t>
      </w:r>
      <w:r w:rsidRPr="00E0697D">
        <w:rPr>
          <w:rFonts w:ascii="Times New Roman" w:eastAsia="微软雅黑" w:hAnsi="微软雅黑" w:cs="宋体" w:hint="eastAsia"/>
          <w:szCs w:val="18"/>
        </w:rPr>
        <w:t xml:space="preserve"> </w:t>
      </w:r>
      <w:r w:rsidRPr="00E0697D">
        <w:rPr>
          <w:rFonts w:ascii="Times New Roman" w:eastAsia="微软雅黑" w:hAnsi="微软雅黑" w:cs="宋体" w:hint="eastAsia"/>
          <w:szCs w:val="18"/>
        </w:rPr>
        <w:t>盲目</w:t>
      </w:r>
      <w:r w:rsidRPr="00E0697D">
        <w:rPr>
          <w:rFonts w:ascii="Times New Roman" w:eastAsia="微软雅黑" w:hAnsi="微软雅黑" w:cs="宋体" w:hint="eastAsia"/>
          <w:szCs w:val="18"/>
        </w:rPr>
        <w:t xml:space="preserve"> </w:t>
      </w:r>
      <w:r w:rsidRPr="00E0697D">
        <w:rPr>
          <w:rFonts w:ascii="Times New Roman" w:eastAsia="微软雅黑" w:hAnsi="微软雅黑" w:cs="宋体" w:hint="eastAsia"/>
          <w:szCs w:val="18"/>
        </w:rPr>
        <w:t>整合</w:t>
      </w:r>
    </w:p>
    <w:p w:rsidR="00E0697D" w14:paraId="63C7B38C"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、奠定</w:t>
      </w:r>
      <w:r w:rsidRPr="00E0697D">
        <w:rPr>
          <w:rFonts w:ascii="Times New Roman" w:eastAsia="微软雅黑" w:hAnsi="微软雅黑" w:cs="宋体" w:hint="eastAsia"/>
          <w:szCs w:val="18"/>
        </w:rPr>
        <w:t xml:space="preserve"> </w:t>
      </w:r>
      <w:r w:rsidRPr="00E0697D">
        <w:rPr>
          <w:rFonts w:ascii="Times New Roman" w:eastAsia="微软雅黑" w:hAnsi="微软雅黑" w:cs="宋体" w:hint="eastAsia"/>
          <w:szCs w:val="18"/>
        </w:rPr>
        <w:t>轻易</w:t>
      </w:r>
      <w:r w:rsidRPr="00E0697D">
        <w:rPr>
          <w:rFonts w:ascii="Times New Roman" w:eastAsia="微软雅黑" w:hAnsi="微软雅黑" w:cs="宋体" w:hint="eastAsia"/>
          <w:szCs w:val="18"/>
        </w:rPr>
        <w:t xml:space="preserve"> </w:t>
      </w:r>
      <w:r w:rsidRPr="00E0697D">
        <w:rPr>
          <w:rFonts w:ascii="Times New Roman" w:eastAsia="微软雅黑" w:hAnsi="微软雅黑" w:cs="宋体" w:hint="eastAsia"/>
          <w:szCs w:val="18"/>
        </w:rPr>
        <w:t>涵盖</w:t>
      </w:r>
    </w:p>
    <w:p w:rsidR="00E0697D" w14:paraId="7F3FDE64"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b/>
          <w:color w:val="228B22"/>
          <w:szCs w:val="18"/>
        </w:rPr>
        <w:t>答案：</w:t>
      </w:r>
      <w:r w:rsidRPr="00E0697D">
        <w:rPr>
          <w:rFonts w:ascii="Times New Roman" w:eastAsia="微软雅黑" w:hAnsi="微软雅黑" w:cs="宋体" w:hint="eastAsia"/>
          <w:szCs w:val="18"/>
        </w:rPr>
        <w:t>D</w:t>
      </w:r>
    </w:p>
    <w:p w:rsidR="00E0697D" w14:paraId="5043AF0B" w14:textId="77777777">
      <w:pPr>
        <w:pStyle w:val="NormalWeb"/>
        <w:widowControl/>
        <w:snapToGrid w:val="0"/>
        <w:spacing w:beforeAutospacing="0" w:after="260" w:afterAutospacing="0" w:line="360" w:lineRule="auto"/>
        <w:rPr>
          <w:rFonts w:ascii="微软雅黑" w:eastAsia="微软雅黑" w:hAnsi="微软雅黑" w:cs="微软雅黑"/>
          <w:b/>
          <w:color w:val="4066F4"/>
          <w:szCs w:val="18"/>
        </w:rPr>
      </w:pPr>
      <w:r w:rsidRPr="00E0697D">
        <w:rPr>
          <w:rFonts w:ascii="Times New Roman" w:eastAsia="微软雅黑" w:hAnsi="微软雅黑" w:cs="宋体" w:hint="eastAsia"/>
          <w:color w:val="228B22"/>
          <w:szCs w:val="18"/>
        </w:rPr>
        <w:t>解析：</w:t>
      </w:r>
      <w:r w:rsidRPr="00E0697D">
        <w:rPr>
          <w:rFonts w:ascii="Times New Roman" w:eastAsia="微软雅黑" w:hAnsi="微软雅黑" w:cs="宋体" w:hint="eastAsia"/>
          <w:szCs w:val="18"/>
        </w:rPr>
        <w:t>第一空，填入的词语应该与“基础”</w:t>
      </w:r>
      <w:r w:rsidRPr="00E0697D">
        <w:rPr>
          <w:rFonts w:ascii="Times New Roman" w:eastAsia="微软雅黑" w:hAnsi="微软雅黑" w:cs="宋体" w:hint="eastAsia"/>
          <w:szCs w:val="18"/>
        </w:rPr>
        <w:t>相搭配，</w:t>
      </w: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项的“打造”无法与“基础”搭配，故排除。第三空，</w:t>
      </w: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项的“淹没”有覆盖之意，往往搭配水和声音，故排除</w:t>
      </w: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项的“整合”侧重于把内部零散的东西彼此衔接起来，而民俗学并不属于其他学科内部的，与文段表述不符，故排除。第二空，代入验证，“轻易地抛弃这个传统”搭配恰当且符合语境。故选</w:t>
      </w: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w:t>
      </w:r>
    </w:p>
    <w:p w:rsidR="00E0697D" w14:paraId="4F9F17A1"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color w:val="0000FF"/>
          <w:szCs w:val="18"/>
        </w:rPr>
        <w:t>4</w:t>
      </w:r>
      <w:r w:rsidRPr="00E0697D">
        <w:rPr>
          <w:rFonts w:ascii="Times New Roman" w:eastAsia="微软雅黑" w:hAnsi="微软雅黑" w:cs="宋体" w:hint="eastAsia"/>
          <w:color w:val="0000FF"/>
          <w:szCs w:val="18"/>
        </w:rPr>
        <w:t>．</w:t>
      </w:r>
      <w:r w:rsidRPr="00E0697D">
        <w:rPr>
          <w:rFonts w:ascii="Times New Roman" w:eastAsia="微软雅黑" w:hAnsi="微软雅黑" w:cs="宋体" w:hint="eastAsia"/>
          <w:szCs w:val="18"/>
        </w:rPr>
        <w:t>金融领域的投资骗局并不是什么新鲜事。在国外，各类“庞氏骗局”也绵延不绝，</w:t>
      </w:r>
      <w:r w:rsidRPr="00E0697D">
        <w:rPr>
          <w:rFonts w:ascii="Times New Roman" w:eastAsia="微软雅黑" w:hAnsi="微软雅黑" w:cs="宋体" w:hint="eastAsia"/>
          <w:szCs w:val="18"/>
        </w:rPr>
        <w:t>_____</w:t>
      </w:r>
      <w:r w:rsidRPr="00E0697D">
        <w:rPr>
          <w:rFonts w:ascii="Times New Roman" w:eastAsia="微软雅黑" w:hAnsi="微软雅黑" w:cs="宋体" w:hint="eastAsia"/>
          <w:szCs w:val="18"/>
        </w:rPr>
        <w:t>从事后看，这些骗术的手段并不高明，</w:t>
      </w:r>
      <w:r w:rsidRPr="00E0697D">
        <w:rPr>
          <w:rFonts w:ascii="Times New Roman" w:eastAsia="微软雅黑" w:hAnsi="微软雅黑" w:cs="宋体" w:hint="eastAsia"/>
          <w:szCs w:val="18"/>
        </w:rPr>
        <w:t>_____</w:t>
      </w:r>
      <w:r w:rsidRPr="00E0697D">
        <w:rPr>
          <w:rFonts w:ascii="Times New Roman" w:eastAsia="微软雅黑" w:hAnsi="微软雅黑" w:cs="宋体" w:hint="eastAsia"/>
          <w:szCs w:val="18"/>
        </w:rPr>
        <w:t>从来不缺乏上当者，</w:t>
      </w:r>
      <w:r w:rsidRPr="00E0697D">
        <w:rPr>
          <w:rFonts w:ascii="Times New Roman" w:eastAsia="微软雅黑" w:hAnsi="微软雅黑" w:cs="宋体" w:hint="eastAsia"/>
          <w:szCs w:val="18"/>
        </w:rPr>
        <w:t>_____</w:t>
      </w:r>
      <w:r w:rsidRPr="00E0697D">
        <w:rPr>
          <w:rFonts w:ascii="Times New Roman" w:eastAsia="微软雅黑" w:hAnsi="微软雅黑" w:cs="宋体" w:hint="eastAsia"/>
          <w:szCs w:val="18"/>
        </w:rPr>
        <w:t>还有社会名流、高级知识分子身陷其中。</w:t>
      </w:r>
    </w:p>
    <w:p w:rsidR="00E0697D" w14:paraId="255A6524"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依次填入横线部分最恰当的一项是</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w:t>
      </w:r>
    </w:p>
    <w:p w:rsidR="00E0697D" w14:paraId="17E6CDE7"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、即使也反而</w:t>
      </w:r>
    </w:p>
    <w:p w:rsidR="00E0697D" w14:paraId="0C75D6C3"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、如果却而且</w:t>
      </w:r>
      <w:r>
        <w:rPr>
          <w:rFonts w:ascii="微软雅黑" w:eastAsia="微软雅黑" w:hAnsi="微软雅黑" w:cs="微软雅黑"/>
          <w:szCs w:val="18"/>
        </w:rPr>
        <w:br/>
      </w:r>
      <w:r>
        <w:rPr>
          <w:rFonts w:ascii="微软雅黑" w:eastAsia="微软雅黑" w:hAnsi="微软雅黑" w:cs="微软雅黑"/>
          <w:szCs w:val="18"/>
        </w:rPr>
        <w:br/>
      </w:r>
    </w:p>
    <w:p>
      <w:pPr>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16" w:history="1">
        <w:r>
          <w:rPr>
            <w:rFonts w:ascii="SimSun" w:eastAsia="SimSun" w:hAnsi="SimSun" w:cs="SimSun"/>
            <w:b/>
            <w:bCs/>
            <w:color w:val="0000EE"/>
            <w:sz w:val="30"/>
            <w:szCs w:val="30"/>
            <w:u w:val="single" w:color="0000EE"/>
          </w:rPr>
          <w:t>https://d.book118.com/288056110135006025</w:t>
        </w:r>
      </w:hyperlink>
    </w:p>
    <w:p w:rsidR="00E0697D">
      <w:pPr>
        <w:pStyle w:val="NormalWeb"/>
        <w:widowControl/>
        <w:snapToGrid w:val="0"/>
        <w:spacing w:beforeAutospacing="0" w:after="260" w:afterAutospacing="0" w:line="360" w:lineRule="auto"/>
        <w:rPr>
          <w:rFonts w:ascii="微软雅黑" w:eastAsia="微软雅黑" w:hAnsi="微软雅黑" w:cs="微软雅黑"/>
          <w:szCs w:val="18"/>
        </w:rPr>
      </w:pPr>
    </w:p>
    <w:sectPr>
      <w:headerReference w:type="even" r:id="rId17"/>
      <w:headerReference w:type="default" r:id="rId18"/>
      <w:footerReference w:type="even" r:id="rId19"/>
      <w:footerReference w:type="default" r:id="rId20"/>
      <w:headerReference w:type="first" r:id="rId21"/>
      <w:footerReference w:type="first" r:id="rId22"/>
      <w:type w:val="nextPage"/>
      <w:pgSz w:w="11906" w:h="16838"/>
      <w:pgMar w:top="1134" w:right="1474" w:bottom="1134" w:left="1474" w:header="708" w:footer="708" w:gutter="0"/>
      <w:pgNumType w:start="3"/>
      <w:cols w:sep="1" w:space="708"/>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华文中宋">
    <w:panose1 w:val="02010600040101010101"/>
    <w:charset w:val="86"/>
    <w:family w:val="auto"/>
    <w:pitch w:val="variable"/>
    <w:sig w:usb0="00000287" w:usb1="080F0000" w:usb2="00000010" w:usb3="00000000" w:csb0="0004009F" w:csb1="00000000"/>
  </w:font>
  <w:font w:name="微软雅黑">
    <w:panose1 w:val="020B0503020204020204"/>
    <w:charset w:val="86"/>
    <w:family w:val="swiss"/>
    <w:pitch w:val="variable"/>
    <w:sig w:usb0="80000287" w:usb1="2ACF3C50" w:usb2="00000016" w:usb3="00000000" w:csb0="0004001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4A49" w:rsidP="00496691" w14:paraId="7E00C44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A4A49" w14:paraId="29FB9DF7"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4A49" w:rsidP="00496691" w14:paraId="7E76B9CC" w14:textId="16B59F1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2A4A49" w14:paraId="3B88CE9F"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4A49" w14:paraId="08CCDA63"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4A49" w:rsidP="0049669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A4A49"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4A49" w:rsidP="00496691" w14:textId="16B59F1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2A4A49"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4A49"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4A49" w:rsidP="0049669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A4A49"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4A49" w:rsidP="00496691" w14:textId="16B59F1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2A4A49"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4A4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4A49" w14:paraId="6D90960E"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4A49" w14:paraId="59C7C37F"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4A49" w14:paraId="5A599478"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4A49"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4A49"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4A49"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4A49"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4A49" w14:textId="77777777">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4A49"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noPunctuationKerning/>
  <w:characterSpacingControl w:val="doNotCompress"/>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B3E"/>
    <w:rsid w:val="002A4A49"/>
    <w:rsid w:val="003F588C"/>
    <w:rsid w:val="00496691"/>
    <w:rsid w:val="005354B3"/>
    <w:rsid w:val="00541498"/>
    <w:rsid w:val="007675BD"/>
    <w:rsid w:val="009C641C"/>
    <w:rsid w:val="00A77B3E"/>
    <w:rsid w:val="00A95C3D"/>
    <w:rsid w:val="00CA2A55"/>
    <w:rsid w:val="00E0697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1262BAB6"/>
  <w15:docId w15:val="{1D5FEEDF-F758-4917-8AF2-3C13CC6416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EastAsia"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
    <w:name w:val="正文1"/>
    <w:qFormat/>
    <w:pPr>
      <w:widowControl w:val="0"/>
      <w:jc w:val="both"/>
    </w:pPr>
    <w:rPr>
      <w:rFonts w:ascii="等线" w:eastAsia="等线" w:hAnsi="等线"/>
      <w:kern w:val="2"/>
      <w:sz w:val="21"/>
      <w:szCs w:val="22"/>
      <w:lang w:eastAsia="zh-CN"/>
    </w:rPr>
  </w:style>
  <w:style w:type="paragraph" w:styleId="NormalWeb">
    <w:name w:val="Normal (Web)"/>
    <w:basedOn w:val="1"/>
    <w:rsid w:val="00E0697D"/>
    <w:pPr>
      <w:spacing w:beforeAutospacing="1" w:afterAutospacing="1"/>
      <w:jc w:val="left"/>
    </w:pPr>
    <w:rPr>
      <w:kern w:val="0"/>
      <w:sz w:val="24"/>
      <w:szCs w:val="24"/>
    </w:rPr>
  </w:style>
  <w:style w:type="paragraph" w:customStyle="1" w:styleId="0">
    <w:name w:val="正文_0"/>
    <w:qFormat/>
    <w:pPr>
      <w:widowControl w:val="0"/>
      <w:jc w:val="both"/>
    </w:pPr>
    <w:rPr>
      <w:rFonts w:ascii="等线" w:eastAsia="等线" w:hAnsi="等线"/>
      <w:kern w:val="2"/>
      <w:sz w:val="21"/>
      <w:szCs w:val="22"/>
      <w:lang w:eastAsia="zh-CN"/>
    </w:rPr>
  </w:style>
  <w:style w:type="paragraph" w:customStyle="1" w:styleId="00">
    <w:name w:val="普通(网站)_0"/>
    <w:basedOn w:val="0"/>
    <w:rsid w:val="00E0697D"/>
    <w:pPr>
      <w:spacing w:beforeAutospacing="1" w:afterAutospacing="1"/>
      <w:jc w:val="left"/>
    </w:pPr>
    <w:rPr>
      <w:kern w:val="0"/>
      <w:sz w:val="24"/>
      <w:szCs w:val="24"/>
    </w:rPr>
  </w:style>
  <w:style w:type="paragraph" w:styleId="Header">
    <w:name w:val="header"/>
    <w:basedOn w:val="Normal"/>
    <w:link w:val="a"/>
    <w:rsid w:val="002A4A49"/>
    <w:pPr>
      <w:tabs>
        <w:tab w:val="center" w:pos="4153"/>
        <w:tab w:val="right" w:pos="8306"/>
      </w:tabs>
      <w:snapToGrid w:val="0"/>
      <w:jc w:val="center"/>
    </w:pPr>
    <w:rPr>
      <w:sz w:val="18"/>
      <w:szCs w:val="18"/>
    </w:rPr>
  </w:style>
  <w:style w:type="character" w:customStyle="1" w:styleId="a">
    <w:name w:val="页眉 字符"/>
    <w:basedOn w:val="DefaultParagraphFont"/>
    <w:link w:val="Header"/>
    <w:rsid w:val="002A4A49"/>
    <w:rPr>
      <w:sz w:val="18"/>
      <w:szCs w:val="18"/>
    </w:rPr>
  </w:style>
  <w:style w:type="paragraph" w:styleId="Footer">
    <w:name w:val="footer"/>
    <w:basedOn w:val="Normal"/>
    <w:link w:val="a0"/>
    <w:rsid w:val="002A4A49"/>
    <w:pPr>
      <w:tabs>
        <w:tab w:val="center" w:pos="4153"/>
        <w:tab w:val="right" w:pos="8306"/>
      </w:tabs>
      <w:snapToGrid w:val="0"/>
    </w:pPr>
    <w:rPr>
      <w:sz w:val="18"/>
      <w:szCs w:val="18"/>
    </w:rPr>
  </w:style>
  <w:style w:type="character" w:customStyle="1" w:styleId="a0">
    <w:name w:val="页脚 字符"/>
    <w:basedOn w:val="DefaultParagraphFont"/>
    <w:link w:val="Footer"/>
    <w:rsid w:val="002A4A49"/>
    <w:rPr>
      <w:sz w:val="18"/>
      <w:szCs w:val="18"/>
    </w:rPr>
  </w:style>
  <w:style w:type="character" w:styleId="PageNumber">
    <w:name w:val="page number"/>
    <w:basedOn w:val="DefaultParagraphFont"/>
    <w:rsid w:val="002A4A4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288056110135006025" TargetMode="External" /><Relationship Id="rId17" Type="http://schemas.openxmlformats.org/officeDocument/2006/relationships/header" Target="header7.xml" /><Relationship Id="rId18" Type="http://schemas.openxmlformats.org/officeDocument/2006/relationships/header" Target="header8.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footer" Target="footer8.xml" /><Relationship Id="rId21" Type="http://schemas.openxmlformats.org/officeDocument/2006/relationships/header" Target="header9.xml" /><Relationship Id="rId22" Type="http://schemas.openxmlformats.org/officeDocument/2006/relationships/footer" Target="footer9.xml" /><Relationship Id="rId23" Type="http://schemas.openxmlformats.org/officeDocument/2006/relationships/theme" Target="theme/theme1.xml" /><Relationship Id="rId24"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4329</Words>
  <Characters>24678</Characters>
  <Application>Microsoft Office Word</Application>
  <DocSecurity>0</DocSecurity>
  <Lines>205</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铭基 席</cp:lastModifiedBy>
  <cp:revision>2</cp:revision>
  <dcterms:created xsi:type="dcterms:W3CDTF">2024-01-12T14:15:00Z</dcterms:created>
  <dcterms:modified xsi:type="dcterms:W3CDTF">2024-01-12T14:15:00Z</dcterms:modified>
</cp:coreProperties>
</file>