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adjustRightInd/>
        <w:snapToGrid/>
        <w:spacing w:before="316" w:beforeLines="100" w:beforeAutospacing="0" w:after="316" w:afterLines="100" w:afterAutospacing="0" w:line="360" w:lineRule="auto"/>
        <w:ind w:left="0" w:right="0" w:firstLine="0"/>
        <w:jc w:val="center"/>
        <w:textAlignment w:val="auto"/>
        <w:outlineLvl w:val="9"/>
        <w:rPr>
          <w:rFonts w:ascii="宋体" w:hAnsi="宋体" w:cs="宋体" w:hint="eastAsia"/>
          <w:b/>
          <w:bCs/>
          <w:snapToGrid w:val="0"/>
          <w:color w:val="000000"/>
          <w:spacing w:val="0"/>
          <w:kern w:val="0"/>
          <w:sz w:val="44"/>
          <w:szCs w:val="44"/>
          <w:highlight w:val="none"/>
          <w:lang w:bidi="ar"/>
        </w:rPr>
      </w:pPr>
      <w:r>
        <w:rPr>
          <w:rFonts w:ascii="宋体" w:hAnsi="宋体" w:cs="宋体" w:hint="eastAsia"/>
          <w:b/>
          <w:bCs/>
          <w:snapToGrid w:val="0"/>
          <w:color w:val="000000"/>
          <w:spacing w:val="0"/>
          <w:kern w:val="0"/>
          <w:sz w:val="44"/>
          <w:szCs w:val="44"/>
          <w:highlight w:val="none"/>
          <w:lang w:val="en-US" w:eastAsia="zh-CN" w:bidi="ar"/>
        </w:rPr>
        <w:t>特种设备风险管控清单</w:t>
      </w:r>
    </w:p>
    <w:p>
      <w:pPr>
        <w:jc w:val="center"/>
        <w:rPr>
          <w:rStyle w:val="Hyperlink"/>
        </w:rPr>
      </w:pPr>
      <w:bookmarkStart w:id="0" w:name="_Toc139636031"/>
      <w:r>
        <w:rPr>
          <w:sz w:val="40"/>
          <w:szCs w:val="44"/>
          <w:lang w:val="zh-CN"/>
        </w:rPr>
        <w:t>目录</w:t>
      </w:r>
      <w:bookmarkEnd w:id="0"/>
    </w:p>
    <w:p>
      <w:pPr>
        <w:jc w:val="center"/>
        <w:rPr>
          <w:rStyle w:val="Hyperlink"/>
        </w:rPr>
      </w:pPr>
      <w:r>
        <w:rPr>
          <w:rStyle w:val="Hyperlink"/>
        </w:rPr>
        <w:fldChar w:fldCharType="begin"/>
      </w:r>
      <w:r>
        <w:rPr>
          <w:rStyle w:val="Hyperlink"/>
        </w:rPr>
        <w:instrText xml:space="preserve"> TOC \o "1-3" \h \z \u </w:instrText>
      </w:r>
      <w:r>
        <w:rPr>
          <w:rStyle w:val="Hyperlink"/>
        </w:rPr>
        <w:fldChar w:fldCharType="separate"/>
      </w:r>
    </w:p>
    <w:p>
      <w:pPr>
        <w:pStyle w:val="TOC1"/>
        <w:tabs>
          <w:tab w:val="left" w:pos="420"/>
          <w:tab w:val="right" w:leader="dot" w:pos="8296"/>
        </w:tabs>
        <w:spacing w:line="360" w:lineRule="auto"/>
        <w:rPr>
          <w:rStyle w:val="Hyperlink"/>
          <w:rFonts w:ascii="Calibri" w:eastAsia="宋体" w:hAnsi="Calibri" w:cs="Times New Roman"/>
          <w:b/>
        </w:rPr>
      </w:pPr>
      <w:hyperlink w:anchor="_Toc139888420" w:history="1">
        <w:r>
          <w:rPr>
            <w:rStyle w:val="Hyperlink"/>
            <w:rFonts w:ascii="Calibri" w:eastAsia="宋体" w:hAnsi="Calibri" w:cs="Times New Roman"/>
            <w:b/>
            <w:sz w:val="22"/>
            <w:szCs w:val="24"/>
          </w:rPr>
          <w:t>1.</w:t>
        </w:r>
        <w:r>
          <w:rPr>
            <w:rStyle w:val="Hyperlink"/>
            <w:rFonts w:ascii="Calibri" w:eastAsia="宋体" w:hAnsi="Calibri" w:cs="Times New Roman"/>
            <w:b/>
          </w:rPr>
          <w:tab/>
        </w:r>
        <w:r>
          <w:rPr>
            <w:rStyle w:val="Hyperlink"/>
            <w:rFonts w:ascii="Calibri" w:eastAsia="宋体" w:hAnsi="Calibri" w:cs="Times New Roman"/>
            <w:b/>
            <w:sz w:val="22"/>
            <w:szCs w:val="24"/>
          </w:rPr>
          <w:t>锅炉安全风险管控清单</w:t>
        </w:r>
        <w:r>
          <w:rPr>
            <w:rStyle w:val="Hyperlink"/>
            <w:rFonts w:ascii="Calibri" w:eastAsia="宋体" w:hAnsi="Calibri" w:cs="Times New Roman"/>
            <w:b/>
          </w:rPr>
          <w:tab/>
        </w:r>
        <w:r>
          <w:rPr>
            <w:rStyle w:val="Hyperlink"/>
            <w:rFonts w:cs="Times New Roman" w:hint="eastAsia"/>
            <w:b/>
            <w:lang w:val="en-US" w:eastAsia="zh-CN"/>
          </w:rPr>
          <w:t>2</w:t>
        </w:r>
      </w:hyperlink>
    </w:p>
    <w:p>
      <w:pPr>
        <w:pStyle w:val="TOC1"/>
        <w:tabs>
          <w:tab w:val="left" w:pos="420"/>
          <w:tab w:val="right" w:leader="dot" w:pos="8296"/>
        </w:tabs>
        <w:spacing w:line="360" w:lineRule="auto"/>
        <w:rPr>
          <w:rStyle w:val="Hyperlink"/>
          <w:rFonts w:ascii="Calibri" w:eastAsia="宋体" w:hAnsi="Calibri" w:cs="Times New Roman"/>
          <w:b/>
        </w:rPr>
      </w:pPr>
      <w:hyperlink w:anchor="_Toc139888421" w:history="1">
        <w:r>
          <w:rPr>
            <w:rStyle w:val="Hyperlink"/>
            <w:rFonts w:ascii="Calibri" w:eastAsia="宋体" w:hAnsi="Calibri" w:cs="Times New Roman"/>
            <w:b/>
            <w:sz w:val="22"/>
            <w:szCs w:val="24"/>
          </w:rPr>
          <w:t>2.</w:t>
        </w:r>
        <w:r>
          <w:rPr>
            <w:rStyle w:val="Hyperlink"/>
            <w:rFonts w:ascii="Calibri" w:eastAsia="宋体" w:hAnsi="Calibri" w:cs="Times New Roman"/>
            <w:b/>
          </w:rPr>
          <w:tab/>
        </w:r>
        <w:r>
          <w:rPr>
            <w:rStyle w:val="Hyperlink"/>
            <w:rFonts w:ascii="Calibri" w:eastAsia="宋体" w:hAnsi="Calibri" w:cs="Times New Roman"/>
            <w:b/>
            <w:sz w:val="22"/>
            <w:szCs w:val="24"/>
          </w:rPr>
          <w:t>压力容器安全风险管控清单</w:t>
        </w:r>
        <w:r>
          <w:rPr>
            <w:rStyle w:val="Hyperlink"/>
            <w:rFonts w:ascii="Calibri" w:eastAsia="宋体" w:hAnsi="Calibri" w:cs="Times New Roman"/>
            <w:b/>
          </w:rPr>
          <w:tab/>
        </w:r>
        <w:r>
          <w:rPr>
            <w:rStyle w:val="Hyperlink"/>
            <w:rFonts w:cs="Times New Roman" w:hint="eastAsia"/>
            <w:b/>
            <w:lang w:val="en-US" w:eastAsia="zh-CN"/>
          </w:rPr>
          <w:t>7</w:t>
        </w:r>
      </w:hyperlink>
    </w:p>
    <w:p>
      <w:pPr>
        <w:pStyle w:val="TOC1"/>
        <w:tabs>
          <w:tab w:val="left" w:pos="420"/>
          <w:tab w:val="right" w:leader="dot" w:pos="8296"/>
        </w:tabs>
        <w:spacing w:line="360" w:lineRule="auto"/>
        <w:rPr>
          <w:rStyle w:val="Hyperlink"/>
          <w:rFonts w:ascii="Calibri" w:eastAsia="宋体" w:hAnsi="Calibri" w:cs="Times New Roman" w:hint="eastAsia"/>
          <w:b/>
          <w:lang w:val="en-US" w:eastAsia="zh-CN"/>
        </w:rPr>
      </w:pPr>
      <w:hyperlink w:anchor="_Toc139888422" w:history="1">
        <w:r>
          <w:rPr>
            <w:rStyle w:val="Hyperlink"/>
            <w:rFonts w:ascii="Calibri" w:eastAsia="宋体" w:hAnsi="Calibri" w:cs="Times New Roman"/>
            <w:b/>
            <w:sz w:val="22"/>
            <w:szCs w:val="24"/>
          </w:rPr>
          <w:t>3.</w:t>
        </w:r>
        <w:r>
          <w:rPr>
            <w:rStyle w:val="Hyperlink"/>
            <w:rFonts w:ascii="Calibri" w:eastAsia="宋体" w:hAnsi="Calibri" w:cs="Times New Roman"/>
            <w:b/>
          </w:rPr>
          <w:tab/>
        </w:r>
        <w:r>
          <w:rPr>
            <w:rStyle w:val="Hyperlink"/>
            <w:rFonts w:ascii="Calibri" w:eastAsia="宋体" w:hAnsi="Calibri" w:cs="Times New Roman"/>
            <w:b/>
            <w:sz w:val="22"/>
            <w:szCs w:val="24"/>
          </w:rPr>
          <w:t>压力管道安全风险管控清单</w:t>
        </w:r>
        <w:r>
          <w:rPr>
            <w:rStyle w:val="Hyperlink"/>
            <w:rFonts w:ascii="Calibri" w:eastAsia="宋体" w:hAnsi="Calibri" w:cs="Times New Roman"/>
            <w:b/>
          </w:rPr>
          <w:tab/>
        </w:r>
        <w:r>
          <w:rPr>
            <w:rStyle w:val="Hyperlink"/>
            <w:rFonts w:cs="Times New Roman" w:hint="eastAsia"/>
            <w:b/>
            <w:lang w:val="en-US" w:eastAsia="zh-CN"/>
          </w:rPr>
          <w:t>1</w:t>
        </w:r>
      </w:hyperlink>
      <w:r>
        <w:rPr>
          <w:rStyle w:val="Hyperlink"/>
          <w:rFonts w:cs="Times New Roman" w:hint="eastAsia"/>
          <w:b/>
          <w:lang w:val="en-US" w:eastAsia="zh-CN"/>
        </w:rPr>
        <w:t>3</w:t>
      </w:r>
    </w:p>
    <w:p>
      <w:pPr>
        <w:pStyle w:val="TOC1"/>
        <w:tabs>
          <w:tab w:val="left" w:pos="420"/>
          <w:tab w:val="right" w:leader="dot" w:pos="8296"/>
        </w:tabs>
        <w:spacing w:line="360" w:lineRule="auto"/>
        <w:rPr>
          <w:rStyle w:val="Hyperlink"/>
          <w:rFonts w:ascii="Calibri" w:eastAsia="宋体" w:hAnsi="Calibri" w:cs="Times New Roman" w:hint="eastAsia"/>
          <w:b/>
          <w:lang w:val="en-US" w:eastAsia="zh-CN"/>
        </w:rPr>
      </w:pPr>
      <w:hyperlink w:anchor="_Toc139888423" w:history="1">
        <w:r>
          <w:rPr>
            <w:rStyle w:val="Hyperlink"/>
            <w:rFonts w:ascii="Calibri" w:eastAsia="宋体" w:hAnsi="Calibri" w:cs="Times New Roman"/>
            <w:b/>
            <w:sz w:val="22"/>
            <w:szCs w:val="24"/>
          </w:rPr>
          <w:t>4.</w:t>
        </w:r>
        <w:r>
          <w:rPr>
            <w:rStyle w:val="Hyperlink"/>
            <w:rFonts w:ascii="Calibri" w:eastAsia="宋体" w:hAnsi="Calibri" w:cs="Times New Roman"/>
            <w:b/>
          </w:rPr>
          <w:tab/>
        </w:r>
        <w:r>
          <w:rPr>
            <w:rStyle w:val="Hyperlink"/>
            <w:rFonts w:ascii="Calibri" w:eastAsia="宋体" w:hAnsi="Calibri" w:cs="Times New Roman"/>
            <w:b/>
            <w:sz w:val="22"/>
            <w:szCs w:val="24"/>
          </w:rPr>
          <w:t>电梯安全风险管控清单</w:t>
        </w:r>
        <w:r>
          <w:rPr>
            <w:rStyle w:val="Hyperlink"/>
            <w:rFonts w:ascii="Calibri" w:eastAsia="宋体" w:hAnsi="Calibri" w:cs="Times New Roman"/>
            <w:b/>
          </w:rPr>
          <w:tab/>
        </w:r>
        <w:r>
          <w:rPr>
            <w:rStyle w:val="Hyperlink"/>
            <w:rFonts w:cs="Times New Roman" w:hint="eastAsia"/>
            <w:b/>
            <w:lang w:val="en-US" w:eastAsia="zh-CN"/>
          </w:rPr>
          <w:t>1</w:t>
        </w:r>
      </w:hyperlink>
      <w:r>
        <w:rPr>
          <w:rStyle w:val="Hyperlink"/>
          <w:rFonts w:cs="Times New Roman" w:hint="eastAsia"/>
          <w:b/>
          <w:lang w:val="en-US" w:eastAsia="zh-CN"/>
        </w:rPr>
        <w:t>9</w:t>
      </w:r>
    </w:p>
    <w:p>
      <w:pPr>
        <w:pStyle w:val="TOC1"/>
        <w:tabs>
          <w:tab w:val="left" w:pos="420"/>
          <w:tab w:val="right" w:leader="dot" w:pos="8296"/>
        </w:tabs>
        <w:spacing w:line="360" w:lineRule="auto"/>
        <w:rPr>
          <w:rStyle w:val="Hyperlink"/>
          <w:rFonts w:ascii="Calibri" w:eastAsia="宋体" w:hAnsi="Calibri" w:cs="Times New Roman" w:hint="eastAsia"/>
          <w:b/>
          <w:lang w:val="en-US" w:eastAsia="zh-CN"/>
        </w:rPr>
      </w:pPr>
      <w:hyperlink w:anchor="_Toc139888424" w:history="1">
        <w:r>
          <w:rPr>
            <w:rStyle w:val="Hyperlink"/>
            <w:rFonts w:ascii="Calibri" w:eastAsia="宋体" w:hAnsi="Calibri" w:cs="Times New Roman"/>
            <w:b/>
            <w:sz w:val="22"/>
            <w:szCs w:val="24"/>
          </w:rPr>
          <w:t>5.</w:t>
        </w:r>
        <w:r>
          <w:rPr>
            <w:rStyle w:val="Hyperlink"/>
            <w:rFonts w:ascii="Calibri" w:eastAsia="宋体" w:hAnsi="Calibri" w:cs="Times New Roman"/>
            <w:b/>
          </w:rPr>
          <w:tab/>
        </w:r>
        <w:r>
          <w:rPr>
            <w:rStyle w:val="Hyperlink"/>
            <w:rFonts w:ascii="Calibri" w:eastAsia="宋体" w:hAnsi="Calibri" w:cs="Times New Roman"/>
            <w:b/>
            <w:sz w:val="22"/>
            <w:szCs w:val="24"/>
          </w:rPr>
          <w:t>起重机械安全风险管控清单</w:t>
        </w:r>
        <w:r>
          <w:rPr>
            <w:rStyle w:val="Hyperlink"/>
            <w:rFonts w:ascii="Calibri" w:eastAsia="宋体" w:hAnsi="Calibri" w:cs="Times New Roman"/>
            <w:b/>
          </w:rPr>
          <w:tab/>
        </w:r>
        <w:r>
          <w:rPr>
            <w:rStyle w:val="Hyperlink"/>
            <w:rFonts w:cs="Times New Roman" w:hint="eastAsia"/>
            <w:b/>
            <w:lang w:val="en-US" w:eastAsia="zh-CN"/>
          </w:rPr>
          <w:t>2</w:t>
        </w:r>
      </w:hyperlink>
      <w:r>
        <w:rPr>
          <w:rStyle w:val="Hyperlink"/>
          <w:rFonts w:cs="Times New Roman" w:hint="eastAsia"/>
          <w:b/>
          <w:lang w:val="en-US" w:eastAsia="zh-CN"/>
        </w:rPr>
        <w:t>3</w:t>
      </w:r>
    </w:p>
    <w:p>
      <w:pPr>
        <w:pStyle w:val="TOC1"/>
        <w:tabs>
          <w:tab w:val="left" w:pos="420"/>
          <w:tab w:val="right" w:leader="dot" w:pos="8296"/>
        </w:tabs>
        <w:spacing w:line="360" w:lineRule="auto"/>
        <w:rPr>
          <w:rStyle w:val="Hyperlink"/>
          <w:rFonts w:ascii="Calibri" w:eastAsia="宋体" w:hAnsi="Calibri" w:cs="Times New Roman"/>
          <w:b/>
        </w:rPr>
      </w:pPr>
      <w:hyperlink w:anchor="_Toc139888425" w:history="1">
        <w:r>
          <w:rPr>
            <w:rStyle w:val="Hyperlink"/>
            <w:rFonts w:ascii="Calibri" w:eastAsia="宋体" w:hAnsi="Calibri" w:cs="Times New Roman"/>
            <w:b/>
            <w:sz w:val="22"/>
            <w:szCs w:val="24"/>
          </w:rPr>
          <w:t>6.</w:t>
        </w:r>
        <w:r>
          <w:rPr>
            <w:rStyle w:val="Hyperlink"/>
            <w:rFonts w:ascii="Calibri" w:eastAsia="宋体" w:hAnsi="Calibri" w:cs="Times New Roman"/>
            <w:b/>
          </w:rPr>
          <w:tab/>
        </w:r>
        <w:r>
          <w:rPr>
            <w:rStyle w:val="Hyperlink"/>
            <w:rFonts w:ascii="Calibri" w:eastAsia="宋体" w:hAnsi="Calibri" w:cs="Times New Roman"/>
            <w:b/>
            <w:sz w:val="22"/>
            <w:szCs w:val="24"/>
          </w:rPr>
          <w:t>场（厂）车安全风险管控清单</w:t>
        </w:r>
        <w:r>
          <w:rPr>
            <w:rStyle w:val="Hyperlink"/>
            <w:rFonts w:ascii="Calibri" w:eastAsia="宋体" w:hAnsi="Calibri" w:cs="Times New Roman"/>
            <w:b/>
          </w:rPr>
          <w:tab/>
        </w:r>
        <w:r>
          <w:rPr>
            <w:rStyle w:val="Hyperlink"/>
            <w:rFonts w:ascii="Calibri" w:eastAsia="宋体" w:hAnsi="Calibri" w:cs="Times New Roman"/>
            <w:b/>
          </w:rPr>
          <w:fldChar w:fldCharType="begin"/>
        </w:r>
        <w:r>
          <w:rPr>
            <w:rStyle w:val="Hyperlink"/>
            <w:rFonts w:ascii="Calibri" w:eastAsia="宋体" w:hAnsi="Calibri" w:cs="Times New Roman"/>
            <w:b/>
          </w:rPr>
          <w:instrText xml:space="preserve"> PAGEREF _Toc139888425 \h </w:instrText>
        </w:r>
        <w:r>
          <w:rPr>
            <w:rStyle w:val="Hyperlink"/>
            <w:rFonts w:ascii="Calibri" w:eastAsia="宋体" w:hAnsi="Calibri" w:cs="Times New Roman"/>
            <w:b/>
          </w:rPr>
          <w:fldChar w:fldCharType="separate"/>
        </w:r>
        <w:r>
          <w:rPr>
            <w:rStyle w:val="Hyperlink"/>
            <w:rFonts w:cs="Times New Roman" w:hint="eastAsia"/>
            <w:b/>
            <w:lang w:val="en-US" w:eastAsia="zh-CN"/>
          </w:rPr>
          <w:t>2</w:t>
        </w:r>
        <w:r>
          <w:rPr>
            <w:rStyle w:val="Hyperlink"/>
            <w:rFonts w:ascii="Calibri" w:eastAsia="宋体" w:hAnsi="Calibri" w:cs="Times New Roman"/>
            <w:b/>
          </w:rPr>
          <w:t>7</w:t>
        </w:r>
        <w:r>
          <w:rPr>
            <w:rStyle w:val="Hyperlink"/>
            <w:rFonts w:ascii="Calibri" w:eastAsia="宋体" w:hAnsi="Calibri" w:cs="Times New Roman"/>
            <w:b/>
          </w:rPr>
          <w:fldChar w:fldCharType="end"/>
        </w:r>
      </w:hyperlink>
    </w:p>
    <w:p>
      <w:r>
        <w:fldChar w:fldCharType="end"/>
      </w:r>
    </w:p>
    <w:p>
      <w:pPr>
        <w:pStyle w:val="BodyTextFirstIndent"/>
      </w:pPr>
    </w:p>
    <w:p>
      <w:pPr>
        <w:pStyle w:val="BodyTextFirstIndent"/>
      </w:pPr>
    </w:p>
    <w:p>
      <w:pPr>
        <w:pStyle w:val="BodyTextFirstIndent"/>
      </w:pPr>
    </w:p>
    <w:p>
      <w:pPr>
        <w:pStyle w:val="BodyTextFirstIndent"/>
      </w:pPr>
    </w:p>
    <w:p>
      <w:pPr>
        <w:pStyle w:val="BodyTextFirstIndent"/>
      </w:pPr>
    </w:p>
    <w:p>
      <w:pPr>
        <w:pStyle w:val="BodyTextFirstIndent"/>
      </w:pPr>
    </w:p>
    <w:p>
      <w:pPr>
        <w:pStyle w:val="BodyTextFirstIndent"/>
      </w:pPr>
    </w:p>
    <w:p/>
    <w:p>
      <w:pPr>
        <w:pStyle w:val="ListParagraph"/>
        <w:numPr>
          <w:ilvl w:val="0"/>
          <w:numId w:val="1"/>
        </w:numPr>
        <w:ind w:left="-2" w:hanging="565" w:leftChars="-270" w:hangingChars="157"/>
        <w:jc w:val="center"/>
        <w:outlineLvl w:val="0"/>
        <w:rPr>
          <w:b/>
          <w:sz w:val="36"/>
          <w:szCs w:val="36"/>
        </w:rPr>
        <w:sectPr>
          <w:headerReference w:type="default" r:id="rId4"/>
          <w:type w:val="nextPage"/>
          <w:pgSz w:w="11906" w:h="16838" w:orient="portrait"/>
          <w:pgMar w:top="1191" w:right="1406" w:bottom="1191" w:left="1406" w:header="851" w:footer="992" w:gutter="0"/>
          <w:paperSrc w:first="0" w:other="0"/>
          <w:cols w:space="708"/>
          <w:titlePg w:val="0"/>
          <w:rtlGutter w:val="0"/>
          <w:docGrid w:type="lines" w:linePitch="316" w:charSpace="0"/>
        </w:sectPr>
      </w:pPr>
      <w:bookmarkStart w:id="1" w:name="_Toc139888420"/>
    </w:p>
    <w:p>
      <w:pPr>
        <w:pStyle w:val="ListParagraph"/>
        <w:numPr>
          <w:ilvl w:val="0"/>
          <w:numId w:val="1"/>
        </w:numPr>
        <w:ind w:left="-2" w:hanging="565" w:leftChars="-270" w:hangingChars="157"/>
        <w:jc w:val="center"/>
        <w:outlineLvl w:val="0"/>
        <w:rPr>
          <w:b/>
          <w:sz w:val="36"/>
          <w:szCs w:val="36"/>
        </w:rPr>
      </w:pPr>
      <w:r>
        <w:rPr>
          <w:rFonts w:ascii="Calibri" w:eastAsia="宋体" w:hAnsi="Calibri" w:cs="Times New Roman" w:hint="eastAsia"/>
          <w:b/>
          <w:sz w:val="36"/>
          <w:szCs w:val="36"/>
        </w:rPr>
        <w:t>锅炉</w:t>
      </w:r>
      <w:r>
        <w:rPr>
          <w:rFonts w:cs="Times New Roman" w:hint="eastAsia"/>
          <w:b/>
          <w:sz w:val="36"/>
          <w:szCs w:val="36"/>
        </w:rPr>
        <w:t>安全</w:t>
      </w:r>
      <w:r>
        <w:rPr>
          <w:rFonts w:ascii="Calibri" w:eastAsia="宋体" w:hAnsi="Calibri" w:cs="Times New Roman" w:hint="eastAsia"/>
          <w:b/>
          <w:sz w:val="36"/>
          <w:szCs w:val="36"/>
        </w:rPr>
        <w:t>风</w:t>
      </w:r>
      <w:r>
        <w:rPr>
          <w:rFonts w:hint="eastAsia"/>
          <w:b/>
          <w:sz w:val="36"/>
          <w:szCs w:val="36"/>
        </w:rPr>
        <w:t>险管控清单</w:t>
      </w:r>
    </w:p>
    <w:tbl>
      <w:tblPr>
        <w:tblStyle w:val="TableNormal"/>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4"/>
        <w:gridCol w:w="1608"/>
        <w:gridCol w:w="3545"/>
        <w:gridCol w:w="4100"/>
        <w:gridCol w:w="1569"/>
        <w:gridCol w:w="1559"/>
        <w:gridCol w:w="39"/>
        <w:gridCol w:w="1011"/>
      </w:tblGrid>
      <w:tr>
        <w:tblPrEx>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637"/>
          <w:tblHeader/>
          <w:jc w:val="center"/>
        </w:trPr>
        <w:tc>
          <w:tcPr>
            <w:tcW w:w="794" w:type="dxa"/>
            <w:shd w:val="clear" w:color="auto" w:fill="BEBEBE"/>
            <w:vAlign w:val="center"/>
          </w:tcPr>
          <w:p>
            <w:pPr>
              <w:jc w:val="center"/>
              <w:rPr>
                <w:rFonts w:ascii="宋体" w:hAnsi="宋体" w:cs="宋体" w:hint="eastAsia"/>
                <w:b/>
                <w:color w:val="auto"/>
                <w:sz w:val="28"/>
                <w:szCs w:val="28"/>
              </w:rPr>
            </w:pPr>
            <w:bookmarkEnd w:id="1"/>
            <w:r>
              <w:rPr>
                <w:rFonts w:ascii="宋体" w:eastAsia="宋体" w:hAnsi="宋体" w:cs="宋体" w:hint="eastAsia"/>
                <w:b/>
                <w:color w:val="auto"/>
                <w:sz w:val="28"/>
                <w:szCs w:val="28"/>
              </w:rPr>
              <w:t>序号</w:t>
            </w:r>
          </w:p>
        </w:tc>
        <w:tc>
          <w:tcPr>
            <w:tcW w:w="1608" w:type="dxa"/>
            <w:shd w:val="clear" w:color="auto" w:fill="BEBEBE"/>
            <w:vAlign w:val="center"/>
          </w:tcPr>
          <w:p>
            <w:pPr>
              <w:jc w:val="center"/>
              <w:rPr>
                <w:rFonts w:ascii="宋体" w:hAnsi="宋体" w:cs="宋体" w:hint="eastAsia"/>
                <w:b/>
                <w:color w:val="auto"/>
                <w:sz w:val="28"/>
                <w:szCs w:val="28"/>
              </w:rPr>
            </w:pPr>
            <w:r>
              <w:rPr>
                <w:rFonts w:ascii="宋体" w:eastAsia="宋体" w:hAnsi="宋体" w:cs="宋体" w:hint="eastAsia"/>
                <w:b/>
                <w:color w:val="auto"/>
                <w:sz w:val="28"/>
                <w:szCs w:val="28"/>
              </w:rPr>
              <w:t>风险类别</w:t>
            </w:r>
          </w:p>
        </w:tc>
        <w:tc>
          <w:tcPr>
            <w:tcW w:w="3545" w:type="dxa"/>
            <w:shd w:val="clear" w:color="auto" w:fill="BEBEBE"/>
            <w:vAlign w:val="center"/>
          </w:tcPr>
          <w:p>
            <w:pPr>
              <w:jc w:val="center"/>
              <w:rPr>
                <w:rFonts w:ascii="宋体" w:hAnsi="宋体" w:cs="宋体" w:hint="eastAsia"/>
                <w:b/>
                <w:color w:val="auto"/>
                <w:sz w:val="28"/>
                <w:szCs w:val="28"/>
              </w:rPr>
            </w:pPr>
            <w:r>
              <w:rPr>
                <w:rFonts w:ascii="宋体" w:eastAsia="宋体" w:hAnsi="宋体" w:cs="宋体" w:hint="eastAsia"/>
                <w:b/>
                <w:color w:val="auto"/>
                <w:sz w:val="28"/>
                <w:szCs w:val="28"/>
              </w:rPr>
              <w:t>风险指标</w:t>
            </w:r>
          </w:p>
        </w:tc>
        <w:tc>
          <w:tcPr>
            <w:tcW w:w="4100" w:type="dxa"/>
            <w:shd w:val="clear" w:color="auto" w:fill="BEBEBE"/>
            <w:vAlign w:val="center"/>
          </w:tcPr>
          <w:p>
            <w:pPr>
              <w:jc w:val="center"/>
              <w:rPr>
                <w:rFonts w:ascii="宋体" w:hAnsi="宋体" w:cs="宋体" w:hint="eastAsia"/>
                <w:b/>
                <w:color w:val="auto"/>
                <w:sz w:val="28"/>
                <w:szCs w:val="28"/>
              </w:rPr>
            </w:pPr>
            <w:r>
              <w:rPr>
                <w:rFonts w:ascii="宋体" w:eastAsia="宋体" w:hAnsi="宋体" w:cs="宋体" w:hint="eastAsia"/>
                <w:b/>
                <w:color w:val="auto"/>
                <w:sz w:val="28"/>
                <w:szCs w:val="28"/>
              </w:rPr>
              <w:t>风险管控措施</w:t>
            </w:r>
          </w:p>
        </w:tc>
        <w:tc>
          <w:tcPr>
            <w:tcW w:w="1569" w:type="dxa"/>
            <w:shd w:val="clear" w:color="auto" w:fill="BEBEBE"/>
            <w:vAlign w:val="center"/>
          </w:tcPr>
          <w:p>
            <w:pPr>
              <w:jc w:val="center"/>
              <w:rPr>
                <w:rFonts w:ascii="宋体" w:hAnsi="宋体" w:cs="宋体" w:hint="eastAsia"/>
                <w:b/>
                <w:color w:val="auto"/>
                <w:sz w:val="24"/>
              </w:rPr>
            </w:pPr>
            <w:r>
              <w:rPr>
                <w:rFonts w:ascii="宋体" w:eastAsia="宋体" w:hAnsi="宋体" w:cs="宋体" w:hint="eastAsia"/>
                <w:b/>
                <w:color w:val="auto"/>
                <w:sz w:val="24"/>
                <w:szCs w:val="24"/>
              </w:rPr>
              <w:t>管控形式</w:t>
            </w:r>
          </w:p>
        </w:tc>
        <w:tc>
          <w:tcPr>
            <w:tcW w:w="1559" w:type="dxa"/>
            <w:shd w:val="clear" w:color="auto" w:fill="BEBEBE"/>
            <w:vAlign w:val="center"/>
          </w:tcPr>
          <w:p>
            <w:pPr>
              <w:jc w:val="center"/>
              <w:rPr>
                <w:rFonts w:ascii="宋体" w:hAnsi="宋体" w:cs="宋体" w:hint="eastAsia"/>
                <w:b/>
                <w:color w:val="auto"/>
                <w:sz w:val="24"/>
              </w:rPr>
            </w:pPr>
            <w:r>
              <w:rPr>
                <w:rFonts w:ascii="宋体" w:eastAsia="宋体" w:hAnsi="宋体" w:cs="宋体" w:hint="eastAsia"/>
                <w:b/>
                <w:color w:val="auto"/>
                <w:sz w:val="24"/>
                <w:szCs w:val="24"/>
              </w:rPr>
              <w:t>责任人</w:t>
            </w:r>
          </w:p>
        </w:tc>
        <w:tc>
          <w:tcPr>
            <w:tcW w:w="1050" w:type="dxa"/>
            <w:gridSpan w:val="2"/>
            <w:shd w:val="clear" w:color="auto" w:fill="BEBEBE"/>
          </w:tcPr>
          <w:p>
            <w:pPr>
              <w:jc w:val="center"/>
              <w:rPr>
                <w:rFonts w:ascii="宋体" w:hAnsi="宋体" w:cs="宋体" w:hint="eastAsia"/>
                <w:b/>
                <w:color w:val="auto"/>
                <w:sz w:val="28"/>
                <w:szCs w:val="28"/>
              </w:rPr>
            </w:pPr>
            <w:r>
              <w:rPr>
                <w:rFonts w:ascii="宋体" w:eastAsia="宋体" w:hAnsi="宋体" w:cs="宋体" w:hint="eastAsia"/>
                <w:b/>
                <w:color w:val="auto"/>
                <w:sz w:val="28"/>
                <w:szCs w:val="28"/>
              </w:rPr>
              <w:t>备注</w:t>
            </w:r>
          </w:p>
        </w:tc>
      </w:tr>
      <w:tr>
        <w:tblPrEx>
          <w:tblW w:w="14225" w:type="dxa"/>
          <w:jc w:val="center"/>
          <w:tblLayout w:type="fixed"/>
          <w:tblCellMar>
            <w:top w:w="0" w:type="dxa"/>
            <w:left w:w="108" w:type="dxa"/>
            <w:bottom w:w="0" w:type="dxa"/>
            <w:right w:w="108" w:type="dxa"/>
          </w:tblCellMar>
          <w:tblLook w:val="0000"/>
        </w:tblPrEx>
        <w:trPr>
          <w:trHeight w:val="991"/>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w:t>
            </w:r>
          </w:p>
        </w:tc>
        <w:tc>
          <w:tcPr>
            <w:tcW w:w="1608" w:type="dxa"/>
            <w:vMerge w:val="restart"/>
            <w:vAlign w:val="center"/>
          </w:tcPr>
          <w:p>
            <w:pPr>
              <w:jc w:val="center"/>
              <w:rPr>
                <w:rFonts w:ascii="宋体" w:hAnsi="宋体" w:cs="宋体" w:hint="eastAsia"/>
                <w:color w:val="auto"/>
                <w:sz w:val="24"/>
              </w:rPr>
            </w:pPr>
            <w:r>
              <w:rPr>
                <w:rFonts w:ascii="宋体" w:eastAsia="宋体" w:hAnsi="宋体" w:cs="宋体" w:hint="eastAsia"/>
                <w:color w:val="auto"/>
                <w:sz w:val="24"/>
              </w:rPr>
              <w:t>人员</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未按规定配备安全管理人员和作业人员</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1.建立特种设备安全管理人员与作业人员管理制度；</w:t>
            </w:r>
          </w:p>
          <w:p>
            <w:pPr>
              <w:rPr>
                <w:rFonts w:ascii="宋体" w:hAnsi="宋体" w:cs="宋体" w:hint="eastAsia"/>
                <w:color w:val="auto"/>
                <w:sz w:val="24"/>
              </w:rPr>
            </w:pPr>
            <w:r>
              <w:rPr>
                <w:rFonts w:ascii="宋体" w:eastAsia="宋体" w:hAnsi="宋体" w:cs="宋体" w:hint="eastAsia"/>
                <w:color w:val="auto"/>
                <w:sz w:val="24"/>
              </w:rPr>
              <w:t>2.按规定配备相关人员。</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月调度</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主要负责人</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699"/>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作业人员未持有相应资格证件</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配备具有相应职责资质的作业人员，加强资格证的换证管理</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547"/>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3</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未按规定对安全管理人员和作业人员开展安全教育培训</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按规定开展安全培训教育</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805"/>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4</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作业人员违章作业或到岗值守情况不符合要求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检查锅炉作业人员到岗值守情况，纠正和制止违章作业行为</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757"/>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5</w:t>
            </w:r>
          </w:p>
        </w:tc>
        <w:tc>
          <w:tcPr>
            <w:tcW w:w="1608" w:type="dxa"/>
            <w:vMerge w:val="restart"/>
            <w:vAlign w:val="center"/>
          </w:tcPr>
          <w:p>
            <w:pPr>
              <w:jc w:val="center"/>
              <w:rPr>
                <w:rFonts w:ascii="宋体" w:hAnsi="宋体" w:cs="宋体" w:hint="eastAsia"/>
                <w:color w:val="auto"/>
                <w:sz w:val="24"/>
              </w:rPr>
            </w:pPr>
            <w:r>
              <w:rPr>
                <w:rFonts w:ascii="宋体" w:eastAsia="宋体" w:hAnsi="宋体" w:cs="宋体" w:hint="eastAsia"/>
                <w:color w:val="auto"/>
                <w:kern w:val="0"/>
                <w:sz w:val="24"/>
              </w:rPr>
              <w:t>管理</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未按规定设置安全管理机构</w:t>
            </w:r>
          </w:p>
        </w:tc>
        <w:tc>
          <w:tcPr>
            <w:tcW w:w="4100" w:type="dxa"/>
            <w:vAlign w:val="center"/>
          </w:tcPr>
          <w:p>
            <w:pPr>
              <w:pStyle w:val="ListParagraph"/>
              <w:ind w:firstLine="0" w:firstLineChars="0"/>
              <w:rPr>
                <w:rFonts w:ascii="宋体" w:eastAsia="宋体" w:hAnsi="宋体" w:cs="宋体" w:hint="eastAsia"/>
                <w:color w:val="auto"/>
                <w:sz w:val="24"/>
              </w:rPr>
            </w:pPr>
            <w:r>
              <w:rPr>
                <w:rFonts w:ascii="宋体" w:eastAsia="宋体" w:hAnsi="宋体" w:cs="宋体" w:hint="eastAsia"/>
                <w:color w:val="auto"/>
                <w:sz w:val="24"/>
              </w:rPr>
              <w:t>根据使用的特种设备种类和数量，设置专门的安全管理机构。</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月调度</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主要负责人</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482"/>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6</w:t>
            </w:r>
          </w:p>
        </w:tc>
        <w:tc>
          <w:tcPr>
            <w:tcW w:w="1608" w:type="dxa"/>
            <w:vMerge/>
            <w:vAlign w:val="center"/>
          </w:tcPr>
          <w:p>
            <w:pPr>
              <w:jc w:val="center"/>
              <w:rPr>
                <w:rFonts w:ascii="宋体" w:hAnsi="宋体" w:cs="宋体" w:hint="eastAsia"/>
                <w:color w:val="auto"/>
                <w:kern w:val="0"/>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kern w:val="0"/>
                <w:sz w:val="24"/>
              </w:rPr>
              <w:t>未建立锅炉</w:t>
            </w:r>
            <w:r>
              <w:rPr>
                <w:rFonts w:ascii="宋体" w:eastAsia="宋体" w:hAnsi="宋体" w:cs="宋体" w:hint="eastAsia"/>
                <w:color w:val="auto"/>
                <w:sz w:val="24"/>
              </w:rPr>
              <w:t>使用安全节能管理制度</w:t>
            </w:r>
          </w:p>
        </w:tc>
        <w:tc>
          <w:tcPr>
            <w:tcW w:w="4100" w:type="dxa"/>
            <w:vAlign w:val="center"/>
          </w:tcPr>
          <w:p>
            <w:pPr>
              <w:numPr>
                <w:ilvl w:val="0"/>
                <w:numId w:val="2"/>
              </w:numPr>
              <w:ind w:firstLine="0"/>
              <w:rPr>
                <w:rFonts w:ascii="宋体" w:hAnsi="宋体" w:cs="宋体" w:hint="eastAsia"/>
                <w:color w:val="auto"/>
                <w:sz w:val="24"/>
              </w:rPr>
            </w:pPr>
            <w:r>
              <w:rPr>
                <w:rFonts w:ascii="宋体" w:eastAsia="宋体" w:hAnsi="宋体" w:cs="宋体" w:hint="eastAsia"/>
                <w:color w:val="auto"/>
                <w:sz w:val="24"/>
              </w:rPr>
              <w:t>制定锅炉安全管理机构和相关人员岗位职责；</w:t>
            </w:r>
          </w:p>
          <w:p>
            <w:pPr>
              <w:numPr>
                <w:ilvl w:val="0"/>
                <w:numId w:val="2"/>
              </w:numPr>
              <w:ind w:firstLine="0"/>
              <w:rPr>
                <w:rFonts w:ascii="宋体" w:hAnsi="宋体" w:cs="宋体" w:hint="eastAsia"/>
                <w:color w:val="auto"/>
                <w:sz w:val="24"/>
              </w:rPr>
            </w:pPr>
            <w:r>
              <w:rPr>
                <w:rFonts w:ascii="宋体" w:eastAsia="宋体" w:hAnsi="宋体" w:cs="宋体" w:hint="eastAsia"/>
                <w:color w:val="auto"/>
                <w:sz w:val="24"/>
              </w:rPr>
              <w:t>制定《锅炉安全总监职责》《锅炉安全员守则》《锅炉安全日管控、周排查、月调度管理制度》；</w:t>
            </w:r>
          </w:p>
          <w:p>
            <w:pPr>
              <w:pStyle w:val="ListParagraph"/>
              <w:ind w:firstLine="0" w:firstLineChars="0"/>
              <w:rPr>
                <w:rFonts w:ascii="宋体" w:eastAsia="宋体" w:hAnsi="宋体" w:cs="宋体" w:hint="eastAsia"/>
                <w:color w:val="auto"/>
                <w:sz w:val="24"/>
              </w:rPr>
            </w:pPr>
            <w:r>
              <w:rPr>
                <w:rFonts w:ascii="宋体" w:eastAsia="宋体" w:hAnsi="宋体" w:cs="宋体" w:hint="eastAsia"/>
                <w:color w:val="auto"/>
                <w:sz w:val="24"/>
              </w:rPr>
              <w:t>3.按《特种设备使用管理规则》建立锅炉使用安全和节能管理制度 。</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757"/>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7</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未建立安全技术档案</w:t>
            </w:r>
          </w:p>
        </w:tc>
        <w:tc>
          <w:tcPr>
            <w:tcW w:w="4100" w:type="dxa"/>
            <w:vAlign w:val="center"/>
          </w:tcPr>
          <w:p>
            <w:pPr>
              <w:pStyle w:val="ListParagraph"/>
              <w:ind w:firstLine="0" w:firstLineChars="0"/>
              <w:rPr>
                <w:rFonts w:ascii="宋体" w:eastAsia="宋体" w:hAnsi="宋体" w:cs="宋体" w:hint="eastAsia"/>
                <w:color w:val="auto"/>
                <w:sz w:val="24"/>
              </w:rPr>
            </w:pPr>
            <w:r>
              <w:rPr>
                <w:rFonts w:ascii="宋体" w:eastAsia="宋体" w:hAnsi="宋体" w:cs="宋体" w:hint="eastAsia"/>
                <w:color w:val="auto"/>
                <w:sz w:val="24"/>
              </w:rPr>
              <w:t>1.建立锅炉安全技术档案管理制度，明确档案内容及管理要求；</w:t>
            </w:r>
          </w:p>
          <w:p>
            <w:pPr>
              <w:pStyle w:val="ListParagraph"/>
              <w:ind w:firstLine="0" w:firstLineChars="0"/>
              <w:rPr>
                <w:rFonts w:ascii="宋体" w:eastAsia="宋体" w:hAnsi="宋体" w:cs="宋体" w:hint="eastAsia"/>
                <w:color w:val="auto"/>
                <w:sz w:val="24"/>
              </w:rPr>
            </w:pPr>
            <w:r>
              <w:rPr>
                <w:rFonts w:ascii="宋体" w:eastAsia="宋体" w:hAnsi="宋体" w:cs="宋体" w:hint="eastAsia"/>
                <w:color w:val="auto"/>
                <w:sz w:val="24"/>
              </w:rPr>
              <w:t xml:space="preserve">2.按规定逐台建立安全技术档案并及时更新安全技术档案。 </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gridSpan w:val="2"/>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bl>
    <w:p>
      <w:pPr>
        <w:sectPr>
          <w:headerReference w:type="default" r:id="rId5"/>
          <w:type w:val="nextPage"/>
          <w:pgSz w:w="16838" w:h="11906" w:orient="landscape"/>
          <w:pgMar w:top="1406" w:right="1191" w:bottom="1406" w:left="1191" w:header="851" w:footer="992" w:gutter="0"/>
          <w:paperSrc w:first="0" w:other="0"/>
          <w:pgNumType w:start="2"/>
          <w:cols w:space="708"/>
          <w:titlePg w:val="0"/>
          <w:rtlGutter w:val="0"/>
          <w:docGrid w:type="lines" w:linePitch="324" w:charSpace="0"/>
        </w:sectPr>
      </w:pPr>
    </w:p>
    <w:tbl>
      <w:tblPr>
        <w:tblStyle w:val="TableNormal"/>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4"/>
        <w:gridCol w:w="1608"/>
        <w:gridCol w:w="3545"/>
        <w:gridCol w:w="4100"/>
        <w:gridCol w:w="1569"/>
        <w:gridCol w:w="1598"/>
        <w:gridCol w:w="1011"/>
      </w:tblGrid>
      <w:tr>
        <w:tblPrEx>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345"/>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8</w:t>
            </w:r>
          </w:p>
        </w:tc>
        <w:tc>
          <w:tcPr>
            <w:tcW w:w="1608" w:type="dxa"/>
            <w:vMerge w:val="restart"/>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未按规定办理使用登记、变更登记及停用、报废等手续</w:t>
            </w:r>
          </w:p>
        </w:tc>
        <w:tc>
          <w:tcPr>
            <w:tcW w:w="4100"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1.建立使用管理制度和规程，明确相关内容及安全管理要求；</w:t>
            </w:r>
          </w:p>
          <w:p>
            <w:pPr>
              <w:rPr>
                <w:rFonts w:ascii="宋体" w:hAnsi="宋体" w:cs="宋体" w:hint="eastAsia"/>
                <w:color w:val="auto"/>
                <w:sz w:val="24"/>
              </w:rPr>
            </w:pPr>
            <w:r>
              <w:rPr>
                <w:rFonts w:ascii="宋体" w:eastAsia="宋体" w:hAnsi="宋体" w:cs="宋体" w:hint="eastAsia"/>
                <w:color w:val="auto"/>
                <w:sz w:val="24"/>
              </w:rPr>
              <w:t>2. 按规定办理使用登记、变更登记及停用、报废手续。</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1129"/>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9</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未按规定制定锅炉事故应急专项预案并定期演练</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制定锅炉事故应急专项预案并每年至少开展1次演练</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月调度</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主要负责人</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1129"/>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10</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锅炉停炉期间未按规定对锅炉及水处理设备进行停炉保养</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1.制定并落实锅炉停炉期间的锅炉、水处理设备保养措施；</w:t>
            </w:r>
          </w:p>
          <w:p>
            <w:pPr>
              <w:rPr>
                <w:rFonts w:ascii="宋体" w:hAnsi="宋体" w:cs="宋体" w:hint="eastAsia"/>
                <w:color w:val="auto"/>
                <w:sz w:val="24"/>
              </w:rPr>
            </w:pPr>
            <w:r>
              <w:rPr>
                <w:rFonts w:ascii="宋体" w:eastAsia="宋体" w:hAnsi="宋体" w:cs="宋体" w:hint="eastAsia"/>
                <w:color w:val="auto"/>
                <w:sz w:val="24"/>
              </w:rPr>
              <w:t>2.加强锅炉管理人员、操作人员、维护保养人员的相关专业培训。</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668"/>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11</w:t>
            </w:r>
          </w:p>
        </w:tc>
        <w:tc>
          <w:tcPr>
            <w:tcW w:w="1608" w:type="dxa"/>
            <w:vMerge w:val="restart"/>
            <w:vAlign w:val="center"/>
          </w:tcPr>
          <w:p>
            <w:pPr>
              <w:jc w:val="center"/>
              <w:rPr>
                <w:rFonts w:ascii="宋体" w:hAnsi="宋体" w:cs="宋体" w:hint="eastAsia"/>
                <w:color w:val="auto"/>
                <w:sz w:val="24"/>
              </w:rPr>
            </w:pPr>
            <w:r>
              <w:rPr>
                <w:rFonts w:ascii="宋体" w:eastAsia="宋体" w:hAnsi="宋体" w:cs="宋体" w:hint="eastAsia"/>
                <w:color w:val="auto"/>
                <w:sz w:val="24"/>
              </w:rPr>
              <w:t>锅炉本体</w:t>
            </w:r>
          </w:p>
          <w:p>
            <w:pPr>
              <w:jc w:val="center"/>
              <w:rPr>
                <w:rFonts w:ascii="宋体" w:hAnsi="宋体" w:cs="宋体" w:hint="eastAsia"/>
                <w:color w:val="auto"/>
                <w:sz w:val="24"/>
              </w:rPr>
            </w:pPr>
            <w:r>
              <w:rPr>
                <w:rFonts w:ascii="宋体" w:eastAsia="宋体" w:hAnsi="宋体" w:cs="宋体" w:hint="eastAsia"/>
                <w:color w:val="auto"/>
                <w:sz w:val="24"/>
              </w:rPr>
              <w:t>及锅炉范围内管道</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选用国家明令禁止或淘汰的锅炉产品</w:t>
            </w:r>
          </w:p>
        </w:tc>
        <w:tc>
          <w:tcPr>
            <w:tcW w:w="4100" w:type="dxa"/>
            <w:vAlign w:val="center"/>
          </w:tcPr>
          <w:p>
            <w:pPr>
              <w:pStyle w:val="ListParagraph"/>
              <w:ind w:firstLine="0" w:firstLineChars="0"/>
              <w:rPr>
                <w:rFonts w:ascii="宋体" w:eastAsia="宋体" w:hAnsi="宋体" w:cs="宋体" w:hint="eastAsia"/>
                <w:color w:val="auto"/>
                <w:sz w:val="24"/>
              </w:rPr>
            </w:pPr>
            <w:r>
              <w:rPr>
                <w:rFonts w:ascii="宋体" w:eastAsia="宋体" w:hAnsi="宋体" w:cs="宋体" w:hint="eastAsia"/>
                <w:color w:val="auto"/>
                <w:sz w:val="24"/>
              </w:rPr>
              <w:t>建立采购管理制度，明确采购、验收要求</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月调度</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主要负责人</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1305"/>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12</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未按规定调试、检查和启动锅炉</w:t>
            </w:r>
          </w:p>
        </w:tc>
        <w:tc>
          <w:tcPr>
            <w:tcW w:w="4100" w:type="dxa"/>
            <w:vAlign w:val="center"/>
          </w:tcPr>
          <w:p>
            <w:pPr>
              <w:numPr>
                <w:ilvl w:val="0"/>
                <w:numId w:val="3"/>
              </w:numPr>
              <w:tabs>
                <w:tab w:val="left" w:pos="312"/>
              </w:tabs>
              <w:rPr>
                <w:rFonts w:ascii="宋体" w:hAnsi="宋体" w:cs="宋体" w:hint="eastAsia"/>
                <w:color w:val="auto"/>
                <w:sz w:val="24"/>
              </w:rPr>
            </w:pPr>
            <w:r>
              <w:rPr>
                <w:rFonts w:ascii="宋体" w:eastAsia="宋体" w:hAnsi="宋体" w:cs="宋体" w:hint="eastAsia"/>
                <w:color w:val="auto"/>
                <w:sz w:val="24"/>
              </w:rPr>
              <w:t>制定调试方案，调试过程中的技术、安全保障措施，规定进行调试并记录；</w:t>
            </w:r>
          </w:p>
          <w:p>
            <w:pPr>
              <w:numPr>
                <w:ilvl w:val="12"/>
                <w:numId w:val="0"/>
              </w:numPr>
              <w:rPr>
                <w:rFonts w:ascii="宋体" w:hAnsi="宋体" w:cs="宋体" w:hint="eastAsia"/>
                <w:color w:val="auto"/>
                <w:sz w:val="24"/>
              </w:rPr>
            </w:pPr>
            <w:r>
              <w:rPr>
                <w:rFonts w:ascii="宋体" w:eastAsia="宋体" w:hAnsi="宋体" w:cs="宋体" w:hint="eastAsia"/>
                <w:color w:val="auto"/>
                <w:sz w:val="24"/>
              </w:rPr>
              <w:t>2.按操作规程进行启动前检查和启动程序。</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912"/>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13</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锅炉膨胀异常</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膨胀示值有异常时，分析原因并采取相应的处置措施</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1054"/>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14</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受压部件及管接头等部位出现变形、泄漏、腐蚀等异常情况</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开展巡回检查，发现异常，按规定进行报告和处理</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bl>
    <w:p>
      <w:pPr>
        <w:sectPr>
          <w:headerReference w:type="default" r:id="rId6"/>
          <w:type w:val="nextPage"/>
          <w:pgSz w:w="16838" w:h="11906" w:orient="landscape"/>
          <w:pgMar w:top="1406" w:right="1191" w:bottom="1406" w:left="1191" w:header="851" w:footer="992" w:gutter="0"/>
          <w:paperSrc w:first="0" w:other="0"/>
          <w:pgNumType w:start="3"/>
          <w:cols w:space="708"/>
          <w:titlePg w:val="0"/>
          <w:rtlGutter w:val="0"/>
          <w:docGrid w:type="lines" w:linePitch="324" w:charSpace="0"/>
        </w:sectPr>
      </w:pPr>
    </w:p>
    <w:tbl>
      <w:tblPr>
        <w:tblStyle w:val="TableNormal"/>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4"/>
        <w:gridCol w:w="1608"/>
        <w:gridCol w:w="3545"/>
        <w:gridCol w:w="4100"/>
        <w:gridCol w:w="1569"/>
        <w:gridCol w:w="1598"/>
        <w:gridCol w:w="1011"/>
      </w:tblGrid>
      <w:tr>
        <w:tblPrEx>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756"/>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15</w:t>
            </w:r>
          </w:p>
        </w:tc>
        <w:tc>
          <w:tcPr>
            <w:tcW w:w="1608" w:type="dxa"/>
            <w:vMerge w:val="restart"/>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管道、阀门、分汽（水、油）缸存在振动 、变形、泄漏</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开展巡回检查，发现异常，按规定进行报告和处理</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756"/>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16</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未按规定进行维护保养和自行检查</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按规定制定维护保养制度和定期自行检查制度，组织开展维护保养和定期自行检查并做好相应记录</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756"/>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17</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 xml:space="preserve">未按规定进行定期检验、监督检验 </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 制定定期检验、监督检验计划并组织实施，落实定期检验、监督检验的后续整改工作；</w:t>
            </w:r>
          </w:p>
          <w:p>
            <w:pPr>
              <w:numPr>
                <w:ilvl w:val="12"/>
                <w:numId w:val="0"/>
              </w:numPr>
              <w:rPr>
                <w:rFonts w:ascii="宋体" w:hAnsi="宋体" w:cs="宋体" w:hint="eastAsia"/>
                <w:color w:val="auto"/>
                <w:sz w:val="24"/>
              </w:rPr>
            </w:pPr>
            <w:r>
              <w:rPr>
                <w:rFonts w:ascii="宋体" w:eastAsia="宋体" w:hAnsi="宋体" w:cs="宋体" w:hint="eastAsia"/>
                <w:color w:val="auto"/>
                <w:sz w:val="24"/>
              </w:rPr>
              <w:t>2. 成套装置中的锅炉和A级高压以上电站锅炉因检修原因不能按期进行内部检验时，督促落实相关监控措施。</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月调度</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主要负责人</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1195"/>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18</w:t>
            </w:r>
          </w:p>
        </w:tc>
        <w:tc>
          <w:tcPr>
            <w:tcW w:w="1608" w:type="dxa"/>
            <w:vMerge w:val="restart"/>
            <w:vAlign w:val="center"/>
          </w:tcPr>
          <w:p>
            <w:pPr>
              <w:jc w:val="center"/>
              <w:rPr>
                <w:rFonts w:ascii="宋体" w:hAnsi="宋体" w:cs="宋体" w:hint="eastAsia"/>
                <w:color w:val="auto"/>
                <w:sz w:val="24"/>
              </w:rPr>
            </w:pPr>
            <w:r>
              <w:rPr>
                <w:rFonts w:ascii="宋体" w:eastAsia="宋体" w:hAnsi="宋体" w:cs="宋体" w:hint="eastAsia"/>
                <w:color w:val="auto"/>
                <w:sz w:val="24"/>
              </w:rPr>
              <w:t>安全附件和安全保护装置</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控制式安全阀控制系统未定期试验、安全阀未定期校验、安全阀未进行定期排放试验</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1.制定安全附件定期试验、校验、维护保养管理制度，并严格执行；</w:t>
            </w:r>
          </w:p>
          <w:p>
            <w:pPr>
              <w:rPr>
                <w:rFonts w:ascii="宋体" w:hAnsi="宋体" w:cs="宋体" w:hint="eastAsia"/>
                <w:color w:val="auto"/>
                <w:sz w:val="24"/>
              </w:rPr>
            </w:pPr>
            <w:r>
              <w:rPr>
                <w:rFonts w:ascii="宋体" w:eastAsia="宋体" w:hAnsi="宋体" w:cs="宋体" w:hint="eastAsia"/>
                <w:color w:val="auto"/>
                <w:sz w:val="24"/>
              </w:rPr>
              <w:t>2.落实专人定期开展校验或试验。</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1620"/>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19</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压力表未按规定进行检定或者校准</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1.制定安全附件定期试验、校验、维护保养管理制度，并严格执行；</w:t>
            </w:r>
          </w:p>
          <w:p>
            <w:pPr>
              <w:rPr>
                <w:rFonts w:ascii="宋体" w:hAnsi="宋体" w:cs="宋体" w:hint="eastAsia"/>
                <w:color w:val="auto"/>
                <w:sz w:val="24"/>
              </w:rPr>
            </w:pPr>
            <w:r>
              <w:rPr>
                <w:rFonts w:ascii="宋体" w:eastAsia="宋体" w:hAnsi="宋体" w:cs="宋体" w:hint="eastAsia"/>
                <w:color w:val="auto"/>
                <w:sz w:val="24"/>
              </w:rPr>
              <w:t>2.落实专人定期开展送检或检查。</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 w:val="24"/>
              </w:rPr>
            </w:pPr>
          </w:p>
        </w:tc>
      </w:tr>
      <w:tr>
        <w:tblPrEx>
          <w:tblW w:w="14225" w:type="dxa"/>
          <w:jc w:val="center"/>
          <w:tblLayout w:type="fixed"/>
          <w:tblCellMar>
            <w:top w:w="0" w:type="dxa"/>
            <w:left w:w="108" w:type="dxa"/>
            <w:bottom w:w="0" w:type="dxa"/>
            <w:right w:w="108" w:type="dxa"/>
          </w:tblCellMar>
          <w:tblLook w:val="0000"/>
        </w:tblPrEx>
        <w:trPr>
          <w:trHeight w:val="628"/>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20</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同一系统内相同位置的各压力表示值存在误差</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开展巡回检查，发现异常，按规定进行报告和处理</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 w:val="24"/>
              </w:rPr>
            </w:pPr>
          </w:p>
        </w:tc>
      </w:tr>
      <w:tr>
        <w:tblPrEx>
          <w:tblW w:w="14225" w:type="dxa"/>
          <w:jc w:val="center"/>
          <w:tblLayout w:type="fixed"/>
          <w:tblCellMar>
            <w:top w:w="0" w:type="dxa"/>
            <w:left w:w="108" w:type="dxa"/>
            <w:bottom w:w="0" w:type="dxa"/>
            <w:right w:w="108" w:type="dxa"/>
          </w:tblCellMar>
          <w:tblLook w:val="0000"/>
        </w:tblPrEx>
        <w:trPr>
          <w:trHeight w:val="990"/>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21</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水（液）位表的水（液）位显示不清晰</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1.明确远程水位测量装置、只读式水位表检修、验收、维护保养、水位计冲洗等要求；</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 w:val="24"/>
              </w:rPr>
            </w:pPr>
          </w:p>
        </w:tc>
      </w:tr>
    </w:tbl>
    <w:p>
      <w:pPr>
        <w:sectPr>
          <w:headerReference w:type="default" r:id="rId7"/>
          <w:type w:val="nextPage"/>
          <w:pgSz w:w="16838" w:h="11906" w:orient="landscape"/>
          <w:pgMar w:top="1406" w:right="1191" w:bottom="1406" w:left="1191" w:header="851" w:footer="992" w:gutter="0"/>
          <w:paperSrc w:first="0" w:other="0"/>
          <w:pgNumType w:start="4"/>
          <w:cols w:space="708"/>
          <w:titlePg w:val="0"/>
          <w:rtlGutter w:val="0"/>
          <w:docGrid w:type="lines" w:linePitch="324" w:charSpace="0"/>
        </w:sectPr>
      </w:pPr>
    </w:p>
    <w:tbl>
      <w:tblPr>
        <w:tblStyle w:val="TableNormal"/>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4"/>
        <w:gridCol w:w="1608"/>
        <w:gridCol w:w="3545"/>
        <w:gridCol w:w="4100"/>
        <w:gridCol w:w="1569"/>
        <w:gridCol w:w="1598"/>
        <w:gridCol w:w="1011"/>
      </w:tblGrid>
      <w:tr>
        <w:tblPrEx>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990"/>
          <w:jc w:val="center"/>
        </w:trPr>
        <w:tc>
          <w:tcPr>
            <w:tcW w:w="794" w:type="dxa"/>
            <w:vAlign w:val="center"/>
          </w:tcPr>
          <w:p/>
        </w:tc>
        <w:tc>
          <w:tcPr>
            <w:tcW w:w="1608" w:type="dxa"/>
            <w:vMerge w:val="restart"/>
            <w:vAlign w:val="center"/>
          </w:tcPr>
          <w:p/>
        </w:tc>
        <w:tc>
          <w:tcPr>
            <w:tcW w:w="3545" w:type="dxa"/>
            <w:vAlign w:val="center"/>
          </w:tcPr>
          <w:p/>
        </w:tc>
        <w:tc>
          <w:tcPr>
            <w:tcW w:w="4100" w:type="dxa"/>
            <w:vMerge w:val="restart"/>
            <w:vAlign w:val="center"/>
          </w:tcPr>
          <w:p>
            <w:pPr>
              <w:rPr>
                <w:rFonts w:ascii="宋体" w:hAnsi="宋体" w:cs="宋体" w:hint="eastAsia"/>
                <w:color w:val="auto"/>
                <w:sz w:val="24"/>
              </w:rPr>
            </w:pPr>
            <w:r>
              <w:rPr>
                <w:rFonts w:ascii="宋体" w:eastAsia="宋体" w:hAnsi="宋体" w:cs="宋体" w:hint="eastAsia"/>
                <w:color w:val="auto"/>
                <w:sz w:val="24"/>
              </w:rPr>
              <w:t>2.定期对水位计进行维护保养、更换、冲洗、校对等。</w:t>
            </w:r>
          </w:p>
        </w:tc>
        <w:tc>
          <w:tcPr>
            <w:tcW w:w="1569" w:type="dxa"/>
            <w:vAlign w:val="center"/>
          </w:tcPr>
          <w:p/>
        </w:tc>
        <w:tc>
          <w:tcPr>
            <w:tcW w:w="1598" w:type="dxa"/>
            <w:vAlign w:val="center"/>
          </w:tcPr>
          <w:p/>
        </w:tc>
        <w:tc>
          <w:tcPr>
            <w:tcW w:w="1011" w:type="dxa"/>
          </w:tcPr>
          <w:p/>
        </w:tc>
      </w:tr>
      <w:tr>
        <w:tblPrEx>
          <w:tblW w:w="14225" w:type="dxa"/>
          <w:jc w:val="center"/>
          <w:tblLayout w:type="fixed"/>
          <w:tblCellMar>
            <w:top w:w="0" w:type="dxa"/>
            <w:left w:w="108" w:type="dxa"/>
            <w:bottom w:w="0" w:type="dxa"/>
            <w:right w:w="108" w:type="dxa"/>
          </w:tblCellMar>
          <w:tblLook w:val="0000"/>
        </w:tblPrEx>
        <w:trPr>
          <w:trHeight w:val="834"/>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22</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远程水（液）位测量装置与就地水（液）位表未校对</w:t>
            </w:r>
          </w:p>
        </w:tc>
        <w:tc>
          <w:tcPr>
            <w:tcW w:w="4100" w:type="dxa"/>
            <w:vMerge/>
            <w:vAlign w:val="center"/>
          </w:tcPr>
          <w:p>
            <w:pPr>
              <w:rPr>
                <w:rFonts w:ascii="宋体" w:hAnsi="宋体" w:cs="宋体" w:hint="eastAsia"/>
                <w:color w:val="auto"/>
                <w:sz w:val="24"/>
              </w:rPr>
            </w:pP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 w:val="24"/>
              </w:rPr>
            </w:pPr>
          </w:p>
        </w:tc>
      </w:tr>
      <w:tr>
        <w:tblPrEx>
          <w:tblW w:w="14225" w:type="dxa"/>
          <w:jc w:val="center"/>
          <w:tblLayout w:type="fixed"/>
          <w:tblCellMar>
            <w:top w:w="0" w:type="dxa"/>
            <w:left w:w="108" w:type="dxa"/>
            <w:bottom w:w="0" w:type="dxa"/>
            <w:right w:w="108" w:type="dxa"/>
          </w:tblCellMar>
          <w:tblLook w:val="0000"/>
        </w:tblPrEx>
        <w:trPr>
          <w:trHeight w:val="704"/>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23</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szCs w:val="24"/>
              </w:rPr>
              <w:t>温度测量装置未按规定校验或者校准</w:t>
            </w:r>
          </w:p>
        </w:tc>
        <w:tc>
          <w:tcPr>
            <w:tcW w:w="4100" w:type="dxa"/>
            <w:vMerge w:val="restart"/>
            <w:vAlign w:val="center"/>
          </w:tcPr>
          <w:p>
            <w:pPr>
              <w:rPr>
                <w:rFonts w:ascii="宋体" w:hAnsi="宋体" w:cs="宋体" w:hint="eastAsia"/>
                <w:color w:val="auto"/>
                <w:sz w:val="24"/>
              </w:rPr>
            </w:pPr>
            <w:r>
              <w:rPr>
                <w:rFonts w:ascii="宋体" w:eastAsia="宋体" w:hAnsi="宋体" w:cs="宋体" w:hint="eastAsia"/>
                <w:color w:val="auto"/>
                <w:sz w:val="24"/>
              </w:rPr>
              <w:t>落实专人定期开展送检或检查</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 w:val="24"/>
              </w:rPr>
            </w:pPr>
          </w:p>
        </w:tc>
      </w:tr>
      <w:tr>
        <w:tblPrEx>
          <w:tblW w:w="14225" w:type="dxa"/>
          <w:jc w:val="center"/>
          <w:tblLayout w:type="fixed"/>
          <w:tblCellMar>
            <w:top w:w="0" w:type="dxa"/>
            <w:left w:w="108" w:type="dxa"/>
            <w:bottom w:w="0" w:type="dxa"/>
            <w:right w:w="108" w:type="dxa"/>
          </w:tblCellMar>
          <w:tblLook w:val="0000"/>
        </w:tblPrEx>
        <w:trPr>
          <w:trHeight w:val="561"/>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24</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szCs w:val="24"/>
              </w:rPr>
              <w:t>温度测量装置示值误差不正常</w:t>
            </w:r>
          </w:p>
        </w:tc>
        <w:tc>
          <w:tcPr>
            <w:tcW w:w="4100" w:type="dxa"/>
            <w:vMerge/>
            <w:vAlign w:val="center"/>
          </w:tcPr>
          <w:p>
            <w:pPr>
              <w:rPr>
                <w:rFonts w:ascii="宋体" w:hAnsi="宋体" w:cs="宋体" w:hint="eastAsia"/>
                <w:color w:val="auto"/>
                <w:sz w:val="24"/>
              </w:rPr>
            </w:pP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 w:val="24"/>
              </w:rPr>
            </w:pPr>
          </w:p>
        </w:tc>
      </w:tr>
      <w:tr>
        <w:tblPrEx>
          <w:tblW w:w="14225" w:type="dxa"/>
          <w:jc w:val="center"/>
          <w:tblLayout w:type="fixed"/>
          <w:tblCellMar>
            <w:top w:w="0" w:type="dxa"/>
            <w:left w:w="108" w:type="dxa"/>
            <w:bottom w:w="0" w:type="dxa"/>
            <w:right w:w="108" w:type="dxa"/>
          </w:tblCellMar>
          <w:tblLook w:val="0000"/>
        </w:tblPrEx>
        <w:trPr>
          <w:trHeight w:val="1339"/>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sz w:val="24"/>
              </w:rPr>
              <w:t>25</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szCs w:val="24"/>
              </w:rPr>
              <w:t>水位、压力、温度、点火程序控制、熄火保护等联锁保护装置的设置不符合要求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szCs w:val="24"/>
              </w:rPr>
              <w:t>1.对安全保护装置进行调试、验收；</w:t>
            </w:r>
          </w:p>
          <w:p>
            <w:pPr>
              <w:rPr>
                <w:rFonts w:ascii="宋体" w:hAnsi="宋体" w:cs="宋体" w:hint="eastAsia"/>
                <w:color w:val="auto"/>
                <w:sz w:val="24"/>
              </w:rPr>
            </w:pPr>
            <w:r>
              <w:rPr>
                <w:rFonts w:ascii="宋体" w:eastAsia="宋体" w:hAnsi="宋体" w:cs="宋体" w:hint="eastAsia"/>
                <w:color w:val="auto"/>
                <w:sz w:val="24"/>
                <w:szCs w:val="24"/>
              </w:rPr>
              <w:t>2、对安全保护装置定期进行维护保养和试验并作出记录。</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 w:val="24"/>
              </w:rPr>
            </w:pPr>
          </w:p>
        </w:tc>
      </w:tr>
      <w:tr>
        <w:tblPrEx>
          <w:tblW w:w="14225" w:type="dxa"/>
          <w:jc w:val="center"/>
          <w:tblLayout w:type="fixed"/>
          <w:tblCellMar>
            <w:top w:w="0" w:type="dxa"/>
            <w:left w:w="108" w:type="dxa"/>
            <w:bottom w:w="0" w:type="dxa"/>
            <w:right w:w="108" w:type="dxa"/>
          </w:tblCellMar>
          <w:tblLook w:val="0000"/>
        </w:tblPrEx>
        <w:trPr>
          <w:trHeight w:val="626"/>
          <w:jc w:val="center"/>
        </w:trPr>
        <w:tc>
          <w:tcPr>
            <w:tcW w:w="794" w:type="dxa"/>
            <w:vAlign w:val="center"/>
          </w:tcPr>
          <w:p>
            <w:pPr>
              <w:spacing w:line="240" w:lineRule="exact"/>
              <w:jc w:val="center"/>
              <w:rPr>
                <w:rFonts w:ascii="宋体" w:hAnsi="宋体" w:cs="宋体" w:hint="eastAsia"/>
                <w:color w:val="auto"/>
                <w:sz w:val="24"/>
              </w:rPr>
            </w:pPr>
            <w:r>
              <w:rPr>
                <w:rFonts w:ascii="宋体" w:eastAsia="宋体" w:hAnsi="宋体" w:cs="宋体" w:hint="eastAsia"/>
                <w:color w:val="auto"/>
                <w:kern w:val="0"/>
                <w:sz w:val="24"/>
              </w:rPr>
              <w:t>26</w:t>
            </w:r>
          </w:p>
        </w:tc>
        <w:tc>
          <w:tcPr>
            <w:tcW w:w="1608" w:type="dxa"/>
            <w:vAlign w:val="center"/>
          </w:tcPr>
          <w:p>
            <w:pPr>
              <w:jc w:val="center"/>
              <w:rPr>
                <w:rFonts w:ascii="宋体" w:hAnsi="宋体" w:cs="宋体" w:hint="eastAsia"/>
                <w:color w:val="auto"/>
                <w:sz w:val="24"/>
              </w:rPr>
            </w:pPr>
            <w:r>
              <w:rPr>
                <w:rFonts w:ascii="宋体" w:eastAsia="宋体" w:hAnsi="宋体" w:cs="宋体" w:hint="eastAsia"/>
                <w:color w:val="auto"/>
                <w:sz w:val="24"/>
              </w:rPr>
              <w:t>环境因素</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szCs w:val="24"/>
              </w:rPr>
              <w:t>锅炉周围的安全通道、照明、防火、防雷、防风、防雨、防冻、防腐设施以及警示标志的设置不符合要求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1.制定锅炉房安全管理制度，明确锅炉房管理的要求；</w:t>
            </w:r>
          </w:p>
          <w:p>
            <w:pPr>
              <w:rPr>
                <w:rFonts w:ascii="宋体" w:hAnsi="宋体" w:cs="宋体" w:hint="eastAsia"/>
                <w:color w:val="auto"/>
                <w:sz w:val="24"/>
              </w:rPr>
            </w:pPr>
            <w:r>
              <w:rPr>
                <w:rFonts w:ascii="宋体" w:eastAsia="宋体" w:hAnsi="宋体" w:cs="宋体" w:hint="eastAsia"/>
                <w:color w:val="auto"/>
                <w:sz w:val="24"/>
              </w:rPr>
              <w:t>2.锅炉房维修、改造时应满足GB 50041《锅炉房设计标准》、GB 50016《建筑设计防火规范》等规定，并形成验收记录；</w:t>
            </w:r>
          </w:p>
          <w:p>
            <w:pPr>
              <w:rPr>
                <w:rFonts w:ascii="宋体" w:hAnsi="宋体" w:cs="宋体" w:hint="eastAsia"/>
                <w:color w:val="auto"/>
                <w:sz w:val="24"/>
              </w:rPr>
            </w:pPr>
            <w:r>
              <w:rPr>
                <w:rFonts w:ascii="宋体" w:eastAsia="宋体" w:hAnsi="宋体" w:cs="宋体" w:hint="eastAsia"/>
                <w:color w:val="auto"/>
                <w:sz w:val="24"/>
              </w:rPr>
              <w:t>3.按规定设置警示标志，禁止非锅炉作业人员随意进入锅炉房。</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626"/>
          <w:jc w:val="center"/>
        </w:trPr>
        <w:tc>
          <w:tcPr>
            <w:tcW w:w="794"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kern w:val="0"/>
                <w:sz w:val="24"/>
              </w:rPr>
              <w:t>27</w:t>
            </w:r>
          </w:p>
        </w:tc>
        <w:tc>
          <w:tcPr>
            <w:tcW w:w="1608" w:type="dxa"/>
            <w:vMerge w:val="restart"/>
            <w:vAlign w:val="center"/>
          </w:tcPr>
          <w:p>
            <w:pPr>
              <w:jc w:val="center"/>
              <w:rPr>
                <w:rFonts w:ascii="宋体" w:hAnsi="宋体" w:cs="宋体" w:hint="eastAsia"/>
                <w:color w:val="auto"/>
                <w:sz w:val="24"/>
              </w:rPr>
            </w:pPr>
            <w:r>
              <w:rPr>
                <w:rFonts w:ascii="宋体" w:eastAsia="宋体" w:hAnsi="宋体" w:cs="宋体" w:hint="eastAsia"/>
                <w:color w:val="auto"/>
                <w:sz w:val="24"/>
              </w:rPr>
              <w:t>热水锅炉</w:t>
            </w:r>
          </w:p>
          <w:p>
            <w:pPr>
              <w:jc w:val="center"/>
              <w:rPr>
                <w:rFonts w:ascii="宋体" w:hAnsi="宋体" w:cs="宋体" w:hint="eastAsia"/>
                <w:color w:val="auto"/>
                <w:sz w:val="24"/>
              </w:rPr>
            </w:pPr>
            <w:r>
              <w:rPr>
                <w:rFonts w:ascii="宋体" w:eastAsia="宋体" w:hAnsi="宋体" w:cs="宋体" w:hint="eastAsia"/>
                <w:color w:val="auto"/>
                <w:sz w:val="24"/>
              </w:rPr>
              <w:t>专项</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自动补给水装置不符合要求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按规定进行维护保养、检查和试验，发现异常，按规定进行报告和处理</w:t>
            </w:r>
          </w:p>
        </w:tc>
        <w:tc>
          <w:tcPr>
            <w:tcW w:w="1569"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707"/>
          <w:jc w:val="center"/>
        </w:trPr>
        <w:tc>
          <w:tcPr>
            <w:tcW w:w="794"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kern w:val="0"/>
                <w:sz w:val="24"/>
              </w:rPr>
              <w:t>28</w:t>
            </w:r>
          </w:p>
        </w:tc>
        <w:tc>
          <w:tcPr>
            <w:tcW w:w="1608" w:type="dxa"/>
            <w:vMerge/>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循环泵停泵联锁装置不符合要求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按规定进行维护保养、检查和试验，发现异常，按规定进行报告和处理</w:t>
            </w:r>
          </w:p>
        </w:tc>
        <w:tc>
          <w:tcPr>
            <w:tcW w:w="1569"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611"/>
          <w:jc w:val="center"/>
        </w:trPr>
        <w:tc>
          <w:tcPr>
            <w:tcW w:w="794"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kern w:val="0"/>
                <w:sz w:val="24"/>
              </w:rPr>
              <w:t>29</w:t>
            </w:r>
          </w:p>
        </w:tc>
        <w:tc>
          <w:tcPr>
            <w:tcW w:w="1608" w:type="dxa"/>
            <w:vAlign w:val="center"/>
          </w:tcPr>
          <w:p>
            <w:pPr>
              <w:jc w:val="center"/>
              <w:rPr>
                <w:rFonts w:ascii="宋体" w:hAnsi="宋体" w:cs="宋体" w:hint="eastAsia"/>
                <w:color w:val="auto"/>
                <w:sz w:val="24"/>
              </w:rPr>
            </w:pPr>
            <w:r>
              <w:rPr>
                <w:rFonts w:ascii="宋体" w:eastAsia="宋体" w:hAnsi="宋体" w:cs="宋体" w:hint="eastAsia"/>
                <w:color w:val="auto"/>
                <w:sz w:val="24"/>
              </w:rPr>
              <w:t>有机热载体锅炉专项</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有机热载体未按规定进行检验或检验不符合要求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定期对有机热载体按规定取样检验</w:t>
            </w:r>
          </w:p>
        </w:tc>
        <w:tc>
          <w:tcPr>
            <w:tcW w:w="1569"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bl>
    <w:p>
      <w:pPr>
        <w:sectPr>
          <w:headerReference w:type="default" r:id="rId8"/>
          <w:type w:val="nextPage"/>
          <w:pgSz w:w="16838" w:h="11906" w:orient="landscape"/>
          <w:pgMar w:top="1406" w:right="1191" w:bottom="1406" w:left="1191" w:header="851" w:footer="992" w:gutter="0"/>
          <w:paperSrc w:first="0" w:other="0"/>
          <w:pgNumType w:start="5"/>
          <w:cols w:space="708"/>
          <w:titlePg w:val="0"/>
          <w:rtlGutter w:val="0"/>
          <w:docGrid w:type="lines" w:linePitch="324" w:charSpace="0"/>
        </w:sectPr>
      </w:pPr>
    </w:p>
    <w:tbl>
      <w:tblPr>
        <w:tblStyle w:val="TableNormal"/>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4"/>
        <w:gridCol w:w="1608"/>
        <w:gridCol w:w="3545"/>
        <w:gridCol w:w="4100"/>
        <w:gridCol w:w="1569"/>
        <w:gridCol w:w="1598"/>
        <w:gridCol w:w="1011"/>
      </w:tblGrid>
      <w:tr>
        <w:tblPrEx>
          <w:tblW w:w="14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611"/>
          <w:jc w:val="center"/>
        </w:trPr>
        <w:tc>
          <w:tcPr>
            <w:tcW w:w="794"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kern w:val="0"/>
                <w:sz w:val="24"/>
              </w:rPr>
              <w:t>30</w:t>
            </w:r>
          </w:p>
        </w:tc>
        <w:tc>
          <w:tcPr>
            <w:tcW w:w="1608" w:type="dxa"/>
            <w:vMerge w:val="restart"/>
            <w:vAlign w:val="center"/>
          </w:tcPr>
          <w:p>
            <w:pPr>
              <w:jc w:val="center"/>
              <w:rPr>
                <w:rFonts w:ascii="宋体" w:hAnsi="宋体" w:cs="宋体" w:hint="eastAsia"/>
                <w:color w:val="auto"/>
                <w:sz w:val="24"/>
              </w:rPr>
            </w:pP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膨胀罐、闪蒸罐、冷凝液罐不符合要求</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按规定进行维护保养、检查和试验，发现异常，按规定进行报告和处理</w:t>
            </w:r>
          </w:p>
        </w:tc>
        <w:tc>
          <w:tcPr>
            <w:tcW w:w="1569"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sz w:val="24"/>
                <w:szCs w:val="24"/>
              </w:rPr>
              <w:t>日管控</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90"/>
          <w:jc w:val="center"/>
        </w:trPr>
        <w:tc>
          <w:tcPr>
            <w:tcW w:w="794"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kern w:val="0"/>
                <w:sz w:val="24"/>
              </w:rPr>
              <w:t>31</w:t>
            </w:r>
          </w:p>
        </w:tc>
        <w:tc>
          <w:tcPr>
            <w:tcW w:w="1608" w:type="dxa"/>
            <w:vMerge w:val="restart"/>
            <w:vAlign w:val="center"/>
          </w:tcPr>
          <w:p>
            <w:pPr>
              <w:widowControl/>
              <w:jc w:val="center"/>
              <w:rPr>
                <w:rFonts w:ascii="宋体" w:hAnsi="宋体" w:cs="宋体" w:hint="eastAsia"/>
                <w:color w:val="auto"/>
                <w:kern w:val="0"/>
                <w:sz w:val="24"/>
              </w:rPr>
            </w:pPr>
            <w:r>
              <w:rPr>
                <w:rFonts w:ascii="宋体" w:eastAsia="宋体" w:hAnsi="宋体" w:cs="宋体" w:hint="eastAsia"/>
                <w:color w:val="auto"/>
                <w:sz w:val="24"/>
              </w:rPr>
              <w:t>D级锅炉专项</w:t>
            </w:r>
          </w:p>
        </w:tc>
        <w:tc>
          <w:tcPr>
            <w:tcW w:w="3545"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未对作业人员进行培训</w:t>
            </w:r>
          </w:p>
        </w:tc>
        <w:tc>
          <w:tcPr>
            <w:tcW w:w="4100"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定期对锅炉操作人员进行安全操作、安全管理和应急处置等进行培训</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90"/>
          <w:jc w:val="center"/>
        </w:trPr>
        <w:tc>
          <w:tcPr>
            <w:tcW w:w="794" w:type="dxa"/>
            <w:vAlign w:val="center"/>
          </w:tcPr>
          <w:p>
            <w:pPr>
              <w:widowControl/>
              <w:ind w:firstLine="24" w:firstLineChars="10"/>
              <w:jc w:val="center"/>
              <w:rPr>
                <w:rFonts w:ascii="宋体" w:hAnsi="宋体" w:cs="宋体" w:hint="eastAsia"/>
                <w:color w:val="auto"/>
                <w:kern w:val="0"/>
                <w:sz w:val="24"/>
              </w:rPr>
            </w:pPr>
            <w:r>
              <w:rPr>
                <w:rFonts w:ascii="宋体" w:eastAsia="宋体" w:hAnsi="宋体" w:cs="宋体" w:hint="eastAsia"/>
                <w:color w:val="auto"/>
                <w:kern w:val="0"/>
                <w:sz w:val="24"/>
              </w:rPr>
              <w:t>32</w:t>
            </w:r>
          </w:p>
        </w:tc>
        <w:tc>
          <w:tcPr>
            <w:tcW w:w="1608" w:type="dxa"/>
            <w:vMerge/>
            <w:vAlign w:val="center"/>
          </w:tcPr>
          <w:p>
            <w:pPr>
              <w:widowControl/>
              <w:jc w:val="center"/>
              <w:rPr>
                <w:rFonts w:ascii="宋体" w:hAnsi="宋体" w:cs="宋体" w:hint="eastAsia"/>
                <w:color w:val="auto"/>
                <w:sz w:val="24"/>
              </w:rPr>
            </w:pPr>
          </w:p>
        </w:tc>
        <w:tc>
          <w:tcPr>
            <w:tcW w:w="3545"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未开展定期自行检查，未对安全附件定期维护</w:t>
            </w:r>
          </w:p>
        </w:tc>
        <w:tc>
          <w:tcPr>
            <w:tcW w:w="4100"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按规定进行维护保养和定期自行检查</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90"/>
          <w:jc w:val="center"/>
        </w:trPr>
        <w:tc>
          <w:tcPr>
            <w:tcW w:w="794"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kern w:val="0"/>
                <w:sz w:val="24"/>
              </w:rPr>
              <w:t>33</w:t>
            </w:r>
          </w:p>
        </w:tc>
        <w:tc>
          <w:tcPr>
            <w:tcW w:w="1608" w:type="dxa"/>
            <w:vMerge/>
            <w:vAlign w:val="center"/>
          </w:tcPr>
          <w:p>
            <w:pPr>
              <w:widowControl/>
              <w:jc w:val="center"/>
              <w:rPr>
                <w:rFonts w:ascii="宋体" w:hAnsi="宋体" w:cs="宋体" w:hint="eastAsia"/>
                <w:color w:val="auto"/>
                <w:sz w:val="24"/>
              </w:rPr>
            </w:pPr>
          </w:p>
        </w:tc>
        <w:tc>
          <w:tcPr>
            <w:tcW w:w="3545"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擅自对锅炉进行改造</w:t>
            </w:r>
          </w:p>
        </w:tc>
        <w:tc>
          <w:tcPr>
            <w:tcW w:w="4100"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发现擅自改造立即停止运行，做进一步处理</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周排查</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605"/>
          <w:jc w:val="center"/>
        </w:trPr>
        <w:tc>
          <w:tcPr>
            <w:tcW w:w="794" w:type="dxa"/>
            <w:vAlign w:val="center"/>
          </w:tcPr>
          <w:p>
            <w:pPr>
              <w:widowControl/>
              <w:ind w:firstLine="24" w:firstLineChars="10"/>
              <w:jc w:val="center"/>
              <w:rPr>
                <w:rFonts w:ascii="宋体" w:hAnsi="宋体" w:cs="宋体" w:hint="eastAsia"/>
                <w:color w:val="auto"/>
                <w:kern w:val="0"/>
                <w:sz w:val="24"/>
              </w:rPr>
            </w:pPr>
            <w:r>
              <w:rPr>
                <w:rFonts w:ascii="宋体" w:eastAsia="宋体" w:hAnsi="宋体" w:cs="宋体" w:hint="eastAsia"/>
                <w:color w:val="auto"/>
                <w:kern w:val="0"/>
                <w:sz w:val="24"/>
              </w:rPr>
              <w:t>34</w:t>
            </w:r>
          </w:p>
        </w:tc>
        <w:tc>
          <w:tcPr>
            <w:tcW w:w="1608" w:type="dxa"/>
            <w:vMerge/>
            <w:vAlign w:val="center"/>
          </w:tcPr>
          <w:p>
            <w:pPr>
              <w:widowControl/>
              <w:jc w:val="center"/>
              <w:rPr>
                <w:rFonts w:ascii="宋体" w:hAnsi="宋体" w:cs="宋体" w:hint="eastAsia"/>
                <w:color w:val="auto"/>
                <w:sz w:val="24"/>
              </w:rPr>
            </w:pPr>
          </w:p>
        </w:tc>
        <w:tc>
          <w:tcPr>
            <w:tcW w:w="3545"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超设计寿命使用</w:t>
            </w:r>
          </w:p>
        </w:tc>
        <w:tc>
          <w:tcPr>
            <w:tcW w:w="4100" w:type="dxa"/>
            <w:vAlign w:val="center"/>
          </w:tcPr>
          <w:p>
            <w:pPr>
              <w:numPr>
                <w:ilvl w:val="12"/>
                <w:numId w:val="0"/>
              </w:numPr>
              <w:rPr>
                <w:rFonts w:ascii="宋体" w:hAnsi="宋体" w:cs="宋体" w:hint="eastAsia"/>
                <w:color w:val="auto"/>
                <w:sz w:val="24"/>
              </w:rPr>
            </w:pPr>
            <w:r>
              <w:rPr>
                <w:rFonts w:ascii="宋体" w:eastAsia="宋体" w:hAnsi="宋体" w:cs="宋体" w:hint="eastAsia"/>
                <w:color w:val="auto"/>
                <w:sz w:val="24"/>
              </w:rPr>
              <w:t>使用年限不得超过8年</w:t>
            </w:r>
          </w:p>
        </w:tc>
        <w:tc>
          <w:tcPr>
            <w:tcW w:w="1569"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月调度</w:t>
            </w:r>
          </w:p>
        </w:tc>
        <w:tc>
          <w:tcPr>
            <w:tcW w:w="1598" w:type="dxa"/>
            <w:vAlign w:val="center"/>
          </w:tcPr>
          <w:p>
            <w:pPr>
              <w:jc w:val="center"/>
              <w:rPr>
                <w:rFonts w:ascii="宋体" w:hAnsi="宋体" w:cs="宋体" w:hint="eastAsia"/>
                <w:color w:val="auto"/>
                <w:sz w:val="24"/>
              </w:rPr>
            </w:pPr>
            <w:r>
              <w:rPr>
                <w:rFonts w:ascii="宋体" w:eastAsia="宋体" w:hAnsi="宋体" w:cs="宋体" w:hint="eastAsia"/>
                <w:color w:val="auto"/>
                <w:sz w:val="24"/>
                <w:szCs w:val="24"/>
              </w:rPr>
              <w:t>主要负责人</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739"/>
          <w:jc w:val="center"/>
        </w:trPr>
        <w:tc>
          <w:tcPr>
            <w:tcW w:w="794" w:type="dxa"/>
            <w:vAlign w:val="center"/>
          </w:tcPr>
          <w:p>
            <w:pPr>
              <w:widowControl/>
              <w:ind w:firstLine="24" w:firstLineChars="10"/>
              <w:jc w:val="center"/>
              <w:rPr>
                <w:rFonts w:ascii="宋体" w:hAnsi="宋体" w:cs="宋体" w:hint="eastAsia"/>
                <w:color w:val="auto"/>
                <w:kern w:val="0"/>
                <w:sz w:val="24"/>
              </w:rPr>
            </w:pPr>
            <w:r>
              <w:rPr>
                <w:rFonts w:ascii="宋体" w:eastAsia="宋体" w:hAnsi="宋体" w:cs="宋体" w:hint="eastAsia"/>
                <w:color w:val="auto"/>
                <w:kern w:val="0"/>
                <w:sz w:val="24"/>
              </w:rPr>
              <w:t>35</w:t>
            </w:r>
          </w:p>
        </w:tc>
        <w:tc>
          <w:tcPr>
            <w:tcW w:w="1608" w:type="dxa"/>
            <w:vAlign w:val="center"/>
          </w:tcPr>
          <w:p>
            <w:pPr>
              <w:widowControl/>
              <w:jc w:val="center"/>
              <w:rPr>
                <w:rFonts w:ascii="宋体" w:hAnsi="宋体" w:cs="宋体" w:hint="eastAsia"/>
                <w:color w:val="auto"/>
                <w:kern w:val="0"/>
                <w:sz w:val="24"/>
              </w:rPr>
            </w:pPr>
            <w:r>
              <w:rPr>
                <w:rFonts w:ascii="宋体" w:eastAsia="宋体" w:hAnsi="宋体" w:cs="宋体" w:hint="eastAsia"/>
                <w:color w:val="auto"/>
                <w:sz w:val="24"/>
              </w:rPr>
              <w:t>政府监督、通报、预警</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发现不合格项</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记录，整改。</w:t>
            </w:r>
          </w:p>
        </w:tc>
        <w:tc>
          <w:tcPr>
            <w:tcW w:w="1569" w:type="dxa"/>
            <w:vAlign w:val="center"/>
          </w:tcPr>
          <w:p>
            <w:pPr>
              <w:spacing w:line="320" w:lineRule="exact"/>
              <w:jc w:val="center"/>
              <w:rPr>
                <w:rFonts w:ascii="宋体" w:hAnsi="宋体" w:cs="宋体" w:hint="eastAsia"/>
                <w:color w:val="auto"/>
                <w:spacing w:val="6"/>
                <w:sz w:val="24"/>
              </w:rPr>
            </w:pPr>
            <w:r>
              <w:rPr>
                <w:rFonts w:ascii="宋体" w:eastAsia="宋体" w:hAnsi="宋体" w:cs="宋体" w:hint="eastAsia"/>
                <w:color w:val="auto"/>
                <w:spacing w:val="6"/>
                <w:sz w:val="24"/>
                <w:szCs w:val="24"/>
              </w:rPr>
              <w:t>周排查</w:t>
            </w:r>
          </w:p>
        </w:tc>
        <w:tc>
          <w:tcPr>
            <w:tcW w:w="1598" w:type="dxa"/>
            <w:vAlign w:val="center"/>
          </w:tcPr>
          <w:p>
            <w:pPr>
              <w:spacing w:line="320" w:lineRule="exact"/>
              <w:jc w:val="center"/>
              <w:rPr>
                <w:rFonts w:ascii="宋体" w:hAnsi="宋体" w:cs="宋体" w:hint="eastAsia"/>
                <w:color w:val="auto"/>
                <w:spacing w:val="6"/>
                <w:sz w:val="24"/>
              </w:rPr>
            </w:pPr>
            <w:r>
              <w:rPr>
                <w:rFonts w:ascii="宋体" w:eastAsia="宋体" w:hAnsi="宋体" w:cs="宋体" w:hint="eastAsia"/>
                <w:color w:val="auto"/>
                <w:spacing w:val="6"/>
                <w:sz w:val="24"/>
                <w:szCs w:val="24"/>
              </w:rPr>
              <w:t>安全总监</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693"/>
          <w:jc w:val="center"/>
        </w:trPr>
        <w:tc>
          <w:tcPr>
            <w:tcW w:w="794" w:type="dxa"/>
            <w:vAlign w:val="center"/>
          </w:tcPr>
          <w:p>
            <w:pPr>
              <w:widowControl/>
              <w:ind w:firstLine="24" w:firstLineChars="10"/>
              <w:jc w:val="center"/>
              <w:rPr>
                <w:rFonts w:ascii="宋体" w:hAnsi="宋体" w:cs="宋体" w:hint="eastAsia"/>
                <w:color w:val="auto"/>
                <w:kern w:val="0"/>
                <w:sz w:val="24"/>
              </w:rPr>
            </w:pPr>
            <w:r>
              <w:rPr>
                <w:rFonts w:ascii="宋体" w:eastAsia="宋体" w:hAnsi="宋体" w:cs="宋体" w:hint="eastAsia"/>
                <w:color w:val="auto"/>
                <w:kern w:val="0"/>
                <w:sz w:val="24"/>
              </w:rPr>
              <w:t>36</w:t>
            </w:r>
          </w:p>
        </w:tc>
        <w:tc>
          <w:tcPr>
            <w:tcW w:w="1608" w:type="dxa"/>
            <w:vAlign w:val="center"/>
          </w:tcPr>
          <w:p>
            <w:pPr>
              <w:widowControl/>
              <w:jc w:val="center"/>
              <w:rPr>
                <w:rFonts w:ascii="宋体" w:hAnsi="宋体" w:cs="宋体" w:hint="eastAsia"/>
                <w:color w:val="auto"/>
                <w:sz w:val="24"/>
              </w:rPr>
            </w:pPr>
            <w:r>
              <w:rPr>
                <w:rFonts w:ascii="宋体" w:eastAsia="宋体" w:hAnsi="宋体" w:cs="宋体" w:hint="eastAsia"/>
                <w:color w:val="auto"/>
                <w:sz w:val="24"/>
              </w:rPr>
              <w:t>投诉举报</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发现不合格项</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记录，整改，消除安全隐患。</w:t>
            </w:r>
          </w:p>
        </w:tc>
        <w:tc>
          <w:tcPr>
            <w:tcW w:w="1569" w:type="dxa"/>
            <w:vAlign w:val="center"/>
          </w:tcPr>
          <w:p>
            <w:pPr>
              <w:spacing w:line="320" w:lineRule="exact"/>
              <w:jc w:val="center"/>
              <w:rPr>
                <w:rFonts w:ascii="宋体" w:hAnsi="宋体" w:cs="宋体" w:hint="eastAsia"/>
                <w:color w:val="auto"/>
                <w:spacing w:val="6"/>
                <w:sz w:val="24"/>
              </w:rPr>
            </w:pPr>
            <w:r>
              <w:rPr>
                <w:rFonts w:ascii="宋体" w:eastAsia="宋体" w:hAnsi="宋体" w:cs="宋体" w:hint="eastAsia"/>
                <w:color w:val="auto"/>
                <w:spacing w:val="6"/>
                <w:sz w:val="24"/>
                <w:szCs w:val="24"/>
              </w:rPr>
              <w:t>日管控</w:t>
            </w:r>
          </w:p>
        </w:tc>
        <w:tc>
          <w:tcPr>
            <w:tcW w:w="1598" w:type="dxa"/>
            <w:vAlign w:val="center"/>
          </w:tcPr>
          <w:p>
            <w:pPr>
              <w:spacing w:line="320" w:lineRule="exact"/>
              <w:jc w:val="center"/>
              <w:rPr>
                <w:rFonts w:ascii="宋体" w:hAnsi="宋体" w:cs="宋体" w:hint="eastAsia"/>
                <w:color w:val="auto"/>
                <w:spacing w:val="6"/>
                <w:sz w:val="24"/>
              </w:rPr>
            </w:pPr>
            <w:r>
              <w:rPr>
                <w:rFonts w:ascii="宋体" w:eastAsia="宋体" w:hAnsi="宋体" w:cs="宋体" w:hint="eastAsia"/>
                <w:color w:val="auto"/>
                <w:spacing w:val="6"/>
                <w:sz w:val="24"/>
                <w:szCs w:val="24"/>
              </w:rPr>
              <w:t>安全员</w:t>
            </w:r>
          </w:p>
        </w:tc>
        <w:tc>
          <w:tcPr>
            <w:tcW w:w="1011" w:type="dxa"/>
          </w:tcPr>
          <w:p>
            <w:pPr>
              <w:rPr>
                <w:rFonts w:ascii="宋体" w:hAnsi="宋体" w:cs="宋体" w:hint="eastAsia"/>
                <w:color w:val="auto"/>
                <w:szCs w:val="21"/>
              </w:rPr>
            </w:pPr>
          </w:p>
        </w:tc>
      </w:tr>
      <w:tr>
        <w:tblPrEx>
          <w:tblW w:w="14225" w:type="dxa"/>
          <w:jc w:val="center"/>
          <w:tblLayout w:type="fixed"/>
          <w:tblCellMar>
            <w:top w:w="0" w:type="dxa"/>
            <w:left w:w="108" w:type="dxa"/>
            <w:bottom w:w="0" w:type="dxa"/>
            <w:right w:w="108" w:type="dxa"/>
          </w:tblCellMar>
          <w:tblLook w:val="0000"/>
        </w:tblPrEx>
        <w:trPr>
          <w:trHeight w:val="561"/>
          <w:jc w:val="center"/>
        </w:trPr>
        <w:tc>
          <w:tcPr>
            <w:tcW w:w="794" w:type="dxa"/>
            <w:vAlign w:val="center"/>
          </w:tcPr>
          <w:p>
            <w:pPr>
              <w:widowControl/>
              <w:ind w:firstLine="24" w:firstLineChars="10"/>
              <w:jc w:val="center"/>
              <w:rPr>
                <w:rFonts w:ascii="宋体" w:hAnsi="宋体" w:cs="宋体" w:hint="eastAsia"/>
                <w:color w:val="auto"/>
                <w:kern w:val="0"/>
                <w:sz w:val="24"/>
              </w:rPr>
            </w:pPr>
            <w:r>
              <w:rPr>
                <w:rFonts w:ascii="宋体" w:eastAsia="宋体" w:hAnsi="宋体" w:cs="宋体" w:hint="eastAsia"/>
                <w:color w:val="auto"/>
                <w:kern w:val="0"/>
                <w:sz w:val="24"/>
              </w:rPr>
              <w:t>37</w:t>
            </w:r>
          </w:p>
        </w:tc>
        <w:tc>
          <w:tcPr>
            <w:tcW w:w="1608" w:type="dxa"/>
            <w:vAlign w:val="center"/>
          </w:tcPr>
          <w:p>
            <w:pPr>
              <w:jc w:val="center"/>
              <w:rPr>
                <w:rFonts w:ascii="宋体" w:hAnsi="宋体" w:cs="宋体" w:hint="eastAsia"/>
                <w:color w:val="auto"/>
                <w:sz w:val="24"/>
              </w:rPr>
            </w:pPr>
            <w:r>
              <w:rPr>
                <w:rFonts w:ascii="宋体" w:eastAsia="宋体" w:hAnsi="宋体" w:cs="宋体" w:hint="eastAsia"/>
                <w:color w:val="auto"/>
                <w:sz w:val="24"/>
              </w:rPr>
              <w:t>舆情信息</w:t>
            </w:r>
          </w:p>
        </w:tc>
        <w:tc>
          <w:tcPr>
            <w:tcW w:w="3545" w:type="dxa"/>
            <w:vAlign w:val="center"/>
          </w:tcPr>
          <w:p>
            <w:pPr>
              <w:rPr>
                <w:rFonts w:ascii="宋体" w:hAnsi="宋体" w:cs="宋体" w:hint="eastAsia"/>
                <w:color w:val="auto"/>
                <w:sz w:val="24"/>
              </w:rPr>
            </w:pPr>
            <w:r>
              <w:rPr>
                <w:rFonts w:ascii="宋体" w:eastAsia="宋体" w:hAnsi="宋体" w:cs="宋体" w:hint="eastAsia"/>
                <w:color w:val="auto"/>
                <w:sz w:val="24"/>
              </w:rPr>
              <w:t>发现不合格项</w:t>
            </w:r>
          </w:p>
        </w:tc>
        <w:tc>
          <w:tcPr>
            <w:tcW w:w="4100" w:type="dxa"/>
            <w:vAlign w:val="center"/>
          </w:tcPr>
          <w:p>
            <w:pPr>
              <w:rPr>
                <w:rFonts w:ascii="宋体" w:hAnsi="宋体" w:cs="宋体" w:hint="eastAsia"/>
                <w:color w:val="auto"/>
                <w:sz w:val="24"/>
              </w:rPr>
            </w:pPr>
            <w:r>
              <w:rPr>
                <w:rFonts w:ascii="宋体" w:eastAsia="宋体" w:hAnsi="宋体" w:cs="宋体" w:hint="eastAsia"/>
                <w:color w:val="auto"/>
                <w:sz w:val="24"/>
              </w:rPr>
              <w:t>记录，整改</w:t>
            </w:r>
          </w:p>
        </w:tc>
        <w:tc>
          <w:tcPr>
            <w:tcW w:w="1569" w:type="dxa"/>
            <w:vAlign w:val="center"/>
          </w:tcPr>
          <w:p>
            <w:pPr>
              <w:spacing w:line="320" w:lineRule="exact"/>
              <w:jc w:val="center"/>
              <w:rPr>
                <w:rFonts w:ascii="宋体" w:hAnsi="宋体" w:cs="宋体" w:hint="eastAsia"/>
                <w:color w:val="auto"/>
                <w:spacing w:val="6"/>
                <w:sz w:val="24"/>
              </w:rPr>
            </w:pPr>
            <w:r>
              <w:rPr>
                <w:rFonts w:ascii="宋体" w:eastAsia="宋体" w:hAnsi="宋体" w:cs="宋体" w:hint="eastAsia"/>
                <w:color w:val="auto"/>
                <w:spacing w:val="6"/>
                <w:sz w:val="24"/>
                <w:szCs w:val="24"/>
              </w:rPr>
              <w:t>日管控</w:t>
            </w:r>
          </w:p>
        </w:tc>
        <w:tc>
          <w:tcPr>
            <w:tcW w:w="1598" w:type="dxa"/>
            <w:vAlign w:val="center"/>
          </w:tcPr>
          <w:p>
            <w:pPr>
              <w:spacing w:line="320" w:lineRule="exact"/>
              <w:jc w:val="center"/>
              <w:rPr>
                <w:rFonts w:ascii="宋体" w:hAnsi="宋体" w:cs="宋体" w:hint="eastAsia"/>
                <w:color w:val="auto"/>
                <w:spacing w:val="6"/>
                <w:sz w:val="24"/>
              </w:rPr>
            </w:pPr>
            <w:r>
              <w:rPr>
                <w:rFonts w:ascii="宋体" w:eastAsia="宋体" w:hAnsi="宋体" w:cs="宋体" w:hint="eastAsia"/>
                <w:color w:val="auto"/>
                <w:spacing w:val="6"/>
                <w:sz w:val="24"/>
                <w:szCs w:val="24"/>
              </w:rPr>
              <w:t>安全员</w:t>
            </w:r>
          </w:p>
        </w:tc>
        <w:tc>
          <w:tcPr>
            <w:tcW w:w="1011" w:type="dxa"/>
          </w:tcPr>
          <w:p>
            <w:pPr>
              <w:rPr>
                <w:rFonts w:ascii="宋体" w:hAnsi="宋体" w:cs="宋体" w:hint="eastAsia"/>
                <w:color w:val="auto"/>
                <w:szCs w:val="21"/>
              </w:rPr>
            </w:pPr>
          </w:p>
        </w:tc>
      </w:tr>
    </w:tbl>
    <w:p>
      <w:pPr>
        <w:pStyle w:val="BodyTextFirstIndent"/>
        <w:ind w:firstLine="241"/>
        <w:rPr>
          <w:rFonts w:ascii="宋体" w:hAnsi="宋体"/>
          <w:b/>
          <w:sz w:val="24"/>
          <w:szCs w:val="24"/>
        </w:rPr>
      </w:pPr>
    </w:p>
    <w:p>
      <w:pPr>
        <w:pStyle w:val="BodyTextFirstIndent"/>
        <w:ind w:firstLine="241"/>
        <w:rPr>
          <w:rFonts w:ascii="宋体" w:hAnsi="宋体"/>
          <w:b/>
          <w:sz w:val="24"/>
          <w:szCs w:val="24"/>
        </w:rPr>
      </w:pPr>
    </w:p>
    <w:p>
      <w:pPr>
        <w:pStyle w:val="BodyTextFirstIndent"/>
        <w:ind w:firstLine="241"/>
        <w:rPr>
          <w:rFonts w:ascii="宋体" w:hAnsi="宋体"/>
          <w:b/>
          <w:sz w:val="24"/>
          <w:szCs w:val="24"/>
        </w:rPr>
      </w:pPr>
    </w:p>
    <w:p>
      <w:pPr>
        <w:pStyle w:val="BodyTextFirstIndent"/>
        <w:ind w:firstLine="241"/>
        <w:rPr>
          <w:rFonts w:ascii="宋体" w:hAnsi="宋体"/>
          <w:b/>
          <w:sz w:val="24"/>
          <w:szCs w:val="24"/>
        </w:rPr>
      </w:pPr>
    </w:p>
    <w:p>
      <w:pPr>
        <w:pStyle w:val="BodyTextFirstIndent"/>
        <w:ind w:firstLine="241"/>
        <w:rPr>
          <w:rFonts w:ascii="宋体" w:hAnsi="宋体"/>
          <w:b/>
          <w:sz w:val="24"/>
          <w:szCs w:val="24"/>
        </w:rPr>
      </w:pPr>
    </w:p>
    <w:p>
      <w:pPr>
        <w:pStyle w:val="BodyTextFirstIndent"/>
        <w:ind w:firstLine="241"/>
        <w:rPr>
          <w:rFonts w:ascii="宋体" w:hAnsi="宋体"/>
          <w:b/>
          <w:sz w:val="24"/>
          <w:szCs w:val="24"/>
        </w:rPr>
      </w:pPr>
    </w:p>
    <w:p>
      <w:pPr>
        <w:pStyle w:val="BodyTextFirstIndent"/>
        <w:ind w:firstLine="241"/>
        <w:rPr>
          <w:rFonts w:ascii="宋体" w:hAnsi="宋体"/>
          <w:b/>
          <w:sz w:val="24"/>
          <w:szCs w:val="24"/>
        </w:rPr>
        <w:sectPr>
          <w:headerReference w:type="default" r:id="rId9"/>
          <w:type w:val="nextPage"/>
          <w:pgSz w:w="16838" w:h="11906" w:orient="landscape"/>
          <w:pgMar w:top="1406" w:right="1191" w:bottom="1406" w:left="1191" w:header="851" w:footer="992" w:gutter="0"/>
          <w:paperSrc w:first="0" w:other="0"/>
          <w:pgNumType w:start="6"/>
          <w:cols w:space="708"/>
          <w:titlePg w:val="0"/>
          <w:rtlGutter w:val="0"/>
          <w:docGrid w:type="lines" w:linePitch="324" w:charSpace="0"/>
        </w:sectPr>
      </w:pPr>
    </w:p>
    <w:p>
      <w:pPr>
        <w:pStyle w:val="ListParagraph"/>
        <w:numPr>
          <w:ilvl w:val="0"/>
          <w:numId w:val="1"/>
        </w:numPr>
        <w:ind w:firstLineChars="0"/>
        <w:jc w:val="center"/>
        <w:outlineLvl w:val="0"/>
        <w:rPr>
          <w:rFonts w:ascii="Calibri" w:eastAsia="宋体" w:hAnsi="Calibri" w:cs="Times New Roman"/>
          <w:b/>
          <w:sz w:val="36"/>
          <w:szCs w:val="36"/>
        </w:rPr>
      </w:pPr>
      <w:bookmarkStart w:id="2" w:name="_Toc139888421"/>
      <w:r>
        <w:rPr>
          <w:rFonts w:ascii="Calibri" w:eastAsia="宋体" w:hAnsi="Calibri" w:cs="Times New Roman" w:hint="eastAsia"/>
          <w:b/>
          <w:sz w:val="36"/>
          <w:szCs w:val="36"/>
        </w:rPr>
        <w:t>压力容器安全风险管控清单</w:t>
      </w:r>
    </w:p>
    <w:tbl>
      <w:tblPr>
        <w:tblStyle w:val="TableNormal"/>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1"/>
        <w:gridCol w:w="1599"/>
        <w:gridCol w:w="2209"/>
        <w:gridCol w:w="4905"/>
        <w:gridCol w:w="1783"/>
        <w:gridCol w:w="1696"/>
        <w:gridCol w:w="1185"/>
      </w:tblGrid>
      <w:tr>
        <w:tblPrEx>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637"/>
          <w:tblHeader/>
          <w:jc w:val="center"/>
        </w:trPr>
        <w:tc>
          <w:tcPr>
            <w:tcW w:w="791" w:type="dxa"/>
            <w:shd w:val="clear" w:color="auto" w:fill="BEBEBE"/>
            <w:vAlign w:val="center"/>
          </w:tcPr>
          <w:p>
            <w:pPr>
              <w:spacing w:line="320" w:lineRule="exact"/>
              <w:jc w:val="center"/>
              <w:rPr>
                <w:rFonts w:ascii="宋体" w:hAnsi="宋体"/>
                <w:b/>
                <w:color w:val="auto"/>
                <w:sz w:val="28"/>
                <w:szCs w:val="28"/>
              </w:rPr>
            </w:pPr>
            <w:bookmarkEnd w:id="2"/>
            <w:r>
              <w:rPr>
                <w:rFonts w:ascii="宋体" w:eastAsia="宋体" w:hAnsi="宋体" w:cs="Times New Roman" w:hint="eastAsia"/>
                <w:b/>
                <w:color w:val="auto"/>
                <w:sz w:val="28"/>
                <w:szCs w:val="28"/>
              </w:rPr>
              <w:t>序号</w:t>
            </w:r>
          </w:p>
        </w:tc>
        <w:tc>
          <w:tcPr>
            <w:tcW w:w="1599"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风险类别</w:t>
            </w:r>
          </w:p>
        </w:tc>
        <w:tc>
          <w:tcPr>
            <w:tcW w:w="2209"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bCs/>
                <w:color w:val="auto"/>
                <w:kern w:val="0"/>
                <w:sz w:val="28"/>
                <w:szCs w:val="28"/>
              </w:rPr>
              <w:t>风险指标</w:t>
            </w:r>
          </w:p>
        </w:tc>
        <w:tc>
          <w:tcPr>
            <w:tcW w:w="4905"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风险管控</w:t>
            </w:r>
            <w:r>
              <w:rPr>
                <w:rFonts w:ascii="宋体" w:eastAsia="宋体" w:hAnsi="宋体" w:cs="Times New Roman"/>
                <w:b/>
                <w:color w:val="auto"/>
                <w:sz w:val="28"/>
                <w:szCs w:val="28"/>
              </w:rPr>
              <w:t>措施</w:t>
            </w:r>
          </w:p>
        </w:tc>
        <w:tc>
          <w:tcPr>
            <w:tcW w:w="1783"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管控形式</w:t>
            </w:r>
          </w:p>
        </w:tc>
        <w:tc>
          <w:tcPr>
            <w:tcW w:w="1696"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责任人</w:t>
            </w:r>
          </w:p>
        </w:tc>
        <w:tc>
          <w:tcPr>
            <w:tcW w:w="1185"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备注</w:t>
            </w: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color w:val="auto"/>
                <w:kern w:val="0"/>
                <w:sz w:val="24"/>
                <w:szCs w:val="24"/>
              </w:rPr>
              <w:t>1</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人员</w:t>
            </w: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未按规定配置安全管理人员、作业人员</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1、建立特种设备安全管理人员与作业人员管理制度；</w:t>
            </w:r>
          </w:p>
          <w:p>
            <w:pPr>
              <w:spacing w:line="320" w:lineRule="exact"/>
              <w:jc w:val="left"/>
              <w:rPr>
                <w:rFonts w:ascii="宋体" w:hAnsi="宋体" w:cs="宋体"/>
                <w:color w:val="auto"/>
                <w:sz w:val="24"/>
              </w:rPr>
            </w:pPr>
            <w:r>
              <w:rPr>
                <w:rFonts w:ascii="宋体" w:eastAsia="宋体" w:hAnsi="宋体" w:cs="宋体" w:hint="eastAsia"/>
                <w:color w:val="auto"/>
                <w:sz w:val="24"/>
                <w:szCs w:val="24"/>
              </w:rPr>
              <w:t>2、定期检查作业人员证件；</w:t>
            </w:r>
          </w:p>
          <w:p>
            <w:pPr>
              <w:spacing w:line="320" w:lineRule="exact"/>
              <w:jc w:val="left"/>
              <w:rPr>
                <w:rFonts w:ascii="宋体" w:hAnsi="宋体" w:cs="宋体"/>
                <w:color w:val="auto"/>
                <w:sz w:val="24"/>
              </w:rPr>
            </w:pPr>
            <w:r>
              <w:rPr>
                <w:rFonts w:ascii="宋体" w:eastAsia="宋体" w:hAnsi="宋体" w:cs="宋体" w:hint="eastAsia"/>
                <w:color w:val="auto"/>
                <w:sz w:val="24"/>
                <w:szCs w:val="24"/>
              </w:rPr>
              <w:t>3、现场检查作业人员持证情况</w:t>
            </w:r>
          </w:p>
        </w:tc>
        <w:tc>
          <w:tcPr>
            <w:tcW w:w="1783"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color w:val="auto"/>
                <w:kern w:val="0"/>
                <w:sz w:val="24"/>
                <w:szCs w:val="24"/>
              </w:rPr>
              <w:t>2</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未按规定定期开展安全培训，培训未覆盖相关人员</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1、建立人员安全培训制度；</w:t>
            </w:r>
          </w:p>
          <w:p>
            <w:pPr>
              <w:spacing w:line="320" w:lineRule="exact"/>
              <w:jc w:val="left"/>
              <w:rPr>
                <w:rFonts w:ascii="宋体" w:hAnsi="宋体" w:cs="宋体"/>
                <w:color w:val="auto"/>
                <w:sz w:val="24"/>
              </w:rPr>
            </w:pPr>
            <w:r>
              <w:rPr>
                <w:rFonts w:ascii="宋体" w:eastAsia="宋体" w:hAnsi="宋体" w:cs="宋体" w:hint="eastAsia"/>
                <w:color w:val="auto"/>
                <w:sz w:val="24"/>
                <w:szCs w:val="24"/>
              </w:rPr>
              <w:t>2、定期对相关人员进行培训教育</w:t>
            </w:r>
            <w:r>
              <w:rPr>
                <w:rFonts w:ascii="宋体" w:eastAsia="宋体" w:hAnsi="宋体" w:cs="Times New Roman" w:hint="eastAsia"/>
                <w:color w:val="auto"/>
                <w:kern w:val="0"/>
                <w:sz w:val="24"/>
                <w:szCs w:val="24"/>
              </w:rPr>
              <w:t>和考核</w:t>
            </w:r>
          </w:p>
        </w:tc>
        <w:tc>
          <w:tcPr>
            <w:tcW w:w="1783"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周排查</w:t>
            </w:r>
          </w:p>
        </w:tc>
        <w:tc>
          <w:tcPr>
            <w:tcW w:w="1696"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安全总监</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1131"/>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3</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未按规定配备安全总监、安全员、作业人员</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按规定配备相关人员</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月调度</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主要负责人</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4</w:t>
            </w:r>
          </w:p>
        </w:tc>
        <w:tc>
          <w:tcPr>
            <w:tcW w:w="1599" w:type="dxa"/>
            <w:vMerge/>
            <w:vAlign w:val="center"/>
          </w:tcPr>
          <w:p>
            <w:pPr>
              <w:widowControl/>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使用单位压力容器安全总监、安全员安全管理能力不足</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1、定期组织宣贯压力容器有关法律法规、安全技术规范及相关标准培训；</w:t>
            </w:r>
            <w:r>
              <w:rPr>
                <w:rFonts w:ascii="宋体" w:eastAsia="宋体" w:hAnsi="宋体" w:cs="宋体"/>
                <w:color w:val="auto"/>
                <w:sz w:val="24"/>
                <w:szCs w:val="24"/>
              </w:rPr>
              <w:br/>
            </w:r>
            <w:r>
              <w:rPr>
                <w:rFonts w:ascii="宋体" w:eastAsia="宋体" w:hAnsi="宋体" w:cs="宋体" w:hint="eastAsia"/>
                <w:color w:val="auto"/>
                <w:sz w:val="24"/>
                <w:szCs w:val="24"/>
              </w:rPr>
              <w:t>2、加强人员能力考核</w:t>
            </w:r>
            <w:r>
              <w:rPr>
                <w:rFonts w:ascii="宋体" w:eastAsia="宋体" w:hAnsi="宋体" w:cs="Times New Roman" w:hint="eastAsia"/>
                <w:color w:val="auto"/>
                <w:kern w:val="0"/>
                <w:sz w:val="24"/>
                <w:szCs w:val="24"/>
              </w:rPr>
              <w:t>和建立人员激励约束机制</w:t>
            </w:r>
          </w:p>
        </w:tc>
        <w:tc>
          <w:tcPr>
            <w:tcW w:w="1783" w:type="dxa"/>
            <w:vMerge/>
            <w:vAlign w:val="center"/>
          </w:tcPr>
          <w:p>
            <w:pPr>
              <w:spacing w:line="320" w:lineRule="exact"/>
              <w:jc w:val="center"/>
              <w:rPr>
                <w:rFonts w:ascii="宋体" w:hAnsi="宋体"/>
                <w:color w:val="auto"/>
                <w:sz w:val="24"/>
              </w:rPr>
            </w:pPr>
          </w:p>
        </w:tc>
        <w:tc>
          <w:tcPr>
            <w:tcW w:w="1696" w:type="dxa"/>
            <w:vMerge/>
            <w:vAlign w:val="center"/>
          </w:tcPr>
          <w:p>
            <w:pPr>
              <w:spacing w:line="320" w:lineRule="exact"/>
              <w:jc w:val="center"/>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1076"/>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5</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管理</w:t>
            </w: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未按规定办理使用登记和按时申报检验</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建立并严格执行使用登记、定期检验管理制度</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周排查</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安全总监</w:t>
            </w: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6</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未按一机一档建立安全技术档案；</w:t>
            </w:r>
          </w:p>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档案文件内容和保存期限不满足相关规定</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健全安全管理技术档案管理</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highlight w:val="yellow"/>
              </w:rPr>
            </w:pPr>
          </w:p>
        </w:tc>
      </w:tr>
    </w:tbl>
    <w:p>
      <w:pPr>
        <w:sectPr>
          <w:headerReference w:type="default" r:id="rId10"/>
          <w:type w:val="nextPage"/>
          <w:pgSz w:w="16838" w:h="11906" w:orient="landscape"/>
          <w:pgMar w:top="1406" w:right="1191" w:bottom="1406" w:left="1191" w:header="851" w:footer="992" w:gutter="0"/>
          <w:paperSrc w:first="0" w:other="0"/>
          <w:pgNumType w:start="7"/>
          <w:cols w:space="708"/>
          <w:titlePg w:val="0"/>
          <w:rtlGutter w:val="0"/>
          <w:docGrid w:type="lines" w:linePitch="324" w:charSpace="0"/>
        </w:sectPr>
      </w:pPr>
    </w:p>
    <w:tbl>
      <w:tblPr>
        <w:tblStyle w:val="TableNormal"/>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1"/>
        <w:gridCol w:w="1599"/>
        <w:gridCol w:w="2209"/>
        <w:gridCol w:w="4905"/>
        <w:gridCol w:w="1783"/>
        <w:gridCol w:w="1696"/>
        <w:gridCol w:w="1185"/>
      </w:tblGrid>
      <w:tr>
        <w:tblPrEx>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851"/>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7</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管理</w:t>
            </w: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z w:val="24"/>
                <w:szCs w:val="24"/>
              </w:rPr>
              <w:t>未定期开展日常维护保养，安全检查</w:t>
            </w:r>
          </w:p>
        </w:tc>
        <w:tc>
          <w:tcPr>
            <w:tcW w:w="4905" w:type="dxa"/>
            <w:vAlign w:val="center"/>
          </w:tcPr>
          <w:p>
            <w:pPr>
              <w:spacing w:line="320" w:lineRule="exact"/>
              <w:jc w:val="left"/>
              <w:rPr>
                <w:rFonts w:ascii="宋体" w:hAnsi="宋体" w:cs="宋体"/>
                <w:color w:val="auto"/>
                <w:sz w:val="24"/>
              </w:rPr>
            </w:pPr>
            <w:r>
              <w:rPr>
                <w:rFonts w:ascii="宋体" w:eastAsia="宋体" w:hAnsi="宋体" w:cs="Times New Roman" w:hint="eastAsia"/>
                <w:color w:val="auto"/>
                <w:sz w:val="24"/>
                <w:szCs w:val="24"/>
              </w:rPr>
              <w:t>定期开展日常维护保养，安全检查</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周排查</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安全总监</w:t>
            </w: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hRule="exact" w:val="851"/>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8</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pacing w:val="6"/>
                <w:sz w:val="24"/>
                <w:szCs w:val="24"/>
              </w:rPr>
              <w:t>未建立压力容器操作规程</w:t>
            </w:r>
          </w:p>
        </w:tc>
        <w:tc>
          <w:tcPr>
            <w:tcW w:w="4905" w:type="dxa"/>
            <w:vAlign w:val="center"/>
          </w:tcPr>
          <w:p>
            <w:pPr>
              <w:spacing w:line="320" w:lineRule="exact"/>
              <w:jc w:val="left"/>
              <w:rPr>
                <w:rFonts w:ascii="宋体" w:hAnsi="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建立完善操作规程；</w:t>
            </w:r>
            <w:r>
              <w:rPr>
                <w:rFonts w:ascii="宋体" w:eastAsia="宋体" w:hAnsi="宋体" w:cs="宋体"/>
                <w:color w:val="auto"/>
                <w:sz w:val="24"/>
                <w:szCs w:val="24"/>
              </w:rPr>
              <w:br/>
            </w:r>
            <w:r>
              <w:rPr>
                <w:rFonts w:ascii="宋体" w:eastAsia="宋体" w:hAnsi="宋体" w:cs="宋体"/>
                <w:color w:val="auto"/>
                <w:sz w:val="24"/>
                <w:szCs w:val="24"/>
              </w:rPr>
              <w:t>2.</w:t>
            </w:r>
            <w:r>
              <w:rPr>
                <w:rFonts w:ascii="宋体" w:eastAsia="宋体" w:hAnsi="宋体" w:cs="宋体" w:hint="eastAsia"/>
                <w:color w:val="auto"/>
                <w:sz w:val="24"/>
                <w:szCs w:val="24"/>
              </w:rPr>
              <w:t>加强人员培训并组织实施</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ind w:firstLine="240" w:firstLineChars="100"/>
              <w:rPr>
                <w:rFonts w:ascii="宋体" w:hAnsi="宋体"/>
                <w:color w:val="auto"/>
                <w:kern w:val="0"/>
                <w:sz w:val="24"/>
              </w:rPr>
            </w:pPr>
            <w:r>
              <w:rPr>
                <w:rFonts w:ascii="宋体" w:eastAsia="宋体" w:hAnsi="宋体" w:cs="Times New Roman" w:hint="eastAsia"/>
                <w:color w:val="auto"/>
                <w:kern w:val="0"/>
                <w:sz w:val="24"/>
                <w:szCs w:val="24"/>
              </w:rPr>
              <w:t>9</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kern w:val="0"/>
                <w:sz w:val="24"/>
                <w:szCs w:val="24"/>
              </w:rPr>
              <w:t>安全隐患未及时整改或未按规定采取监控措施使用存在隐患的压力容器</w:t>
            </w:r>
          </w:p>
        </w:tc>
        <w:tc>
          <w:tcPr>
            <w:tcW w:w="4905" w:type="dxa"/>
            <w:vAlign w:val="center"/>
          </w:tcPr>
          <w:p>
            <w:pPr>
              <w:spacing w:line="320" w:lineRule="exact"/>
              <w:jc w:val="left"/>
              <w:rPr>
                <w:rFonts w:ascii="宋体" w:hAnsi="宋体" w:cs="宋体"/>
                <w:color w:val="auto"/>
                <w:sz w:val="24"/>
              </w:rPr>
            </w:pPr>
            <w:r>
              <w:rPr>
                <w:rFonts w:ascii="宋体" w:eastAsia="宋体" w:hAnsi="宋体" w:cs="Times New Roman" w:hint="eastAsia"/>
                <w:color w:val="auto"/>
                <w:kern w:val="0"/>
                <w:sz w:val="24"/>
                <w:szCs w:val="24"/>
              </w:rPr>
              <w:t>制定压力容器隐患整改计划，明确监控措施及责任人</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10</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未建立岗位责任、隐患治理、应急救援等安全管理制度，制定操作规程或相关制度不完善</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根据单位实际情况，及时建立健全各类安全管理制度和操作规程</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月调度</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主要负责人</w:t>
            </w: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1</w:t>
            </w:r>
            <w:r>
              <w:rPr>
                <w:rFonts w:ascii="宋体" w:eastAsia="宋体" w:hAnsi="宋体" w:cs="Times New Roman" w:hint="eastAsia"/>
                <w:color w:val="auto"/>
                <w:kern w:val="0"/>
                <w:sz w:val="24"/>
                <w:szCs w:val="24"/>
              </w:rPr>
              <w:t>1</w:t>
            </w:r>
          </w:p>
        </w:tc>
        <w:tc>
          <w:tcPr>
            <w:tcW w:w="1599" w:type="dxa"/>
            <w:vMerge w:val="restart"/>
            <w:vAlign w:val="center"/>
          </w:tcPr>
          <w:p>
            <w:pPr>
              <w:spacing w:line="320" w:lineRule="exact"/>
              <w:jc w:val="left"/>
              <w:rPr>
                <w:rFonts w:ascii="宋体" w:hAnsi="宋体"/>
                <w:color w:val="auto"/>
                <w:kern w:val="0"/>
                <w:sz w:val="24"/>
              </w:rPr>
            </w:pPr>
          </w:p>
        </w:tc>
        <w:tc>
          <w:tcPr>
            <w:tcW w:w="2209" w:type="dxa"/>
            <w:vAlign w:val="center"/>
          </w:tcPr>
          <w:p>
            <w:pPr>
              <w:widowControl/>
              <w:autoSpaceDE w:val="0"/>
              <w:autoSpaceDN w:val="0"/>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未及时办理使用登记、变更登记、停用、报废（注销）等相关手续</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立即办理使用登记、变更登记、停用、报废</w:t>
            </w:r>
            <w:r>
              <w:rPr>
                <w:rFonts w:ascii="宋体" w:eastAsia="宋体" w:hAnsi="宋体" w:cs="Times New Roman" w:hint="eastAsia"/>
                <w:color w:val="auto"/>
                <w:kern w:val="0"/>
                <w:sz w:val="24"/>
                <w:szCs w:val="24"/>
              </w:rPr>
              <w:t>（注销）</w:t>
            </w:r>
            <w:r>
              <w:rPr>
                <w:rFonts w:ascii="宋体" w:eastAsia="宋体" w:hAnsi="宋体" w:cs="Times New Roman" w:hint="eastAsia"/>
                <w:color w:val="auto"/>
                <w:sz w:val="24"/>
                <w:szCs w:val="24"/>
              </w:rPr>
              <w:t>等相关手续</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486"/>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1</w:t>
            </w:r>
            <w:r>
              <w:rPr>
                <w:rFonts w:ascii="宋体" w:eastAsia="宋体" w:hAnsi="宋体" w:cs="Times New Roman" w:hint="eastAsia"/>
                <w:color w:val="auto"/>
                <w:kern w:val="0"/>
                <w:sz w:val="24"/>
                <w:szCs w:val="24"/>
              </w:rPr>
              <w:t>2</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autoSpaceDE w:val="0"/>
              <w:autoSpaceDN w:val="0"/>
              <w:spacing w:line="320" w:lineRule="exact"/>
              <w:jc w:val="left"/>
              <w:rPr>
                <w:rFonts w:ascii="宋体" w:hAnsi="宋体"/>
                <w:color w:val="auto"/>
                <w:sz w:val="24"/>
              </w:rPr>
            </w:pPr>
            <w:r>
              <w:rPr>
                <w:rFonts w:ascii="宋体" w:eastAsia="宋体" w:hAnsi="宋体" w:cs="Times New Roman" w:hint="eastAsia"/>
                <w:color w:val="auto"/>
                <w:kern w:val="0"/>
                <w:sz w:val="24"/>
                <w:szCs w:val="24"/>
              </w:rPr>
              <w:t>未按规定开展压力容器年度检查、定期检验，办理延期检验的未采取有效监控</w:t>
            </w:r>
          </w:p>
        </w:tc>
        <w:tc>
          <w:tcPr>
            <w:tcW w:w="4905" w:type="dxa"/>
            <w:vAlign w:val="center"/>
          </w:tcPr>
          <w:p>
            <w:pPr>
              <w:spacing w:line="320" w:lineRule="exact"/>
              <w:jc w:val="left"/>
              <w:rPr>
                <w:rFonts w:ascii="宋体" w:hAnsi="宋体"/>
                <w:color w:val="auto"/>
                <w:sz w:val="24"/>
              </w:rPr>
            </w:pPr>
            <w:r>
              <w:rPr>
                <w:rFonts w:ascii="宋体" w:eastAsia="宋体" w:hAnsi="宋体" w:cs="Times New Roman"/>
                <w:color w:val="auto"/>
                <w:sz w:val="24"/>
                <w:szCs w:val="24"/>
              </w:rPr>
              <w:t>1.</w:t>
            </w:r>
            <w:r>
              <w:rPr>
                <w:rFonts w:ascii="宋体" w:eastAsia="宋体" w:hAnsi="宋体" w:cs="Times New Roman" w:hint="eastAsia"/>
                <w:color w:val="auto"/>
                <w:sz w:val="24"/>
                <w:szCs w:val="24"/>
              </w:rPr>
              <w:t>按规定开展压力容器年度检查，定期检验；</w:t>
            </w:r>
            <w:r>
              <w:rPr>
                <w:rFonts w:ascii="宋体" w:eastAsia="宋体" w:hAnsi="宋体" w:cs="Times New Roman"/>
                <w:color w:val="auto"/>
                <w:sz w:val="24"/>
                <w:szCs w:val="24"/>
              </w:rPr>
              <w:br/>
            </w:r>
            <w:r>
              <w:rPr>
                <w:rFonts w:ascii="宋体" w:eastAsia="宋体" w:hAnsi="宋体" w:cs="Times New Roman" w:hint="eastAsia"/>
                <w:color w:val="auto"/>
                <w:sz w:val="24"/>
                <w:szCs w:val="24"/>
              </w:rPr>
              <w:t>2</w:t>
            </w:r>
            <w:r>
              <w:rPr>
                <w:rFonts w:ascii="宋体" w:eastAsia="宋体" w:hAnsi="宋体" w:cs="Times New Roman"/>
                <w:color w:val="auto"/>
                <w:sz w:val="24"/>
                <w:szCs w:val="24"/>
              </w:rPr>
              <w:t>.</w:t>
            </w:r>
            <w:r>
              <w:rPr>
                <w:rFonts w:ascii="宋体" w:eastAsia="宋体" w:hAnsi="宋体" w:cs="Times New Roman" w:hint="eastAsia"/>
                <w:color w:val="auto"/>
                <w:kern w:val="0"/>
                <w:sz w:val="24"/>
                <w:szCs w:val="24"/>
              </w:rPr>
              <w:t>延期检验的压力容器经检验机构确认及使用登记机构备案后采取有效措施监控使用</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bl>
    <w:p>
      <w:pPr>
        <w:sectPr>
          <w:headerReference w:type="default" r:id="rId11"/>
          <w:type w:val="nextPage"/>
          <w:pgSz w:w="16838" w:h="11906" w:orient="landscape"/>
          <w:pgMar w:top="1406" w:right="1191" w:bottom="1406" w:left="1191" w:header="851" w:footer="992" w:gutter="0"/>
          <w:paperSrc w:first="0" w:other="0"/>
          <w:pgNumType w:start="8"/>
          <w:cols w:space="708"/>
          <w:titlePg w:val="0"/>
          <w:rtlGutter w:val="0"/>
          <w:docGrid w:type="lines" w:linePitch="324" w:charSpace="0"/>
        </w:sectPr>
      </w:pPr>
    </w:p>
    <w:tbl>
      <w:tblPr>
        <w:tblStyle w:val="TableNormal"/>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1"/>
        <w:gridCol w:w="1599"/>
        <w:gridCol w:w="2209"/>
        <w:gridCol w:w="4905"/>
        <w:gridCol w:w="1783"/>
        <w:gridCol w:w="1696"/>
        <w:gridCol w:w="1185"/>
      </w:tblGrid>
      <w:tr>
        <w:tblPrEx>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13</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管理</w:t>
            </w: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未落实压力容器安全事故报告义务，未采取有效措施防止事故扩大</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1</w:t>
            </w:r>
            <w:r>
              <w:rPr>
                <w:rFonts w:ascii="宋体" w:eastAsia="宋体" w:hAnsi="宋体" w:cs="Times New Roman"/>
                <w:color w:val="auto"/>
                <w:sz w:val="24"/>
                <w:szCs w:val="24"/>
              </w:rPr>
              <w:t>.</w:t>
            </w:r>
            <w:r>
              <w:rPr>
                <w:rFonts w:ascii="宋体" w:eastAsia="宋体" w:hAnsi="宋体" w:cs="Times New Roman" w:hint="eastAsia"/>
                <w:color w:val="auto"/>
                <w:sz w:val="24"/>
                <w:szCs w:val="24"/>
              </w:rPr>
              <w:t>严格落实压力容器安全事故报告制度；</w:t>
            </w:r>
            <w:r>
              <w:rPr>
                <w:rFonts w:ascii="宋体" w:eastAsia="宋体" w:hAnsi="宋体" w:cs="Times New Roman"/>
                <w:color w:val="auto"/>
                <w:sz w:val="24"/>
                <w:szCs w:val="24"/>
              </w:rPr>
              <w:br/>
            </w:r>
            <w:r>
              <w:rPr>
                <w:rFonts w:ascii="宋体" w:eastAsia="宋体" w:hAnsi="宋体" w:cs="Times New Roman" w:hint="eastAsia"/>
                <w:color w:val="auto"/>
                <w:sz w:val="24"/>
                <w:szCs w:val="24"/>
              </w:rPr>
              <w:t>2</w:t>
            </w:r>
            <w:r>
              <w:rPr>
                <w:rFonts w:ascii="宋体" w:eastAsia="宋体" w:hAnsi="宋体" w:cs="Times New Roman"/>
                <w:color w:val="auto"/>
                <w:sz w:val="24"/>
                <w:szCs w:val="24"/>
              </w:rPr>
              <w:t>.</w:t>
            </w:r>
            <w:r>
              <w:rPr>
                <w:rFonts w:ascii="宋体" w:eastAsia="宋体" w:hAnsi="宋体" w:cs="Times New Roman" w:hint="eastAsia"/>
                <w:color w:val="auto"/>
                <w:sz w:val="24"/>
                <w:szCs w:val="24"/>
              </w:rPr>
              <w:t>及时采取有效措施防止事故扩大</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月调度</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主要负责人</w:t>
            </w: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14</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未对已报废的压力容器去功能化处理</w:t>
            </w:r>
            <w:r>
              <w:rPr>
                <w:rFonts w:ascii="宋体" w:eastAsia="宋体" w:hAnsi="宋体" w:cs="Times New Roman" w:hint="eastAsia"/>
                <w:color w:val="auto"/>
                <w:kern w:val="0"/>
                <w:sz w:val="24"/>
                <w:szCs w:val="24"/>
              </w:rPr>
              <w:t>，未对办理停用的压力容器采取有效的保护措施</w:t>
            </w:r>
          </w:p>
        </w:tc>
        <w:tc>
          <w:tcPr>
            <w:tcW w:w="490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1.加强对报废的压力容器管理，及时采取必要措施消除使用功能；</w:t>
            </w:r>
          </w:p>
          <w:p>
            <w:pPr>
              <w:spacing w:line="320" w:lineRule="exact"/>
              <w:jc w:val="left"/>
              <w:rPr>
                <w:rFonts w:ascii="宋体" w:hAnsi="宋体"/>
                <w:color w:val="auto"/>
                <w:sz w:val="24"/>
              </w:rPr>
            </w:pPr>
            <w:r>
              <w:rPr>
                <w:rFonts w:ascii="宋体" w:eastAsia="宋体" w:hAnsi="宋体" w:cs="Times New Roman" w:hint="eastAsia"/>
                <w:color w:val="auto"/>
                <w:kern w:val="0"/>
                <w:sz w:val="24"/>
                <w:szCs w:val="24"/>
              </w:rPr>
              <w:t>2.加强停用压力容器管理，采取有效保护措施，且设置停用标志</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851"/>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15</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未建立压力容器、安全附件、作业人员台账</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建立健全压力容器、安全附件、作业人员台账，并进行动态管理</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16</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pacing w:val="6"/>
                <w:sz w:val="24"/>
              </w:rPr>
            </w:pPr>
            <w:r>
              <w:rPr>
                <w:rFonts w:ascii="宋体" w:eastAsia="宋体" w:hAnsi="宋体" w:cs="Times New Roman" w:hint="eastAsia"/>
                <w:color w:val="auto"/>
                <w:spacing w:val="6"/>
                <w:sz w:val="24"/>
                <w:szCs w:val="24"/>
              </w:rPr>
              <w:t>未建立压力容器事故应急专项预案；并定期演练</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1、建立并完善压力容器事故应急专项预案；</w:t>
            </w:r>
          </w:p>
          <w:p>
            <w:pPr>
              <w:spacing w:line="320" w:lineRule="exact"/>
              <w:jc w:val="left"/>
              <w:rPr>
                <w:rFonts w:ascii="宋体" w:hAnsi="宋体" w:cs="宋体"/>
                <w:color w:val="auto"/>
                <w:sz w:val="24"/>
              </w:rPr>
            </w:pPr>
            <w:r>
              <w:rPr>
                <w:rFonts w:ascii="宋体" w:eastAsia="宋体" w:hAnsi="宋体" w:cs="宋体" w:hint="eastAsia"/>
                <w:color w:val="auto"/>
                <w:sz w:val="24"/>
                <w:szCs w:val="24"/>
              </w:rPr>
              <w:t>2、按技术规范要求定期开展应急演练，并留存演练记录</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729"/>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1</w:t>
            </w:r>
            <w:r>
              <w:rPr>
                <w:rFonts w:ascii="宋体" w:eastAsia="宋体" w:hAnsi="宋体" w:cs="Times New Roman" w:hint="eastAsia"/>
                <w:color w:val="auto"/>
                <w:kern w:val="0"/>
                <w:sz w:val="24"/>
                <w:szCs w:val="24"/>
              </w:rPr>
              <w:t>7</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设备</w:t>
            </w:r>
          </w:p>
        </w:tc>
        <w:tc>
          <w:tcPr>
            <w:tcW w:w="2209" w:type="dxa"/>
            <w:vAlign w:val="center"/>
          </w:tcPr>
          <w:p>
            <w:pPr>
              <w:widowControl/>
              <w:spacing w:line="320" w:lineRule="exact"/>
              <w:jc w:val="left"/>
              <w:rPr>
                <w:rFonts w:ascii="宋体" w:hAnsi="宋体"/>
                <w:color w:val="auto"/>
                <w:sz w:val="24"/>
              </w:rPr>
            </w:pPr>
            <w:r>
              <w:rPr>
                <w:rFonts w:ascii="宋体" w:eastAsia="宋体" w:hAnsi="宋体" w:cs="Times New Roman" w:hint="eastAsia"/>
                <w:color w:val="auto"/>
                <w:sz w:val="24"/>
                <w:szCs w:val="24"/>
              </w:rPr>
              <w:t>本体，接口（阀门、管路）部位、焊接接头缺陷</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1、对新设备严格验收要求；</w:t>
            </w:r>
          </w:p>
          <w:p>
            <w:pPr>
              <w:spacing w:line="320" w:lineRule="exact"/>
              <w:jc w:val="left"/>
              <w:rPr>
                <w:rFonts w:ascii="宋体" w:hAnsi="宋体"/>
                <w:color w:val="auto"/>
                <w:sz w:val="24"/>
              </w:rPr>
            </w:pPr>
            <w:r>
              <w:rPr>
                <w:rFonts w:ascii="宋体" w:eastAsia="宋体" w:hAnsi="宋体" w:cs="Times New Roman" w:hint="eastAsia"/>
                <w:color w:val="auto"/>
                <w:sz w:val="24"/>
                <w:szCs w:val="24"/>
              </w:rPr>
              <w:t>2、制定运行、检修规程，按规程处置；避免疲劳运行；</w:t>
            </w:r>
          </w:p>
          <w:p>
            <w:pPr>
              <w:widowControl/>
              <w:spacing w:line="320" w:lineRule="exact"/>
              <w:jc w:val="left"/>
              <w:rPr>
                <w:rFonts w:ascii="宋体" w:hAnsi="宋体"/>
                <w:color w:val="auto"/>
                <w:kern w:val="0"/>
                <w:sz w:val="24"/>
              </w:rPr>
            </w:pPr>
            <w:r>
              <w:rPr>
                <w:rFonts w:ascii="宋体" w:eastAsia="宋体" w:hAnsi="宋体" w:cs="Times New Roman"/>
                <w:color w:val="auto"/>
                <w:sz w:val="24"/>
                <w:szCs w:val="24"/>
              </w:rPr>
              <w:t>3</w:t>
            </w:r>
            <w:r>
              <w:rPr>
                <w:rFonts w:ascii="宋体" w:eastAsia="宋体" w:hAnsi="宋体" w:cs="Times New Roman" w:hint="eastAsia"/>
                <w:color w:val="auto"/>
                <w:sz w:val="24"/>
                <w:szCs w:val="24"/>
              </w:rPr>
              <w:t>、必要时，采取监控、隔离、维修等安全措施，并做好预案，及时消除隐患</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939"/>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18</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spacing w:line="320" w:lineRule="exact"/>
              <w:jc w:val="left"/>
              <w:rPr>
                <w:rFonts w:ascii="宋体" w:hAnsi="宋体"/>
                <w:color w:val="auto"/>
                <w:sz w:val="24"/>
              </w:rPr>
            </w:pPr>
            <w:r>
              <w:rPr>
                <w:rFonts w:ascii="宋体" w:eastAsia="宋体" w:hAnsi="宋体" w:cs="Times New Roman" w:hint="eastAsia"/>
                <w:color w:val="auto"/>
                <w:sz w:val="24"/>
                <w:szCs w:val="24"/>
              </w:rPr>
              <w:t>有膨胀要求的压力容器（如）膨胀受阻</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查明并消除受阻原因，确保按预定方向自由膨胀</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highlight w:val="yellow"/>
              </w:rPr>
            </w:pPr>
          </w:p>
        </w:tc>
        <w:tc>
          <w:tcPr>
            <w:tcW w:w="1185" w:type="dxa"/>
            <w:vAlign w:val="center"/>
          </w:tcPr>
          <w:p>
            <w:pPr>
              <w:spacing w:line="320" w:lineRule="exact"/>
              <w:jc w:val="left"/>
              <w:rPr>
                <w:rFonts w:ascii="微软雅黑" w:eastAsia="微软雅黑" w:hAnsi="微软雅黑"/>
                <w:color w:val="auto"/>
                <w:sz w:val="18"/>
                <w:szCs w:val="18"/>
              </w:rPr>
            </w:pPr>
          </w:p>
        </w:tc>
      </w:tr>
    </w:tbl>
    <w:p>
      <w:pPr>
        <w:sectPr>
          <w:headerReference w:type="default" r:id="rId12"/>
          <w:type w:val="nextPage"/>
          <w:pgSz w:w="16838" w:h="11906" w:orient="landscape"/>
          <w:pgMar w:top="1406" w:right="1191" w:bottom="1406" w:left="1191" w:header="851" w:footer="992" w:gutter="0"/>
          <w:paperSrc w:first="0" w:other="0"/>
          <w:pgNumType w:start="9"/>
          <w:cols w:space="708"/>
          <w:titlePg w:val="0"/>
          <w:rtlGutter w:val="0"/>
          <w:docGrid w:type="lines" w:linePitch="324" w:charSpace="0"/>
        </w:sectPr>
      </w:pPr>
    </w:p>
    <w:tbl>
      <w:tblPr>
        <w:tblStyle w:val="TableNormal"/>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1"/>
        <w:gridCol w:w="1599"/>
        <w:gridCol w:w="2209"/>
        <w:gridCol w:w="4905"/>
        <w:gridCol w:w="1783"/>
        <w:gridCol w:w="1696"/>
        <w:gridCol w:w="1185"/>
      </w:tblGrid>
      <w:tr>
        <w:tblPrEx>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19</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设备</w:t>
            </w: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压力容器与相邻管道或者构件异常振动、响声或者相互摩擦</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1、查明异常发生原因，及时消除隐患；</w:t>
            </w:r>
          </w:p>
          <w:p>
            <w:pPr>
              <w:spacing w:line="320" w:lineRule="exact"/>
              <w:jc w:val="left"/>
              <w:rPr>
                <w:rFonts w:ascii="宋体" w:hAnsi="宋体"/>
                <w:color w:val="auto"/>
                <w:sz w:val="24"/>
              </w:rPr>
            </w:pPr>
            <w:r>
              <w:rPr>
                <w:rFonts w:ascii="宋体" w:eastAsia="宋体" w:hAnsi="宋体" w:cs="Times New Roman" w:hint="eastAsia"/>
                <w:color w:val="auto"/>
                <w:sz w:val="24"/>
                <w:szCs w:val="24"/>
              </w:rPr>
              <w:t>2、制定运行、检修规程，按规程处置；避免疲劳运行；</w:t>
            </w:r>
          </w:p>
          <w:p>
            <w:pPr>
              <w:spacing w:line="320" w:lineRule="exact"/>
              <w:jc w:val="left"/>
              <w:rPr>
                <w:rFonts w:ascii="宋体" w:hAnsi="宋体" w:cs="宋体"/>
                <w:color w:val="auto"/>
                <w:sz w:val="24"/>
              </w:rPr>
            </w:pPr>
            <w:r>
              <w:rPr>
                <w:rFonts w:ascii="宋体" w:eastAsia="宋体" w:hAnsi="宋体" w:cs="Times New Roman"/>
                <w:color w:val="auto"/>
                <w:sz w:val="24"/>
                <w:szCs w:val="24"/>
              </w:rPr>
              <w:t>3</w:t>
            </w:r>
            <w:r>
              <w:rPr>
                <w:rFonts w:ascii="宋体" w:eastAsia="宋体" w:hAnsi="宋体" w:cs="Times New Roman" w:hint="eastAsia"/>
                <w:color w:val="auto"/>
                <w:sz w:val="24"/>
                <w:szCs w:val="24"/>
              </w:rPr>
              <w:t>、必要时，采取监控、隔离、维修等安全措施，并做好预案</w:t>
            </w:r>
          </w:p>
        </w:tc>
        <w:tc>
          <w:tcPr>
            <w:tcW w:w="1783"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vMerge w:val="restart"/>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0</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保温隔热层破损，真空绝热层潮湿跑冷</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1、检查破损部位设备本体是否存在损伤；</w:t>
            </w:r>
          </w:p>
          <w:p>
            <w:pPr>
              <w:spacing w:line="320" w:lineRule="exact"/>
              <w:jc w:val="left"/>
              <w:rPr>
                <w:rFonts w:ascii="宋体" w:hAnsi="宋体" w:cs="宋体"/>
                <w:color w:val="auto"/>
                <w:sz w:val="24"/>
              </w:rPr>
            </w:pPr>
            <w:r>
              <w:rPr>
                <w:rFonts w:ascii="宋体" w:eastAsia="宋体" w:hAnsi="宋体" w:cs="Times New Roman"/>
                <w:color w:val="auto"/>
                <w:sz w:val="24"/>
                <w:szCs w:val="24"/>
              </w:rPr>
              <w:t>2</w:t>
            </w:r>
            <w:r>
              <w:rPr>
                <w:rFonts w:ascii="宋体" w:eastAsia="宋体" w:hAnsi="宋体" w:cs="Times New Roman" w:hint="eastAsia"/>
                <w:color w:val="auto"/>
                <w:sz w:val="24"/>
                <w:szCs w:val="24"/>
              </w:rPr>
              <w:t>、及时对破损部位进行恢复；</w:t>
            </w:r>
            <w:r>
              <w:rPr>
                <w:rFonts w:ascii="宋体" w:eastAsia="宋体" w:hAnsi="宋体" w:cs="Times New Roman"/>
                <w:color w:val="auto"/>
                <w:sz w:val="24"/>
                <w:szCs w:val="24"/>
              </w:rPr>
              <w:br/>
            </w:r>
            <w:r>
              <w:rPr>
                <w:rFonts w:ascii="宋体" w:eastAsia="宋体" w:hAnsi="宋体" w:cs="Times New Roman" w:hint="eastAsia"/>
                <w:color w:val="auto"/>
                <w:sz w:val="24"/>
                <w:szCs w:val="24"/>
              </w:rPr>
              <w:t>3、对绝热层异常情况需及时测量真空度或日蒸发率，停止使用并及时进行隐患整改</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1083"/>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1</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b/>
                <w:bCs/>
                <w:color w:val="auto"/>
                <w:sz w:val="24"/>
              </w:rPr>
            </w:pPr>
            <w:r>
              <w:rPr>
                <w:rFonts w:ascii="宋体" w:eastAsia="宋体" w:hAnsi="宋体" w:cs="Times New Roman" w:hint="eastAsia"/>
                <w:color w:val="auto"/>
                <w:sz w:val="24"/>
                <w:szCs w:val="24"/>
              </w:rPr>
              <w:t>非金属衬里层：搪玻璃、石墨、玻璃钢等损坏</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检查非金属衬里层的损坏情况</w:t>
            </w:r>
            <w:r>
              <w:rPr>
                <w:rFonts w:ascii="宋体" w:eastAsia="宋体" w:hAnsi="宋体" w:cs="Times New Roman" w:hint="eastAsia"/>
                <w:color w:val="auto"/>
                <w:sz w:val="24"/>
                <w:szCs w:val="24"/>
              </w:rPr>
              <w:t>并及时进行修复或更换</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1011"/>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2</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支承或者支座变形、基础沉降、紧固螺栓松动等</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加强日常检查监控，必要时及时进行修复</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851"/>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3</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运行期间超压、超温、超量等</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制定运行操作规程，并严格执行；</w:t>
            </w:r>
          </w:p>
          <w:p>
            <w:pPr>
              <w:spacing w:line="320" w:lineRule="exact"/>
              <w:jc w:val="left"/>
              <w:rPr>
                <w:rFonts w:ascii="宋体" w:hAnsi="宋体" w:cs="宋体"/>
                <w:color w:val="auto"/>
                <w:sz w:val="24"/>
              </w:rPr>
            </w:pPr>
            <w:r>
              <w:rPr>
                <w:rFonts w:ascii="宋体" w:eastAsia="宋体" w:hAnsi="宋体" w:cs="宋体" w:hint="eastAsia"/>
                <w:color w:val="auto"/>
                <w:sz w:val="24"/>
                <w:szCs w:val="24"/>
              </w:rPr>
              <w:t>2</w:t>
            </w:r>
            <w:r>
              <w:rPr>
                <w:rFonts w:ascii="宋体" w:eastAsia="宋体" w:hAnsi="宋体" w:cs="宋体"/>
                <w:color w:val="auto"/>
                <w:sz w:val="24"/>
                <w:szCs w:val="24"/>
              </w:rPr>
              <w:t>.</w:t>
            </w:r>
            <w:r>
              <w:rPr>
                <w:rFonts w:ascii="宋体" w:eastAsia="宋体" w:hAnsi="宋体" w:cs="宋体" w:hint="eastAsia"/>
                <w:color w:val="auto"/>
                <w:sz w:val="24"/>
                <w:szCs w:val="24"/>
              </w:rPr>
              <w:t>必要时进行检验、评估</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4</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spacing w:line="320" w:lineRule="exact"/>
              <w:jc w:val="left"/>
              <w:rPr>
                <w:rFonts w:ascii="宋体" w:hAnsi="宋体"/>
                <w:color w:val="auto"/>
                <w:kern w:val="0"/>
                <w:sz w:val="24"/>
              </w:rPr>
            </w:pPr>
            <w:r>
              <w:rPr>
                <w:rFonts w:ascii="宋体" w:eastAsia="宋体" w:hAnsi="宋体" w:cs="Times New Roman" w:hint="eastAsia"/>
                <w:color w:val="auto"/>
                <w:sz w:val="24"/>
                <w:szCs w:val="24"/>
              </w:rPr>
              <w:t>检漏孔、信号孔有泄漏。检漏孔不通畅</w:t>
            </w:r>
          </w:p>
        </w:tc>
        <w:tc>
          <w:tcPr>
            <w:tcW w:w="4905" w:type="dxa"/>
            <w:vAlign w:val="center"/>
          </w:tcPr>
          <w:p>
            <w:pPr>
              <w:spacing w:line="320" w:lineRule="exact"/>
              <w:jc w:val="left"/>
              <w:rPr>
                <w:rFonts w:ascii="宋体" w:hAnsi="宋体" w:cs="宋体"/>
                <w:color w:val="auto"/>
                <w:sz w:val="24"/>
              </w:rPr>
            </w:pPr>
            <w:r>
              <w:rPr>
                <w:rFonts w:ascii="宋体" w:eastAsia="宋体" w:hAnsi="宋体" w:cs="宋体"/>
                <w:color w:val="auto"/>
                <w:sz w:val="24"/>
                <w:szCs w:val="24"/>
              </w:rPr>
              <w:t>1.</w:t>
            </w:r>
            <w:r>
              <w:rPr>
                <w:rFonts w:ascii="宋体" w:eastAsia="宋体" w:hAnsi="宋体" w:cs="宋体" w:hint="eastAsia"/>
                <w:color w:val="auto"/>
                <w:sz w:val="24"/>
                <w:szCs w:val="24"/>
              </w:rPr>
              <w:t>及时对泄漏源进行排查并处理；</w:t>
            </w:r>
            <w:r>
              <w:rPr>
                <w:rFonts w:ascii="宋体" w:eastAsia="宋体" w:hAnsi="宋体" w:cs="宋体"/>
                <w:color w:val="auto"/>
                <w:sz w:val="24"/>
                <w:szCs w:val="24"/>
              </w:rPr>
              <w:br/>
            </w:r>
            <w:r>
              <w:rPr>
                <w:rFonts w:ascii="宋体" w:eastAsia="宋体" w:hAnsi="宋体" w:cs="宋体"/>
                <w:color w:val="auto"/>
                <w:sz w:val="24"/>
                <w:szCs w:val="24"/>
              </w:rPr>
              <w:t>2.</w:t>
            </w:r>
            <w:r>
              <w:rPr>
                <w:rFonts w:ascii="宋体" w:eastAsia="宋体" w:hAnsi="宋体" w:cs="宋体" w:hint="eastAsia"/>
                <w:color w:val="auto"/>
                <w:sz w:val="24"/>
                <w:szCs w:val="24"/>
              </w:rPr>
              <w:t>制定运行操作规程，并严格执行；</w:t>
            </w:r>
            <w:r>
              <w:rPr>
                <w:rFonts w:ascii="宋体" w:eastAsia="宋体" w:hAnsi="宋体" w:cs="宋体"/>
                <w:color w:val="auto"/>
                <w:sz w:val="24"/>
                <w:szCs w:val="24"/>
              </w:rPr>
              <w:br/>
            </w:r>
            <w:r>
              <w:rPr>
                <w:rFonts w:ascii="宋体" w:eastAsia="宋体" w:hAnsi="宋体" w:cs="宋体" w:hint="eastAsia"/>
                <w:color w:val="auto"/>
                <w:sz w:val="24"/>
                <w:szCs w:val="24"/>
              </w:rPr>
              <w:t>3</w:t>
            </w:r>
            <w:r>
              <w:rPr>
                <w:rFonts w:ascii="宋体" w:eastAsia="宋体" w:hAnsi="宋体" w:cs="宋体"/>
                <w:color w:val="auto"/>
                <w:sz w:val="24"/>
                <w:szCs w:val="24"/>
              </w:rPr>
              <w:t>.</w:t>
            </w:r>
            <w:r>
              <w:rPr>
                <w:rFonts w:ascii="宋体" w:eastAsia="宋体" w:hAnsi="宋体" w:cs="宋体" w:hint="eastAsia"/>
                <w:color w:val="auto"/>
                <w:sz w:val="24"/>
                <w:szCs w:val="24"/>
              </w:rPr>
              <w:t>及时对检漏孔进行疏通</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851"/>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5</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接地装置不符合要求</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查明异常原因，并及时处理；</w:t>
            </w:r>
          </w:p>
          <w:p>
            <w:pPr>
              <w:spacing w:line="320" w:lineRule="exact"/>
              <w:jc w:val="left"/>
              <w:rPr>
                <w:rFonts w:ascii="宋体" w:hAnsi="宋体" w:cs="宋体"/>
                <w:color w:val="auto"/>
                <w:sz w:val="24"/>
              </w:rPr>
            </w:pPr>
            <w:r>
              <w:rPr>
                <w:rFonts w:ascii="宋体" w:eastAsia="宋体" w:hAnsi="宋体" w:cs="宋体" w:hint="eastAsia"/>
                <w:color w:val="auto"/>
                <w:sz w:val="24"/>
                <w:szCs w:val="24"/>
              </w:rPr>
              <w:t>2</w:t>
            </w:r>
            <w:r>
              <w:rPr>
                <w:rFonts w:ascii="宋体" w:eastAsia="宋体" w:hAnsi="宋体" w:cs="宋体"/>
                <w:color w:val="auto"/>
                <w:sz w:val="24"/>
                <w:szCs w:val="24"/>
              </w:rPr>
              <w:t>.</w:t>
            </w:r>
            <w:r>
              <w:rPr>
                <w:rFonts w:ascii="宋体" w:eastAsia="宋体" w:hAnsi="宋体" w:cs="宋体" w:hint="eastAsia"/>
                <w:color w:val="auto"/>
                <w:sz w:val="24"/>
                <w:szCs w:val="24"/>
              </w:rPr>
              <w:t>接地装置进行定期检测</w:t>
            </w:r>
          </w:p>
        </w:tc>
        <w:tc>
          <w:tcPr>
            <w:tcW w:w="1783" w:type="dxa"/>
            <w:vMerge/>
            <w:vAlign w:val="center"/>
          </w:tcPr>
          <w:p>
            <w:pPr>
              <w:spacing w:line="320" w:lineRule="exact"/>
              <w:jc w:val="left"/>
              <w:rPr>
                <w:rFonts w:ascii="宋体" w:hAnsi="宋体"/>
                <w:color w:val="auto"/>
                <w:sz w:val="24"/>
              </w:rPr>
            </w:pPr>
          </w:p>
        </w:tc>
        <w:tc>
          <w:tcPr>
            <w:tcW w:w="1696" w:type="dxa"/>
            <w:vMerge/>
            <w:vAlign w:val="center"/>
          </w:tcPr>
          <w:p>
            <w:pPr>
              <w:spacing w:line="320" w:lineRule="exact"/>
              <w:jc w:val="left"/>
              <w:rPr>
                <w:rFonts w:ascii="宋体" w:hAnsi="宋体"/>
                <w:color w:val="auto"/>
                <w:sz w:val="24"/>
              </w:rPr>
            </w:pPr>
          </w:p>
        </w:tc>
        <w:tc>
          <w:tcPr>
            <w:tcW w:w="1185" w:type="dxa"/>
            <w:vAlign w:val="center"/>
          </w:tcPr>
          <w:p>
            <w:pPr>
              <w:spacing w:line="320" w:lineRule="exact"/>
              <w:jc w:val="left"/>
              <w:rPr>
                <w:rFonts w:ascii="微软雅黑" w:eastAsia="微软雅黑" w:hAnsi="微软雅黑"/>
                <w:color w:val="auto"/>
                <w:sz w:val="18"/>
                <w:szCs w:val="18"/>
              </w:rPr>
            </w:pPr>
          </w:p>
        </w:tc>
      </w:tr>
    </w:tbl>
    <w:p>
      <w:pPr>
        <w:sectPr>
          <w:headerReference w:type="default" r:id="rId13"/>
          <w:type w:val="nextPage"/>
          <w:pgSz w:w="16838" w:h="11906" w:orient="landscape"/>
          <w:pgMar w:top="1406" w:right="1191" w:bottom="1406" w:left="1191" w:header="851" w:footer="992" w:gutter="0"/>
          <w:paperSrc w:first="0" w:other="0"/>
          <w:pgNumType w:start="10"/>
          <w:cols w:space="708"/>
          <w:titlePg w:val="0"/>
          <w:rtlGutter w:val="0"/>
          <w:docGrid w:type="lines" w:linePitch="324" w:charSpace="0"/>
        </w:sectPr>
      </w:pPr>
    </w:p>
    <w:tbl>
      <w:tblPr>
        <w:tblStyle w:val="TableNormal"/>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1"/>
        <w:gridCol w:w="1599"/>
        <w:gridCol w:w="2209"/>
        <w:gridCol w:w="4905"/>
        <w:gridCol w:w="1783"/>
        <w:gridCol w:w="1696"/>
        <w:gridCol w:w="1185"/>
      </w:tblGrid>
      <w:tr>
        <w:tblPrEx>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851"/>
          <w:jc w:val="center"/>
        </w:trPr>
        <w:tc>
          <w:tcPr>
            <w:tcW w:w="791" w:type="dxa"/>
            <w:tcBorders>
              <w:bottom w:val="single" w:sz="4" w:space="0" w:color="auto"/>
            </w:tcBorders>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6</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设备</w:t>
            </w: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铭牌、漆色、标志不符合要求</w:t>
            </w:r>
          </w:p>
        </w:tc>
        <w:tc>
          <w:tcPr>
            <w:tcW w:w="4905" w:type="dxa"/>
            <w:tcBorders>
              <w:bottom w:val="single" w:sz="4" w:space="0" w:color="auto"/>
            </w:tcBorders>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按规定完善</w:t>
            </w:r>
            <w:r>
              <w:rPr>
                <w:rFonts w:ascii="宋体" w:eastAsia="宋体" w:hAnsi="宋体" w:cs="Times New Roman" w:hint="eastAsia"/>
                <w:color w:val="auto"/>
                <w:sz w:val="24"/>
                <w:szCs w:val="24"/>
              </w:rPr>
              <w:t>铭牌、漆色、标志</w:t>
            </w:r>
          </w:p>
        </w:tc>
        <w:tc>
          <w:tcPr>
            <w:tcW w:w="1783" w:type="dxa"/>
            <w:tcBorders>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tcBorders>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1141"/>
          <w:jc w:val="center"/>
        </w:trPr>
        <w:tc>
          <w:tcPr>
            <w:tcW w:w="791" w:type="dxa"/>
            <w:tcBorders>
              <w:bottom w:val="single" w:sz="4" w:space="0" w:color="auto"/>
            </w:tcBorders>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7</w:t>
            </w:r>
          </w:p>
        </w:tc>
        <w:tc>
          <w:tcPr>
            <w:tcW w:w="1599" w:type="dxa"/>
            <w:vMerge/>
            <w:tcBorders>
              <w:bottom w:val="single" w:sz="4" w:space="0" w:color="auto"/>
            </w:tcBorders>
            <w:vAlign w:val="center"/>
          </w:tcPr>
          <w:p>
            <w:pPr>
              <w:spacing w:line="320" w:lineRule="exact"/>
              <w:jc w:val="center"/>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使用未取得生产许可生产或未经检验合格的压力容器</w:t>
            </w:r>
          </w:p>
        </w:tc>
        <w:tc>
          <w:tcPr>
            <w:tcW w:w="4905" w:type="dxa"/>
            <w:tcBorders>
              <w:bottom w:val="single" w:sz="4" w:space="0" w:color="auto"/>
            </w:tcBorders>
            <w:vAlign w:val="center"/>
          </w:tcPr>
          <w:p>
            <w:pPr>
              <w:spacing w:line="320" w:lineRule="exact"/>
              <w:jc w:val="left"/>
              <w:rPr>
                <w:rFonts w:ascii="宋体" w:hAnsi="宋体" w:cs="宋体"/>
                <w:color w:val="auto"/>
                <w:sz w:val="24"/>
              </w:rPr>
            </w:pPr>
            <w:r>
              <w:rPr>
                <w:rFonts w:ascii="宋体" w:eastAsia="宋体" w:hAnsi="宋体" w:cs="Times New Roman" w:hint="eastAsia"/>
                <w:color w:val="auto"/>
                <w:sz w:val="24"/>
                <w:szCs w:val="24"/>
              </w:rPr>
              <w:t>严格采购管理，使用取得生产许可并经检验合格的压力容器</w:t>
            </w:r>
          </w:p>
        </w:tc>
        <w:tc>
          <w:tcPr>
            <w:tcW w:w="1783" w:type="dxa"/>
            <w:tcBorders>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月调度</w:t>
            </w:r>
          </w:p>
        </w:tc>
        <w:tc>
          <w:tcPr>
            <w:tcW w:w="1696" w:type="dxa"/>
            <w:tcBorders>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主要负责人</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tcBorders>
              <w:top w:val="single" w:sz="4" w:space="0" w:color="auto"/>
            </w:tcBorders>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28</w:t>
            </w:r>
          </w:p>
        </w:tc>
        <w:tc>
          <w:tcPr>
            <w:tcW w:w="1599" w:type="dxa"/>
            <w:vMerge w:val="restart"/>
            <w:tcBorders>
              <w:top w:val="single" w:sz="4" w:space="0" w:color="auto"/>
            </w:tcBorders>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安全附件和安全保护装置</w:t>
            </w:r>
          </w:p>
        </w:tc>
        <w:tc>
          <w:tcPr>
            <w:tcW w:w="2209" w:type="dxa"/>
            <w:vAlign w:val="center"/>
          </w:tcPr>
          <w:p>
            <w:pPr>
              <w:widowControl/>
              <w:spacing w:line="320" w:lineRule="exact"/>
              <w:jc w:val="left"/>
              <w:rPr>
                <w:rFonts w:ascii="宋体" w:hAnsi="宋体"/>
                <w:color w:val="auto"/>
                <w:kern w:val="0"/>
                <w:sz w:val="24"/>
              </w:rPr>
            </w:pPr>
            <w:r>
              <w:rPr>
                <w:rFonts w:ascii="宋体" w:eastAsia="宋体" w:hAnsi="宋体" w:cs="Times New Roman" w:hint="eastAsia"/>
                <w:color w:val="auto"/>
                <w:sz w:val="24"/>
                <w:szCs w:val="24"/>
              </w:rPr>
              <w:t>安全阀的铅封、校验标签缺失，未在验有效期内；安全阀根部阀未常开。</w:t>
            </w:r>
          </w:p>
        </w:tc>
        <w:tc>
          <w:tcPr>
            <w:tcW w:w="4905" w:type="dxa"/>
            <w:tcBorders>
              <w:top w:val="single" w:sz="4" w:space="0" w:color="auto"/>
              <w:bottom w:val="single" w:sz="4" w:space="0" w:color="auto"/>
            </w:tcBorders>
            <w:vAlign w:val="center"/>
          </w:tcPr>
          <w:p>
            <w:pPr>
              <w:spacing w:line="320" w:lineRule="exact"/>
              <w:jc w:val="left"/>
              <w:rPr>
                <w:rFonts w:ascii="宋体" w:hAnsi="宋体" w:cs="宋体"/>
                <w:color w:val="auto"/>
                <w:sz w:val="24"/>
              </w:rPr>
            </w:pPr>
            <w:r>
              <w:rPr>
                <w:rFonts w:ascii="宋体" w:eastAsia="宋体" w:hAnsi="宋体" w:cs="宋体"/>
                <w:color w:val="auto"/>
                <w:sz w:val="24"/>
                <w:szCs w:val="24"/>
              </w:rPr>
              <w:t>1.</w:t>
            </w:r>
            <w:r>
              <w:rPr>
                <w:rFonts w:ascii="宋体" w:eastAsia="宋体" w:hAnsi="宋体" w:cs="宋体" w:hint="eastAsia"/>
                <w:color w:val="auto"/>
                <w:sz w:val="24"/>
                <w:szCs w:val="24"/>
              </w:rPr>
              <w:t>重新校验安全阀；</w:t>
            </w:r>
            <w:r>
              <w:rPr>
                <w:rFonts w:ascii="宋体" w:eastAsia="宋体" w:hAnsi="宋体" w:cs="宋体"/>
                <w:color w:val="auto"/>
                <w:sz w:val="24"/>
                <w:szCs w:val="24"/>
              </w:rPr>
              <w:br/>
            </w:r>
            <w:r>
              <w:rPr>
                <w:rFonts w:ascii="宋体" w:eastAsia="宋体" w:hAnsi="宋体" w:cs="宋体"/>
                <w:color w:val="auto"/>
                <w:sz w:val="24"/>
                <w:szCs w:val="24"/>
              </w:rPr>
              <w:t>2.</w:t>
            </w:r>
            <w:r>
              <w:rPr>
                <w:rFonts w:ascii="宋体" w:eastAsia="宋体" w:hAnsi="宋体" w:cs="宋体" w:hint="eastAsia"/>
                <w:color w:val="auto"/>
                <w:sz w:val="24"/>
                <w:szCs w:val="24"/>
              </w:rPr>
              <w:t>对安全阀铅封、校验标签采取保护措施；</w:t>
            </w:r>
            <w:r>
              <w:rPr>
                <w:rFonts w:ascii="宋体" w:eastAsia="宋体" w:hAnsi="宋体" w:cs="宋体"/>
                <w:color w:val="auto"/>
                <w:sz w:val="24"/>
                <w:szCs w:val="24"/>
              </w:rPr>
              <w:br/>
            </w:r>
            <w:r>
              <w:rPr>
                <w:rFonts w:ascii="宋体" w:eastAsia="宋体" w:hAnsi="宋体" w:cs="宋体"/>
                <w:color w:val="auto"/>
                <w:sz w:val="24"/>
                <w:szCs w:val="24"/>
              </w:rPr>
              <w:t>3.</w:t>
            </w:r>
            <w:r>
              <w:rPr>
                <w:rFonts w:ascii="宋体" w:eastAsia="宋体" w:hAnsi="宋体" w:cs="宋体" w:hint="eastAsia"/>
                <w:color w:val="auto"/>
                <w:sz w:val="24"/>
                <w:szCs w:val="24"/>
              </w:rPr>
              <w:t>安全阀根部阀保持常开并锁定</w:t>
            </w:r>
          </w:p>
        </w:tc>
        <w:tc>
          <w:tcPr>
            <w:tcW w:w="1783" w:type="dxa"/>
            <w:tcBorders>
              <w:top w:val="single" w:sz="4" w:space="0" w:color="auto"/>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tcBorders>
              <w:top w:val="single" w:sz="4" w:space="0" w:color="auto"/>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tcBorders>
              <w:bottom w:val="single" w:sz="4" w:space="0" w:color="auto"/>
            </w:tcBorders>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968"/>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29</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autoSpaceDE w:val="0"/>
              <w:autoSpaceDN w:val="0"/>
              <w:spacing w:line="320" w:lineRule="exact"/>
              <w:jc w:val="left"/>
              <w:rPr>
                <w:rFonts w:ascii="宋体" w:hAnsi="宋体"/>
                <w:color w:val="auto"/>
                <w:kern w:val="0"/>
                <w:sz w:val="24"/>
              </w:rPr>
            </w:pPr>
            <w:r>
              <w:rPr>
                <w:rFonts w:ascii="宋体" w:eastAsia="宋体" w:hAnsi="宋体" w:cs="Times New Roman" w:hint="eastAsia"/>
                <w:color w:val="auto"/>
                <w:sz w:val="24"/>
                <w:szCs w:val="24"/>
              </w:rPr>
              <w:t>爆破片泄漏、反装，未定期更换</w:t>
            </w:r>
          </w:p>
        </w:tc>
        <w:tc>
          <w:tcPr>
            <w:tcW w:w="4905" w:type="dxa"/>
            <w:tcBorders>
              <w:top w:val="single" w:sz="4" w:space="0" w:color="auto"/>
              <w:bottom w:val="single" w:sz="4" w:space="0" w:color="auto"/>
            </w:tcBorders>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查明泄漏原因并消除；</w:t>
            </w:r>
            <w:r>
              <w:rPr>
                <w:rFonts w:ascii="宋体" w:eastAsia="宋体" w:hAnsi="宋体" w:cs="宋体"/>
                <w:color w:val="auto"/>
                <w:sz w:val="24"/>
                <w:szCs w:val="24"/>
              </w:rPr>
              <w:br/>
            </w:r>
            <w:r>
              <w:rPr>
                <w:rFonts w:ascii="宋体" w:eastAsia="宋体" w:hAnsi="宋体" w:cs="宋体"/>
                <w:color w:val="auto"/>
                <w:sz w:val="24"/>
                <w:szCs w:val="24"/>
              </w:rPr>
              <w:t>2.</w:t>
            </w:r>
            <w:r>
              <w:rPr>
                <w:rFonts w:ascii="宋体" w:eastAsia="宋体" w:hAnsi="宋体" w:cs="宋体" w:hint="eastAsia"/>
                <w:color w:val="auto"/>
                <w:sz w:val="24"/>
                <w:szCs w:val="24"/>
              </w:rPr>
              <w:t>确认爆破片的安装方向；</w:t>
            </w:r>
            <w:r>
              <w:rPr>
                <w:rFonts w:ascii="宋体" w:eastAsia="宋体" w:hAnsi="宋体" w:cs="宋体"/>
                <w:color w:val="auto"/>
                <w:sz w:val="24"/>
                <w:szCs w:val="24"/>
              </w:rPr>
              <w:br/>
            </w:r>
            <w:r>
              <w:rPr>
                <w:rFonts w:ascii="宋体" w:eastAsia="宋体" w:hAnsi="宋体" w:cs="宋体"/>
                <w:color w:val="auto"/>
                <w:sz w:val="24"/>
                <w:szCs w:val="24"/>
              </w:rPr>
              <w:t>3</w:t>
            </w:r>
            <w:r>
              <w:rPr>
                <w:rFonts w:ascii="宋体" w:eastAsia="宋体" w:hAnsi="宋体" w:cs="宋体" w:hint="eastAsia"/>
                <w:color w:val="auto"/>
                <w:sz w:val="24"/>
                <w:szCs w:val="24"/>
              </w:rPr>
              <w:t>.制定爆破片定期更换计划并实施</w:t>
            </w:r>
          </w:p>
        </w:tc>
        <w:tc>
          <w:tcPr>
            <w:tcW w:w="1783" w:type="dxa"/>
            <w:tcBorders>
              <w:top w:val="single" w:sz="4" w:space="0" w:color="auto"/>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tcBorders>
              <w:top w:val="single" w:sz="4" w:space="0" w:color="auto"/>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tcBorders>
              <w:top w:val="single" w:sz="4" w:space="0" w:color="auto"/>
            </w:tcBorders>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41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3</w:t>
            </w:r>
            <w:r>
              <w:rPr>
                <w:rFonts w:ascii="宋体" w:eastAsia="宋体" w:hAnsi="宋体" w:cs="Times New Roman" w:hint="eastAsia"/>
                <w:color w:val="auto"/>
                <w:kern w:val="0"/>
                <w:sz w:val="24"/>
                <w:szCs w:val="24"/>
              </w:rPr>
              <w:t>0</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spacing w:line="320" w:lineRule="exact"/>
              <w:jc w:val="left"/>
              <w:rPr>
                <w:rFonts w:ascii="宋体" w:hAnsi="宋体"/>
                <w:color w:val="auto"/>
                <w:kern w:val="0"/>
                <w:sz w:val="24"/>
              </w:rPr>
            </w:pPr>
            <w:r>
              <w:rPr>
                <w:rFonts w:ascii="宋体" w:eastAsia="宋体" w:hAnsi="宋体" w:cs="Times New Roman" w:hint="eastAsia"/>
                <w:color w:val="auto"/>
                <w:sz w:val="24"/>
                <w:szCs w:val="24"/>
              </w:rPr>
              <w:t>压力表选型错误、未在检定有效期内，刻度盘上无指示工作压力的红线，压力表损坏</w:t>
            </w:r>
          </w:p>
        </w:tc>
        <w:tc>
          <w:tcPr>
            <w:tcW w:w="4905" w:type="dxa"/>
            <w:tcBorders>
              <w:top w:val="single" w:sz="4" w:space="0" w:color="auto"/>
              <w:bottom w:val="single" w:sz="4" w:space="0" w:color="auto"/>
            </w:tcBorders>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根据工况选取符合要求的压力表；</w:t>
            </w:r>
            <w:r>
              <w:rPr>
                <w:rFonts w:ascii="宋体" w:eastAsia="宋体" w:hAnsi="宋体" w:cs="宋体"/>
                <w:color w:val="auto"/>
                <w:sz w:val="24"/>
                <w:szCs w:val="24"/>
              </w:rPr>
              <w:br/>
            </w:r>
            <w:r>
              <w:rPr>
                <w:rFonts w:ascii="宋体" w:eastAsia="宋体" w:hAnsi="宋体" w:cs="宋体" w:hint="eastAsia"/>
                <w:color w:val="auto"/>
                <w:sz w:val="24"/>
                <w:szCs w:val="24"/>
              </w:rPr>
              <w:t>2</w:t>
            </w:r>
            <w:r>
              <w:rPr>
                <w:rFonts w:ascii="宋体" w:eastAsia="宋体" w:hAnsi="宋体" w:cs="宋体"/>
                <w:color w:val="auto"/>
                <w:sz w:val="24"/>
                <w:szCs w:val="24"/>
              </w:rPr>
              <w:t>.</w:t>
            </w:r>
            <w:r>
              <w:rPr>
                <w:rFonts w:ascii="宋体" w:eastAsia="宋体" w:hAnsi="宋体" w:cs="宋体" w:hint="eastAsia"/>
                <w:color w:val="auto"/>
                <w:sz w:val="24"/>
                <w:szCs w:val="24"/>
              </w:rPr>
              <w:t>制定压力表定期检定计划并实施；</w:t>
            </w:r>
            <w:r>
              <w:rPr>
                <w:rFonts w:ascii="宋体" w:eastAsia="宋体" w:hAnsi="宋体" w:cs="宋体"/>
                <w:color w:val="auto"/>
                <w:sz w:val="24"/>
                <w:szCs w:val="24"/>
              </w:rPr>
              <w:br/>
            </w:r>
            <w:r>
              <w:rPr>
                <w:rFonts w:ascii="宋体" w:eastAsia="宋体" w:hAnsi="宋体" w:cs="宋体"/>
                <w:color w:val="auto"/>
                <w:sz w:val="24"/>
                <w:szCs w:val="24"/>
              </w:rPr>
              <w:t>3.</w:t>
            </w:r>
            <w:r>
              <w:rPr>
                <w:rFonts w:ascii="宋体" w:eastAsia="宋体" w:hAnsi="宋体" w:cs="Times New Roman" w:hint="eastAsia"/>
                <w:color w:val="auto"/>
                <w:sz w:val="24"/>
                <w:szCs w:val="24"/>
              </w:rPr>
              <w:t>刻度盘上标出工作压力的红线；</w:t>
            </w:r>
            <w:r>
              <w:rPr>
                <w:rFonts w:ascii="宋体" w:eastAsia="宋体" w:hAnsi="宋体" w:cs="Times New Roman"/>
                <w:color w:val="auto"/>
                <w:sz w:val="24"/>
                <w:szCs w:val="24"/>
              </w:rPr>
              <w:br/>
            </w:r>
            <w:r>
              <w:rPr>
                <w:rFonts w:ascii="宋体" w:eastAsia="宋体" w:hAnsi="宋体" w:cs="Times New Roman" w:hint="eastAsia"/>
                <w:color w:val="auto"/>
                <w:sz w:val="24"/>
                <w:szCs w:val="24"/>
              </w:rPr>
              <w:t>4</w:t>
            </w:r>
            <w:r>
              <w:rPr>
                <w:rFonts w:ascii="宋体" w:eastAsia="宋体" w:hAnsi="宋体" w:cs="Times New Roman"/>
                <w:color w:val="auto"/>
                <w:sz w:val="24"/>
                <w:szCs w:val="24"/>
              </w:rPr>
              <w:t>.</w:t>
            </w:r>
            <w:r>
              <w:rPr>
                <w:rFonts w:ascii="宋体" w:eastAsia="宋体" w:hAnsi="宋体" w:cs="Times New Roman" w:hint="eastAsia"/>
                <w:color w:val="auto"/>
                <w:sz w:val="24"/>
                <w:szCs w:val="24"/>
              </w:rPr>
              <w:t>及时更换损坏的压力表</w:t>
            </w:r>
          </w:p>
        </w:tc>
        <w:tc>
          <w:tcPr>
            <w:tcW w:w="1783" w:type="dxa"/>
            <w:tcBorders>
              <w:top w:val="single" w:sz="4" w:space="0" w:color="auto"/>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tcBorders>
              <w:top w:val="single" w:sz="4" w:space="0" w:color="auto"/>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31</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spacing w:line="320" w:lineRule="exact"/>
              <w:jc w:val="left"/>
              <w:rPr>
                <w:rFonts w:ascii="宋体" w:hAnsi="宋体"/>
                <w:color w:val="auto"/>
                <w:kern w:val="0"/>
                <w:sz w:val="24"/>
              </w:rPr>
            </w:pPr>
            <w:r>
              <w:rPr>
                <w:rFonts w:ascii="宋体" w:eastAsia="宋体" w:hAnsi="宋体" w:cs="Times New Roman" w:hint="eastAsia"/>
                <w:color w:val="auto"/>
                <w:sz w:val="24"/>
                <w:szCs w:val="24"/>
              </w:rPr>
              <w:t>液位计选型错误，无最高和最低安全液位的标志 ，液位计存在泄漏</w:t>
            </w:r>
          </w:p>
        </w:tc>
        <w:tc>
          <w:tcPr>
            <w:tcW w:w="4905" w:type="dxa"/>
            <w:tcBorders>
              <w:top w:val="single" w:sz="4" w:space="0" w:color="auto"/>
            </w:tcBorders>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根据工况选取符合要求的液位计；</w:t>
            </w:r>
            <w:r>
              <w:rPr>
                <w:rFonts w:ascii="宋体" w:eastAsia="宋体" w:hAnsi="宋体" w:cs="宋体"/>
                <w:color w:val="auto"/>
                <w:sz w:val="24"/>
                <w:szCs w:val="24"/>
              </w:rPr>
              <w:br/>
            </w:r>
            <w:r>
              <w:rPr>
                <w:rFonts w:ascii="宋体" w:eastAsia="宋体" w:hAnsi="宋体" w:cs="宋体"/>
                <w:color w:val="auto"/>
                <w:sz w:val="24"/>
                <w:szCs w:val="24"/>
              </w:rPr>
              <w:t>2.</w:t>
            </w:r>
            <w:r>
              <w:rPr>
                <w:rFonts w:ascii="宋体" w:eastAsia="宋体" w:hAnsi="宋体" w:cs="宋体" w:hint="eastAsia"/>
                <w:color w:val="auto"/>
                <w:sz w:val="24"/>
                <w:szCs w:val="24"/>
              </w:rPr>
              <w:t>标注</w:t>
            </w:r>
            <w:r>
              <w:rPr>
                <w:rFonts w:ascii="宋体" w:eastAsia="宋体" w:hAnsi="宋体" w:cs="Times New Roman" w:hint="eastAsia"/>
                <w:color w:val="auto"/>
                <w:sz w:val="24"/>
                <w:szCs w:val="24"/>
              </w:rPr>
              <w:t>最高和最低安全液位的标志；</w:t>
            </w:r>
            <w:r>
              <w:rPr>
                <w:rFonts w:ascii="宋体" w:eastAsia="宋体" w:hAnsi="宋体" w:cs="Times New Roman"/>
                <w:color w:val="auto"/>
                <w:sz w:val="24"/>
                <w:szCs w:val="24"/>
              </w:rPr>
              <w:br/>
            </w:r>
            <w:r>
              <w:rPr>
                <w:rFonts w:ascii="宋体" w:eastAsia="宋体" w:hAnsi="宋体" w:cs="Times New Roman"/>
                <w:color w:val="auto"/>
                <w:sz w:val="24"/>
                <w:szCs w:val="24"/>
              </w:rPr>
              <w:t>3.</w:t>
            </w:r>
            <w:r>
              <w:rPr>
                <w:rFonts w:ascii="宋体" w:eastAsia="宋体" w:hAnsi="宋体" w:cs="Times New Roman" w:hint="eastAsia"/>
                <w:color w:val="auto"/>
                <w:sz w:val="24"/>
                <w:szCs w:val="24"/>
              </w:rPr>
              <w:t>修复或更换液位计</w:t>
            </w:r>
          </w:p>
        </w:tc>
        <w:tc>
          <w:tcPr>
            <w:tcW w:w="1783" w:type="dxa"/>
            <w:tcBorders>
              <w:top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tcBorders>
              <w:top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114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32</w:t>
            </w:r>
          </w:p>
        </w:tc>
        <w:tc>
          <w:tcPr>
            <w:tcW w:w="1599" w:type="dxa"/>
            <w:vMerge/>
            <w:vAlign w:val="center"/>
          </w:tcPr>
          <w:p>
            <w:pPr>
              <w:spacing w:line="320" w:lineRule="exact"/>
              <w:jc w:val="left"/>
              <w:rPr>
                <w:rFonts w:ascii="宋体" w:hAnsi="宋体"/>
                <w:color w:val="auto"/>
                <w:kern w:val="0"/>
                <w:sz w:val="24"/>
              </w:rPr>
            </w:pPr>
          </w:p>
        </w:tc>
        <w:tc>
          <w:tcPr>
            <w:tcW w:w="2209" w:type="dxa"/>
            <w:vAlign w:val="center"/>
          </w:tcPr>
          <w:p>
            <w:pPr>
              <w:widowControl/>
              <w:spacing w:line="320" w:lineRule="exact"/>
              <w:jc w:val="left"/>
              <w:rPr>
                <w:rFonts w:ascii="宋体" w:hAnsi="宋体"/>
                <w:color w:val="auto"/>
                <w:sz w:val="24"/>
              </w:rPr>
            </w:pPr>
            <w:r>
              <w:rPr>
                <w:rFonts w:ascii="宋体" w:eastAsia="宋体" w:hAnsi="宋体" w:cs="Times New Roman" w:hint="eastAsia"/>
                <w:color w:val="auto"/>
                <w:sz w:val="24"/>
                <w:szCs w:val="24"/>
              </w:rPr>
              <w:t>紧急切断装置未定期调试，功能失效</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定期对</w:t>
            </w:r>
            <w:r>
              <w:rPr>
                <w:rFonts w:ascii="宋体" w:eastAsia="宋体" w:hAnsi="宋体" w:cs="Times New Roman" w:hint="eastAsia"/>
                <w:color w:val="auto"/>
                <w:sz w:val="24"/>
                <w:szCs w:val="24"/>
              </w:rPr>
              <w:t>紧急切断装置调试，确保功能有效；</w:t>
            </w:r>
            <w:r>
              <w:rPr>
                <w:rFonts w:ascii="宋体" w:eastAsia="宋体" w:hAnsi="宋体" w:cs="Times New Roman"/>
                <w:color w:val="auto"/>
                <w:sz w:val="24"/>
                <w:szCs w:val="24"/>
              </w:rPr>
              <w:br/>
            </w:r>
            <w:r>
              <w:rPr>
                <w:rFonts w:ascii="宋体" w:eastAsia="宋体" w:hAnsi="宋体" w:cs="Times New Roman" w:hint="eastAsia"/>
                <w:color w:val="auto"/>
                <w:sz w:val="24"/>
                <w:szCs w:val="24"/>
              </w:rPr>
              <w:t>2</w:t>
            </w:r>
            <w:r>
              <w:rPr>
                <w:rFonts w:ascii="宋体" w:eastAsia="宋体" w:hAnsi="宋体" w:cs="Times New Roman"/>
                <w:color w:val="auto"/>
                <w:sz w:val="24"/>
                <w:szCs w:val="24"/>
              </w:rPr>
              <w:t>.</w:t>
            </w:r>
            <w:r>
              <w:rPr>
                <w:rFonts w:ascii="宋体" w:eastAsia="宋体" w:hAnsi="宋体" w:cs="Times New Roman" w:hint="eastAsia"/>
                <w:color w:val="auto"/>
                <w:sz w:val="24"/>
                <w:szCs w:val="24"/>
              </w:rPr>
              <w:t>必要时对远控联锁功能进行测试</w:t>
            </w:r>
          </w:p>
        </w:tc>
        <w:tc>
          <w:tcPr>
            <w:tcW w:w="1783"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周排查</w:t>
            </w:r>
          </w:p>
        </w:tc>
        <w:tc>
          <w:tcPr>
            <w:tcW w:w="1696"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安全总监</w:t>
            </w:r>
          </w:p>
        </w:tc>
        <w:tc>
          <w:tcPr>
            <w:tcW w:w="1185" w:type="dxa"/>
            <w:vAlign w:val="center"/>
          </w:tcPr>
          <w:p>
            <w:pPr>
              <w:spacing w:line="320" w:lineRule="exact"/>
              <w:jc w:val="left"/>
              <w:rPr>
                <w:rFonts w:ascii="微软雅黑" w:eastAsia="微软雅黑" w:hAnsi="微软雅黑"/>
                <w:color w:val="auto"/>
                <w:sz w:val="18"/>
                <w:szCs w:val="18"/>
              </w:rPr>
            </w:pPr>
          </w:p>
        </w:tc>
      </w:tr>
    </w:tbl>
    <w:p>
      <w:pPr>
        <w:sectPr>
          <w:headerReference w:type="default" r:id="rId14"/>
          <w:type w:val="nextPage"/>
          <w:pgSz w:w="16838" w:h="11906" w:orient="landscape"/>
          <w:pgMar w:top="1406" w:right="1191" w:bottom="1406" w:left="1191" w:header="851" w:footer="992" w:gutter="0"/>
          <w:paperSrc w:first="0" w:other="0"/>
          <w:pgNumType w:start="11"/>
          <w:cols w:space="708"/>
          <w:titlePg w:val="0"/>
          <w:rtlGutter w:val="0"/>
          <w:docGrid w:type="lines" w:linePitch="324" w:charSpace="0"/>
        </w:sectPr>
      </w:pPr>
    </w:p>
    <w:tbl>
      <w:tblPr>
        <w:tblStyle w:val="TableNormal"/>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791"/>
        <w:gridCol w:w="1599"/>
        <w:gridCol w:w="2209"/>
        <w:gridCol w:w="4905"/>
        <w:gridCol w:w="1783"/>
        <w:gridCol w:w="1696"/>
        <w:gridCol w:w="1185"/>
      </w:tblGrid>
      <w:tr>
        <w:tblPrEx>
          <w:tblW w:w="14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631"/>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33</w:t>
            </w:r>
          </w:p>
        </w:tc>
        <w:tc>
          <w:tcPr>
            <w:tcW w:w="1599" w:type="dxa"/>
            <w:vMerge w:val="restart"/>
            <w:tcBorders>
              <w:bottom w:val="single" w:sz="4" w:space="0" w:color="auto"/>
            </w:tcBorders>
            <w:vAlign w:val="center"/>
          </w:tcPr>
          <w:p>
            <w:pPr>
              <w:spacing w:line="320" w:lineRule="exact"/>
              <w:jc w:val="center"/>
              <w:rPr>
                <w:rFonts w:ascii="宋体" w:hAnsi="宋体"/>
                <w:color w:val="auto"/>
                <w:kern w:val="0"/>
                <w:sz w:val="24"/>
              </w:rPr>
            </w:pPr>
          </w:p>
        </w:tc>
        <w:tc>
          <w:tcPr>
            <w:tcW w:w="2209" w:type="dxa"/>
            <w:vAlign w:val="center"/>
          </w:tcPr>
          <w:p>
            <w:pPr>
              <w:widowControl/>
              <w:spacing w:line="320" w:lineRule="exact"/>
              <w:jc w:val="left"/>
              <w:rPr>
                <w:rFonts w:ascii="宋体" w:hAnsi="宋体"/>
                <w:color w:val="auto"/>
                <w:sz w:val="24"/>
              </w:rPr>
            </w:pPr>
            <w:r>
              <w:rPr>
                <w:rFonts w:ascii="宋体" w:eastAsia="宋体" w:hAnsi="宋体" w:cs="Times New Roman" w:hint="eastAsia"/>
                <w:color w:val="auto"/>
                <w:sz w:val="24"/>
                <w:szCs w:val="24"/>
              </w:rPr>
              <w:t>测温仪表未定期校验</w:t>
            </w:r>
          </w:p>
        </w:tc>
        <w:tc>
          <w:tcPr>
            <w:tcW w:w="4905" w:type="dxa"/>
            <w:vAlign w:val="center"/>
          </w:tcPr>
          <w:p>
            <w:pPr>
              <w:widowControl/>
              <w:spacing w:line="320" w:lineRule="exact"/>
              <w:jc w:val="left"/>
              <w:rPr>
                <w:rFonts w:ascii="宋体" w:hAnsi="宋体"/>
                <w:color w:val="auto"/>
                <w:sz w:val="24"/>
              </w:rPr>
            </w:pPr>
            <w:r>
              <w:rPr>
                <w:rFonts w:ascii="宋体" w:eastAsia="宋体" w:hAnsi="宋体" w:cs="宋体" w:hint="eastAsia"/>
                <w:color w:val="auto"/>
                <w:sz w:val="24"/>
                <w:szCs w:val="24"/>
              </w:rPr>
              <w:t>制定测温仪表定期校验计划并实施</w:t>
            </w:r>
          </w:p>
        </w:tc>
        <w:tc>
          <w:tcPr>
            <w:tcW w:w="1783" w:type="dxa"/>
            <w:tcBorders>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月调度</w:t>
            </w:r>
          </w:p>
        </w:tc>
        <w:tc>
          <w:tcPr>
            <w:tcW w:w="1696" w:type="dxa"/>
            <w:tcBorders>
              <w:bottom w:val="single" w:sz="4" w:space="0" w:color="auto"/>
            </w:tcBorders>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主要负责人</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hRule="exact" w:val="851"/>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3</w:t>
            </w:r>
            <w:r>
              <w:rPr>
                <w:rFonts w:ascii="宋体" w:eastAsia="宋体" w:hAnsi="宋体" w:cs="Times New Roman" w:hint="eastAsia"/>
                <w:color w:val="auto"/>
                <w:kern w:val="0"/>
                <w:sz w:val="24"/>
                <w:szCs w:val="24"/>
              </w:rPr>
              <w:t>4</w:t>
            </w:r>
          </w:p>
        </w:tc>
        <w:tc>
          <w:tcPr>
            <w:tcW w:w="1599"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环境</w:t>
            </w: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排放口设置不符合要求</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排放口设置应符合相应规定</w:t>
            </w:r>
          </w:p>
        </w:tc>
        <w:tc>
          <w:tcPr>
            <w:tcW w:w="1783"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周排查</w:t>
            </w:r>
          </w:p>
        </w:tc>
        <w:tc>
          <w:tcPr>
            <w:tcW w:w="1696"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安全总监</w:t>
            </w: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hRule="exact" w:val="940"/>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35</w:t>
            </w:r>
          </w:p>
        </w:tc>
        <w:tc>
          <w:tcPr>
            <w:tcW w:w="1599" w:type="dxa"/>
            <w:vMerge/>
            <w:vAlign w:val="center"/>
          </w:tcPr>
          <w:p>
            <w:pPr>
              <w:widowControl/>
              <w:spacing w:line="320" w:lineRule="exact"/>
              <w:jc w:val="left"/>
              <w:rPr>
                <w:rFonts w:ascii="宋体" w:hAnsi="宋体"/>
                <w:color w:val="auto"/>
                <w:kern w:val="0"/>
                <w:sz w:val="24"/>
              </w:rPr>
            </w:pP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压力容器的安全距离、安全防护措施不符合要求</w:t>
            </w:r>
          </w:p>
        </w:tc>
        <w:tc>
          <w:tcPr>
            <w:tcW w:w="4905"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与特种设备安全相关的建筑物、附属设施，应当符合有关法律、行政法规和标准的要求</w:t>
            </w:r>
          </w:p>
        </w:tc>
        <w:tc>
          <w:tcPr>
            <w:tcW w:w="1783"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月调度</w:t>
            </w:r>
          </w:p>
        </w:tc>
        <w:tc>
          <w:tcPr>
            <w:tcW w:w="1696"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主要负责人</w:t>
            </w:r>
          </w:p>
        </w:tc>
        <w:tc>
          <w:tcPr>
            <w:tcW w:w="1185" w:type="dxa"/>
            <w:vAlign w:val="center"/>
          </w:tcPr>
          <w:p>
            <w:pPr>
              <w:spacing w:line="320" w:lineRule="exact"/>
              <w:jc w:val="left"/>
              <w:rPr>
                <w:rFonts w:ascii="微软雅黑" w:eastAsia="微软雅黑" w:hAnsi="微软雅黑"/>
                <w:color w:val="auto"/>
                <w:sz w:val="18"/>
                <w:szCs w:val="18"/>
                <w:highlight w:val="yellow"/>
              </w:rPr>
            </w:pPr>
          </w:p>
        </w:tc>
      </w:tr>
      <w:tr>
        <w:tblPrEx>
          <w:tblW w:w="14168" w:type="dxa"/>
          <w:jc w:val="center"/>
          <w:tblLayout w:type="fixed"/>
          <w:tblCellMar>
            <w:top w:w="0" w:type="dxa"/>
            <w:left w:w="108" w:type="dxa"/>
            <w:bottom w:w="0" w:type="dxa"/>
            <w:right w:w="108" w:type="dxa"/>
          </w:tblCellMar>
          <w:tblLook w:val="0000"/>
        </w:tblPrEx>
        <w:trPr>
          <w:trHeight w:val="73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3</w:t>
            </w:r>
            <w:r>
              <w:rPr>
                <w:rFonts w:ascii="宋体" w:eastAsia="宋体" w:hAnsi="宋体" w:cs="Times New Roman" w:hint="eastAsia"/>
                <w:color w:val="auto"/>
                <w:kern w:val="0"/>
                <w:sz w:val="24"/>
                <w:szCs w:val="24"/>
              </w:rPr>
              <w:t>6</w:t>
            </w:r>
          </w:p>
        </w:tc>
        <w:tc>
          <w:tcPr>
            <w:tcW w:w="1599"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政府监督、通报、预警</w:t>
            </w:r>
          </w:p>
        </w:tc>
        <w:tc>
          <w:tcPr>
            <w:tcW w:w="2209"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发现不合格项</w:t>
            </w:r>
          </w:p>
        </w:tc>
        <w:tc>
          <w:tcPr>
            <w:tcW w:w="4905" w:type="dxa"/>
            <w:vAlign w:val="center"/>
          </w:tcPr>
          <w:p>
            <w:pPr>
              <w:spacing w:line="320" w:lineRule="exact"/>
              <w:jc w:val="left"/>
              <w:rPr>
                <w:rFonts w:ascii="宋体" w:hAnsi="宋体"/>
                <w:color w:val="auto"/>
                <w:kern w:val="0"/>
                <w:sz w:val="24"/>
              </w:rPr>
            </w:pPr>
            <w:r>
              <w:rPr>
                <w:rFonts w:ascii="宋体" w:eastAsia="宋体" w:hAnsi="宋体" w:cs="Times New Roman"/>
                <w:color w:val="auto"/>
                <w:kern w:val="0"/>
                <w:sz w:val="24"/>
                <w:szCs w:val="24"/>
              </w:rPr>
              <w:t>记录，整改</w:t>
            </w:r>
          </w:p>
        </w:tc>
        <w:tc>
          <w:tcPr>
            <w:tcW w:w="1783"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周排查</w:t>
            </w:r>
          </w:p>
        </w:tc>
        <w:tc>
          <w:tcPr>
            <w:tcW w:w="1696"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安全总监</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73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3</w:t>
            </w:r>
            <w:r>
              <w:rPr>
                <w:rFonts w:ascii="宋体" w:eastAsia="宋体" w:hAnsi="宋体" w:cs="Times New Roman" w:hint="eastAsia"/>
                <w:color w:val="auto"/>
                <w:kern w:val="0"/>
                <w:sz w:val="24"/>
                <w:szCs w:val="24"/>
              </w:rPr>
              <w:t>7</w:t>
            </w:r>
          </w:p>
        </w:tc>
        <w:tc>
          <w:tcPr>
            <w:tcW w:w="1599"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投诉举报</w:t>
            </w:r>
          </w:p>
        </w:tc>
        <w:tc>
          <w:tcPr>
            <w:tcW w:w="2209"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发现不合格项</w:t>
            </w:r>
          </w:p>
        </w:tc>
        <w:tc>
          <w:tcPr>
            <w:tcW w:w="4905" w:type="dxa"/>
            <w:vAlign w:val="center"/>
          </w:tcPr>
          <w:p>
            <w:pPr>
              <w:spacing w:line="320" w:lineRule="exact"/>
              <w:jc w:val="left"/>
              <w:rPr>
                <w:rFonts w:ascii="宋体" w:hAnsi="宋体"/>
                <w:color w:val="auto"/>
                <w:kern w:val="0"/>
                <w:sz w:val="24"/>
              </w:rPr>
            </w:pPr>
            <w:r>
              <w:rPr>
                <w:rFonts w:ascii="宋体" w:eastAsia="宋体" w:hAnsi="宋体" w:cs="Times New Roman"/>
                <w:color w:val="auto"/>
                <w:kern w:val="0"/>
                <w:sz w:val="24"/>
                <w:szCs w:val="24"/>
              </w:rPr>
              <w:t>记录，整改，消除安全隐患</w:t>
            </w:r>
          </w:p>
        </w:tc>
        <w:tc>
          <w:tcPr>
            <w:tcW w:w="1783"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日管控</w:t>
            </w:r>
          </w:p>
        </w:tc>
        <w:tc>
          <w:tcPr>
            <w:tcW w:w="1696"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73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38</w:t>
            </w:r>
          </w:p>
        </w:tc>
        <w:tc>
          <w:tcPr>
            <w:tcW w:w="1599"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舆情信息</w:t>
            </w:r>
          </w:p>
        </w:tc>
        <w:tc>
          <w:tcPr>
            <w:tcW w:w="2209"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发现不合格项</w:t>
            </w:r>
          </w:p>
        </w:tc>
        <w:tc>
          <w:tcPr>
            <w:tcW w:w="4905" w:type="dxa"/>
            <w:vAlign w:val="center"/>
          </w:tcPr>
          <w:p>
            <w:pPr>
              <w:spacing w:line="320" w:lineRule="exact"/>
              <w:jc w:val="left"/>
              <w:rPr>
                <w:rFonts w:ascii="宋体" w:hAnsi="宋体"/>
                <w:color w:val="auto"/>
                <w:kern w:val="0"/>
                <w:sz w:val="24"/>
              </w:rPr>
            </w:pPr>
            <w:r>
              <w:rPr>
                <w:rFonts w:ascii="宋体" w:eastAsia="宋体" w:hAnsi="宋体" w:cs="Times New Roman"/>
                <w:color w:val="auto"/>
                <w:kern w:val="0"/>
                <w:sz w:val="24"/>
                <w:szCs w:val="24"/>
              </w:rPr>
              <w:t>记录，整改</w:t>
            </w:r>
          </w:p>
        </w:tc>
        <w:tc>
          <w:tcPr>
            <w:tcW w:w="1783"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日管控</w:t>
            </w:r>
          </w:p>
        </w:tc>
        <w:tc>
          <w:tcPr>
            <w:tcW w:w="1696"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r>
        <w:tblPrEx>
          <w:tblW w:w="14168" w:type="dxa"/>
          <w:jc w:val="center"/>
          <w:tblLayout w:type="fixed"/>
          <w:tblCellMar>
            <w:top w:w="0" w:type="dxa"/>
            <w:left w:w="108" w:type="dxa"/>
            <w:bottom w:w="0" w:type="dxa"/>
            <w:right w:w="108" w:type="dxa"/>
          </w:tblCellMar>
          <w:tblLook w:val="0000"/>
        </w:tblPrEx>
        <w:trPr>
          <w:trHeight w:val="1087"/>
          <w:jc w:val="center"/>
        </w:trPr>
        <w:tc>
          <w:tcPr>
            <w:tcW w:w="791"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39</w:t>
            </w:r>
          </w:p>
        </w:tc>
        <w:tc>
          <w:tcPr>
            <w:tcW w:w="1599"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快开门式压力容器专项</w:t>
            </w:r>
          </w:p>
        </w:tc>
        <w:tc>
          <w:tcPr>
            <w:tcW w:w="2209" w:type="dxa"/>
            <w:vAlign w:val="center"/>
          </w:tcPr>
          <w:p>
            <w:pPr>
              <w:spacing w:line="320" w:lineRule="exact"/>
              <w:jc w:val="left"/>
              <w:rPr>
                <w:rFonts w:ascii="宋体" w:hAnsi="宋体"/>
                <w:color w:val="auto"/>
                <w:sz w:val="24"/>
              </w:rPr>
            </w:pPr>
            <w:r>
              <w:rPr>
                <w:rFonts w:ascii="宋体" w:eastAsia="宋体" w:hAnsi="宋体" w:cs="Times New Roman" w:hint="eastAsia"/>
                <w:color w:val="auto"/>
                <w:sz w:val="24"/>
                <w:szCs w:val="24"/>
              </w:rPr>
              <w:t>快开门式压力容器安全联锁装置不符合要求</w:t>
            </w:r>
          </w:p>
        </w:tc>
        <w:tc>
          <w:tcPr>
            <w:tcW w:w="4905" w:type="dxa"/>
            <w:vAlign w:val="center"/>
          </w:tcPr>
          <w:p>
            <w:pPr>
              <w:spacing w:line="320" w:lineRule="exact"/>
              <w:jc w:val="left"/>
              <w:rPr>
                <w:rFonts w:ascii="宋体" w:hAnsi="宋体" w:cs="宋体"/>
                <w:color w:val="auto"/>
                <w:sz w:val="24"/>
              </w:rPr>
            </w:pPr>
            <w:r>
              <w:rPr>
                <w:rFonts w:ascii="宋体" w:eastAsia="宋体" w:hAnsi="宋体" w:cs="宋体" w:hint="eastAsia"/>
                <w:color w:val="auto"/>
                <w:sz w:val="24"/>
                <w:szCs w:val="24"/>
              </w:rPr>
              <w:t>1</w:t>
            </w:r>
            <w:r>
              <w:rPr>
                <w:rFonts w:ascii="宋体" w:eastAsia="宋体" w:hAnsi="宋体" w:cs="宋体"/>
                <w:color w:val="auto"/>
                <w:sz w:val="24"/>
                <w:szCs w:val="24"/>
              </w:rPr>
              <w:t>.</w:t>
            </w:r>
            <w:r>
              <w:rPr>
                <w:rFonts w:ascii="宋体" w:eastAsia="宋体" w:hAnsi="宋体" w:cs="宋体" w:hint="eastAsia"/>
                <w:color w:val="auto"/>
                <w:sz w:val="24"/>
                <w:szCs w:val="24"/>
              </w:rPr>
              <w:t>确保装置完好；</w:t>
            </w:r>
            <w:r>
              <w:rPr>
                <w:rFonts w:ascii="宋体" w:eastAsia="宋体" w:hAnsi="宋体" w:cs="宋体"/>
                <w:color w:val="auto"/>
                <w:sz w:val="24"/>
                <w:szCs w:val="24"/>
              </w:rPr>
              <w:br/>
            </w:r>
            <w:r>
              <w:rPr>
                <w:rFonts w:ascii="宋体" w:eastAsia="宋体" w:hAnsi="宋体" w:cs="宋体" w:hint="eastAsia"/>
                <w:color w:val="auto"/>
                <w:sz w:val="24"/>
                <w:szCs w:val="24"/>
              </w:rPr>
              <w:t>2</w:t>
            </w:r>
            <w:r>
              <w:rPr>
                <w:rFonts w:ascii="宋体" w:eastAsia="宋体" w:hAnsi="宋体" w:cs="宋体"/>
                <w:color w:val="auto"/>
                <w:sz w:val="24"/>
                <w:szCs w:val="24"/>
              </w:rPr>
              <w:t>.</w:t>
            </w:r>
            <w:r>
              <w:rPr>
                <w:rFonts w:ascii="宋体" w:eastAsia="宋体" w:hAnsi="宋体" w:cs="宋体" w:hint="eastAsia"/>
                <w:color w:val="auto"/>
                <w:sz w:val="24"/>
                <w:szCs w:val="24"/>
              </w:rPr>
              <w:t>调试确认联锁功能正常；</w:t>
            </w:r>
            <w:r>
              <w:rPr>
                <w:rFonts w:ascii="宋体" w:eastAsia="宋体" w:hAnsi="宋体" w:cs="宋体"/>
                <w:color w:val="auto"/>
                <w:sz w:val="24"/>
                <w:szCs w:val="24"/>
              </w:rPr>
              <w:br/>
            </w:r>
            <w:r>
              <w:rPr>
                <w:rFonts w:ascii="宋体" w:eastAsia="宋体" w:hAnsi="宋体" w:cs="宋体" w:hint="eastAsia"/>
                <w:color w:val="auto"/>
                <w:sz w:val="24"/>
                <w:szCs w:val="24"/>
              </w:rPr>
              <w:t>3</w:t>
            </w:r>
            <w:r>
              <w:rPr>
                <w:rFonts w:ascii="宋体" w:eastAsia="宋体" w:hAnsi="宋体" w:cs="宋体"/>
                <w:color w:val="auto"/>
                <w:sz w:val="24"/>
                <w:szCs w:val="24"/>
              </w:rPr>
              <w:t>.</w:t>
            </w:r>
            <w:r>
              <w:rPr>
                <w:rFonts w:ascii="宋体" w:eastAsia="宋体" w:hAnsi="宋体" w:cs="宋体" w:hint="eastAsia"/>
                <w:color w:val="auto"/>
                <w:sz w:val="24"/>
                <w:szCs w:val="24"/>
              </w:rPr>
              <w:t>发现异常情况及时处理</w:t>
            </w:r>
          </w:p>
        </w:tc>
        <w:tc>
          <w:tcPr>
            <w:tcW w:w="1783"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日管控</w:t>
            </w:r>
          </w:p>
        </w:tc>
        <w:tc>
          <w:tcPr>
            <w:tcW w:w="1696" w:type="dxa"/>
            <w:vAlign w:val="center"/>
          </w:tcPr>
          <w:p>
            <w:pPr>
              <w:spacing w:line="320" w:lineRule="exact"/>
              <w:jc w:val="center"/>
              <w:rPr>
                <w:rFonts w:ascii="宋体" w:hAnsi="宋体"/>
                <w:color w:val="auto"/>
                <w:sz w:val="24"/>
              </w:rPr>
            </w:pPr>
            <w:r>
              <w:rPr>
                <w:rFonts w:ascii="宋体" w:eastAsia="宋体" w:hAnsi="宋体" w:cs="Times New Roman" w:hint="eastAsia"/>
                <w:color w:val="auto"/>
                <w:sz w:val="24"/>
                <w:szCs w:val="24"/>
              </w:rPr>
              <w:t>安全员</w:t>
            </w:r>
          </w:p>
        </w:tc>
        <w:tc>
          <w:tcPr>
            <w:tcW w:w="1185" w:type="dxa"/>
            <w:vAlign w:val="center"/>
          </w:tcPr>
          <w:p>
            <w:pPr>
              <w:spacing w:line="320" w:lineRule="exact"/>
              <w:jc w:val="left"/>
              <w:rPr>
                <w:rFonts w:ascii="微软雅黑" w:eastAsia="微软雅黑" w:hAnsi="微软雅黑"/>
                <w:color w:val="auto"/>
                <w:sz w:val="18"/>
                <w:szCs w:val="18"/>
              </w:rPr>
            </w:pPr>
          </w:p>
        </w:tc>
      </w:tr>
    </w:tbl>
    <w:p>
      <w:pPr>
        <w:spacing w:line="400" w:lineRule="exact"/>
        <w:jc w:val="left"/>
        <w:rPr>
          <w:rFonts w:ascii="宋体" w:hAnsi="宋体" w:cs="宋体"/>
          <w:b/>
          <w:bCs/>
          <w:sz w:val="24"/>
        </w:rPr>
      </w:pPr>
      <w:r>
        <w:rPr>
          <w:rFonts w:ascii="宋体" w:hAnsi="宋体" w:cs="宋体" w:hint="eastAsia"/>
          <w:b/>
          <w:bCs/>
          <w:sz w:val="24"/>
          <w:szCs w:val="24"/>
        </w:rPr>
        <w:t>备注：本清单为推荐性格式，仅规定了应当进行日管控、周排查、月调度的基本项目，压力容器使用单位应当结合本单位实际，细化风险管控清单，合理调整管控形式。</w:t>
      </w:r>
    </w:p>
    <w:p>
      <w:pPr>
        <w:pStyle w:val="BodyTextFirstIndent"/>
        <w:ind w:firstLine="240"/>
        <w:rPr>
          <w:rFonts w:ascii="宋体" w:hAnsi="宋体"/>
          <w:b/>
          <w:bCs/>
          <w:sz w:val="24"/>
          <w:szCs w:val="24"/>
        </w:rPr>
      </w:pPr>
    </w:p>
    <w:p>
      <w:pPr>
        <w:pStyle w:val="BodyTextFirstIndent"/>
        <w:ind w:firstLine="240"/>
        <w:rPr>
          <w:rFonts w:ascii="宋体" w:hAnsi="宋体"/>
          <w:b/>
          <w:bCs/>
          <w:sz w:val="24"/>
          <w:szCs w:val="24"/>
        </w:rPr>
      </w:pPr>
    </w:p>
    <w:p>
      <w:pPr>
        <w:pStyle w:val="BodyTextFirstIndent"/>
        <w:ind w:firstLine="240"/>
        <w:rPr>
          <w:rFonts w:ascii="宋体" w:hAnsi="宋体"/>
          <w:b/>
          <w:bCs/>
          <w:sz w:val="24"/>
          <w:szCs w:val="24"/>
        </w:rPr>
      </w:pPr>
    </w:p>
    <w:p>
      <w:pPr>
        <w:pStyle w:val="BodyTextFirstIndent"/>
        <w:ind w:firstLine="240"/>
        <w:rPr>
          <w:rFonts w:ascii="宋体" w:hAnsi="宋体"/>
          <w:b/>
          <w:bCs/>
          <w:sz w:val="24"/>
          <w:szCs w:val="24"/>
        </w:rPr>
        <w:sectPr>
          <w:headerReference w:type="default" r:id="rId15"/>
          <w:type w:val="nextPage"/>
          <w:pgSz w:w="16838" w:h="11906" w:orient="landscape"/>
          <w:pgMar w:top="1406" w:right="1191" w:bottom="1406" w:left="1191" w:header="851" w:footer="992" w:gutter="0"/>
          <w:paperSrc w:first="0" w:other="0"/>
          <w:pgNumType w:start="12"/>
          <w:cols w:space="708"/>
          <w:titlePg w:val="0"/>
          <w:rtlGutter w:val="0"/>
          <w:docGrid w:type="lines" w:linePitch="324" w:charSpace="0"/>
        </w:sectPr>
      </w:pPr>
    </w:p>
    <w:p>
      <w:pPr>
        <w:pStyle w:val="ListParagraph"/>
        <w:numPr>
          <w:ilvl w:val="0"/>
          <w:numId w:val="1"/>
        </w:numPr>
        <w:ind w:firstLineChars="0"/>
        <w:jc w:val="center"/>
        <w:outlineLvl w:val="0"/>
        <w:rPr>
          <w:rFonts w:ascii="Calibri" w:eastAsia="宋体" w:hAnsi="Calibri" w:cs="Times New Roman"/>
          <w:b/>
          <w:sz w:val="36"/>
          <w:szCs w:val="36"/>
        </w:rPr>
      </w:pPr>
      <w:bookmarkStart w:id="3" w:name="_Toc139888422"/>
      <w:r>
        <w:rPr>
          <w:rFonts w:ascii="Calibri" w:eastAsia="宋体" w:hAnsi="Calibri" w:cs="Times New Roman" w:hint="eastAsia"/>
          <w:b/>
          <w:sz w:val="36"/>
          <w:szCs w:val="36"/>
        </w:rPr>
        <w:t>压力管道安全风险管控清单</w:t>
      </w:r>
    </w:p>
    <w:tbl>
      <w:tblPr>
        <w:tblStyle w:val="TableNormal"/>
        <w:tblW w:w="14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805"/>
        <w:gridCol w:w="1364"/>
        <w:gridCol w:w="2904"/>
        <w:gridCol w:w="4855"/>
        <w:gridCol w:w="1623"/>
        <w:gridCol w:w="1456"/>
        <w:gridCol w:w="1188"/>
      </w:tblGrid>
      <w:tr>
        <w:tblPrEx>
          <w:tblW w:w="14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612"/>
          <w:tblHeader/>
          <w:jc w:val="center"/>
        </w:trPr>
        <w:tc>
          <w:tcPr>
            <w:tcW w:w="805" w:type="dxa"/>
            <w:shd w:val="clear" w:color="auto" w:fill="BEBEBE"/>
            <w:vAlign w:val="center"/>
          </w:tcPr>
          <w:p>
            <w:pPr>
              <w:spacing w:line="320" w:lineRule="exact"/>
              <w:jc w:val="center"/>
              <w:rPr>
                <w:rFonts w:ascii="宋体" w:hAnsi="宋体"/>
                <w:b/>
                <w:color w:val="auto"/>
                <w:sz w:val="28"/>
                <w:szCs w:val="28"/>
              </w:rPr>
            </w:pPr>
            <w:bookmarkEnd w:id="3"/>
            <w:r>
              <w:rPr>
                <w:rFonts w:ascii="宋体" w:eastAsia="宋体" w:hAnsi="宋体" w:cs="Times New Roman" w:hint="eastAsia"/>
                <w:b/>
                <w:color w:val="auto"/>
                <w:sz w:val="28"/>
                <w:szCs w:val="28"/>
              </w:rPr>
              <w:t>序号</w:t>
            </w:r>
          </w:p>
        </w:tc>
        <w:tc>
          <w:tcPr>
            <w:tcW w:w="1364"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风险类别</w:t>
            </w:r>
          </w:p>
        </w:tc>
        <w:tc>
          <w:tcPr>
            <w:tcW w:w="2904"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bCs/>
                <w:color w:val="auto"/>
                <w:kern w:val="0"/>
                <w:sz w:val="28"/>
                <w:szCs w:val="28"/>
              </w:rPr>
              <w:t>风险指标</w:t>
            </w:r>
          </w:p>
        </w:tc>
        <w:tc>
          <w:tcPr>
            <w:tcW w:w="4855"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风险管控</w:t>
            </w:r>
            <w:r>
              <w:rPr>
                <w:rFonts w:ascii="宋体" w:eastAsia="宋体" w:hAnsi="宋体" w:cs="Times New Roman"/>
                <w:b/>
                <w:color w:val="auto"/>
                <w:sz w:val="28"/>
                <w:szCs w:val="28"/>
              </w:rPr>
              <w:t>措施</w:t>
            </w:r>
          </w:p>
        </w:tc>
        <w:tc>
          <w:tcPr>
            <w:tcW w:w="1623"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管控形式</w:t>
            </w:r>
          </w:p>
        </w:tc>
        <w:tc>
          <w:tcPr>
            <w:tcW w:w="1456"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责任人</w:t>
            </w:r>
          </w:p>
        </w:tc>
        <w:tc>
          <w:tcPr>
            <w:tcW w:w="1188" w:type="dxa"/>
            <w:shd w:val="clear" w:color="auto" w:fill="BEBEBE"/>
            <w:vAlign w:val="center"/>
          </w:tcPr>
          <w:p>
            <w:pPr>
              <w:spacing w:line="320" w:lineRule="exact"/>
              <w:jc w:val="center"/>
              <w:rPr>
                <w:rFonts w:ascii="宋体" w:hAnsi="宋体"/>
                <w:b/>
                <w:color w:val="auto"/>
                <w:sz w:val="28"/>
                <w:szCs w:val="28"/>
              </w:rPr>
            </w:pPr>
            <w:r>
              <w:rPr>
                <w:rFonts w:ascii="宋体" w:eastAsia="宋体" w:hAnsi="宋体" w:cs="Times New Roman" w:hint="eastAsia"/>
                <w:b/>
                <w:color w:val="auto"/>
                <w:sz w:val="28"/>
                <w:szCs w:val="28"/>
              </w:rPr>
              <w:t>备注</w:t>
            </w:r>
          </w:p>
        </w:tc>
      </w:tr>
      <w:tr>
        <w:tblPrEx>
          <w:tblW w:w="14195" w:type="dxa"/>
          <w:jc w:val="center"/>
          <w:tblLayout w:type="fixed"/>
          <w:tblCellMar>
            <w:top w:w="0" w:type="dxa"/>
            <w:left w:w="108" w:type="dxa"/>
            <w:bottom w:w="0" w:type="dxa"/>
            <w:right w:w="108" w:type="dxa"/>
          </w:tblCellMar>
          <w:tblLook w:val="0000"/>
        </w:tblPrEx>
        <w:trPr>
          <w:trHeight w:hRule="exact" w:val="817"/>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1</w:t>
            </w:r>
          </w:p>
        </w:tc>
        <w:tc>
          <w:tcPr>
            <w:tcW w:w="1364"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人员</w:t>
            </w: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未按规定配置安全管理人员</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1.建立特种设备安全管理人员管理制度；</w:t>
            </w:r>
          </w:p>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2.定期检查人员证件</w:t>
            </w:r>
          </w:p>
        </w:tc>
        <w:tc>
          <w:tcPr>
            <w:tcW w:w="1623"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日管控</w:t>
            </w:r>
          </w:p>
        </w:tc>
        <w:tc>
          <w:tcPr>
            <w:tcW w:w="1456"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安全员</w:t>
            </w: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hRule="exact" w:val="981"/>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2</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未按规定定期开展安全培训，培训未覆盖相关人员</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1.建立人员安全培训制度；</w:t>
            </w:r>
          </w:p>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2.定期对相关人员进行培训教育和考核</w:t>
            </w:r>
          </w:p>
        </w:tc>
        <w:tc>
          <w:tcPr>
            <w:tcW w:w="1623"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周排查</w:t>
            </w:r>
          </w:p>
        </w:tc>
        <w:tc>
          <w:tcPr>
            <w:tcW w:w="1456" w:type="dxa"/>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安全总监</w:t>
            </w: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hRule="exact" w:val="954"/>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3</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未按规定配备安全总监、安全员、操作人员</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按规定配备相关人员</w:t>
            </w:r>
          </w:p>
        </w:tc>
        <w:tc>
          <w:tcPr>
            <w:tcW w:w="1623"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月调度</w:t>
            </w:r>
          </w:p>
        </w:tc>
        <w:tc>
          <w:tcPr>
            <w:tcW w:w="1456"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主要负责人</w:t>
            </w: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238"/>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4</w:t>
            </w:r>
          </w:p>
        </w:tc>
        <w:tc>
          <w:tcPr>
            <w:tcW w:w="1364" w:type="dxa"/>
            <w:vMerge/>
            <w:vAlign w:val="center"/>
          </w:tcPr>
          <w:p>
            <w:pPr>
              <w:widowControl/>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使用单位压力管道安全总监、安全员安全管理能力不足</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1、定期组织宣贯压力管道有关法律法规、安全技术规范及相关标准培训；</w:t>
            </w:r>
            <w:r>
              <w:rPr>
                <w:rFonts w:ascii="宋体" w:eastAsia="宋体" w:hAnsi="宋体" w:cs="Times New Roman"/>
                <w:color w:val="auto"/>
                <w:kern w:val="0"/>
                <w:sz w:val="24"/>
                <w:szCs w:val="24"/>
              </w:rPr>
              <w:br/>
            </w:r>
            <w:r>
              <w:rPr>
                <w:rFonts w:ascii="宋体" w:eastAsia="宋体" w:hAnsi="宋体" w:cs="Times New Roman" w:hint="eastAsia"/>
                <w:color w:val="auto"/>
                <w:kern w:val="0"/>
                <w:sz w:val="24"/>
                <w:szCs w:val="24"/>
              </w:rPr>
              <w:t>2、加强人员能力考核和建立人员激励约束机制</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hRule="exact" w:val="911"/>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5</w:t>
            </w:r>
          </w:p>
        </w:tc>
        <w:tc>
          <w:tcPr>
            <w:tcW w:w="1364"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管理</w:t>
            </w: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未按规定办理使用登记</w:t>
            </w:r>
            <w:r>
              <w:rPr>
                <w:rFonts w:ascii="宋体" w:eastAsia="宋体" w:hAnsi="宋体" w:cs="Times New Roman" w:hint="eastAsia"/>
                <w:color w:val="auto"/>
                <w:spacing w:val="6"/>
                <w:sz w:val="24"/>
                <w:szCs w:val="24"/>
              </w:rPr>
              <w:t>和按时申报检验</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建立并严格执行使用登记、定期检验管理制度</w:t>
            </w:r>
          </w:p>
        </w:tc>
        <w:tc>
          <w:tcPr>
            <w:tcW w:w="1623"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周排查</w:t>
            </w:r>
          </w:p>
        </w:tc>
        <w:tc>
          <w:tcPr>
            <w:tcW w:w="1456"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安全总监</w:t>
            </w: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238"/>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6</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未建立安全技术档案；档案文件内容和保存期限不满足相关规定</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健全安全管理技术档案管理</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hRule="exact" w:val="817"/>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7</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未定期开展日常维护保养，安全检查</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定期开展日常维护保养，安全检查</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bl>
    <w:p>
      <w:pPr>
        <w:sectPr>
          <w:headerReference w:type="default" r:id="rId16"/>
          <w:type w:val="nextPage"/>
          <w:pgSz w:w="16838" w:h="11906" w:orient="landscape"/>
          <w:pgMar w:top="1406" w:right="1191" w:bottom="1406" w:left="1191" w:header="851" w:footer="992" w:gutter="0"/>
          <w:paperSrc w:first="0" w:other="0"/>
          <w:pgNumType w:start="13"/>
          <w:cols w:space="708"/>
          <w:titlePg w:val="0"/>
          <w:rtlGutter w:val="0"/>
          <w:docGrid w:type="lines" w:linePitch="324" w:charSpace="0"/>
        </w:sectPr>
      </w:pPr>
    </w:p>
    <w:tbl>
      <w:tblPr>
        <w:tblStyle w:val="TableNormal"/>
        <w:tblW w:w="14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805"/>
        <w:gridCol w:w="1364"/>
        <w:gridCol w:w="2904"/>
        <w:gridCol w:w="4855"/>
        <w:gridCol w:w="1623"/>
        <w:gridCol w:w="1456"/>
        <w:gridCol w:w="1188"/>
      </w:tblGrid>
      <w:tr>
        <w:tblPrEx>
          <w:tblW w:w="14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817"/>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8</w:t>
            </w:r>
          </w:p>
        </w:tc>
        <w:tc>
          <w:tcPr>
            <w:tcW w:w="1364"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管理</w:t>
            </w: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未建立压力管道操作规程</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w:t>
            </w:r>
            <w:r>
              <w:rPr>
                <w:rFonts w:ascii="宋体" w:eastAsia="宋体" w:hAnsi="宋体" w:cs="Times New Roman"/>
                <w:color w:val="auto"/>
                <w:kern w:val="0"/>
                <w:sz w:val="24"/>
                <w:szCs w:val="24"/>
              </w:rPr>
              <w:t>.</w:t>
            </w:r>
            <w:r>
              <w:rPr>
                <w:rFonts w:ascii="宋体" w:eastAsia="宋体" w:hAnsi="宋体" w:cs="Times New Roman" w:hint="eastAsia"/>
                <w:color w:val="auto"/>
                <w:kern w:val="0"/>
                <w:sz w:val="24"/>
                <w:szCs w:val="24"/>
              </w:rPr>
              <w:t>建立完善操作规程；</w:t>
            </w:r>
            <w:r>
              <w:rPr>
                <w:rFonts w:ascii="宋体" w:eastAsia="宋体" w:hAnsi="宋体" w:cs="Times New Roman"/>
                <w:color w:val="auto"/>
                <w:kern w:val="0"/>
                <w:sz w:val="24"/>
                <w:szCs w:val="24"/>
              </w:rPr>
              <w:br/>
            </w:r>
            <w:r>
              <w:rPr>
                <w:rFonts w:ascii="宋体" w:eastAsia="宋体" w:hAnsi="宋体" w:cs="Times New Roman"/>
                <w:color w:val="auto"/>
                <w:kern w:val="0"/>
                <w:sz w:val="24"/>
                <w:szCs w:val="24"/>
              </w:rPr>
              <w:t>2.</w:t>
            </w:r>
            <w:r>
              <w:rPr>
                <w:rFonts w:ascii="宋体" w:eastAsia="宋体" w:hAnsi="宋体" w:cs="Times New Roman" w:hint="eastAsia"/>
                <w:color w:val="auto"/>
                <w:kern w:val="0"/>
                <w:sz w:val="24"/>
                <w:szCs w:val="24"/>
              </w:rPr>
              <w:t>加强人员培训并组织实施</w:t>
            </w:r>
          </w:p>
        </w:tc>
        <w:tc>
          <w:tcPr>
            <w:tcW w:w="1623"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周排查</w:t>
            </w:r>
          </w:p>
        </w:tc>
        <w:tc>
          <w:tcPr>
            <w:tcW w:w="1456"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安全总监</w:t>
            </w: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238"/>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9</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安全隐患未及时整改或未按规定采取监控措施使用存在隐患的压力管道</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制定压力管道隐患整改计划，明确监控措施及责任人</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852"/>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1</w:t>
            </w:r>
            <w:r>
              <w:rPr>
                <w:rFonts w:ascii="宋体" w:eastAsia="宋体" w:hAnsi="宋体" w:cs="Times New Roman"/>
                <w:color w:val="auto"/>
                <w:kern w:val="0"/>
                <w:sz w:val="24"/>
                <w:szCs w:val="24"/>
              </w:rPr>
              <w:t>0</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spacing w:val="6"/>
                <w:sz w:val="24"/>
                <w:szCs w:val="24"/>
              </w:rPr>
              <w:t>未建立岗位责任、隐患治理、应急救援等安全管理制度，制定操作规程或相关制度不完善</w:t>
            </w:r>
          </w:p>
        </w:tc>
        <w:tc>
          <w:tcPr>
            <w:tcW w:w="4855" w:type="dxa"/>
            <w:vAlign w:val="center"/>
          </w:tcPr>
          <w:p>
            <w:pPr>
              <w:spacing w:line="320" w:lineRule="exact"/>
              <w:jc w:val="left"/>
              <w:rPr>
                <w:rFonts w:ascii="宋体" w:hAnsi="宋体"/>
                <w:color w:val="auto"/>
                <w:kern w:val="0"/>
                <w:sz w:val="24"/>
              </w:rPr>
            </w:pPr>
            <w:r>
              <w:rPr>
                <w:rFonts w:ascii="宋体" w:eastAsia="宋体" w:hAnsi="宋体" w:cs="宋体" w:hint="eastAsia"/>
                <w:color w:val="auto"/>
                <w:sz w:val="24"/>
                <w:szCs w:val="24"/>
              </w:rPr>
              <w:t>根据单位实际情况，及时建立健全各类安全管理制度和操作规程</w:t>
            </w:r>
          </w:p>
        </w:tc>
        <w:tc>
          <w:tcPr>
            <w:tcW w:w="1623"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月调度</w:t>
            </w:r>
          </w:p>
        </w:tc>
        <w:tc>
          <w:tcPr>
            <w:tcW w:w="1456" w:type="dxa"/>
            <w:vMerge w:val="restart"/>
            <w:vAlign w:val="center"/>
          </w:tcPr>
          <w:p>
            <w:pPr>
              <w:spacing w:line="320" w:lineRule="exact"/>
              <w:jc w:val="center"/>
              <w:rPr>
                <w:rFonts w:ascii="宋体" w:hAnsi="宋体"/>
                <w:color w:val="auto"/>
                <w:kern w:val="0"/>
                <w:sz w:val="24"/>
              </w:rPr>
            </w:pPr>
            <w:r>
              <w:rPr>
                <w:rFonts w:ascii="宋体" w:eastAsia="宋体" w:hAnsi="宋体" w:cs="Times New Roman" w:hint="eastAsia"/>
                <w:color w:val="auto"/>
                <w:kern w:val="0"/>
                <w:sz w:val="24"/>
                <w:szCs w:val="24"/>
              </w:rPr>
              <w:t>主要负责人</w:t>
            </w: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238"/>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1</w:t>
            </w:r>
            <w:r>
              <w:rPr>
                <w:rFonts w:ascii="宋体" w:eastAsia="宋体" w:hAnsi="宋体" w:cs="Times New Roman" w:hint="eastAsia"/>
                <w:color w:val="auto"/>
                <w:kern w:val="0"/>
                <w:sz w:val="24"/>
                <w:szCs w:val="24"/>
              </w:rPr>
              <w:t>1</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widowControl/>
              <w:autoSpaceDE w:val="0"/>
              <w:autoSpaceDN w:val="0"/>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未及时办理使用登记、变更登记、停用、报废（注销）等相关手续</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立即办理使用登记、变更登记、停用、报废（注销）等相关手续</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545"/>
          <w:jc w:val="center"/>
        </w:trPr>
        <w:tc>
          <w:tcPr>
            <w:tcW w:w="805" w:type="dxa"/>
            <w:vAlign w:val="center"/>
          </w:tcPr>
          <w:p>
            <w:pPr>
              <w:widowControl/>
              <w:spacing w:line="320" w:lineRule="exact"/>
              <w:jc w:val="center"/>
              <w:rPr>
                <w:rFonts w:ascii="宋体" w:hAnsi="宋体"/>
                <w:color w:val="auto"/>
                <w:kern w:val="0"/>
                <w:sz w:val="24"/>
                <w:highlight w:val="yellow"/>
              </w:rPr>
            </w:pPr>
            <w:r>
              <w:rPr>
                <w:rFonts w:ascii="宋体" w:eastAsia="宋体" w:hAnsi="宋体" w:cs="Times New Roman"/>
                <w:color w:val="auto"/>
                <w:kern w:val="0"/>
                <w:sz w:val="24"/>
                <w:szCs w:val="24"/>
              </w:rPr>
              <w:t>1</w:t>
            </w:r>
            <w:r>
              <w:rPr>
                <w:rFonts w:ascii="宋体" w:eastAsia="宋体" w:hAnsi="宋体" w:cs="Times New Roman" w:hint="eastAsia"/>
                <w:color w:val="auto"/>
                <w:kern w:val="0"/>
                <w:sz w:val="24"/>
                <w:szCs w:val="24"/>
              </w:rPr>
              <w:t>2</w:t>
            </w:r>
          </w:p>
        </w:tc>
        <w:tc>
          <w:tcPr>
            <w:tcW w:w="1364" w:type="dxa"/>
            <w:vMerge/>
            <w:vAlign w:val="center"/>
          </w:tcPr>
          <w:p>
            <w:pPr>
              <w:spacing w:line="320" w:lineRule="exact"/>
              <w:jc w:val="center"/>
              <w:rPr>
                <w:rFonts w:ascii="宋体" w:hAnsi="宋体"/>
                <w:color w:val="auto"/>
                <w:kern w:val="0"/>
                <w:sz w:val="24"/>
                <w:highlight w:val="yellow"/>
              </w:rPr>
            </w:pPr>
          </w:p>
        </w:tc>
        <w:tc>
          <w:tcPr>
            <w:tcW w:w="2904"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未对已报废的压力管道去功能化处理，未对办理停用的压力管道采取有效的保护措施</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1.加强对报废的压力管道管理，及时采取必要措施消除使用功能；</w:t>
            </w:r>
          </w:p>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2.加强停用压力管道管理，采取有效保护措施，且设置停用标志</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r>
        <w:tblPrEx>
          <w:tblW w:w="14195" w:type="dxa"/>
          <w:jc w:val="center"/>
          <w:tblLayout w:type="fixed"/>
          <w:tblCellMar>
            <w:top w:w="0" w:type="dxa"/>
            <w:left w:w="108" w:type="dxa"/>
            <w:bottom w:w="0" w:type="dxa"/>
            <w:right w:w="108" w:type="dxa"/>
          </w:tblCellMar>
          <w:tblLook w:val="0000"/>
        </w:tblPrEx>
        <w:trPr>
          <w:trHeight w:val="1053"/>
          <w:jc w:val="center"/>
        </w:trPr>
        <w:tc>
          <w:tcPr>
            <w:tcW w:w="805" w:type="dxa"/>
            <w:vAlign w:val="center"/>
          </w:tcPr>
          <w:p>
            <w:pPr>
              <w:widowControl/>
              <w:spacing w:line="320" w:lineRule="exact"/>
              <w:jc w:val="center"/>
              <w:rPr>
                <w:rFonts w:ascii="宋体" w:hAnsi="宋体"/>
                <w:color w:val="auto"/>
                <w:kern w:val="0"/>
                <w:sz w:val="24"/>
              </w:rPr>
            </w:pPr>
            <w:r>
              <w:rPr>
                <w:rFonts w:ascii="宋体" w:eastAsia="宋体" w:hAnsi="宋体" w:cs="Times New Roman"/>
                <w:color w:val="auto"/>
                <w:kern w:val="0"/>
                <w:sz w:val="24"/>
                <w:szCs w:val="24"/>
              </w:rPr>
              <w:t>1</w:t>
            </w:r>
            <w:r>
              <w:rPr>
                <w:rFonts w:ascii="宋体" w:eastAsia="宋体" w:hAnsi="宋体" w:cs="Times New Roman" w:hint="eastAsia"/>
                <w:color w:val="auto"/>
                <w:kern w:val="0"/>
                <w:sz w:val="24"/>
                <w:szCs w:val="24"/>
              </w:rPr>
              <w:t>3</w:t>
            </w:r>
          </w:p>
        </w:tc>
        <w:tc>
          <w:tcPr>
            <w:tcW w:w="1364" w:type="dxa"/>
            <w:vMerge/>
            <w:vAlign w:val="center"/>
          </w:tcPr>
          <w:p>
            <w:pPr>
              <w:spacing w:line="320" w:lineRule="exact"/>
              <w:jc w:val="center"/>
              <w:rPr>
                <w:rFonts w:ascii="宋体" w:hAnsi="宋体"/>
                <w:color w:val="auto"/>
                <w:kern w:val="0"/>
                <w:sz w:val="24"/>
              </w:rPr>
            </w:pPr>
          </w:p>
        </w:tc>
        <w:tc>
          <w:tcPr>
            <w:tcW w:w="2904" w:type="dxa"/>
            <w:vAlign w:val="center"/>
          </w:tcPr>
          <w:p>
            <w:pPr>
              <w:widowControl/>
              <w:autoSpaceDE w:val="0"/>
              <w:autoSpaceDN w:val="0"/>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未按规定开展压力管道年度检查，定期检验，办理延期检验的未采取有效监控</w:t>
            </w:r>
          </w:p>
        </w:tc>
        <w:tc>
          <w:tcPr>
            <w:tcW w:w="4855" w:type="dxa"/>
            <w:vAlign w:val="center"/>
          </w:tcPr>
          <w:p>
            <w:pPr>
              <w:spacing w:line="320" w:lineRule="exact"/>
              <w:jc w:val="left"/>
              <w:rPr>
                <w:rFonts w:ascii="宋体" w:hAnsi="宋体"/>
                <w:color w:val="auto"/>
                <w:kern w:val="0"/>
                <w:sz w:val="24"/>
              </w:rPr>
            </w:pPr>
            <w:r>
              <w:rPr>
                <w:rFonts w:ascii="宋体" w:eastAsia="宋体" w:hAnsi="宋体" w:cs="Times New Roman" w:hint="eastAsia"/>
                <w:color w:val="auto"/>
                <w:kern w:val="0"/>
                <w:sz w:val="24"/>
                <w:szCs w:val="24"/>
              </w:rPr>
              <w:t>1</w:t>
            </w:r>
            <w:r>
              <w:rPr>
                <w:rFonts w:ascii="宋体" w:eastAsia="宋体" w:hAnsi="宋体" w:cs="Times New Roman"/>
                <w:color w:val="auto"/>
                <w:kern w:val="0"/>
                <w:sz w:val="24"/>
                <w:szCs w:val="24"/>
              </w:rPr>
              <w:t>.</w:t>
            </w:r>
            <w:r>
              <w:rPr>
                <w:rFonts w:ascii="宋体" w:eastAsia="宋体" w:hAnsi="宋体" w:cs="Times New Roman" w:hint="eastAsia"/>
                <w:color w:val="auto"/>
                <w:kern w:val="0"/>
                <w:sz w:val="24"/>
                <w:szCs w:val="24"/>
              </w:rPr>
              <w:t>按规定开展压力管道年度检查，定期检验；</w:t>
            </w:r>
            <w:r>
              <w:rPr>
                <w:rFonts w:ascii="宋体" w:eastAsia="宋体" w:hAnsi="宋体" w:cs="Times New Roman"/>
                <w:color w:val="auto"/>
                <w:kern w:val="0"/>
                <w:sz w:val="24"/>
                <w:szCs w:val="24"/>
              </w:rPr>
              <w:br/>
            </w:r>
            <w:r>
              <w:rPr>
                <w:rFonts w:ascii="宋体" w:eastAsia="宋体" w:hAnsi="宋体" w:cs="Times New Roman" w:hint="eastAsia"/>
                <w:color w:val="auto"/>
                <w:kern w:val="0"/>
                <w:sz w:val="24"/>
                <w:szCs w:val="24"/>
              </w:rPr>
              <w:t>2</w:t>
            </w:r>
            <w:r>
              <w:rPr>
                <w:rFonts w:ascii="宋体" w:eastAsia="宋体" w:hAnsi="宋体" w:cs="Times New Roman"/>
                <w:color w:val="auto"/>
                <w:kern w:val="0"/>
                <w:sz w:val="24"/>
                <w:szCs w:val="24"/>
              </w:rPr>
              <w:t>.</w:t>
            </w:r>
            <w:r>
              <w:rPr>
                <w:rFonts w:ascii="宋体" w:eastAsia="宋体" w:hAnsi="宋体" w:cs="Times New Roman" w:hint="eastAsia"/>
                <w:color w:val="auto"/>
                <w:kern w:val="0"/>
                <w:sz w:val="24"/>
                <w:szCs w:val="24"/>
              </w:rPr>
              <w:t>延期检验的压力管道经检验机构确认及使用登记机构备案后采取有效措施监控使用</w:t>
            </w:r>
          </w:p>
        </w:tc>
        <w:tc>
          <w:tcPr>
            <w:tcW w:w="1623" w:type="dxa"/>
            <w:vMerge/>
            <w:vAlign w:val="center"/>
          </w:tcPr>
          <w:p>
            <w:pPr>
              <w:spacing w:line="320" w:lineRule="exact"/>
              <w:jc w:val="left"/>
              <w:rPr>
                <w:rFonts w:ascii="宋体" w:hAnsi="宋体"/>
                <w:color w:val="auto"/>
                <w:kern w:val="0"/>
                <w:sz w:val="24"/>
              </w:rPr>
            </w:pPr>
          </w:p>
        </w:tc>
        <w:tc>
          <w:tcPr>
            <w:tcW w:w="1456" w:type="dxa"/>
            <w:vMerge/>
            <w:vAlign w:val="center"/>
          </w:tcPr>
          <w:p>
            <w:pPr>
              <w:spacing w:line="320" w:lineRule="exact"/>
              <w:jc w:val="left"/>
              <w:rPr>
                <w:rFonts w:ascii="宋体" w:hAnsi="宋体"/>
                <w:color w:val="auto"/>
                <w:kern w:val="0"/>
                <w:sz w:val="24"/>
              </w:rPr>
            </w:pPr>
          </w:p>
        </w:tc>
        <w:tc>
          <w:tcPr>
            <w:tcW w:w="1188" w:type="dxa"/>
            <w:vAlign w:val="center"/>
          </w:tcPr>
          <w:p>
            <w:pPr>
              <w:spacing w:line="320" w:lineRule="exact"/>
              <w:jc w:val="left"/>
              <w:rPr>
                <w:rFonts w:ascii="宋体" w:hAnsi="宋体"/>
                <w:color w:val="auto"/>
                <w:kern w:val="0"/>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https://d.book118.com/288067072104006043</w:t>
        </w:r>
      </w:hyperlink>
    </w:p>
    <w:p/>
    <w:sectPr>
      <w:headerReference w:type="default" r:id="rId18"/>
      <w:type w:val="nextPage"/>
      <w:pgSz w:w="16838" w:h="11906" w:orient="landscape"/>
      <w:pgMar w:top="1406" w:right="1191" w:bottom="1406" w:left="1191" w:header="851" w:footer="992" w:gutter="0"/>
      <w:paperSrc w:first="0" w:other="0"/>
      <w:pgNumType w:start="14"/>
      <w:cols w:space="708"/>
      <w:titlePg w:val="0"/>
      <w:rtlGutter w:val="0"/>
      <w:docGrid w:type="lines" w:linePitch="324"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center"/>
      <w:rPr>
        <w:rFonts w:eastAsia="宋体" w:hint="default"/>
        <w:lang w:val="en-US" w:eastAsia="zh-CN"/>
      </w:rPr>
    </w:pPr>
    <w:r>
      <w:rPr>
        <w:rFonts w:ascii="宋体" w:eastAsia="宋体" w:hAnsi="宋体" w:cs="宋体" w:hint="eastAsia"/>
        <w:b w:val="0"/>
        <w:bCs w:val="0"/>
        <w:sz w:val="24"/>
        <w:szCs w:val="40"/>
        <w:lang w:val="en-US" w:eastAsia="zh-CN"/>
      </w:rPr>
      <w:t>XXX市XXX有限公司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24E0E1"/>
    <w:multiLevelType w:val="singleLevel"/>
    <w:tmpl w:val="9024E0E1"/>
    <w:lvl w:ilvl="0">
      <w:start w:val="1"/>
      <w:numFmt w:val="decimal"/>
      <w:suff w:val="nothing"/>
      <w:lvlText w:val="%1．"/>
      <w:lvlJc w:val="left"/>
      <w:pPr>
        <w:ind w:left="0" w:firstLine="400"/>
      </w:pPr>
      <w:rPr>
        <w:rFonts w:hint="default"/>
      </w:rPr>
    </w:lvl>
  </w:abstractNum>
  <w:abstractNum w:abstractNumId="1">
    <w:nsid w:val="ABBAC4DF"/>
    <w:multiLevelType w:val="singleLevel"/>
    <w:tmpl w:val="ABBAC4DF"/>
    <w:lvl w:ilvl="0">
      <w:start w:val="1"/>
      <w:numFmt w:val="decimal"/>
      <w:lvlText w:val="%1."/>
      <w:lvlJc w:val="left"/>
      <w:pPr>
        <w:tabs>
          <w:tab w:val="num" w:pos="312"/>
        </w:tabs>
      </w:pPr>
    </w:lvl>
  </w:abstractNum>
  <w:abstractNum w:abstractNumId="2">
    <w:nsid w:val="ED13B037"/>
    <w:multiLevelType w:val="singleLevel"/>
    <w:tmpl w:val="ED13B037"/>
    <w:lvl w:ilvl="0">
      <w:start w:val="1"/>
      <w:numFmt w:val="decimal"/>
      <w:lvlText w:val="%1."/>
      <w:lvlJc w:val="left"/>
      <w:pPr>
        <w:tabs>
          <w:tab w:val="num" w:pos="312"/>
        </w:tabs>
      </w:pPr>
    </w:lvl>
  </w:abstractNum>
  <w:abstractNum w:abstractNumId="3">
    <w:nsid w:val="12810404"/>
    <w:multiLevelType w:val="multilevel"/>
    <w:tmpl w:val="1281040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nsid w:val="308F2995"/>
    <w:multiLevelType w:val="multilevel"/>
    <w:tmpl w:val="308F2995"/>
    <w:lvl w:ilvl="0">
      <w:start w:val="1"/>
      <w:numFmt w:val="decimal"/>
      <w:lvlText w:val="%1."/>
      <w:lvlJc w:val="left"/>
      <w:pPr>
        <w:ind w:left="360" w:hanging="360"/>
      </w:pPr>
      <w:rPr>
        <w:rFonts w:ascii="Calibri" w:eastAsia="宋体" w:hAnsi="Calibri"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E524F9C"/>
    <w:multiLevelType w:val="singleLevel"/>
    <w:tmpl w:val="7E524F9C"/>
    <w:lvl w:ilvl="0">
      <w:start w:val="1"/>
      <w:numFmt w:val="decimal"/>
      <w:lvlText w:val="%1."/>
      <w:lvlJc w:val="left"/>
      <w:pPr>
        <w:tabs>
          <w:tab w:val="num" w:pos="312"/>
        </w:tabs>
      </w:p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420"/>
  <w:drawingGridVerticalSpacing w:val="162"/>
  <w:displayVerticalDrawingGridEvery w:val="2"/>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013654"/>
    <w:rsid w:val="005319D6"/>
    <w:rsid w:val="007F2235"/>
    <w:rsid w:val="00A85830"/>
    <w:rsid w:val="00CD79DA"/>
    <w:rsid w:val="00F0097D"/>
    <w:rsid w:val="00F46D15"/>
    <w:rsid w:val="01090CC8"/>
    <w:rsid w:val="01090DC6"/>
    <w:rsid w:val="010E10AD"/>
    <w:rsid w:val="0116596F"/>
    <w:rsid w:val="012C14C2"/>
    <w:rsid w:val="013A2E36"/>
    <w:rsid w:val="014F0463"/>
    <w:rsid w:val="015F67A7"/>
    <w:rsid w:val="016B199D"/>
    <w:rsid w:val="016E1900"/>
    <w:rsid w:val="0188524F"/>
    <w:rsid w:val="019522CB"/>
    <w:rsid w:val="01DC0C1D"/>
    <w:rsid w:val="01E70608"/>
    <w:rsid w:val="024261A6"/>
    <w:rsid w:val="027E3FC1"/>
    <w:rsid w:val="028933F3"/>
    <w:rsid w:val="02C433C2"/>
    <w:rsid w:val="02F254D6"/>
    <w:rsid w:val="03393105"/>
    <w:rsid w:val="036625B9"/>
    <w:rsid w:val="037D411E"/>
    <w:rsid w:val="03C1193F"/>
    <w:rsid w:val="03E10F67"/>
    <w:rsid w:val="03FB3F46"/>
    <w:rsid w:val="04172A14"/>
    <w:rsid w:val="041F4D7F"/>
    <w:rsid w:val="047F513F"/>
    <w:rsid w:val="04974F89"/>
    <w:rsid w:val="04CC0885"/>
    <w:rsid w:val="04CE6707"/>
    <w:rsid w:val="04D330E5"/>
    <w:rsid w:val="050020FB"/>
    <w:rsid w:val="05442AC2"/>
    <w:rsid w:val="05616943"/>
    <w:rsid w:val="056E32DA"/>
    <w:rsid w:val="05DC0A58"/>
    <w:rsid w:val="06481D89"/>
    <w:rsid w:val="06811E93"/>
    <w:rsid w:val="068A1179"/>
    <w:rsid w:val="06952ADA"/>
    <w:rsid w:val="0711516D"/>
    <w:rsid w:val="07746C7A"/>
    <w:rsid w:val="077C1812"/>
    <w:rsid w:val="07854B6B"/>
    <w:rsid w:val="07BA43B0"/>
    <w:rsid w:val="07C25635"/>
    <w:rsid w:val="07C5140B"/>
    <w:rsid w:val="07DB32DE"/>
    <w:rsid w:val="07E81363"/>
    <w:rsid w:val="07F56E6D"/>
    <w:rsid w:val="08122176"/>
    <w:rsid w:val="08332709"/>
    <w:rsid w:val="08352586"/>
    <w:rsid w:val="08DB7655"/>
    <w:rsid w:val="08E60765"/>
    <w:rsid w:val="08E73603"/>
    <w:rsid w:val="091C58D8"/>
    <w:rsid w:val="093B2C83"/>
    <w:rsid w:val="09531C12"/>
    <w:rsid w:val="097C46E1"/>
    <w:rsid w:val="09C04F33"/>
    <w:rsid w:val="09EB6E09"/>
    <w:rsid w:val="09FF20D7"/>
    <w:rsid w:val="0A2208FC"/>
    <w:rsid w:val="0A2D18E5"/>
    <w:rsid w:val="0A2D3298"/>
    <w:rsid w:val="0A900065"/>
    <w:rsid w:val="0A93260C"/>
    <w:rsid w:val="0A9C06F9"/>
    <w:rsid w:val="0AA16463"/>
    <w:rsid w:val="0AF2668D"/>
    <w:rsid w:val="0AF5263A"/>
    <w:rsid w:val="0B706D71"/>
    <w:rsid w:val="0B801CEE"/>
    <w:rsid w:val="0B8E0A6A"/>
    <w:rsid w:val="0BA91995"/>
    <w:rsid w:val="0BB52B66"/>
    <w:rsid w:val="0BBC5895"/>
    <w:rsid w:val="0BD236E1"/>
    <w:rsid w:val="0C142A83"/>
    <w:rsid w:val="0C53783C"/>
    <w:rsid w:val="0C6A1F2A"/>
    <w:rsid w:val="0C8A2C23"/>
    <w:rsid w:val="0C8F1FE8"/>
    <w:rsid w:val="0C92734C"/>
    <w:rsid w:val="0C980FAE"/>
    <w:rsid w:val="0C9A68DA"/>
    <w:rsid w:val="0CE045F1"/>
    <w:rsid w:val="0CE40539"/>
    <w:rsid w:val="0CFE4ED1"/>
    <w:rsid w:val="0D3F756A"/>
    <w:rsid w:val="0D63594E"/>
    <w:rsid w:val="0D6A0105"/>
    <w:rsid w:val="0D961154"/>
    <w:rsid w:val="0DBC1618"/>
    <w:rsid w:val="0DBC2E48"/>
    <w:rsid w:val="0DC0001E"/>
    <w:rsid w:val="0DEF5AC9"/>
    <w:rsid w:val="0E0A6C4A"/>
    <w:rsid w:val="0E3201E4"/>
    <w:rsid w:val="0E653DAB"/>
    <w:rsid w:val="0E682AF0"/>
    <w:rsid w:val="0E6A2D0C"/>
    <w:rsid w:val="0E925DBF"/>
    <w:rsid w:val="0E96666E"/>
    <w:rsid w:val="0E9D6397"/>
    <w:rsid w:val="0EA4505F"/>
    <w:rsid w:val="0EB10693"/>
    <w:rsid w:val="0EB14863"/>
    <w:rsid w:val="0EBC697D"/>
    <w:rsid w:val="0EE13467"/>
    <w:rsid w:val="0EFE57DC"/>
    <w:rsid w:val="0EFE7AEE"/>
    <w:rsid w:val="0F1B27CC"/>
    <w:rsid w:val="0F2B146F"/>
    <w:rsid w:val="0F517A28"/>
    <w:rsid w:val="0F6050CB"/>
    <w:rsid w:val="0F677A95"/>
    <w:rsid w:val="0F6B6D3C"/>
    <w:rsid w:val="0F722B95"/>
    <w:rsid w:val="0F915B06"/>
    <w:rsid w:val="0F931DEF"/>
    <w:rsid w:val="0FA46544"/>
    <w:rsid w:val="10030F66"/>
    <w:rsid w:val="10086339"/>
    <w:rsid w:val="103B5725"/>
    <w:rsid w:val="1060317D"/>
    <w:rsid w:val="107822F4"/>
    <w:rsid w:val="1097604D"/>
    <w:rsid w:val="10980778"/>
    <w:rsid w:val="10A00BD9"/>
    <w:rsid w:val="10A54EC1"/>
    <w:rsid w:val="10AD4CA3"/>
    <w:rsid w:val="11091DAC"/>
    <w:rsid w:val="110F32CD"/>
    <w:rsid w:val="110F36F7"/>
    <w:rsid w:val="11466D1E"/>
    <w:rsid w:val="11676CB0"/>
    <w:rsid w:val="11740C92"/>
    <w:rsid w:val="117F158D"/>
    <w:rsid w:val="11EB7CC0"/>
    <w:rsid w:val="122340D5"/>
    <w:rsid w:val="12504777"/>
    <w:rsid w:val="1254216B"/>
    <w:rsid w:val="12942CAC"/>
    <w:rsid w:val="12A54516"/>
    <w:rsid w:val="12A66719"/>
    <w:rsid w:val="12CB567E"/>
    <w:rsid w:val="12CF1767"/>
    <w:rsid w:val="12E0534B"/>
    <w:rsid w:val="13086650"/>
    <w:rsid w:val="13222836"/>
    <w:rsid w:val="13257736"/>
    <w:rsid w:val="13380D69"/>
    <w:rsid w:val="13392B69"/>
    <w:rsid w:val="134409E8"/>
    <w:rsid w:val="134734DE"/>
    <w:rsid w:val="1347361C"/>
    <w:rsid w:val="13785584"/>
    <w:rsid w:val="13954387"/>
    <w:rsid w:val="13A90497"/>
    <w:rsid w:val="13C5794B"/>
    <w:rsid w:val="14020503"/>
    <w:rsid w:val="1424570B"/>
    <w:rsid w:val="14632D00"/>
    <w:rsid w:val="147D0FC5"/>
    <w:rsid w:val="14997EA7"/>
    <w:rsid w:val="14A405FA"/>
    <w:rsid w:val="14C64A14"/>
    <w:rsid w:val="14E46242"/>
    <w:rsid w:val="15756C7A"/>
    <w:rsid w:val="15817ECB"/>
    <w:rsid w:val="15B37923"/>
    <w:rsid w:val="15D005F2"/>
    <w:rsid w:val="15E11B06"/>
    <w:rsid w:val="161D0664"/>
    <w:rsid w:val="163065E9"/>
    <w:rsid w:val="1647748F"/>
    <w:rsid w:val="164D5EFA"/>
    <w:rsid w:val="165A0676"/>
    <w:rsid w:val="165A392F"/>
    <w:rsid w:val="16AF2C37"/>
    <w:rsid w:val="16B34172"/>
    <w:rsid w:val="172764FB"/>
    <w:rsid w:val="172E0C77"/>
    <w:rsid w:val="17356435"/>
    <w:rsid w:val="17361246"/>
    <w:rsid w:val="174D0348"/>
    <w:rsid w:val="175C2044"/>
    <w:rsid w:val="176A78D9"/>
    <w:rsid w:val="177B5642"/>
    <w:rsid w:val="178E3121"/>
    <w:rsid w:val="17B22360"/>
    <w:rsid w:val="17C0305C"/>
    <w:rsid w:val="18092A28"/>
    <w:rsid w:val="18496DE3"/>
    <w:rsid w:val="185B5E04"/>
    <w:rsid w:val="185D743E"/>
    <w:rsid w:val="18CC5114"/>
    <w:rsid w:val="19011E15"/>
    <w:rsid w:val="197B5DCD"/>
    <w:rsid w:val="197C1B46"/>
    <w:rsid w:val="19B00096"/>
    <w:rsid w:val="19D3072B"/>
    <w:rsid w:val="1A0A00A0"/>
    <w:rsid w:val="1A3F23BD"/>
    <w:rsid w:val="1A4612E1"/>
    <w:rsid w:val="1A50725A"/>
    <w:rsid w:val="1A8169E0"/>
    <w:rsid w:val="1A875142"/>
    <w:rsid w:val="1A9639D4"/>
    <w:rsid w:val="1AAC1FB7"/>
    <w:rsid w:val="1ADF12B2"/>
    <w:rsid w:val="1B3B7107"/>
    <w:rsid w:val="1B6E407B"/>
    <w:rsid w:val="1B734AC2"/>
    <w:rsid w:val="1B96763D"/>
    <w:rsid w:val="1BA5220D"/>
    <w:rsid w:val="1BEC4D61"/>
    <w:rsid w:val="1BF9090C"/>
    <w:rsid w:val="1C0F49E6"/>
    <w:rsid w:val="1C1D316C"/>
    <w:rsid w:val="1C267A97"/>
    <w:rsid w:val="1C3055AD"/>
    <w:rsid w:val="1C531684"/>
    <w:rsid w:val="1C6F0A8C"/>
    <w:rsid w:val="1C9349D5"/>
    <w:rsid w:val="1CB65AA2"/>
    <w:rsid w:val="1D3628CE"/>
    <w:rsid w:val="1D5C1A72"/>
    <w:rsid w:val="1D786D0F"/>
    <w:rsid w:val="1D7C0366"/>
    <w:rsid w:val="1D9B4C90"/>
    <w:rsid w:val="1DB2213A"/>
    <w:rsid w:val="1DB33C7B"/>
    <w:rsid w:val="1DC57A85"/>
    <w:rsid w:val="1DCF222B"/>
    <w:rsid w:val="1DE859FC"/>
    <w:rsid w:val="1E18008F"/>
    <w:rsid w:val="1E2015F4"/>
    <w:rsid w:val="1E781320"/>
    <w:rsid w:val="1E9623BB"/>
    <w:rsid w:val="1EC57306"/>
    <w:rsid w:val="1ECD1F4D"/>
    <w:rsid w:val="1EDE4237"/>
    <w:rsid w:val="1F031DE1"/>
    <w:rsid w:val="1F4C0F70"/>
    <w:rsid w:val="1F6E36FB"/>
    <w:rsid w:val="1F7C464D"/>
    <w:rsid w:val="1F815ED3"/>
    <w:rsid w:val="1FA8326C"/>
    <w:rsid w:val="1FBE5899"/>
    <w:rsid w:val="1FF4313D"/>
    <w:rsid w:val="1FF95B7B"/>
    <w:rsid w:val="20052342"/>
    <w:rsid w:val="20384A18"/>
    <w:rsid w:val="204317A3"/>
    <w:rsid w:val="204854D8"/>
    <w:rsid w:val="20995997"/>
    <w:rsid w:val="20A83E38"/>
    <w:rsid w:val="211440DF"/>
    <w:rsid w:val="214419E0"/>
    <w:rsid w:val="21626662"/>
    <w:rsid w:val="21825B14"/>
    <w:rsid w:val="21DA2518"/>
    <w:rsid w:val="21F17B03"/>
    <w:rsid w:val="2202646E"/>
    <w:rsid w:val="22591BEF"/>
    <w:rsid w:val="22743DCB"/>
    <w:rsid w:val="22790D9D"/>
    <w:rsid w:val="22A75E85"/>
    <w:rsid w:val="22B24B17"/>
    <w:rsid w:val="22B6372E"/>
    <w:rsid w:val="22B63D84"/>
    <w:rsid w:val="22BC4A1B"/>
    <w:rsid w:val="22C4675B"/>
    <w:rsid w:val="22C6104D"/>
    <w:rsid w:val="232C0139"/>
    <w:rsid w:val="23713D9D"/>
    <w:rsid w:val="23727538"/>
    <w:rsid w:val="23AF4827"/>
    <w:rsid w:val="23B7280F"/>
    <w:rsid w:val="23F32A04"/>
    <w:rsid w:val="240B313B"/>
    <w:rsid w:val="242C5672"/>
    <w:rsid w:val="242F0438"/>
    <w:rsid w:val="246C2EE2"/>
    <w:rsid w:val="24853FA4"/>
    <w:rsid w:val="24A24B56"/>
    <w:rsid w:val="24A8520D"/>
    <w:rsid w:val="24AF1124"/>
    <w:rsid w:val="24CE1A03"/>
    <w:rsid w:val="255E0351"/>
    <w:rsid w:val="257F18CC"/>
    <w:rsid w:val="261C26E6"/>
    <w:rsid w:val="264C6849"/>
    <w:rsid w:val="266215AD"/>
    <w:rsid w:val="26857D67"/>
    <w:rsid w:val="269E1D5A"/>
    <w:rsid w:val="26A01501"/>
    <w:rsid w:val="26F92E80"/>
    <w:rsid w:val="26FC6B53"/>
    <w:rsid w:val="270B29D8"/>
    <w:rsid w:val="2756055E"/>
    <w:rsid w:val="27697335"/>
    <w:rsid w:val="276F7978"/>
    <w:rsid w:val="27990D6E"/>
    <w:rsid w:val="27B14A49"/>
    <w:rsid w:val="27DA59F1"/>
    <w:rsid w:val="28013942"/>
    <w:rsid w:val="28067B3A"/>
    <w:rsid w:val="280959C8"/>
    <w:rsid w:val="28210176"/>
    <w:rsid w:val="282C0C69"/>
    <w:rsid w:val="28321D4D"/>
    <w:rsid w:val="28371803"/>
    <w:rsid w:val="28501F7C"/>
    <w:rsid w:val="285B405A"/>
    <w:rsid w:val="28963B1B"/>
    <w:rsid w:val="28984249"/>
    <w:rsid w:val="289C18BC"/>
    <w:rsid w:val="28A864B3"/>
    <w:rsid w:val="28E758AE"/>
    <w:rsid w:val="292365FE"/>
    <w:rsid w:val="29725D7D"/>
    <w:rsid w:val="29AD2F9D"/>
    <w:rsid w:val="29B56783"/>
    <w:rsid w:val="29B81BD2"/>
    <w:rsid w:val="29BF0430"/>
    <w:rsid w:val="29BF6126"/>
    <w:rsid w:val="29DF6996"/>
    <w:rsid w:val="2A014D87"/>
    <w:rsid w:val="2A6B6EBD"/>
    <w:rsid w:val="2A6D37AC"/>
    <w:rsid w:val="2A7308C6"/>
    <w:rsid w:val="2A7D74CC"/>
    <w:rsid w:val="2A7E3970"/>
    <w:rsid w:val="2AC741ED"/>
    <w:rsid w:val="2AD01CF1"/>
    <w:rsid w:val="2ADE3F9D"/>
    <w:rsid w:val="2AE333EA"/>
    <w:rsid w:val="2AF53506"/>
    <w:rsid w:val="2B193698"/>
    <w:rsid w:val="2B1F3E3A"/>
    <w:rsid w:val="2BCB7848"/>
    <w:rsid w:val="2BD33620"/>
    <w:rsid w:val="2C0B1233"/>
    <w:rsid w:val="2C37006F"/>
    <w:rsid w:val="2C4F50F2"/>
    <w:rsid w:val="2C88151C"/>
    <w:rsid w:val="2C9047DA"/>
    <w:rsid w:val="2C984D6B"/>
    <w:rsid w:val="2C9C39C3"/>
    <w:rsid w:val="2CC87124"/>
    <w:rsid w:val="2CD86C3B"/>
    <w:rsid w:val="2CDD2374"/>
    <w:rsid w:val="2CF36AF7"/>
    <w:rsid w:val="2D1D3DA0"/>
    <w:rsid w:val="2D256324"/>
    <w:rsid w:val="2D2F29C9"/>
    <w:rsid w:val="2D3B5B48"/>
    <w:rsid w:val="2D636E4D"/>
    <w:rsid w:val="2D8748BE"/>
    <w:rsid w:val="2D880661"/>
    <w:rsid w:val="2D974B6D"/>
    <w:rsid w:val="2DB43208"/>
    <w:rsid w:val="2DB87825"/>
    <w:rsid w:val="2DD45655"/>
    <w:rsid w:val="2DDF78D0"/>
    <w:rsid w:val="2DF22787"/>
    <w:rsid w:val="2E11292A"/>
    <w:rsid w:val="2E277CC4"/>
    <w:rsid w:val="2E2F2B52"/>
    <w:rsid w:val="2E5711CA"/>
    <w:rsid w:val="2E95331E"/>
    <w:rsid w:val="2EA7291B"/>
    <w:rsid w:val="2EBB0C0C"/>
    <w:rsid w:val="2F057314"/>
    <w:rsid w:val="2F0957D2"/>
    <w:rsid w:val="2F121C85"/>
    <w:rsid w:val="2F7058A2"/>
    <w:rsid w:val="2FCF64AD"/>
    <w:rsid w:val="2FFF78A6"/>
    <w:rsid w:val="30093CDB"/>
    <w:rsid w:val="302917DE"/>
    <w:rsid w:val="303F6781"/>
    <w:rsid w:val="308B1A14"/>
    <w:rsid w:val="30A900E3"/>
    <w:rsid w:val="30D43636"/>
    <w:rsid w:val="30F32C5C"/>
    <w:rsid w:val="30FB6F4B"/>
    <w:rsid w:val="31085D41"/>
    <w:rsid w:val="316E2788"/>
    <w:rsid w:val="319A7D8E"/>
    <w:rsid w:val="319E0453"/>
    <w:rsid w:val="31C77314"/>
    <w:rsid w:val="31C94CB7"/>
    <w:rsid w:val="31CB6D6E"/>
    <w:rsid w:val="31F369F1"/>
    <w:rsid w:val="32004C6A"/>
    <w:rsid w:val="3212499D"/>
    <w:rsid w:val="32311913"/>
    <w:rsid w:val="325B1874"/>
    <w:rsid w:val="325E612F"/>
    <w:rsid w:val="32867865"/>
    <w:rsid w:val="32AB5897"/>
    <w:rsid w:val="32B61C4C"/>
    <w:rsid w:val="32CC1362"/>
    <w:rsid w:val="32D16626"/>
    <w:rsid w:val="33234013"/>
    <w:rsid w:val="339832B7"/>
    <w:rsid w:val="33BC2EED"/>
    <w:rsid w:val="33BC4A41"/>
    <w:rsid w:val="33C61EE3"/>
    <w:rsid w:val="33CB51C6"/>
    <w:rsid w:val="33CF6FEA"/>
    <w:rsid w:val="33F02F91"/>
    <w:rsid w:val="341530AF"/>
    <w:rsid w:val="345319C9"/>
    <w:rsid w:val="345C262A"/>
    <w:rsid w:val="3485777C"/>
    <w:rsid w:val="34BF4A5B"/>
    <w:rsid w:val="34CE54F3"/>
    <w:rsid w:val="34D862D3"/>
    <w:rsid w:val="3509378F"/>
    <w:rsid w:val="353751EA"/>
    <w:rsid w:val="354C42FF"/>
    <w:rsid w:val="355E7514"/>
    <w:rsid w:val="363A53F3"/>
    <w:rsid w:val="36502DB1"/>
    <w:rsid w:val="37245CF1"/>
    <w:rsid w:val="3848736B"/>
    <w:rsid w:val="38527135"/>
    <w:rsid w:val="386E5A06"/>
    <w:rsid w:val="387416B7"/>
    <w:rsid w:val="389B5E08"/>
    <w:rsid w:val="389B749B"/>
    <w:rsid w:val="38BB2C27"/>
    <w:rsid w:val="38F1355F"/>
    <w:rsid w:val="38FA2CC4"/>
    <w:rsid w:val="391D07F7"/>
    <w:rsid w:val="3967406E"/>
    <w:rsid w:val="39873EC3"/>
    <w:rsid w:val="398D5388"/>
    <w:rsid w:val="39C90037"/>
    <w:rsid w:val="39CB3DB0"/>
    <w:rsid w:val="39F06F44"/>
    <w:rsid w:val="3A525B79"/>
    <w:rsid w:val="3A59472B"/>
    <w:rsid w:val="3A612966"/>
    <w:rsid w:val="3A712BFA"/>
    <w:rsid w:val="3A960AEE"/>
    <w:rsid w:val="3AAD5B84"/>
    <w:rsid w:val="3ABB4961"/>
    <w:rsid w:val="3ACA35A1"/>
    <w:rsid w:val="3ACC6787"/>
    <w:rsid w:val="3ADB0022"/>
    <w:rsid w:val="3AF44D25"/>
    <w:rsid w:val="3B0E664A"/>
    <w:rsid w:val="3B111C96"/>
    <w:rsid w:val="3B1B61D8"/>
    <w:rsid w:val="3B497F44"/>
    <w:rsid w:val="3BAE1BDB"/>
    <w:rsid w:val="3BC63897"/>
    <w:rsid w:val="3BCE5DD9"/>
    <w:rsid w:val="3BD250F8"/>
    <w:rsid w:val="3BEB0739"/>
    <w:rsid w:val="3C0E1BBC"/>
    <w:rsid w:val="3C3D25D2"/>
    <w:rsid w:val="3C500FAF"/>
    <w:rsid w:val="3C5B7B08"/>
    <w:rsid w:val="3C5C4782"/>
    <w:rsid w:val="3C8A7F52"/>
    <w:rsid w:val="3CAD3C40"/>
    <w:rsid w:val="3CAE4B55"/>
    <w:rsid w:val="3CB17D1F"/>
    <w:rsid w:val="3CCA034E"/>
    <w:rsid w:val="3CCA476B"/>
    <w:rsid w:val="3CD01672"/>
    <w:rsid w:val="3CE31410"/>
    <w:rsid w:val="3CF00A00"/>
    <w:rsid w:val="3D29442F"/>
    <w:rsid w:val="3D495640"/>
    <w:rsid w:val="3D6A4FD7"/>
    <w:rsid w:val="3D9B2811"/>
    <w:rsid w:val="3DB40E7B"/>
    <w:rsid w:val="3E0A32B7"/>
    <w:rsid w:val="3E600292"/>
    <w:rsid w:val="3E6A6072"/>
    <w:rsid w:val="3E886713"/>
    <w:rsid w:val="3EC25E8C"/>
    <w:rsid w:val="3ECF2BC4"/>
    <w:rsid w:val="3EFB64B3"/>
    <w:rsid w:val="3F395C5F"/>
    <w:rsid w:val="3F467421"/>
    <w:rsid w:val="3F6475A6"/>
    <w:rsid w:val="3F662F6E"/>
    <w:rsid w:val="3F800979"/>
    <w:rsid w:val="3FAA371E"/>
    <w:rsid w:val="3FC45529"/>
    <w:rsid w:val="3FED2FEE"/>
    <w:rsid w:val="3FF22CAF"/>
    <w:rsid w:val="400939D1"/>
    <w:rsid w:val="4031060B"/>
    <w:rsid w:val="40646D0C"/>
    <w:rsid w:val="408E1056"/>
    <w:rsid w:val="40A86FB4"/>
    <w:rsid w:val="40CD686A"/>
    <w:rsid w:val="40E804A1"/>
    <w:rsid w:val="40FB0BF8"/>
    <w:rsid w:val="410C7ADD"/>
    <w:rsid w:val="413872B7"/>
    <w:rsid w:val="4171348E"/>
    <w:rsid w:val="41CE5EE0"/>
    <w:rsid w:val="41D67A3D"/>
    <w:rsid w:val="420B38E3"/>
    <w:rsid w:val="421634CE"/>
    <w:rsid w:val="42220C2D"/>
    <w:rsid w:val="42252033"/>
    <w:rsid w:val="42646850"/>
    <w:rsid w:val="42B06238"/>
    <w:rsid w:val="42FF235A"/>
    <w:rsid w:val="430D5439"/>
    <w:rsid w:val="43A27912"/>
    <w:rsid w:val="43C64E6B"/>
    <w:rsid w:val="44380293"/>
    <w:rsid w:val="444177F3"/>
    <w:rsid w:val="444C01E3"/>
    <w:rsid w:val="4450293A"/>
    <w:rsid w:val="445721A6"/>
    <w:rsid w:val="446E3CE6"/>
    <w:rsid w:val="448117F3"/>
    <w:rsid w:val="449811DD"/>
    <w:rsid w:val="449A5A4A"/>
    <w:rsid w:val="44D8451C"/>
    <w:rsid w:val="44E01BF0"/>
    <w:rsid w:val="45097E82"/>
    <w:rsid w:val="45114427"/>
    <w:rsid w:val="453E7DEB"/>
    <w:rsid w:val="454F4A13"/>
    <w:rsid w:val="45575091"/>
    <w:rsid w:val="45753FD7"/>
    <w:rsid w:val="45777D02"/>
    <w:rsid w:val="45C142B9"/>
    <w:rsid w:val="45E22E89"/>
    <w:rsid w:val="461C2D3D"/>
    <w:rsid w:val="461E0D31"/>
    <w:rsid w:val="46244F73"/>
    <w:rsid w:val="462D0020"/>
    <w:rsid w:val="46560AD6"/>
    <w:rsid w:val="467841BC"/>
    <w:rsid w:val="467F4A77"/>
    <w:rsid w:val="46910E01"/>
    <w:rsid w:val="46CB53EF"/>
    <w:rsid w:val="472E3BD0"/>
    <w:rsid w:val="47372F38"/>
    <w:rsid w:val="47422B40"/>
    <w:rsid w:val="47543636"/>
    <w:rsid w:val="475A6773"/>
    <w:rsid w:val="476D46F8"/>
    <w:rsid w:val="477861C5"/>
    <w:rsid w:val="47FD33B2"/>
    <w:rsid w:val="480E3057"/>
    <w:rsid w:val="48226466"/>
    <w:rsid w:val="484E67B1"/>
    <w:rsid w:val="4864035A"/>
    <w:rsid w:val="487D1ED8"/>
    <w:rsid w:val="488F7BB9"/>
    <w:rsid w:val="48B16072"/>
    <w:rsid w:val="49383A30"/>
    <w:rsid w:val="49884AB4"/>
    <w:rsid w:val="498A4734"/>
    <w:rsid w:val="49917F42"/>
    <w:rsid w:val="499E6DEB"/>
    <w:rsid w:val="49AD0CDB"/>
    <w:rsid w:val="49EF05C0"/>
    <w:rsid w:val="4A0F4104"/>
    <w:rsid w:val="4A196FEF"/>
    <w:rsid w:val="4A1B48DF"/>
    <w:rsid w:val="4A6718D3"/>
    <w:rsid w:val="4A745D9D"/>
    <w:rsid w:val="4AA8244E"/>
    <w:rsid w:val="4AA8683C"/>
    <w:rsid w:val="4AAD4B0F"/>
    <w:rsid w:val="4ADF08CB"/>
    <w:rsid w:val="4B076690"/>
    <w:rsid w:val="4B490FD8"/>
    <w:rsid w:val="4BB328F5"/>
    <w:rsid w:val="4BC22D45"/>
    <w:rsid w:val="4BFA0714"/>
    <w:rsid w:val="4C25534A"/>
    <w:rsid w:val="4C2D4456"/>
    <w:rsid w:val="4C681932"/>
    <w:rsid w:val="4C6E4D53"/>
    <w:rsid w:val="4C7B37EE"/>
    <w:rsid w:val="4C7D53DD"/>
    <w:rsid w:val="4C8125B0"/>
    <w:rsid w:val="4C831E93"/>
    <w:rsid w:val="4C902E8C"/>
    <w:rsid w:val="4CB94D1B"/>
    <w:rsid w:val="4CD71F78"/>
    <w:rsid w:val="4D111FCA"/>
    <w:rsid w:val="4D332F52"/>
    <w:rsid w:val="4D73233C"/>
    <w:rsid w:val="4D7F63C2"/>
    <w:rsid w:val="4DBF5582"/>
    <w:rsid w:val="4DE46BD9"/>
    <w:rsid w:val="4DF313BC"/>
    <w:rsid w:val="4E2F31D3"/>
    <w:rsid w:val="4E3D76A2"/>
    <w:rsid w:val="4E6D0492"/>
    <w:rsid w:val="4E7B3B9E"/>
    <w:rsid w:val="4E8B293C"/>
    <w:rsid w:val="4EAA6473"/>
    <w:rsid w:val="4EC03EA5"/>
    <w:rsid w:val="4EE22C05"/>
    <w:rsid w:val="4EEB707B"/>
    <w:rsid w:val="4F413713"/>
    <w:rsid w:val="4F5F701C"/>
    <w:rsid w:val="4F66105C"/>
    <w:rsid w:val="4FAF40BC"/>
    <w:rsid w:val="4FCD042A"/>
    <w:rsid w:val="4FD638DB"/>
    <w:rsid w:val="4FE857E2"/>
    <w:rsid w:val="501F4E1C"/>
    <w:rsid w:val="50357D7D"/>
    <w:rsid w:val="50526B81"/>
    <w:rsid w:val="50951770"/>
    <w:rsid w:val="50F72180"/>
    <w:rsid w:val="50FA214C"/>
    <w:rsid w:val="512C792A"/>
    <w:rsid w:val="513414F9"/>
    <w:rsid w:val="515E2BD5"/>
    <w:rsid w:val="5177467C"/>
    <w:rsid w:val="517F39A6"/>
    <w:rsid w:val="519669E8"/>
    <w:rsid w:val="51A1620C"/>
    <w:rsid w:val="51AD086E"/>
    <w:rsid w:val="51AF590D"/>
    <w:rsid w:val="51DE31A5"/>
    <w:rsid w:val="523F33FE"/>
    <w:rsid w:val="524E59FA"/>
    <w:rsid w:val="525E03AF"/>
    <w:rsid w:val="525F2437"/>
    <w:rsid w:val="527E0043"/>
    <w:rsid w:val="52DB6B7E"/>
    <w:rsid w:val="52F30EA2"/>
    <w:rsid w:val="5310711A"/>
    <w:rsid w:val="53430A03"/>
    <w:rsid w:val="536A1560"/>
    <w:rsid w:val="53AE0779"/>
    <w:rsid w:val="53B67427"/>
    <w:rsid w:val="53B713EC"/>
    <w:rsid w:val="53BD07B5"/>
    <w:rsid w:val="53C2241B"/>
    <w:rsid w:val="53C91F0F"/>
    <w:rsid w:val="53CB1E40"/>
    <w:rsid w:val="53D9265B"/>
    <w:rsid w:val="53F65621"/>
    <w:rsid w:val="53F7628A"/>
    <w:rsid w:val="541505F1"/>
    <w:rsid w:val="54183C3E"/>
    <w:rsid w:val="542F1F4C"/>
    <w:rsid w:val="543D1482"/>
    <w:rsid w:val="547A0454"/>
    <w:rsid w:val="547E7F44"/>
    <w:rsid w:val="54B64420"/>
    <w:rsid w:val="550F3292"/>
    <w:rsid w:val="55200CF0"/>
    <w:rsid w:val="555F145C"/>
    <w:rsid w:val="556C4241"/>
    <w:rsid w:val="55FB0BB6"/>
    <w:rsid w:val="55FF671A"/>
    <w:rsid w:val="56245862"/>
    <w:rsid w:val="56420695"/>
    <w:rsid w:val="565C42B5"/>
    <w:rsid w:val="566320AA"/>
    <w:rsid w:val="56664DE1"/>
    <w:rsid w:val="566D5F94"/>
    <w:rsid w:val="56763A58"/>
    <w:rsid w:val="568C6C36"/>
    <w:rsid w:val="56956447"/>
    <w:rsid w:val="56DA342C"/>
    <w:rsid w:val="570064CA"/>
    <w:rsid w:val="570A3D11"/>
    <w:rsid w:val="573D7A1B"/>
    <w:rsid w:val="57527466"/>
    <w:rsid w:val="57713D91"/>
    <w:rsid w:val="57902535"/>
    <w:rsid w:val="57C245EC"/>
    <w:rsid w:val="580E5A83"/>
    <w:rsid w:val="58120C64"/>
    <w:rsid w:val="581419C9"/>
    <w:rsid w:val="587B650D"/>
    <w:rsid w:val="58892055"/>
    <w:rsid w:val="5889510A"/>
    <w:rsid w:val="58896EB8"/>
    <w:rsid w:val="58A31439"/>
    <w:rsid w:val="58B06B3A"/>
    <w:rsid w:val="58B624DF"/>
    <w:rsid w:val="58CB127E"/>
    <w:rsid w:val="58D14ACA"/>
    <w:rsid w:val="58E06773"/>
    <w:rsid w:val="58E06F46"/>
    <w:rsid w:val="58E26FE8"/>
    <w:rsid w:val="58E36685"/>
    <w:rsid w:val="58E45550"/>
    <w:rsid w:val="58F72073"/>
    <w:rsid w:val="59265D69"/>
    <w:rsid w:val="594D6F68"/>
    <w:rsid w:val="596255A1"/>
    <w:rsid w:val="5983474D"/>
    <w:rsid w:val="5A1668C3"/>
    <w:rsid w:val="5A2327FF"/>
    <w:rsid w:val="5A876C85"/>
    <w:rsid w:val="5AA77AC9"/>
    <w:rsid w:val="5AA955EF"/>
    <w:rsid w:val="5AD42692"/>
    <w:rsid w:val="5AD563E4"/>
    <w:rsid w:val="5B151D27"/>
    <w:rsid w:val="5B1A473F"/>
    <w:rsid w:val="5B3F5F54"/>
    <w:rsid w:val="5B5F02D4"/>
    <w:rsid w:val="5B6B3B68"/>
    <w:rsid w:val="5B8161FE"/>
    <w:rsid w:val="5BF62AB6"/>
    <w:rsid w:val="5BFD51D6"/>
    <w:rsid w:val="5C08362E"/>
    <w:rsid w:val="5C130AE3"/>
    <w:rsid w:val="5C25514A"/>
    <w:rsid w:val="5C337BBF"/>
    <w:rsid w:val="5C425CFC"/>
    <w:rsid w:val="5C611238"/>
    <w:rsid w:val="5C695278"/>
    <w:rsid w:val="5C761A3E"/>
    <w:rsid w:val="5C82024C"/>
    <w:rsid w:val="5C947BF5"/>
    <w:rsid w:val="5C9A0664"/>
    <w:rsid w:val="5C9A160D"/>
    <w:rsid w:val="5CAE321D"/>
    <w:rsid w:val="5CE43E71"/>
    <w:rsid w:val="5D222004"/>
    <w:rsid w:val="5D5235AF"/>
    <w:rsid w:val="5D5604CE"/>
    <w:rsid w:val="5D7771B5"/>
    <w:rsid w:val="5D8C6679"/>
    <w:rsid w:val="5DAF07C5"/>
    <w:rsid w:val="5DBD3455"/>
    <w:rsid w:val="5DCA23CA"/>
    <w:rsid w:val="5DE66333"/>
    <w:rsid w:val="5DED7EE9"/>
    <w:rsid w:val="5E011185"/>
    <w:rsid w:val="5E05733F"/>
    <w:rsid w:val="5E294CCB"/>
    <w:rsid w:val="5E330E72"/>
    <w:rsid w:val="5E3F5F6B"/>
    <w:rsid w:val="5E532442"/>
    <w:rsid w:val="5E714DBB"/>
    <w:rsid w:val="5E9A68A1"/>
    <w:rsid w:val="5EA7453C"/>
    <w:rsid w:val="5EAE4599"/>
    <w:rsid w:val="5EF6545C"/>
    <w:rsid w:val="5F1377A4"/>
    <w:rsid w:val="5F18068C"/>
    <w:rsid w:val="5F3C6904"/>
    <w:rsid w:val="5F3D52EB"/>
    <w:rsid w:val="5F5B5FD4"/>
    <w:rsid w:val="5F635A8A"/>
    <w:rsid w:val="5F647DFA"/>
    <w:rsid w:val="5F773FA2"/>
    <w:rsid w:val="5F882EC0"/>
    <w:rsid w:val="5FAB1E0A"/>
    <w:rsid w:val="5FFE6E0D"/>
    <w:rsid w:val="604D0F08"/>
    <w:rsid w:val="6059001A"/>
    <w:rsid w:val="606D3FA3"/>
    <w:rsid w:val="60941C4A"/>
    <w:rsid w:val="609D0497"/>
    <w:rsid w:val="610106E7"/>
    <w:rsid w:val="6138147B"/>
    <w:rsid w:val="615230A7"/>
    <w:rsid w:val="616562C7"/>
    <w:rsid w:val="61794824"/>
    <w:rsid w:val="617B2CED"/>
    <w:rsid w:val="619C7C5C"/>
    <w:rsid w:val="61E63373"/>
    <w:rsid w:val="61F25ACE"/>
    <w:rsid w:val="6215575C"/>
    <w:rsid w:val="622D0161"/>
    <w:rsid w:val="62473CB9"/>
    <w:rsid w:val="626036BB"/>
    <w:rsid w:val="629353FA"/>
    <w:rsid w:val="629D3C8C"/>
    <w:rsid w:val="62B15989"/>
    <w:rsid w:val="63564A5F"/>
    <w:rsid w:val="639D1B2F"/>
    <w:rsid w:val="63A177AC"/>
    <w:rsid w:val="63A948B2"/>
    <w:rsid w:val="63C350DF"/>
    <w:rsid w:val="63CA1FD2"/>
    <w:rsid w:val="63DE231A"/>
    <w:rsid w:val="63E33995"/>
    <w:rsid w:val="63E518CE"/>
    <w:rsid w:val="64362428"/>
    <w:rsid w:val="64465512"/>
    <w:rsid w:val="64644A28"/>
    <w:rsid w:val="648A6CEA"/>
    <w:rsid w:val="650876E4"/>
    <w:rsid w:val="65141583"/>
    <w:rsid w:val="65311B8A"/>
    <w:rsid w:val="65517B92"/>
    <w:rsid w:val="65605444"/>
    <w:rsid w:val="6563105C"/>
    <w:rsid w:val="6589499B"/>
    <w:rsid w:val="659D3EBC"/>
    <w:rsid w:val="65B25CA0"/>
    <w:rsid w:val="65B71508"/>
    <w:rsid w:val="65D2667F"/>
    <w:rsid w:val="65E33551"/>
    <w:rsid w:val="662E3B35"/>
    <w:rsid w:val="66546D57"/>
    <w:rsid w:val="66C739CD"/>
    <w:rsid w:val="66F75934"/>
    <w:rsid w:val="6714713A"/>
    <w:rsid w:val="67650933"/>
    <w:rsid w:val="677F4E38"/>
    <w:rsid w:val="67B168A4"/>
    <w:rsid w:val="67B73E2F"/>
    <w:rsid w:val="67BC7680"/>
    <w:rsid w:val="681D0A24"/>
    <w:rsid w:val="6841155D"/>
    <w:rsid w:val="686311ED"/>
    <w:rsid w:val="68833924"/>
    <w:rsid w:val="6889114E"/>
    <w:rsid w:val="68A95986"/>
    <w:rsid w:val="68B47F81"/>
    <w:rsid w:val="68DE203C"/>
    <w:rsid w:val="690B6BEB"/>
    <w:rsid w:val="693D7F76"/>
    <w:rsid w:val="69644C73"/>
    <w:rsid w:val="698C0E88"/>
    <w:rsid w:val="699E2ED0"/>
    <w:rsid w:val="69A36A41"/>
    <w:rsid w:val="69D027A5"/>
    <w:rsid w:val="69F33382"/>
    <w:rsid w:val="69FE1402"/>
    <w:rsid w:val="6A0D758C"/>
    <w:rsid w:val="6A136F29"/>
    <w:rsid w:val="6A1E28E4"/>
    <w:rsid w:val="6A484442"/>
    <w:rsid w:val="6A5D1F52"/>
    <w:rsid w:val="6A6037CB"/>
    <w:rsid w:val="6A6F1107"/>
    <w:rsid w:val="6A7C687C"/>
    <w:rsid w:val="6A854601"/>
    <w:rsid w:val="6A9E0612"/>
    <w:rsid w:val="6AB914A9"/>
    <w:rsid w:val="6B151C61"/>
    <w:rsid w:val="6B197872"/>
    <w:rsid w:val="6B4B17F8"/>
    <w:rsid w:val="6B5735FF"/>
    <w:rsid w:val="6B6B73E9"/>
    <w:rsid w:val="6B6F21E4"/>
    <w:rsid w:val="6B841B98"/>
    <w:rsid w:val="6BA467A6"/>
    <w:rsid w:val="6BA71627"/>
    <w:rsid w:val="6BBB43A9"/>
    <w:rsid w:val="6BFC5C0E"/>
    <w:rsid w:val="6C2B055A"/>
    <w:rsid w:val="6C887587"/>
    <w:rsid w:val="6C893919"/>
    <w:rsid w:val="6C9E6C4F"/>
    <w:rsid w:val="6CB14F1D"/>
    <w:rsid w:val="6CB21A43"/>
    <w:rsid w:val="6CD43D54"/>
    <w:rsid w:val="6CFC47F1"/>
    <w:rsid w:val="6D0B7AB3"/>
    <w:rsid w:val="6D0F7B33"/>
    <w:rsid w:val="6D1820FF"/>
    <w:rsid w:val="6D401DE3"/>
    <w:rsid w:val="6D437B25"/>
    <w:rsid w:val="6D452528"/>
    <w:rsid w:val="6D472C2B"/>
    <w:rsid w:val="6D701A29"/>
    <w:rsid w:val="6D9B2FE1"/>
    <w:rsid w:val="6DE02450"/>
    <w:rsid w:val="6DE30917"/>
    <w:rsid w:val="6E1372ED"/>
    <w:rsid w:val="6E191DED"/>
    <w:rsid w:val="6E21682C"/>
    <w:rsid w:val="6E272FA3"/>
    <w:rsid w:val="6E2E3854"/>
    <w:rsid w:val="6E602011"/>
    <w:rsid w:val="6E63554F"/>
    <w:rsid w:val="6E7C32EF"/>
    <w:rsid w:val="6E7F4B8D"/>
    <w:rsid w:val="6E835F48"/>
    <w:rsid w:val="6E923658"/>
    <w:rsid w:val="6ECD02B7"/>
    <w:rsid w:val="6EF47329"/>
    <w:rsid w:val="6EF865D9"/>
    <w:rsid w:val="6F5B773E"/>
    <w:rsid w:val="6FC94C07"/>
    <w:rsid w:val="6FE5354B"/>
    <w:rsid w:val="6FF463F2"/>
    <w:rsid w:val="6FFB0EA6"/>
    <w:rsid w:val="701D01BA"/>
    <w:rsid w:val="70350F16"/>
    <w:rsid w:val="705B5186"/>
    <w:rsid w:val="70AD5291"/>
    <w:rsid w:val="71004AF3"/>
    <w:rsid w:val="71220F04"/>
    <w:rsid w:val="71451E2D"/>
    <w:rsid w:val="714A76D4"/>
    <w:rsid w:val="7199448A"/>
    <w:rsid w:val="71A26BEA"/>
    <w:rsid w:val="71CD3E62"/>
    <w:rsid w:val="71CD79BE"/>
    <w:rsid w:val="71D64AC4"/>
    <w:rsid w:val="72113D4E"/>
    <w:rsid w:val="722F0774"/>
    <w:rsid w:val="723E4A3F"/>
    <w:rsid w:val="726C5ED1"/>
    <w:rsid w:val="727B1607"/>
    <w:rsid w:val="727D5F3F"/>
    <w:rsid w:val="72A31748"/>
    <w:rsid w:val="72CF33E8"/>
    <w:rsid w:val="72D15BA7"/>
    <w:rsid w:val="72D74F98"/>
    <w:rsid w:val="72FB6C32"/>
    <w:rsid w:val="734C49C3"/>
    <w:rsid w:val="73530AB5"/>
    <w:rsid w:val="737F751C"/>
    <w:rsid w:val="73987FDE"/>
    <w:rsid w:val="739E43E4"/>
    <w:rsid w:val="73D9433C"/>
    <w:rsid w:val="74400E87"/>
    <w:rsid w:val="7448274E"/>
    <w:rsid w:val="746615D9"/>
    <w:rsid w:val="74ED2EE1"/>
    <w:rsid w:val="74F25C03"/>
    <w:rsid w:val="74F553DC"/>
    <w:rsid w:val="74F60FBB"/>
    <w:rsid w:val="7521074C"/>
    <w:rsid w:val="75276424"/>
    <w:rsid w:val="753152E3"/>
    <w:rsid w:val="75475CD9"/>
    <w:rsid w:val="755A3C5E"/>
    <w:rsid w:val="756845CD"/>
    <w:rsid w:val="75937CC2"/>
    <w:rsid w:val="75994786"/>
    <w:rsid w:val="75A10B90"/>
    <w:rsid w:val="75DE2F8C"/>
    <w:rsid w:val="75FD7051"/>
    <w:rsid w:val="76663293"/>
    <w:rsid w:val="76AD22E1"/>
    <w:rsid w:val="76AD62DD"/>
    <w:rsid w:val="775B38D4"/>
    <w:rsid w:val="77622CC0"/>
    <w:rsid w:val="776A4425"/>
    <w:rsid w:val="77991905"/>
    <w:rsid w:val="77AC5496"/>
    <w:rsid w:val="786A5C26"/>
    <w:rsid w:val="78846947"/>
    <w:rsid w:val="78895747"/>
    <w:rsid w:val="78BA3449"/>
    <w:rsid w:val="78C65BCD"/>
    <w:rsid w:val="78DD2BDC"/>
    <w:rsid w:val="78DE5B25"/>
    <w:rsid w:val="78E710E0"/>
    <w:rsid w:val="79175E5B"/>
    <w:rsid w:val="796916CB"/>
    <w:rsid w:val="796E46F6"/>
    <w:rsid w:val="797168E3"/>
    <w:rsid w:val="79893FA7"/>
    <w:rsid w:val="79D0629D"/>
    <w:rsid w:val="79F75F20"/>
    <w:rsid w:val="7A017138"/>
    <w:rsid w:val="7A060E6A"/>
    <w:rsid w:val="7A1563A6"/>
    <w:rsid w:val="7A342EFB"/>
    <w:rsid w:val="7A440BFE"/>
    <w:rsid w:val="7A7C4677"/>
    <w:rsid w:val="7AC80E6C"/>
    <w:rsid w:val="7AD671FF"/>
    <w:rsid w:val="7B08256A"/>
    <w:rsid w:val="7B222EFE"/>
    <w:rsid w:val="7B3A2568"/>
    <w:rsid w:val="7B3D3197"/>
    <w:rsid w:val="7B607AF4"/>
    <w:rsid w:val="7B72589B"/>
    <w:rsid w:val="7B7F64C0"/>
    <w:rsid w:val="7B8732D3"/>
    <w:rsid w:val="7B9D12E4"/>
    <w:rsid w:val="7BBA7079"/>
    <w:rsid w:val="7BC51B33"/>
    <w:rsid w:val="7BDC361F"/>
    <w:rsid w:val="7BEE6EAE"/>
    <w:rsid w:val="7C0466D2"/>
    <w:rsid w:val="7C6000DE"/>
    <w:rsid w:val="7CC320E9"/>
    <w:rsid w:val="7CD501EE"/>
    <w:rsid w:val="7CD70867"/>
    <w:rsid w:val="7CDB74BF"/>
    <w:rsid w:val="7CF73913"/>
    <w:rsid w:val="7D136219"/>
    <w:rsid w:val="7D1F117A"/>
    <w:rsid w:val="7D5020BF"/>
    <w:rsid w:val="7D5267B5"/>
    <w:rsid w:val="7D553689"/>
    <w:rsid w:val="7D5A0C9F"/>
    <w:rsid w:val="7D6342C7"/>
    <w:rsid w:val="7D761851"/>
    <w:rsid w:val="7D9341B1"/>
    <w:rsid w:val="7D9C4F92"/>
    <w:rsid w:val="7DA5669E"/>
    <w:rsid w:val="7DB3215D"/>
    <w:rsid w:val="7DEC60DD"/>
    <w:rsid w:val="7DF62B06"/>
    <w:rsid w:val="7E0F2F1D"/>
    <w:rsid w:val="7E105802"/>
    <w:rsid w:val="7E654B4F"/>
    <w:rsid w:val="7EDD77E3"/>
    <w:rsid w:val="7F0C345C"/>
    <w:rsid w:val="7F0F3D46"/>
    <w:rsid w:val="7F1F2C79"/>
    <w:rsid w:val="7F264DA9"/>
    <w:rsid w:val="7F387BF3"/>
    <w:rsid w:val="7F486138"/>
    <w:rsid w:val="7F4C286A"/>
    <w:rsid w:val="7F4E29AB"/>
    <w:rsid w:val="7FB55D40"/>
    <w:rsid w:val="7FD2603D"/>
    <w:rsid w:val="7FD75F49"/>
    <w:rsid w:val="7FE45339"/>
  </w:rsids>
  <w:docVars>
    <w:docVar w:name="commondata" w:val="eyJoZGlkIjoiYmYyMjY5Y2U4OWVjMDdhMWMwNzM2MDU0ODVjZTA2N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qFormat="1"/>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1"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
    <w:qFormat/>
    <w:pPr>
      <w:widowControl w:val="0"/>
      <w:jc w:val="both"/>
    </w:pPr>
    <w:rPr>
      <w:rFonts w:ascii="Calibri" w:eastAsia="宋体" w:hAnsi="Calibri" w:cs="Times New Roman"/>
      <w:kern w:val="2"/>
      <w:sz w:val="21"/>
      <w:szCs w:val="24"/>
      <w:lang w:val="en-US" w:eastAsia="zh-CN" w:bidi="ar-SA"/>
    </w:rPr>
  </w:style>
  <w:style w:type="paragraph" w:styleId="Heading1">
    <w:name w:val="heading 1"/>
    <w:basedOn w:val="Normal"/>
    <w:next w:val="Normal"/>
    <w:qFormat/>
    <w:pPr>
      <w:spacing w:before="100" w:beforeAutospacing="1" w:after="100" w:afterAutospacing="1"/>
      <w:jc w:val="left"/>
      <w:outlineLvl w:val="0"/>
    </w:pPr>
    <w:rPr>
      <w:rFonts w:ascii="宋体" w:eastAsia="宋体" w:hAnsi="宋体" w:cs="宋体" w:hint="eastAsia"/>
      <w:b/>
      <w:bCs/>
      <w:kern w:val="44"/>
      <w:sz w:val="48"/>
      <w:szCs w:val="48"/>
      <w:lang w:val="en-US" w:eastAsia="zh-CN" w:bidi="ar"/>
    </w:rPr>
  </w:style>
  <w:style w:type="paragraph" w:styleId="Heading2">
    <w:name w:val="heading 2"/>
    <w:basedOn w:val="Normal"/>
    <w:next w:val="Normal"/>
    <w:unhideWhenUsed/>
    <w:qFormat/>
    <w:pPr>
      <w:spacing w:before="100" w:beforeAutospacing="1" w:after="100" w:afterAutospacing="1"/>
      <w:jc w:val="left"/>
      <w:outlineLvl w:val="1"/>
    </w:pPr>
    <w:rPr>
      <w:rFonts w:ascii="宋体" w:eastAsia="宋体" w:hAnsi="宋体" w:cs="宋体" w:hint="eastAsia"/>
      <w:b/>
      <w:bCs/>
      <w:kern w:val="0"/>
      <w:sz w:val="36"/>
      <w:szCs w:val="36"/>
      <w:lang w:val="en-US" w:eastAsia="zh-CN" w:bidi="ar"/>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paragraph" w:styleId="Heading4">
    <w:name w:val="heading 4"/>
    <w:basedOn w:val="Normal"/>
    <w:next w:val="Normal"/>
    <w:unhideWhenUsed/>
    <w:qFormat/>
    <w:pPr>
      <w:spacing w:before="100" w:beforeAutospacing="1" w:after="100" w:afterAutospacing="1"/>
      <w:jc w:val="left"/>
      <w:outlineLvl w:val="3"/>
    </w:pPr>
    <w:rPr>
      <w:rFonts w:ascii="宋体" w:eastAsia="宋体" w:hAnsi="宋体" w:cs="宋体" w:hint="eastAsia"/>
      <w:b/>
      <w:bCs/>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FirstIndent">
    <w:name w:val="Body Text First Indent"/>
    <w:basedOn w:val="BodyText"/>
    <w:uiPriority w:val="99"/>
    <w:unhideWhenUsed/>
    <w:qFormat/>
    <w:pPr>
      <w:widowControl/>
      <w:ind w:firstLine="100" w:firstLineChars="100"/>
    </w:pPr>
    <w:rPr>
      <w:rFonts w:ascii="Calibri" w:eastAsia="宋体" w:hAnsi="Calibri" w:cs="宋体"/>
      <w:sz w:val="32"/>
      <w:szCs w:val="32"/>
      <w:lang w:val="zh-CN" w:bidi="zh-CN"/>
    </w:rPr>
  </w:style>
  <w:style w:type="paragraph" w:styleId="BodyText">
    <w:name w:val="Body Text"/>
    <w:basedOn w:val="Normal"/>
    <w:uiPriority w:val="1"/>
    <w:unhideWhenUsed/>
    <w:qFormat/>
    <w:pPr>
      <w:spacing w:after="12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uiPriority w:val="39"/>
    <w:unhideWhenUsed/>
    <w:qFormat/>
  </w:style>
  <w:style w:type="paragraph" w:styleId="Subtitle">
    <w:name w:val="Subtitle"/>
    <w:basedOn w:val="Normal"/>
    <w:next w:val="Normal"/>
    <w:uiPriority w:val="11"/>
    <w:qFormat/>
    <w:pPr>
      <w:outlineLvl w:val="3"/>
    </w:pPr>
    <w:rPr>
      <w:rFonts w:hAnsi="Cambria" w:cs="Times New Roman"/>
      <w:bCs/>
      <w:kern w:val="28"/>
      <w:szCs w:val="32"/>
    </w:r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rPr>
  </w:style>
  <w:style w:type="character" w:styleId="Emphasis">
    <w:name w:val="Emphasis"/>
    <w:basedOn w:val="DefaultParagraphFont"/>
    <w:qFormat/>
    <w:rPr>
      <w:i/>
    </w:rPr>
  </w:style>
  <w:style w:type="character" w:styleId="Hyperlink">
    <w:name w:val="Hyperlink"/>
    <w:basedOn w:val="DefaultParagraphFont"/>
    <w:rPr>
      <w:color w:val="0000FF"/>
      <w:u w:val="single"/>
    </w:rPr>
  </w:style>
  <w:style w:type="paragraph" w:styleId="ListParagraph">
    <w:name w:val="List Paragraph"/>
    <w:basedOn w:val="Normal"/>
    <w:uiPriority w:val="34"/>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eader" Target="header10.xml" /><Relationship Id="rId14" Type="http://schemas.openxmlformats.org/officeDocument/2006/relationships/header" Target="header11.xml" /><Relationship Id="rId15" Type="http://schemas.openxmlformats.org/officeDocument/2006/relationships/header" Target="header12.xml" /><Relationship Id="rId16" Type="http://schemas.openxmlformats.org/officeDocument/2006/relationships/header" Target="header13.xml" /><Relationship Id="rId17" Type="http://schemas.openxmlformats.org/officeDocument/2006/relationships/hyperlink" Target="https://d.book118.com/288067072104006043" TargetMode="External" /><Relationship Id="rId18" Type="http://schemas.openxmlformats.org/officeDocument/2006/relationships/header" Target="head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157261920</TotalTime>
  <Pages>15</Pages>
  <Words>919</Words>
  <Characters>970</Characters>
  <Application>Microsoft Office Word</Application>
  <DocSecurity>0</DocSecurity>
  <Lines>0</Lines>
  <Paragraphs>0</Paragraphs>
  <ScaleCrop>false</ScaleCrop>
  <Company/>
  <LinksUpToDate>false</LinksUpToDate>
  <CharactersWithSpaces>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Afanty</cp:lastModifiedBy>
  <cp:revision>0</cp:revision>
  <dcterms:created xsi:type="dcterms:W3CDTF">2022-08-11T00:10:26Z</dcterms:created>
  <dcterms:modified xsi:type="dcterms:W3CDTF">2024-03-08T07:06:15Z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15A416D9E2AA449680A018D6839A9A36_13</vt:lpwstr>
  </property>
  <property fmtid="{D5CDD505-2E9C-101B-9397-08002B2CF9AE}" pid="3" name="KSOProductBuildVer">
    <vt:lpwstr>2052-12.1.0.16388</vt:lpwstr>
  </property>
</Properties>
</file>