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11" w:line="226" w:lineRule="auto"/>
        <w:ind w:left="688"/>
        <w:outlineLvl w:val="0"/>
        <w:rPr>
          <w:sz w:val="31"/>
          <w:szCs w:val="31"/>
        </w:rPr>
      </w:pPr>
      <w:r>
        <w:rPr>
          <w:spacing w:val="9"/>
          <w:sz w:val="31"/>
          <w:szCs w:val="31"/>
        </w:rPr>
        <w:t>太阳电池及太阳电池用硅片光致发光缺陷检测仪校准规范</w:t>
      </w:r>
    </w:p>
    <w:p>
      <w:pPr>
        <w:pStyle w:val="BodyText"/>
        <w:spacing w:before="124" w:line="223" w:lineRule="auto"/>
        <w:ind w:left="21"/>
        <w:outlineLvl w:val="1"/>
      </w:pPr>
      <w:r>
        <w:rPr>
          <w:spacing w:val="-12"/>
        </w:rPr>
        <w:t>1</w:t>
      </w:r>
      <w:r>
        <w:rPr>
          <w:spacing w:val="13"/>
        </w:rPr>
        <w:t xml:space="preserve"> </w:t>
      </w:r>
      <w:r>
        <w:rPr>
          <w:spacing w:val="-12"/>
        </w:rPr>
        <w:t>范围</w:t>
      </w:r>
    </w:p>
    <w:p>
      <w:pPr>
        <w:spacing w:before="101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本规范适用于太阳电池片及太阳电池用硅片光</w:t>
      </w:r>
      <w:r>
        <w:rPr>
          <w:rFonts w:ascii="SimSun" w:eastAsia="SimSun" w:hAnsi="SimSun" w:cs="SimSun"/>
          <w:spacing w:val="-1"/>
          <w:sz w:val="24"/>
          <w:szCs w:val="24"/>
        </w:rPr>
        <w:t>致发光缺陷检测仪的校准。</w:t>
      </w:r>
    </w:p>
    <w:p>
      <w:pPr>
        <w:pStyle w:val="BodyText"/>
        <w:spacing w:before="103" w:line="222" w:lineRule="auto"/>
        <w:ind w:left="7"/>
        <w:outlineLvl w:val="1"/>
      </w:pPr>
      <w:r>
        <w:rPr>
          <w:spacing w:val="-8"/>
        </w:rPr>
        <w:t>2</w:t>
      </w:r>
      <w:r>
        <w:rPr>
          <w:spacing w:val="31"/>
        </w:rPr>
        <w:t xml:space="preserve"> </w:t>
      </w:r>
      <w:r>
        <w:rPr>
          <w:spacing w:val="-8"/>
        </w:rPr>
        <w:t>引用文件</w:t>
      </w:r>
    </w:p>
    <w:p>
      <w:pPr>
        <w:spacing w:before="68" w:line="468" w:lineRule="exact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3"/>
          <w:sz w:val="24"/>
          <w:szCs w:val="24"/>
        </w:rPr>
        <w:t>GB/T</w:t>
      </w:r>
      <w:r>
        <w:rPr>
          <w:rFonts w:ascii="Times New Roman" w:eastAsia="Times New Roman" w:hAnsi="Times New Roman" w:cs="Times New Roman"/>
          <w:spacing w:val="30"/>
          <w:position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3"/>
          <w:sz w:val="24"/>
          <w:szCs w:val="24"/>
        </w:rPr>
        <w:t xml:space="preserve">19953  </w:t>
      </w:r>
      <w:r>
        <w:rPr>
          <w:rFonts w:ascii="SimSun" w:eastAsia="SimSun" w:hAnsi="SimSun" w:cs="SimSun"/>
          <w:spacing w:val="-2"/>
          <w:position w:val="13"/>
          <w:sz w:val="24"/>
          <w:szCs w:val="24"/>
        </w:rPr>
        <w:t>数码照相机分辨率的测量</w:t>
      </w:r>
    </w:p>
    <w:p>
      <w:pPr>
        <w:spacing w:line="359" w:lineRule="exact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 xml:space="preserve">GB/T 20733  </w:t>
      </w:r>
      <w:r>
        <w:rPr>
          <w:rFonts w:ascii="SimSun" w:eastAsia="SimSun" w:hAnsi="SimSun" w:cs="SimSun"/>
          <w:spacing w:val="-1"/>
          <w:position w:val="2"/>
          <w:sz w:val="24"/>
          <w:szCs w:val="24"/>
        </w:rPr>
        <w:t>数码照相机术语</w:t>
      </w:r>
    </w:p>
    <w:p>
      <w:pPr>
        <w:spacing w:before="145" w:line="219" w:lineRule="auto"/>
        <w:ind w:left="485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JJF 2063-2023 </w:t>
      </w:r>
      <w:r>
        <w:rPr>
          <w:rFonts w:ascii="SimSun" w:eastAsia="SimSun" w:hAnsi="SimSun" w:cs="SimSun"/>
          <w:sz w:val="24"/>
          <w:szCs w:val="24"/>
        </w:rPr>
        <w:t>光伏电池组件电致发光缺</w:t>
      </w:r>
      <w:r>
        <w:rPr>
          <w:rFonts w:ascii="SimSun" w:eastAsia="SimSun" w:hAnsi="SimSun" w:cs="SimSun"/>
          <w:spacing w:val="-1"/>
          <w:sz w:val="24"/>
          <w:szCs w:val="24"/>
        </w:rPr>
        <w:t>陷检测仪校准规范</w:t>
      </w:r>
    </w:p>
    <w:p>
      <w:pPr>
        <w:spacing w:before="183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凡是注日期的引用文件，仅注日期的版本适用于本规范；凡是不注日期的引用文件，</w:t>
      </w:r>
    </w:p>
    <w:p>
      <w:pPr>
        <w:spacing w:before="183"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其最新版本（包括所有的修改单）适用于本规范。</w:t>
      </w:r>
    </w:p>
    <w:p>
      <w:pPr>
        <w:pStyle w:val="BodyText"/>
        <w:spacing w:before="104" w:line="222" w:lineRule="auto"/>
        <w:ind w:left="9"/>
        <w:outlineLvl w:val="1"/>
      </w:pPr>
      <w:r>
        <w:rPr>
          <w:spacing w:val="-3"/>
        </w:rPr>
        <w:t>3</w:t>
      </w:r>
      <w:r>
        <w:rPr>
          <w:spacing w:val="-52"/>
        </w:rPr>
        <w:t xml:space="preserve"> </w:t>
      </w:r>
      <w:r>
        <w:rPr>
          <w:spacing w:val="-3"/>
        </w:rPr>
        <w:t>术语和定义</w:t>
      </w:r>
    </w:p>
    <w:p>
      <w:pPr>
        <w:spacing w:before="103" w:line="219" w:lineRule="auto"/>
        <w:ind w:left="49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下列术语和定义适用于本校准规范。</w:t>
      </w:r>
    </w:p>
    <w:p>
      <w:pPr>
        <w:pStyle w:val="BodyText"/>
        <w:spacing w:before="183" w:line="218" w:lineRule="auto"/>
        <w:ind w:left="9"/>
      </w:pPr>
      <w:r>
        <w:rPr>
          <w:spacing w:val="-1"/>
        </w:rPr>
        <w:t>3.1</w:t>
      </w:r>
      <w:r>
        <w:rPr>
          <w:spacing w:val="-1"/>
        </w:rPr>
        <w:t xml:space="preserve"> </w:t>
      </w:r>
      <w:r>
        <w:rPr>
          <w:spacing w:val="-1"/>
        </w:rPr>
        <w:t>PL</w:t>
      </w:r>
      <w:r>
        <w:rPr>
          <w:spacing w:val="-38"/>
        </w:rPr>
        <w:t xml:space="preserve"> </w:t>
      </w:r>
      <w:r>
        <w:rPr>
          <w:spacing w:val="-1"/>
        </w:rPr>
        <w:t>缺陷</w:t>
      </w:r>
      <w:r>
        <w:rPr>
          <w:spacing w:val="-1"/>
        </w:rPr>
        <w:t xml:space="preserve"> </w:t>
      </w:r>
      <w:r>
        <w:rPr>
          <w:spacing w:val="-1"/>
        </w:rPr>
        <w:t>photoluminescence</w:t>
      </w:r>
      <w:r>
        <w:rPr>
          <w:spacing w:val="-1"/>
        </w:rPr>
        <w:t xml:space="preserve"> </w:t>
      </w:r>
      <w:r>
        <w:rPr>
          <w:spacing w:val="-1"/>
        </w:rPr>
        <w:t>defect</w:t>
      </w:r>
    </w:p>
    <w:p>
      <w:pPr>
        <w:spacing w:before="184" w:line="468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通过光致发光作用，在太阳电池和太阳电池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用硅片中观察到的对电池性能造成不良影</w:t>
      </w:r>
    </w:p>
    <w:p>
      <w:pPr>
        <w:spacing w:line="220" w:lineRule="auto"/>
        <w:ind w:left="2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响的特征。</w:t>
      </w:r>
    </w:p>
    <w:p>
      <w:pPr>
        <w:pStyle w:val="BodyText"/>
        <w:spacing w:before="182" w:line="218" w:lineRule="auto"/>
        <w:ind w:left="9"/>
      </w:pPr>
      <w:r>
        <w:rPr>
          <w:spacing w:val="-5"/>
        </w:rPr>
        <w:t>3.2</w:t>
      </w:r>
      <w:r>
        <w:rPr>
          <w:spacing w:val="-5"/>
        </w:rPr>
        <w:t xml:space="preserve"> </w:t>
      </w:r>
      <w:r>
        <w:rPr>
          <w:spacing w:val="-5"/>
        </w:rPr>
        <w:t>线对</w:t>
      </w:r>
      <w:r>
        <w:rPr>
          <w:spacing w:val="53"/>
        </w:rPr>
        <w:t xml:space="preserve"> </w:t>
      </w:r>
      <w:r>
        <w:rPr>
          <w:spacing w:val="-5"/>
        </w:rPr>
        <w:t>line</w:t>
      </w:r>
      <w:r>
        <w:rPr>
          <w:spacing w:val="11"/>
        </w:rPr>
        <w:t xml:space="preserve"> </w:t>
      </w:r>
      <w:r>
        <w:rPr>
          <w:spacing w:val="-5"/>
        </w:rPr>
        <w:t>pairs</w:t>
      </w:r>
    </w:p>
    <w:p>
      <w:pPr>
        <w:spacing w:before="185" w:line="433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4"/>
          <w:sz w:val="24"/>
          <w:szCs w:val="24"/>
        </w:rPr>
        <w:t>具有同样方向及宽度的黑白相间的成对条纹。</w:t>
      </w:r>
    </w:p>
    <w:p>
      <w:pPr>
        <w:spacing w:line="337" w:lineRule="exact"/>
        <w:ind w:lef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[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来源：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JJF 2063</w:t>
      </w:r>
      <w:r>
        <w:rPr>
          <w:rFonts w:ascii="Times New Roman" w:eastAsia="Times New Roman" w:hAnsi="Times New Roman" w:cs="Times New Roman"/>
          <w:spacing w:val="-32"/>
          <w:position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3.3]</w:t>
      </w:r>
    </w:p>
    <w:p>
      <w:pPr>
        <w:pStyle w:val="BodyText"/>
        <w:spacing w:before="166" w:line="218" w:lineRule="auto"/>
        <w:ind w:left="9"/>
      </w:pPr>
      <w:r>
        <w:rPr>
          <w:spacing w:val="-2"/>
        </w:rPr>
        <w:t>3.3</w:t>
      </w:r>
      <w:r>
        <w:rPr>
          <w:spacing w:val="-2"/>
        </w:rPr>
        <w:t xml:space="preserve"> </w:t>
      </w:r>
      <w:r>
        <w:rPr>
          <w:spacing w:val="-2"/>
        </w:rPr>
        <w:t>线对每毫米</w:t>
      </w:r>
      <w:r>
        <w:rPr>
          <w:spacing w:val="51"/>
        </w:rPr>
        <w:t xml:space="preserve"> </w:t>
      </w:r>
      <w:r>
        <w:rPr>
          <w:spacing w:val="-2"/>
        </w:rPr>
        <w:t>line</w:t>
      </w:r>
      <w:r>
        <w:rPr>
          <w:spacing w:val="-2"/>
        </w:rPr>
        <w:t xml:space="preserve"> </w:t>
      </w:r>
      <w:r>
        <w:rPr>
          <w:spacing w:val="-2"/>
        </w:rPr>
        <w:t>pairs</w:t>
      </w:r>
      <w:r>
        <w:rPr>
          <w:spacing w:val="-2"/>
        </w:rPr>
        <w:t xml:space="preserve"> </w:t>
      </w:r>
      <w:r>
        <w:rPr>
          <w:spacing w:val="-2"/>
        </w:rPr>
        <w:t>per</w:t>
      </w:r>
      <w:r>
        <w:rPr>
          <w:spacing w:val="4"/>
        </w:rPr>
        <w:t xml:space="preserve"> </w:t>
      </w:r>
      <w:r>
        <w:rPr>
          <w:spacing w:val="-2"/>
        </w:rPr>
        <w:t>millimeter</w:t>
      </w:r>
    </w:p>
    <w:p>
      <w:pPr>
        <w:spacing w:before="184" w:line="433" w:lineRule="exact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4"/>
          <w:sz w:val="24"/>
          <w:szCs w:val="24"/>
        </w:rPr>
        <w:t>采用能分辨的每毫米等间隔黑白线对数来表示</w:t>
      </w:r>
      <w:r>
        <w:rPr>
          <w:rFonts w:ascii="SimSun" w:eastAsia="SimSun" w:hAnsi="SimSun" w:cs="SimSun"/>
          <w:spacing w:val="-1"/>
          <w:position w:val="14"/>
          <w:sz w:val="24"/>
          <w:szCs w:val="24"/>
        </w:rPr>
        <w:t>分辨能力的度量单位。</w:t>
      </w:r>
    </w:p>
    <w:p>
      <w:pPr>
        <w:spacing w:line="337" w:lineRule="exact"/>
        <w:ind w:lef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[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来源：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GB/T 20733</w:t>
      </w:r>
      <w:r>
        <w:rPr>
          <w:rFonts w:ascii="Times New Roman" w:eastAsia="Times New Roman" w:hAnsi="Times New Roman" w:cs="Times New Roman"/>
          <w:spacing w:val="-18"/>
          <w:position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position w:val="3"/>
          <w:sz w:val="24"/>
          <w:szCs w:val="24"/>
        </w:rPr>
        <w:t>，定义</w:t>
      </w:r>
      <w:r>
        <w:rPr>
          <w:rFonts w:ascii="Times New Roman" w:eastAsia="Times New Roman" w:hAnsi="Times New Roman" w:cs="Times New Roman"/>
          <w:spacing w:val="-3"/>
          <w:position w:val="3"/>
          <w:sz w:val="24"/>
          <w:szCs w:val="24"/>
        </w:rPr>
        <w:t>5.8]</w:t>
      </w:r>
    </w:p>
    <w:p>
      <w:pPr>
        <w:pStyle w:val="BodyText"/>
        <w:spacing w:before="166" w:line="218" w:lineRule="auto"/>
        <w:ind w:left="9"/>
      </w:pPr>
      <w:r>
        <w:rPr>
          <w:spacing w:val="-2"/>
        </w:rPr>
        <w:t>3.4</w:t>
      </w:r>
      <w:r>
        <w:rPr>
          <w:spacing w:val="-2"/>
        </w:rPr>
        <w:t xml:space="preserve"> </w:t>
      </w:r>
      <w:r>
        <w:rPr>
          <w:spacing w:val="-2"/>
        </w:rPr>
        <w:t>PL</w:t>
      </w:r>
      <w:r>
        <w:rPr>
          <w:spacing w:val="-46"/>
        </w:rPr>
        <w:t xml:space="preserve"> </w:t>
      </w:r>
      <w:r>
        <w:rPr>
          <w:spacing w:val="-2"/>
        </w:rPr>
        <w:t>空间分辨率</w:t>
      </w:r>
      <w:r>
        <w:rPr>
          <w:spacing w:val="-2"/>
        </w:rPr>
        <w:t xml:space="preserve"> </w:t>
      </w:r>
      <w:r>
        <w:rPr>
          <w:spacing w:val="-2"/>
        </w:rPr>
        <w:t>PL</w:t>
      </w:r>
      <w:r>
        <w:rPr>
          <w:spacing w:val="15"/>
        </w:rPr>
        <w:t xml:space="preserve"> </w:t>
      </w:r>
      <w:r>
        <w:rPr>
          <w:spacing w:val="-2"/>
        </w:rPr>
        <w:t>spatial</w:t>
      </w:r>
      <w:r>
        <w:rPr>
          <w:spacing w:val="24"/>
        </w:rPr>
        <w:t xml:space="preserve"> </w:t>
      </w:r>
      <w:r>
        <w:rPr>
          <w:spacing w:val="-2"/>
        </w:rPr>
        <w:t>resoluti</w:t>
      </w:r>
      <w:r>
        <w:rPr>
          <w:spacing w:val="-3"/>
        </w:rPr>
        <w:t>on</w:t>
      </w:r>
    </w:p>
    <w:p>
      <w:pPr>
        <w:spacing w:before="186" w:line="346" w:lineRule="auto"/>
        <w:ind w:left="14" w:firstLine="46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PL</w:t>
      </w:r>
      <w:r>
        <w:rPr>
          <w:rFonts w:ascii="SimSun" w:eastAsia="SimSun" w:hAnsi="SimSun" w:cs="SimSun"/>
          <w:spacing w:val="-2"/>
          <w:sz w:val="24"/>
          <w:szCs w:val="24"/>
        </w:rPr>
        <w:t>空间分辨率用于表征光致发光缺陷检测仪对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PL</w:t>
      </w:r>
      <w:r>
        <w:rPr>
          <w:rFonts w:ascii="SimSun" w:eastAsia="SimSun" w:hAnsi="SimSun" w:cs="SimSun"/>
          <w:spacing w:val="-2"/>
          <w:sz w:val="24"/>
          <w:szCs w:val="24"/>
        </w:rPr>
        <w:t>图</w:t>
      </w:r>
      <w:r>
        <w:rPr>
          <w:rFonts w:ascii="SimSun" w:eastAsia="SimSun" w:hAnsi="SimSun" w:cs="SimSun"/>
          <w:spacing w:val="-3"/>
          <w:sz w:val="24"/>
          <w:szCs w:val="24"/>
        </w:rPr>
        <w:t>像的细节分辨能力。根据光学成像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系统常见的成像质量测试方法，通常采用等宽度的黑白条纹作为成像目标对成像系统的空</w:t>
      </w:r>
    </w:p>
    <w:p>
      <w:pPr>
        <w:spacing w:line="388" w:lineRule="exact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4"/>
          <w:sz w:val="24"/>
          <w:szCs w:val="24"/>
        </w:rPr>
        <w:t>间分辨率进行测试，以</w:t>
      </w:r>
      <w:r>
        <w:rPr>
          <w:rFonts w:ascii="Cambria Math" w:eastAsia="Cambria Math" w:hAnsi="Cambria Math" w:cs="Cambria Math"/>
          <w:position w:val="4"/>
          <w:sz w:val="24"/>
          <w:szCs w:val="24"/>
        </w:rPr>
        <w:t>r</w:t>
      </w:r>
      <w:r>
        <w:rPr>
          <w:rFonts w:ascii="Cambria Math" w:eastAsia="Cambria Math" w:hAnsi="Cambria Math" w:cs="Cambria Math"/>
          <w:sz w:val="16"/>
          <w:szCs w:val="16"/>
        </w:rPr>
        <w:t>s</w:t>
      </w:r>
      <w:r>
        <w:rPr>
          <w:rFonts w:ascii="Cambria Math" w:eastAsia="Cambria Math" w:hAnsi="Cambria Math" w:cs="Cambria Math"/>
          <w:spacing w:val="-18"/>
          <w:sz w:val="16"/>
          <w:szCs w:val="16"/>
        </w:rPr>
        <w:t xml:space="preserve"> </w:t>
      </w:r>
      <w:r>
        <w:rPr>
          <w:rFonts w:ascii="SimSun" w:eastAsia="SimSun" w:hAnsi="SimSun" w:cs="SimSun"/>
          <w:position w:val="4"/>
          <w:sz w:val="24"/>
          <w:szCs w:val="24"/>
        </w:rPr>
        <w:t>表示测试结果，单位为“线对每毫米</w:t>
      </w:r>
      <w:r>
        <w:rPr>
          <w:rFonts w:ascii="SimSun" w:eastAsia="SimSun" w:hAnsi="SimSun" w:cs="SimSun"/>
          <w:spacing w:val="-88"/>
          <w:position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position w:val="4"/>
          <w:sz w:val="24"/>
          <w:szCs w:val="24"/>
        </w:rPr>
        <w:t>”（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lp/mm</w:t>
      </w:r>
      <w:r>
        <w:rPr>
          <w:rFonts w:ascii="SimSun" w:eastAsia="SimSun" w:hAnsi="SimSun" w:cs="SimSun"/>
          <w:spacing w:val="-1"/>
          <w:position w:val="4"/>
          <w:sz w:val="24"/>
          <w:szCs w:val="24"/>
        </w:rPr>
        <w:t>）。</w:t>
      </w:r>
    </w:p>
    <w:p>
      <w:pPr>
        <w:pStyle w:val="BodyText"/>
        <w:spacing w:before="115" w:line="218" w:lineRule="auto"/>
        <w:ind w:left="9"/>
      </w:pPr>
      <w:r>
        <w:rPr>
          <w:spacing w:val="-1"/>
        </w:rPr>
        <w:t>3.5</w:t>
      </w:r>
      <w:r>
        <w:rPr>
          <w:spacing w:val="-1"/>
        </w:rPr>
        <w:t xml:space="preserve"> </w:t>
      </w:r>
      <w:r>
        <w:rPr>
          <w:spacing w:val="-1"/>
        </w:rPr>
        <w:t>PL</w:t>
      </w:r>
      <w:r>
        <w:rPr>
          <w:spacing w:val="-47"/>
        </w:rPr>
        <w:t xml:space="preserve"> </w:t>
      </w:r>
      <w:r>
        <w:rPr>
          <w:spacing w:val="-1"/>
        </w:rPr>
        <w:t>空间分辨率测试板</w:t>
      </w:r>
      <w:r>
        <w:rPr>
          <w:spacing w:val="-1"/>
        </w:rPr>
        <w:t xml:space="preserve"> </w:t>
      </w:r>
      <w:r>
        <w:rPr>
          <w:spacing w:val="-1"/>
        </w:rPr>
        <w:t>PL</w:t>
      </w:r>
      <w:r>
        <w:rPr>
          <w:spacing w:val="-1"/>
        </w:rPr>
        <w:t xml:space="preserve"> </w:t>
      </w:r>
      <w:r>
        <w:rPr>
          <w:spacing w:val="-1"/>
        </w:rPr>
        <w:t>spatial</w:t>
      </w:r>
      <w:r>
        <w:rPr>
          <w:spacing w:val="25"/>
        </w:rPr>
        <w:t xml:space="preserve"> </w:t>
      </w:r>
      <w:r>
        <w:rPr>
          <w:spacing w:val="-1"/>
        </w:rPr>
        <w:t>resoluti</w:t>
      </w:r>
      <w:r>
        <w:rPr>
          <w:spacing w:val="-2"/>
        </w:rPr>
        <w:t>on</w:t>
      </w:r>
      <w:r>
        <w:rPr>
          <w:spacing w:val="-2"/>
        </w:rPr>
        <w:t xml:space="preserve"> </w:t>
      </w:r>
      <w:r>
        <w:rPr>
          <w:spacing w:val="-2"/>
        </w:rPr>
        <w:t>test</w:t>
      </w:r>
      <w:r>
        <w:rPr>
          <w:spacing w:val="8"/>
        </w:rPr>
        <w:t xml:space="preserve"> </w:t>
      </w:r>
      <w:r>
        <w:rPr>
          <w:spacing w:val="-2"/>
        </w:rPr>
        <w:t>chart</w:t>
      </w:r>
    </w:p>
    <w:p>
      <w:pPr>
        <w:spacing w:before="185" w:line="220" w:lineRule="auto"/>
        <w:ind w:left="492"/>
        <w:rPr>
          <w:rFonts w:ascii="SimSun" w:eastAsia="SimSun" w:hAnsi="SimSun" w:cs="SimSun"/>
          <w:sz w:val="24"/>
          <w:szCs w:val="24"/>
        </w:rPr>
        <w:sectPr>
          <w:headerReference w:type="default" r:id="rId4"/>
          <w:footerReference w:type="default" r:id="rId5"/>
          <w:pgSz w:w="11906" w:h="16839"/>
          <w:pgMar w:top="1719" w:right="1133" w:bottom="1298" w:left="1418" w:header="1448" w:footer="1135" w:gutter="0"/>
          <w:cols w:space="708"/>
        </w:sectPr>
      </w:pPr>
      <w:r>
        <w:rPr>
          <w:rFonts w:ascii="SimSun" w:eastAsia="SimSun" w:hAnsi="SimSun" w:cs="SimSun"/>
          <w:spacing w:val="-1"/>
          <w:sz w:val="24"/>
          <w:szCs w:val="24"/>
        </w:rPr>
        <w:t>为测试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PL</w:t>
      </w:r>
      <w:r>
        <w:rPr>
          <w:rFonts w:ascii="SimSun" w:eastAsia="SimSun" w:hAnsi="SimSun" w:cs="SimSun"/>
          <w:spacing w:val="-1"/>
          <w:sz w:val="24"/>
          <w:szCs w:val="24"/>
        </w:rPr>
        <w:t>成像系统的特性而规定的测试图配置。</w:t>
      </w:r>
    </w:p>
    <w:p>
      <w:pPr>
        <w:pStyle w:val="BodyText"/>
        <w:spacing w:before="103" w:line="221" w:lineRule="auto"/>
        <w:ind w:left="3"/>
        <w:outlineLvl w:val="1"/>
      </w:pPr>
      <w:r>
        <w:rPr>
          <w:spacing w:val="-4"/>
        </w:rPr>
        <w:t>4</w:t>
      </w:r>
      <w:r>
        <w:rPr>
          <w:spacing w:val="8"/>
        </w:rPr>
        <w:t xml:space="preserve"> </w:t>
      </w:r>
      <w:r>
        <w:rPr>
          <w:spacing w:val="-4"/>
        </w:rPr>
        <w:t>概述</w:t>
      </w:r>
    </w:p>
    <w:p>
      <w:pPr>
        <w:spacing w:before="104" w:line="468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光致发光缺陷检测仪常用于太阳电池生产企业和光伏系统检测机构。该类设备的基本</w:t>
      </w:r>
    </w:p>
    <w:p>
      <w:pPr>
        <w:spacing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原理是通过特定波长的光源照射测试样品，样品受到光激发后，因内部缺陷类型和缺陷数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6"/>
          <w:footerReference w:type="default" r:id="rId7"/>
          <w:type w:val="nextPage"/>
          <w:pgSz w:w="11906" w:h="16839"/>
          <w:pgMar w:top="1719" w:right="1133" w:bottom="1298" w:left="1418" w:header="1448" w:footer="1135" w:gutter="0"/>
          <w:pgNumType w:start="2"/>
          <w:cols w:space="708"/>
          <w:titlePg w:val="0"/>
        </w:sectPr>
      </w:pPr>
    </w:p>
    <w:p>
      <w:pPr>
        <w:spacing w:before="115" w:line="468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量发出不同强度的光，使用相机进行捕捉，经过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计算机处理得到光致发光图像，最终根据</w:t>
      </w:r>
    </w:p>
    <w:p>
      <w:pPr>
        <w:spacing w:line="220" w:lineRule="auto"/>
        <w:ind w:left="3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图像判定样品内部缺陷类型及数量。</w:t>
      </w:r>
    </w:p>
    <w:p>
      <w:pPr>
        <w:spacing w:before="181" w:line="468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光致发光缺陷检测仪主要由光源、相机、样品台及图像处理系统构成，其常见的结构</w:t>
      </w:r>
    </w:p>
    <w:p>
      <w:pPr>
        <w:spacing w:before="1"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示意图如图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4"/>
          <w:sz w:val="24"/>
          <w:szCs w:val="24"/>
        </w:rPr>
        <w:t>所示。</w:t>
      </w:r>
    </w:p>
    <w:p>
      <w:pPr>
        <w:spacing w:before="191" w:line="4731" w:lineRule="exact"/>
        <w:ind w:firstLine="792"/>
      </w:pPr>
      <w:r>
        <w:rPr>
          <w:position w:val="-94"/>
        </w:rPr>
        <w:drawing>
          <wp:inline distT="0" distB="0" distL="0" distR="0">
            <wp:extent cx="5231891" cy="300380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1891" cy="3003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58" w:line="220" w:lineRule="auto"/>
        <w:ind w:left="326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图1 光致发光缺陷检测仪结构示意图</w:t>
      </w:r>
    </w:p>
    <w:p>
      <w:pPr>
        <w:pStyle w:val="BodyText"/>
        <w:spacing w:before="223" w:line="222" w:lineRule="auto"/>
        <w:ind w:left="4"/>
        <w:outlineLvl w:val="1"/>
      </w:pPr>
      <w:r>
        <w:rPr>
          <w:spacing w:val="-3"/>
        </w:rPr>
        <w:t>5</w:t>
      </w:r>
      <w:r>
        <w:rPr>
          <w:spacing w:val="-50"/>
        </w:rPr>
        <w:t xml:space="preserve"> </w:t>
      </w:r>
      <w:r>
        <w:rPr>
          <w:spacing w:val="-3"/>
        </w:rPr>
        <w:t>计量特性</w:t>
      </w:r>
    </w:p>
    <w:p>
      <w:pPr>
        <w:pStyle w:val="BodyText"/>
        <w:spacing w:before="103" w:line="222" w:lineRule="auto"/>
        <w:ind w:left="4"/>
      </w:pPr>
      <w:r>
        <w:rPr>
          <w:spacing w:val="-2"/>
        </w:rPr>
        <w:t>5.1</w:t>
      </w:r>
      <w:r>
        <w:rPr>
          <w:spacing w:val="-2"/>
        </w:rPr>
        <w:t xml:space="preserve"> </w:t>
      </w:r>
      <w:r>
        <w:rPr>
          <w:spacing w:val="-2"/>
        </w:rPr>
        <w:t>PL</w:t>
      </w:r>
      <w:r>
        <w:rPr>
          <w:spacing w:val="-43"/>
        </w:rPr>
        <w:t xml:space="preserve"> </w:t>
      </w:r>
      <w:r>
        <w:rPr>
          <w:spacing w:val="-2"/>
        </w:rPr>
        <w:t>空间分辨率</w:t>
      </w:r>
    </w:p>
    <w:p>
      <w:pPr>
        <w:spacing w:before="144" w:line="503" w:lineRule="exact"/>
        <w:ind w:left="4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7"/>
          <w:sz w:val="24"/>
          <w:szCs w:val="24"/>
        </w:rPr>
        <w:t>光致发光缺陷检测仪的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PL</w:t>
      </w:r>
      <w:r>
        <w:rPr>
          <w:rFonts w:ascii="SimSun" w:eastAsia="SimSun" w:hAnsi="SimSun" w:cs="SimSun"/>
          <w:position w:val="17"/>
          <w:sz w:val="24"/>
          <w:szCs w:val="24"/>
        </w:rPr>
        <w:t>空间分辨率测量范围为（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0.2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5~5.00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>lp/mm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。</w:t>
      </w:r>
    </w:p>
    <w:p>
      <w:pPr>
        <w:pStyle w:val="BodyText"/>
        <w:spacing w:before="1" w:line="220" w:lineRule="auto"/>
        <w:ind w:left="4"/>
      </w:pPr>
      <w:r>
        <w:rPr>
          <w:spacing w:val="-1"/>
        </w:rPr>
        <w:t>5.2</w:t>
      </w:r>
      <w:r>
        <w:rPr>
          <w:spacing w:val="-42"/>
        </w:rPr>
        <w:t xml:space="preserve"> </w:t>
      </w:r>
      <w:r>
        <w:rPr>
          <w:spacing w:val="-1"/>
        </w:rPr>
        <w:t>光源不稳定度(仅适用于采用面光源的设备)</w:t>
      </w:r>
    </w:p>
    <w:p>
      <w:pPr>
        <w:spacing w:before="146" w:line="360" w:lineRule="exact"/>
        <w:ind w:left="4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2"/>
          <w:sz w:val="24"/>
          <w:szCs w:val="24"/>
        </w:rPr>
        <w:t>光源不稳定度一般优于</w:t>
      </w:r>
      <w:r>
        <w:rPr>
          <w:rFonts w:ascii="SimSun" w:eastAsia="SimSun" w:hAnsi="SimSun" w:cs="SimSun"/>
          <w:spacing w:val="-47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5%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。</w:t>
      </w:r>
    </w:p>
    <w:p>
      <w:pPr>
        <w:pStyle w:val="BodyText"/>
        <w:spacing w:before="143" w:line="221" w:lineRule="auto"/>
        <w:ind w:left="4"/>
      </w:pPr>
      <w:r>
        <w:rPr>
          <w:spacing w:val="-1"/>
        </w:rPr>
        <w:t>5.3</w:t>
      </w:r>
      <w:r>
        <w:rPr>
          <w:spacing w:val="-37"/>
        </w:rPr>
        <w:t xml:space="preserve"> </w:t>
      </w:r>
      <w:r>
        <w:rPr>
          <w:spacing w:val="-1"/>
        </w:rPr>
        <w:t>测试面辐射照度不均匀度(仅适用于采用面光源的设备)</w:t>
      </w:r>
    </w:p>
    <w:p>
      <w:pPr>
        <w:spacing w:before="146" w:line="518" w:lineRule="exact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测试面辐射照度不均匀度一般优于</w:t>
      </w:r>
      <w:r>
        <w:rPr>
          <w:rFonts w:ascii="SimSun" w:eastAsia="SimSun" w:hAnsi="SimSun" w:cs="SimSun"/>
          <w:spacing w:val="-36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5%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。</w:t>
      </w:r>
    </w:p>
    <w:p>
      <w:pPr>
        <w:spacing w:line="228" w:lineRule="auto"/>
        <w:ind w:left="545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6"/>
          <w:sz w:val="20"/>
          <w:szCs w:val="20"/>
        </w:rPr>
        <w:t>注：</w:t>
      </w:r>
      <w:r>
        <w:rPr>
          <w:rFonts w:ascii="FangSong" w:eastAsia="FangSong" w:hAnsi="FangSong" w:cs="FangSong"/>
          <w:spacing w:val="-49"/>
          <w:sz w:val="20"/>
          <w:szCs w:val="20"/>
        </w:rPr>
        <w:t xml:space="preserve"> </w:t>
      </w:r>
      <w:r>
        <w:rPr>
          <w:rFonts w:ascii="FangSong" w:eastAsia="FangSong" w:hAnsi="FangSong" w:cs="FangSong"/>
          <w:spacing w:val="6"/>
          <w:sz w:val="20"/>
          <w:szCs w:val="20"/>
        </w:rPr>
        <w:t>以上指标不适用于合格性判别，仅供参考。</w:t>
      </w:r>
    </w:p>
    <w:p>
      <w:pPr>
        <w:pStyle w:val="BodyText"/>
        <w:spacing w:before="127" w:line="222" w:lineRule="auto"/>
        <w:ind w:left="8"/>
        <w:outlineLvl w:val="1"/>
      </w:pPr>
      <w:r>
        <w:rPr>
          <w:spacing w:val="-4"/>
        </w:rPr>
        <w:t>6</w:t>
      </w:r>
      <w:r>
        <w:rPr>
          <w:spacing w:val="-50"/>
        </w:rPr>
        <w:t xml:space="preserve"> </w:t>
      </w:r>
      <w:r>
        <w:rPr>
          <w:spacing w:val="-4"/>
        </w:rPr>
        <w:t>校准条件</w:t>
      </w:r>
    </w:p>
    <w:p>
      <w:pPr>
        <w:pStyle w:val="BodyText"/>
        <w:spacing w:before="102" w:line="222" w:lineRule="auto"/>
        <w:ind w:left="8"/>
      </w:pPr>
      <w:r>
        <w:rPr>
          <w:spacing w:val="-2"/>
        </w:rPr>
        <w:t>6.1</w:t>
      </w:r>
      <w:r>
        <w:rPr>
          <w:spacing w:val="-2"/>
        </w:rPr>
        <w:t xml:space="preserve"> </w:t>
      </w:r>
      <w:r>
        <w:rPr>
          <w:spacing w:val="-2"/>
        </w:rPr>
        <w:t>环境条件</w:t>
      </w:r>
    </w:p>
    <w:p>
      <w:pPr>
        <w:spacing w:before="144" w:line="504" w:lineRule="exact"/>
        <w:jc w:val="right"/>
        <w:rPr>
          <w:rFonts w:ascii="SimSun" w:eastAsia="SimSun" w:hAnsi="SimSun" w:cs="SimSun"/>
          <w:sz w:val="24"/>
          <w:szCs w:val="24"/>
        </w:rPr>
        <w:sectPr>
          <w:headerReference w:type="default" r:id="rId9"/>
          <w:footerReference w:type="default" r:id="rId10"/>
          <w:pgSz w:w="11906" w:h="16839"/>
          <w:pgMar w:top="1719" w:right="1133" w:bottom="1298" w:left="1418" w:header="1448" w:footer="1135" w:gutter="0"/>
          <w:pgNumType w:start="3"/>
          <w:cols w:space="708"/>
        </w:sect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环境温度：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(23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5)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℃</w:t>
      </w:r>
      <w:r>
        <w:rPr>
          <w:rFonts w:ascii="SimSun" w:eastAsia="SimSun" w:hAnsi="SimSun" w:cs="SimSun"/>
          <w:spacing w:val="-80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,</w:t>
      </w:r>
      <w:r>
        <w:rPr>
          <w:rFonts w:ascii="SimSun" w:eastAsia="SimSun" w:hAnsi="SimSun" w:cs="SimSun"/>
          <w:spacing w:val="63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相对湿度：不大于</w:t>
      </w:r>
      <w:r>
        <w:rPr>
          <w:rFonts w:ascii="SimSun" w:eastAsia="SimSun" w:hAnsi="SimSun" w:cs="SimSun"/>
          <w:spacing w:val="-40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80%RH</w:t>
      </w:r>
      <w:r>
        <w:rPr>
          <w:rFonts w:ascii="Times New Roman" w:eastAsia="Times New Roman" w:hAnsi="Times New Roman" w:cs="Times New Roman"/>
          <w:spacing w:val="-32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，测试现场周围无强磁场、电场干</w:t>
      </w:r>
    </w:p>
    <w:p>
      <w:pPr>
        <w:spacing w:line="220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扰，无影响测试的杂散光。</w:t>
      </w:r>
    </w:p>
    <w:p>
      <w:pPr>
        <w:pStyle w:val="BodyText"/>
        <w:spacing w:before="181" w:line="222" w:lineRule="auto"/>
        <w:ind w:left="8"/>
      </w:pPr>
      <w:r>
        <w:rPr>
          <w:spacing w:val="-1"/>
        </w:rPr>
        <w:t>6.2</w:t>
      </w:r>
      <w:r>
        <w:rPr>
          <w:spacing w:val="-1"/>
        </w:rPr>
        <w:t xml:space="preserve"> </w:t>
      </w:r>
      <w:r>
        <w:rPr>
          <w:spacing w:val="-1"/>
        </w:rPr>
        <w:t>测量标准及其他设备</w:t>
      </w:r>
    </w:p>
    <w:p>
      <w:pPr>
        <w:pStyle w:val="BodyText"/>
        <w:spacing w:before="180" w:line="221" w:lineRule="auto"/>
        <w:ind w:left="8"/>
      </w:pPr>
      <w:r>
        <w:rPr>
          <w:spacing w:val="-2"/>
        </w:rPr>
        <w:t>6.2.1</w:t>
      </w:r>
      <w:r>
        <w:rPr>
          <w:spacing w:val="-2"/>
        </w:rPr>
        <w:t xml:space="preserve"> </w:t>
      </w:r>
      <w:r>
        <w:rPr>
          <w:spacing w:val="-2"/>
        </w:rPr>
        <w:t>PL</w:t>
      </w:r>
      <w:r>
        <w:rPr>
          <w:spacing w:val="-38"/>
        </w:rPr>
        <w:t xml:space="preserve"> </w:t>
      </w:r>
      <w:r>
        <w:rPr>
          <w:spacing w:val="-2"/>
        </w:rPr>
        <w:t>空间分辨率测试板</w:t>
      </w:r>
    </w:p>
    <w:p>
      <w:pPr>
        <w:spacing w:line="221" w:lineRule="auto"/>
        <w:sectPr>
          <w:headerReference w:type="default" r:id="rId11"/>
          <w:footerReference w:type="default" r:id="rId12"/>
          <w:type w:val="nextPage"/>
          <w:pgSz w:w="11906" w:h="16839"/>
          <w:pgMar w:top="1719" w:right="1133" w:bottom="1298" w:left="1418" w:header="1448" w:footer="1135" w:gutter="0"/>
          <w:pgNumType w:start="4"/>
          <w:cols w:space="708"/>
          <w:titlePg w:val="0"/>
        </w:sectPr>
      </w:pPr>
    </w:p>
    <w:p>
      <w:pPr>
        <w:spacing w:before="115" w:line="360" w:lineRule="auto"/>
        <w:ind w:left="10" w:right="81" w:firstLine="473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PL </w:t>
      </w:r>
      <w:r>
        <w:rPr>
          <w:rFonts w:ascii="SimSun" w:eastAsia="SimSun" w:hAnsi="SimSun" w:cs="SimSun"/>
          <w:spacing w:val="-1"/>
          <w:sz w:val="24"/>
          <w:szCs w:val="24"/>
        </w:rPr>
        <w:t>空间分辨率测试板用于附着在太阳电池或硅片上，在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PL </w:t>
      </w:r>
      <w:r>
        <w:rPr>
          <w:rFonts w:ascii="SimSun" w:eastAsia="SimSun" w:hAnsi="SimSun" w:cs="SimSun"/>
          <w:spacing w:val="-1"/>
          <w:sz w:val="24"/>
          <w:szCs w:val="24"/>
        </w:rPr>
        <w:t>缺陷检测仪拍摄下可形成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一系列具有相同方向及宽度的黑白相间条纹（遮光条纹</w:t>
      </w:r>
      <w:r>
        <w:rPr>
          <w:rFonts w:ascii="SimSun" w:eastAsia="SimSun" w:hAnsi="SimSun" w:cs="SimSun"/>
          <w:spacing w:val="-4"/>
          <w:sz w:val="24"/>
          <w:szCs w:val="24"/>
        </w:rPr>
        <w:t>和透光条纹）检测图案。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空间分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辨率测试板用不透光材料制作，厚度不超过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1mm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。其中刻有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6 </w:t>
      </w:r>
      <w:r>
        <w:rPr>
          <w:rFonts w:ascii="SimSun" w:eastAsia="SimSun" w:hAnsi="SimSun" w:cs="SimSun"/>
          <w:spacing w:val="-3"/>
          <w:sz w:val="24"/>
          <w:szCs w:val="24"/>
        </w:rPr>
        <w:t>条镂空矩形，矩形长度不</w:t>
      </w:r>
    </w:p>
    <w:p>
      <w:pPr>
        <w:spacing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少于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5mm</w:t>
      </w:r>
      <w:r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，矩形之间等距排列，距离与矩形宽度相同。</w:t>
      </w:r>
    </w:p>
    <w:p>
      <w:pPr>
        <w:spacing w:before="175" w:line="1656" w:lineRule="exact"/>
        <w:ind w:firstLine="3821"/>
      </w:pPr>
      <w:r>
        <w:rPr>
          <w:position w:val="-33"/>
        </w:rPr>
        <w:drawing>
          <wp:inline distT="0" distB="0" distL="0" distR="0">
            <wp:extent cx="1086611" cy="105155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86611" cy="105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2" w:line="219" w:lineRule="auto"/>
        <w:ind w:left="339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图</w:t>
      </w:r>
      <w:r>
        <w:rPr>
          <w:rFonts w:ascii="SimSun" w:eastAsia="SimSun" w:hAnsi="SimSun" w:cs="SimSun"/>
          <w:spacing w:val="-34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2 PL</w:t>
      </w:r>
      <w:r>
        <w:rPr>
          <w:rFonts w:ascii="SimSun" w:eastAsia="SimSun" w:hAnsi="SimSun" w:cs="SimSun"/>
          <w:spacing w:val="-3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3"/>
          <w:sz w:val="18"/>
          <w:szCs w:val="18"/>
        </w:rPr>
        <w:t>空间分辨率测试板示意图</w:t>
      </w:r>
    </w:p>
    <w:p>
      <w:pPr>
        <w:pStyle w:val="BodyText"/>
        <w:spacing w:before="224" w:line="222" w:lineRule="auto"/>
        <w:ind w:left="8"/>
      </w:pPr>
      <w:r>
        <w:rPr>
          <w:spacing w:val="-2"/>
        </w:rPr>
        <w:t>6.2.2</w:t>
      </w:r>
      <w:r>
        <w:rPr>
          <w:spacing w:val="-2"/>
        </w:rPr>
        <w:t xml:space="preserve"> </w:t>
      </w:r>
      <w:r>
        <w:rPr>
          <w:spacing w:val="-2"/>
        </w:rPr>
        <w:t>WPVS</w:t>
      </w:r>
      <w:r>
        <w:rPr>
          <w:spacing w:val="-38"/>
        </w:rPr>
        <w:t xml:space="preserve"> </w:t>
      </w:r>
      <w:r>
        <w:rPr>
          <w:spacing w:val="-2"/>
        </w:rPr>
        <w:t>参考太阳电池</w:t>
      </w:r>
    </w:p>
    <w:p>
      <w:pPr>
        <w:spacing w:before="143" w:line="360" w:lineRule="exact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2"/>
          <w:sz w:val="24"/>
          <w:szCs w:val="24"/>
        </w:rPr>
        <w:t>太阳电池部分尺寸为</w:t>
      </w:r>
      <w:r>
        <w:rPr>
          <w:rFonts w:ascii="SimSun" w:eastAsia="SimSun" w:hAnsi="SimSun" w:cs="SimSun"/>
          <w:spacing w:val="-37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2cm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2cm</w:t>
      </w:r>
      <w:r>
        <w:rPr>
          <w:rFonts w:ascii="Times New Roman" w:eastAsia="Times New Roman" w:hAnsi="Times New Roman" w:cs="Times New Roman"/>
          <w:spacing w:val="-33"/>
          <w:position w:val="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，稳定光源照射下不稳定度优于</w:t>
      </w:r>
      <w:r>
        <w:rPr>
          <w:rFonts w:ascii="SimSun" w:eastAsia="SimSun" w:hAnsi="SimSun" w:cs="SimSun"/>
          <w:spacing w:val="-5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0.1%</w:t>
      </w:r>
      <w:r>
        <w:rPr>
          <w:rFonts w:ascii="SimSun" w:eastAsia="SimSun" w:hAnsi="SimSun" w:cs="SimSun"/>
          <w:spacing w:val="-2"/>
          <w:position w:val="2"/>
          <w:sz w:val="24"/>
          <w:szCs w:val="24"/>
        </w:rPr>
        <w:t>。</w:t>
      </w:r>
    </w:p>
    <w:p>
      <w:pPr>
        <w:pStyle w:val="BodyText"/>
        <w:spacing w:before="143" w:line="221" w:lineRule="auto"/>
        <w:ind w:left="10"/>
        <w:outlineLvl w:val="1"/>
      </w:pPr>
      <w:r>
        <w:rPr>
          <w:spacing w:val="-1"/>
        </w:rPr>
        <w:t>7</w:t>
      </w:r>
      <w:r>
        <w:rPr>
          <w:spacing w:val="-1"/>
        </w:rPr>
        <w:t xml:space="preserve"> </w:t>
      </w:r>
      <w:r>
        <w:rPr>
          <w:spacing w:val="-1"/>
        </w:rPr>
        <w:t>校准项目和校准方法</w:t>
      </w:r>
    </w:p>
    <w:p>
      <w:pPr>
        <w:pStyle w:val="BodyText"/>
        <w:spacing w:before="181" w:line="222" w:lineRule="auto"/>
        <w:ind w:left="10"/>
      </w:pPr>
      <w:r>
        <w:rPr>
          <w:spacing w:val="-2"/>
        </w:rPr>
        <w:t>7.1</w:t>
      </w:r>
      <w:r>
        <w:rPr>
          <w:spacing w:val="-2"/>
        </w:rPr>
        <w:t xml:space="preserve"> </w:t>
      </w:r>
      <w:r>
        <w:rPr>
          <w:spacing w:val="-2"/>
        </w:rPr>
        <w:t>校准项目</w:t>
      </w:r>
    </w:p>
    <w:p>
      <w:pPr>
        <w:spacing w:before="180" w:line="220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测试仪的校准项目如表</w:t>
      </w:r>
      <w:r>
        <w:rPr>
          <w:rFonts w:ascii="SimSun" w:eastAsia="SimSun" w:hAnsi="SimSun" w:cs="SimSun"/>
          <w:spacing w:val="-2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所示。</w:t>
      </w:r>
    </w:p>
    <w:p>
      <w:pPr>
        <w:pStyle w:val="BodyText"/>
        <w:spacing w:before="196" w:line="230" w:lineRule="auto"/>
        <w:ind w:left="4111"/>
        <w:rPr>
          <w:sz w:val="20"/>
          <w:szCs w:val="20"/>
        </w:rPr>
      </w:pPr>
      <w:r>
        <w:rPr>
          <w:spacing w:val="6"/>
          <w:sz w:val="20"/>
          <w:szCs w:val="20"/>
        </w:rPr>
        <w:t>表1校准项目</w:t>
      </w:r>
    </w:p>
    <w:p>
      <w:pPr>
        <w:spacing w:line="90" w:lineRule="exact"/>
      </w:pPr>
    </w:p>
    <w:tbl>
      <w:tblPr>
        <w:tblStyle w:val="TableNormal0"/>
        <w:tblW w:w="7348" w:type="dxa"/>
        <w:tblInd w:w="10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0"/>
        <w:gridCol w:w="2854"/>
        <w:gridCol w:w="1895"/>
        <w:gridCol w:w="1899"/>
      </w:tblGrid>
      <w:tr>
        <w:tblPrEx>
          <w:tblW w:w="7348" w:type="dxa"/>
          <w:tblInd w:w="100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6"/>
        </w:trPr>
        <w:tc>
          <w:tcPr>
            <w:tcW w:w="700" w:type="dxa"/>
            <w:vAlign w:val="top"/>
          </w:tcPr>
          <w:p>
            <w:pPr>
              <w:pStyle w:val="TableText"/>
              <w:spacing w:before="119" w:line="223" w:lineRule="auto"/>
              <w:ind w:left="118"/>
            </w:pPr>
            <w:r>
              <w:rPr>
                <w:spacing w:val="-5"/>
              </w:rPr>
              <w:t>序号</w:t>
            </w:r>
          </w:p>
        </w:tc>
        <w:tc>
          <w:tcPr>
            <w:tcW w:w="2854" w:type="dxa"/>
            <w:vAlign w:val="top"/>
          </w:tcPr>
          <w:p>
            <w:pPr>
              <w:pStyle w:val="TableText"/>
              <w:spacing w:before="118" w:line="222" w:lineRule="auto"/>
              <w:ind w:left="952"/>
            </w:pPr>
            <w:r>
              <w:rPr>
                <w:spacing w:val="-2"/>
              </w:rPr>
              <w:t>校准项目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18" w:line="222" w:lineRule="auto"/>
              <w:ind w:left="117"/>
            </w:pPr>
            <w:r>
              <w:rPr>
                <w:spacing w:val="-2"/>
              </w:rPr>
              <w:t>计量特性条款号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19" w:line="221" w:lineRule="auto"/>
              <w:ind w:left="115"/>
            </w:pPr>
            <w:r>
              <w:rPr>
                <w:spacing w:val="-2"/>
              </w:rPr>
              <w:t>校准方法条款号</w:t>
            </w:r>
          </w:p>
        </w:tc>
      </w:tr>
      <w:tr>
        <w:tblPrEx>
          <w:tblW w:w="7348" w:type="dxa"/>
          <w:tblInd w:w="1002" w:type="dxa"/>
          <w:tblLayout w:type="fixed"/>
        </w:tblPrEx>
        <w:trPr>
          <w:trHeight w:val="472"/>
        </w:trPr>
        <w:tc>
          <w:tcPr>
            <w:tcW w:w="700" w:type="dxa"/>
            <w:vAlign w:val="top"/>
          </w:tcPr>
          <w:p>
            <w:pPr>
              <w:pStyle w:val="TableText"/>
              <w:spacing w:before="152" w:line="184" w:lineRule="auto"/>
              <w:ind w:left="310"/>
            </w:pPr>
            <w:r>
              <w:t>1</w:t>
            </w:r>
          </w:p>
        </w:tc>
        <w:tc>
          <w:tcPr>
            <w:tcW w:w="2854" w:type="dxa"/>
            <w:vAlign w:val="top"/>
          </w:tcPr>
          <w:p>
            <w:pPr>
              <w:pStyle w:val="TableText"/>
              <w:spacing w:before="116" w:line="222" w:lineRule="auto"/>
              <w:ind w:left="685"/>
            </w:pPr>
            <w:r>
              <w:rPr>
                <w:spacing w:val="-4"/>
              </w:rPr>
              <w:t>PL</w:t>
            </w:r>
            <w:r>
              <w:rPr>
                <w:spacing w:val="-46"/>
              </w:rPr>
              <w:t xml:space="preserve"> </w:t>
            </w:r>
            <w:r>
              <w:rPr>
                <w:spacing w:val="-4"/>
              </w:rPr>
              <w:t>空间分辨率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52" w:line="184" w:lineRule="auto"/>
              <w:ind w:left="770"/>
            </w:pPr>
            <w:r>
              <w:rPr>
                <w:spacing w:val="-2"/>
              </w:rPr>
              <w:t>5.1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1" w:line="185" w:lineRule="auto"/>
              <w:ind w:left="658"/>
            </w:pPr>
            <w:r>
              <w:rPr>
                <w:spacing w:val="-3"/>
              </w:rPr>
              <w:t>7.2.2</w:t>
            </w:r>
          </w:p>
        </w:tc>
      </w:tr>
      <w:tr>
        <w:tblPrEx>
          <w:tblW w:w="7348" w:type="dxa"/>
          <w:tblInd w:w="1002" w:type="dxa"/>
          <w:tblLayout w:type="fixed"/>
        </w:tblPrEx>
        <w:trPr>
          <w:trHeight w:val="472"/>
        </w:trPr>
        <w:tc>
          <w:tcPr>
            <w:tcW w:w="700" w:type="dxa"/>
            <w:vAlign w:val="top"/>
          </w:tcPr>
          <w:p>
            <w:pPr>
              <w:pStyle w:val="TableText"/>
              <w:spacing w:before="152" w:line="185" w:lineRule="auto"/>
              <w:ind w:left="296"/>
            </w:pPr>
            <w:r>
              <w:t>2</w:t>
            </w:r>
          </w:p>
        </w:tc>
        <w:tc>
          <w:tcPr>
            <w:tcW w:w="2854" w:type="dxa"/>
            <w:vAlign w:val="top"/>
          </w:tcPr>
          <w:p>
            <w:pPr>
              <w:pStyle w:val="TableText"/>
              <w:spacing w:before="116" w:line="221" w:lineRule="auto"/>
              <w:ind w:left="713"/>
            </w:pPr>
            <w:r>
              <w:rPr>
                <w:spacing w:val="-2"/>
              </w:rPr>
              <w:t>光源不稳定度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52" w:line="185" w:lineRule="auto"/>
              <w:ind w:left="770"/>
            </w:pPr>
            <w:r>
              <w:rPr>
                <w:spacing w:val="-2"/>
              </w:rPr>
              <w:t>5.2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1" w:line="185" w:lineRule="auto"/>
              <w:ind w:left="658"/>
            </w:pPr>
            <w:r>
              <w:rPr>
                <w:spacing w:val="-3"/>
              </w:rPr>
              <w:t>7.2.3</w:t>
            </w:r>
          </w:p>
        </w:tc>
      </w:tr>
      <w:tr>
        <w:tblPrEx>
          <w:tblW w:w="7348" w:type="dxa"/>
          <w:tblInd w:w="1002" w:type="dxa"/>
          <w:tblLayout w:type="fixed"/>
        </w:tblPrEx>
        <w:trPr>
          <w:trHeight w:val="476"/>
        </w:trPr>
        <w:tc>
          <w:tcPr>
            <w:tcW w:w="700" w:type="dxa"/>
            <w:vAlign w:val="top"/>
          </w:tcPr>
          <w:p>
            <w:pPr>
              <w:pStyle w:val="TableText"/>
              <w:spacing w:before="154" w:line="185" w:lineRule="auto"/>
              <w:ind w:left="298"/>
            </w:pPr>
            <w:r>
              <w:t>3</w:t>
            </w:r>
          </w:p>
        </w:tc>
        <w:tc>
          <w:tcPr>
            <w:tcW w:w="2854" w:type="dxa"/>
            <w:vAlign w:val="top"/>
          </w:tcPr>
          <w:p>
            <w:pPr>
              <w:pStyle w:val="TableText"/>
              <w:spacing w:before="119" w:line="221" w:lineRule="auto"/>
              <w:ind w:left="112"/>
            </w:pPr>
            <w:r>
              <w:rPr>
                <w:spacing w:val="-1"/>
              </w:rPr>
              <w:t>测试面辐射照度不均匀度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55" w:line="185" w:lineRule="auto"/>
              <w:ind w:left="770"/>
            </w:pPr>
            <w:r>
              <w:rPr>
                <w:spacing w:val="-2"/>
              </w:rPr>
              <w:t>5.3</w:t>
            </w:r>
          </w:p>
        </w:tc>
        <w:tc>
          <w:tcPr>
            <w:tcW w:w="1899" w:type="dxa"/>
            <w:vAlign w:val="top"/>
          </w:tcPr>
          <w:p>
            <w:pPr>
              <w:pStyle w:val="TableText"/>
              <w:spacing w:before="154" w:line="185" w:lineRule="auto"/>
              <w:ind w:left="658"/>
            </w:pPr>
            <w:r>
              <w:rPr>
                <w:spacing w:val="-3"/>
              </w:rPr>
              <w:t>7.2.4</w:t>
            </w:r>
          </w:p>
        </w:tc>
      </w:tr>
    </w:tbl>
    <w:p>
      <w:pPr>
        <w:pStyle w:val="BodyText"/>
        <w:spacing w:before="115" w:line="221" w:lineRule="auto"/>
        <w:ind w:left="10"/>
      </w:pPr>
      <w:r>
        <w:rPr>
          <w:spacing w:val="-3"/>
        </w:rPr>
        <w:t>7.2</w:t>
      </w:r>
      <w:r>
        <w:rPr>
          <w:spacing w:val="-51"/>
        </w:rPr>
        <w:t xml:space="preserve"> </w:t>
      </w:r>
      <w:r>
        <w:rPr>
          <w:spacing w:val="-3"/>
        </w:rPr>
        <w:t>校准方法</w:t>
      </w:r>
    </w:p>
    <w:p>
      <w:pPr>
        <w:pStyle w:val="BodyText"/>
        <w:spacing w:before="181" w:line="222" w:lineRule="auto"/>
        <w:ind w:left="10"/>
      </w:pPr>
      <w:r>
        <w:rPr>
          <w:spacing w:val="-1"/>
        </w:rPr>
        <w:t>7.2.1</w:t>
      </w:r>
      <w:r>
        <w:rPr>
          <w:spacing w:val="-1"/>
        </w:rPr>
        <w:t xml:space="preserve"> </w:t>
      </w:r>
      <w:r>
        <w:rPr>
          <w:spacing w:val="-1"/>
        </w:rPr>
        <w:t>校准前检查</w:t>
      </w:r>
    </w:p>
    <w:p>
      <w:pPr>
        <w:spacing w:before="179" w:line="360" w:lineRule="auto"/>
        <w:ind w:left="11" w:right="81" w:firstLine="477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采用目测法检查下述内容：PL缺陷检测仪的标识</w:t>
      </w:r>
      <w:r>
        <w:rPr>
          <w:rFonts w:ascii="SimSun" w:eastAsia="SimSun" w:hAnsi="SimSun" w:cs="SimSun"/>
          <w:spacing w:val="-1"/>
          <w:sz w:val="24"/>
          <w:szCs w:val="24"/>
        </w:rPr>
        <w:t>应完整、清晰、准确；PL缺陷检测仪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成像镜头整体应清洁，无裂痕、发暗、霉斑</w:t>
      </w:r>
      <w:r>
        <w:rPr>
          <w:rFonts w:ascii="SimSun" w:eastAsia="SimSun" w:hAnsi="SimSun" w:cs="SimSun"/>
          <w:spacing w:val="-1"/>
          <w:sz w:val="24"/>
          <w:szCs w:val="24"/>
        </w:rPr>
        <w:t>、脱胶、开胶、脱膜等瑕疵，镜片表面不可有</w:t>
      </w:r>
    </w:p>
    <w:p>
      <w:pPr>
        <w:spacing w:before="1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气泡、条纹、沙眼、斑点、污迹、尘埃、灰雾状及</w:t>
      </w:r>
      <w:r>
        <w:rPr>
          <w:rFonts w:ascii="SimSun" w:eastAsia="SimSun" w:hAnsi="SimSun" w:cs="SimSun"/>
          <w:spacing w:val="-5"/>
          <w:sz w:val="24"/>
          <w:szCs w:val="24"/>
        </w:rPr>
        <w:t>其他明显瑕疵，镀膜无明显的擦伤现象。</w:t>
      </w:r>
    </w:p>
    <w:p>
      <w:pPr>
        <w:spacing w:before="183" w:line="468" w:lineRule="exact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position w:val="17"/>
          <w:sz w:val="24"/>
          <w:szCs w:val="24"/>
        </w:rPr>
        <w:t>校准环境应满足6.1要求，并参考用户默认环境，包括环境光源、显示器设置、</w:t>
      </w:r>
      <w:r>
        <w:rPr>
          <w:rFonts w:ascii="SimSun" w:eastAsia="SimSun" w:hAnsi="SimSun" w:cs="SimSun"/>
          <w:spacing w:val="-55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position w:val="17"/>
          <w:sz w:val="24"/>
          <w:szCs w:val="24"/>
        </w:rPr>
        <w:t>目视</w:t>
      </w:r>
    </w:p>
    <w:p>
      <w:pPr>
        <w:spacing w:line="220" w:lineRule="auto"/>
        <w:ind w:left="8"/>
        <w:rPr>
          <w:rFonts w:ascii="SimSun" w:eastAsia="SimSun" w:hAnsi="SimSun" w:cs="SimSun"/>
          <w:sz w:val="24"/>
          <w:szCs w:val="24"/>
        </w:rPr>
        <w:sectPr>
          <w:headerReference w:type="default" r:id="rId14"/>
          <w:footerReference w:type="default" r:id="rId15"/>
          <w:pgSz w:w="11906" w:h="16839"/>
          <w:pgMar w:top="1719" w:right="1053" w:bottom="1298" w:left="1418" w:header="1448" w:footer="1135" w:gutter="0"/>
          <w:pgNumType w:start="5"/>
          <w:cols w:space="708"/>
        </w:sectPr>
      </w:pPr>
      <w:r>
        <w:rPr>
          <w:rFonts w:ascii="SimSun" w:eastAsia="SimSun" w:hAnsi="SimSun" w:cs="SimSun"/>
          <w:spacing w:val="-3"/>
          <w:sz w:val="24"/>
          <w:szCs w:val="24"/>
        </w:rPr>
        <w:t>距离等。</w:t>
      </w:r>
    </w:p>
    <w:p>
      <w:pPr>
        <w:pStyle w:val="BodyText"/>
        <w:spacing w:before="182" w:line="222" w:lineRule="auto"/>
        <w:ind w:left="10"/>
      </w:pPr>
      <w:r>
        <w:rPr>
          <w:spacing w:val="-2"/>
        </w:rPr>
        <w:t>7.2.2</w:t>
      </w:r>
      <w:r>
        <w:rPr>
          <w:spacing w:val="-2"/>
        </w:rPr>
        <w:t xml:space="preserve"> </w:t>
      </w:r>
      <w:r>
        <w:rPr>
          <w:spacing w:val="-2"/>
        </w:rPr>
        <w:t>PL</w:t>
      </w:r>
      <w:r>
        <w:rPr>
          <w:spacing w:val="-46"/>
        </w:rPr>
        <w:t xml:space="preserve"> </w:t>
      </w:r>
      <w:r>
        <w:rPr>
          <w:spacing w:val="-2"/>
        </w:rPr>
        <w:t>空间分辨率</w:t>
      </w:r>
    </w:p>
    <w:p>
      <w:pPr>
        <w:spacing w:before="179" w:line="430" w:lineRule="exact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position w:val="14"/>
          <w:sz w:val="24"/>
          <w:szCs w:val="24"/>
        </w:rPr>
        <w:t>选择一片太阳电池片或硅片作为辅助样品，该</w:t>
      </w:r>
      <w:r>
        <w:rPr>
          <w:rFonts w:ascii="SimSun" w:eastAsia="SimSun" w:hAnsi="SimSun" w:cs="SimSun"/>
          <w:spacing w:val="-1"/>
          <w:position w:val="14"/>
          <w:sz w:val="24"/>
          <w:szCs w:val="24"/>
        </w:rPr>
        <w:t>样品应无明显影响校准的缺陷，建议使</w:t>
      </w:r>
    </w:p>
    <w:p>
      <w:pPr>
        <w:spacing w:line="360" w:lineRule="exact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position w:val="2"/>
          <w:sz w:val="24"/>
          <w:szCs w:val="24"/>
        </w:rPr>
        <w:t>用单晶太阳电池片</w:t>
      </w:r>
      <w:r>
        <w:rPr>
          <w:rFonts w:ascii="Times New Roman" w:eastAsia="Times New Roman" w:hAnsi="Times New Roman" w:cs="Times New Roman"/>
          <w:spacing w:val="-3"/>
          <w:position w:val="2"/>
          <w:sz w:val="24"/>
          <w:szCs w:val="24"/>
        </w:rPr>
        <w:t>/</w:t>
      </w:r>
      <w:r>
        <w:rPr>
          <w:rFonts w:ascii="SimSun" w:eastAsia="SimSun" w:hAnsi="SimSun" w:cs="SimSun"/>
          <w:spacing w:val="-3"/>
          <w:position w:val="2"/>
          <w:sz w:val="24"/>
          <w:szCs w:val="24"/>
        </w:rPr>
        <w:t>硅片。将</w:t>
      </w:r>
      <w:r>
        <w:rPr>
          <w:rFonts w:ascii="Times New Roman" w:eastAsia="Times New Roman" w:hAnsi="Times New Roman" w:cs="Times New Roman"/>
          <w:spacing w:val="-3"/>
          <w:position w:val="2"/>
          <w:sz w:val="24"/>
          <w:szCs w:val="24"/>
        </w:rPr>
        <w:t>PL</w:t>
      </w:r>
      <w:r>
        <w:rPr>
          <w:rFonts w:ascii="SimSun" w:eastAsia="SimSun" w:hAnsi="SimSun" w:cs="SimSun"/>
          <w:spacing w:val="-3"/>
          <w:position w:val="2"/>
          <w:sz w:val="24"/>
          <w:szCs w:val="24"/>
        </w:rPr>
        <w:t>空间分辨率测试板按照线对水平或垂直方向粘贴在</w:t>
      </w:r>
      <w:r>
        <w:rPr>
          <w:rFonts w:ascii="SimSun" w:eastAsia="SimSun" w:hAnsi="SimSun" w:cs="SimSun"/>
          <w:spacing w:val="-4"/>
          <w:position w:val="2"/>
          <w:sz w:val="24"/>
          <w:szCs w:val="24"/>
        </w:rPr>
        <w:t>太阳电池</w:t>
      </w:r>
    </w:p>
    <w:p>
      <w:pPr>
        <w:spacing w:line="360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type w:val="nextPage"/>
          <w:pgSz w:w="11906" w:h="16839"/>
          <w:pgMar w:top="1719" w:right="1053" w:bottom="1298" w:left="1418" w:header="1448" w:footer="1135" w:gutter="0"/>
          <w:pgNumType w:start="6"/>
          <w:cols w:space="708"/>
          <w:titlePg w:val="0"/>
        </w:sectPr>
      </w:pPr>
    </w:p>
    <w:p>
      <w:pPr>
        <w:spacing w:before="115" w:line="360" w:lineRule="auto"/>
        <w:ind w:left="8" w:firstLine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片或硅片表面，粘贴位置为成像区域的四角及中心（粘贴位置示意图如图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3</w:t>
      </w:r>
      <w:r>
        <w:rPr>
          <w:rFonts w:ascii="SimSun" w:eastAsia="SimSun" w:hAnsi="SimSun" w:cs="SimSun"/>
          <w:spacing w:val="2"/>
          <w:sz w:val="24"/>
          <w:szCs w:val="24"/>
        </w:rPr>
        <w:t>所示，可以同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时粘贴并进行校准，也可以分别对各个测试位置单独粘贴并校准</w:t>
      </w:r>
      <w:r>
        <w:rPr>
          <w:rFonts w:ascii="SimSun" w:eastAsia="SimSun" w:hAnsi="SimSun" w:cs="SimSun"/>
          <w:spacing w:val="15"/>
          <w:sz w:val="24"/>
          <w:szCs w:val="24"/>
        </w:rPr>
        <w:t>），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</w:t>
      </w:r>
      <w:r>
        <w:rPr>
          <w:rFonts w:ascii="SimSun" w:eastAsia="SimSun" w:hAnsi="SimSun" w:cs="SimSun"/>
          <w:spacing w:val="2"/>
          <w:sz w:val="24"/>
          <w:szCs w:val="24"/>
        </w:rPr>
        <w:t>个线对区域最小外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接矩形的面积应不小于测量面积的</w:t>
      </w:r>
      <w:r>
        <w:rPr>
          <w:rFonts w:ascii="Times New Roman" w:eastAsia="Times New Roman" w:hAnsi="Times New Roman" w:cs="Times New Roman"/>
          <w:sz w:val="24"/>
          <w:szCs w:val="24"/>
        </w:rPr>
        <w:t>80%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，粘贴位置应避开太阳电池片或硅片的缺陷</w:t>
      </w:r>
      <w:r>
        <w:rPr>
          <w:rFonts w:ascii="SimSun" w:eastAsia="SimSun" w:hAnsi="SimSun" w:cs="SimSun"/>
          <w:spacing w:val="-1"/>
          <w:sz w:val="24"/>
          <w:szCs w:val="24"/>
        </w:rPr>
        <w:t>位置。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按照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PL</w:t>
      </w:r>
      <w:r>
        <w:rPr>
          <w:rFonts w:ascii="SimSun" w:eastAsia="SimSun" w:hAnsi="SimSun" w:cs="SimSun"/>
          <w:spacing w:val="-1"/>
          <w:sz w:val="24"/>
          <w:szCs w:val="24"/>
        </w:rPr>
        <w:t>缺陷检测仪正常检测时的设置进行检测。同</w:t>
      </w:r>
      <w:r>
        <w:rPr>
          <w:rFonts w:ascii="SimSun" w:eastAsia="SimSun" w:hAnsi="SimSun" w:cs="SimSun"/>
          <w:spacing w:val="-2"/>
          <w:sz w:val="24"/>
          <w:szCs w:val="24"/>
        </w:rPr>
        <w:t>时记录以下信息：采用的太阳电池片或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硅片的类型、PL缺陷检测仪曝光时间、PL缺陷检测仪激发光源的功</w:t>
      </w:r>
      <w:r>
        <w:rPr>
          <w:rFonts w:ascii="SimSun" w:eastAsia="SimSun" w:hAnsi="SimSun" w:cs="SimSun"/>
          <w:spacing w:val="-1"/>
          <w:sz w:val="24"/>
          <w:szCs w:val="24"/>
        </w:rPr>
        <w:t>率或电流、测试面积、</w:t>
      </w:r>
    </w:p>
    <w:p>
      <w:pPr>
        <w:spacing w:line="220" w:lineRule="auto"/>
        <w:ind w:left="3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图像样品区域平均灰度值。</w:t>
      </w:r>
    </w:p>
    <w:p>
      <w:pPr>
        <w:spacing w:before="168" w:line="3540" w:lineRule="exact"/>
        <w:ind w:firstLine="2196"/>
      </w:pPr>
      <w:r>
        <w:rPr>
          <w:position w:val="-70"/>
        </w:rPr>
        <w:drawing>
          <wp:inline distT="0" distB="0" distL="0" distR="0">
            <wp:extent cx="3151632" cy="22479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51632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58" w:line="219" w:lineRule="auto"/>
        <w:ind w:left="3082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2"/>
          <w:sz w:val="18"/>
          <w:szCs w:val="18"/>
        </w:rPr>
        <w:t>图3 PL空间分辨率测试板粘贴位置示意图</w:t>
      </w:r>
    </w:p>
    <w:p>
      <w:pPr>
        <w:spacing w:before="303" w:line="360" w:lineRule="auto"/>
        <w:ind w:left="9" w:right="2" w:firstLine="47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SimSun" w:eastAsia="SimSun" w:hAnsi="SimSun" w:cs="SimSun"/>
          <w:spacing w:val="4"/>
          <w:sz w:val="24"/>
          <w:szCs w:val="24"/>
        </w:rPr>
        <w:t>空间分辨率测试板经过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SimSun" w:eastAsia="SimSun" w:hAnsi="SimSun" w:cs="SimSun"/>
          <w:spacing w:val="4"/>
          <w:sz w:val="24"/>
          <w:szCs w:val="24"/>
        </w:rPr>
        <w:t>缺陷检测仪拍摄后所得的图案为连续排列的相同方向与</w:t>
      </w:r>
      <w:r>
        <w:rPr>
          <w:rFonts w:ascii="SimSun" w:eastAsia="SimSun" w:hAnsi="SimSun" w:cs="SimSun"/>
          <w:spacing w:val="1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宽度的黑白条纹线对，如图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SimSun" w:eastAsia="SimSun" w:hAnsi="SimSun" w:cs="SimSun"/>
          <w:sz w:val="24"/>
          <w:szCs w:val="24"/>
        </w:rPr>
        <w:t>所示，图中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SimSun" w:eastAsia="SimSun" w:hAnsi="SimSun" w:cs="SimSun"/>
          <w:sz w:val="24"/>
          <w:szCs w:val="24"/>
        </w:rPr>
        <w:t>为单个</w:t>
      </w:r>
      <w:r>
        <w:rPr>
          <w:rFonts w:ascii="SimSun" w:eastAsia="SimSun" w:hAnsi="SimSun" w:cs="SimSun"/>
          <w:spacing w:val="-1"/>
          <w:sz w:val="24"/>
          <w:szCs w:val="24"/>
        </w:rPr>
        <w:t>条纹宽度，相邻的黑色、白色条纹组成一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个线对。线对组采用等比数列排列，比例系数为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2"/>
          <w:position w:val="8"/>
          <w:sz w:val="15"/>
          <w:szCs w:val="15"/>
        </w:rPr>
        <w:t>0.05</w:t>
      </w:r>
      <w:r>
        <w:rPr>
          <w:rFonts w:ascii="Times New Roman" w:eastAsia="Times New Roman" w:hAnsi="Times New Roman" w:cs="Times New Roman"/>
          <w:spacing w:val="-5"/>
          <w:position w:val="8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，范围为（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0.25~5.00</w:t>
      </w:r>
      <w:r>
        <w:rPr>
          <w:rFonts w:ascii="SimSun" w:eastAsia="SimSun" w:hAnsi="SimSun" w:cs="SimSun"/>
          <w:spacing w:val="2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z w:val="24"/>
          <w:szCs w:val="24"/>
        </w:rPr>
        <w:t>lp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mm</w:t>
      </w:r>
      <w:r>
        <w:rPr>
          <w:rFonts w:ascii="Times New Roman" w:eastAsia="Times New Roman" w:hAnsi="Times New Roman" w:cs="Times New Roman"/>
          <w:spacing w:val="-2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。表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1</w:t>
      </w:r>
    </w:p>
    <w:p>
      <w:pPr>
        <w:spacing w:line="219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为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SimSun" w:eastAsia="SimSun" w:hAnsi="SimSun" w:cs="SimSun"/>
          <w:sz w:val="24"/>
          <w:szCs w:val="24"/>
        </w:rPr>
        <w:t>空间分辨率测试板推荐的线对组成，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SimSun" w:eastAsia="SimSun" w:hAnsi="SimSun" w:cs="SimSun"/>
          <w:sz w:val="24"/>
          <w:szCs w:val="24"/>
        </w:rPr>
        <w:t>空间分</w:t>
      </w:r>
      <w:r>
        <w:rPr>
          <w:rFonts w:ascii="SimSun" w:eastAsia="SimSun" w:hAnsi="SimSun" w:cs="SimSun"/>
          <w:spacing w:val="-1"/>
          <w:sz w:val="24"/>
          <w:szCs w:val="24"/>
        </w:rPr>
        <w:t>辨率与条纹宽度对应关系如式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141" w:line="2033" w:lineRule="exact"/>
        <w:ind w:firstLine="3425"/>
      </w:pPr>
      <w:r>
        <w:rPr>
          <w:position w:val="-40"/>
        </w:rPr>
        <w:drawing>
          <wp:inline distT="0" distB="0" distL="0" distR="0">
            <wp:extent cx="1589532" cy="129082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89532" cy="129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</w:p>
    <w:p>
      <w:pPr>
        <w:spacing w:before="58" w:line="220" w:lineRule="auto"/>
        <w:ind w:left="3891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-3"/>
          <w:sz w:val="18"/>
          <w:szCs w:val="18"/>
        </w:rPr>
        <w:t>图4 线对条纹示意图</w:t>
      </w:r>
    </w:p>
    <w:p>
      <w:pPr>
        <w:spacing w:line="220" w:lineRule="auto"/>
        <w:rPr>
          <w:rFonts w:ascii="SimSun" w:eastAsia="SimSun" w:hAnsi="SimSun" w:cs="SimSun"/>
          <w:sz w:val="18"/>
          <w:szCs w:val="18"/>
        </w:rPr>
        <w:sectPr>
          <w:headerReference w:type="default" r:id="rId20"/>
          <w:footerReference w:type="default" r:id="rId21"/>
          <w:pgSz w:w="11906" w:h="16839"/>
          <w:pgMar w:top="1719" w:right="1132" w:bottom="1298" w:left="1418" w:header="1448" w:footer="1135" w:gutter="0"/>
          <w:pgNumType w:start="7"/>
          <w:cols w:space="708"/>
        </w:sectPr>
      </w:pPr>
    </w:p>
    <w:p>
      <w:pPr>
        <w:pStyle w:val="BodyText"/>
        <w:spacing w:before="129" w:line="228" w:lineRule="auto"/>
        <w:ind w:left="2802"/>
        <w:rPr>
          <w:sz w:val="20"/>
          <w:szCs w:val="20"/>
        </w:rPr>
      </w:pPr>
      <w:r>
        <w:rPr>
          <w:spacing w:val="9"/>
          <w:sz w:val="20"/>
          <w:szCs w:val="20"/>
        </w:rPr>
        <w:t>表1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PL</w:t>
      </w:r>
      <w:r>
        <w:rPr>
          <w:spacing w:val="9"/>
          <w:sz w:val="20"/>
          <w:szCs w:val="20"/>
        </w:rPr>
        <w:t>空间分辨率测试板推荐的线对组成</w:t>
      </w:r>
    </w:p>
    <w:p>
      <w:pPr>
        <w:spacing w:line="91" w:lineRule="exact"/>
      </w:pPr>
    </w:p>
    <w:tbl>
      <w:tblPr>
        <w:tblStyle w:val="TableNormal1"/>
        <w:tblW w:w="7719" w:type="dxa"/>
        <w:tblInd w:w="8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30"/>
        <w:gridCol w:w="677"/>
        <w:gridCol w:w="677"/>
        <w:gridCol w:w="677"/>
        <w:gridCol w:w="677"/>
        <w:gridCol w:w="677"/>
        <w:gridCol w:w="678"/>
        <w:gridCol w:w="678"/>
        <w:gridCol w:w="678"/>
        <w:gridCol w:w="678"/>
        <w:gridCol w:w="692"/>
      </w:tblGrid>
      <w:tr>
        <w:tblPrEx>
          <w:tblW w:w="7719" w:type="dxa"/>
          <w:tblInd w:w="82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4"/>
        </w:trPr>
        <w:tc>
          <w:tcPr>
            <w:tcW w:w="93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02" w:line="274" w:lineRule="exact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lp/mm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0.25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0.28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0.32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0.40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0.45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0.50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0.56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9" w:line="195" w:lineRule="auto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0.63</w:t>
            </w:r>
          </w:p>
        </w:tc>
        <w:tc>
          <w:tcPr>
            <w:tcW w:w="69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69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0.71</w:t>
            </w:r>
          </w:p>
        </w:tc>
      </w:tr>
      <w:tr>
        <w:tblPrEx>
          <w:tblW w:w="7719" w:type="dxa"/>
          <w:tblInd w:w="821" w:type="dxa"/>
          <w:tblLayout w:type="fixed"/>
        </w:tblPrEx>
        <w:trPr>
          <w:trHeight w:val="478"/>
        </w:trPr>
        <w:tc>
          <w:tcPr>
            <w:tcW w:w="93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03" w:line="274" w:lineRule="exact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d(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)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1.99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1.77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1.58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1.41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1.00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0.89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0" w:line="195" w:lineRule="auto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0.79</w:t>
            </w:r>
          </w:p>
        </w:tc>
        <w:tc>
          <w:tcPr>
            <w:tcW w:w="69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0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0.70</w:t>
            </w:r>
          </w:p>
        </w:tc>
      </w:tr>
      <w:tr>
        <w:tblPrEx>
          <w:tblW w:w="7719" w:type="dxa"/>
          <w:tblInd w:w="821" w:type="dxa"/>
          <w:tblLayout w:type="fixed"/>
        </w:tblPrEx>
        <w:trPr>
          <w:trHeight w:val="459"/>
        </w:trPr>
        <w:tc>
          <w:tcPr>
            <w:tcW w:w="93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97" w:line="274" w:lineRule="exact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lp/mm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0.79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0.89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1.00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14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7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1.43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1.61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1.79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63" w:line="195" w:lineRule="auto"/>
              <w:ind w:left="1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2.00</w:t>
            </w:r>
          </w:p>
        </w:tc>
        <w:tc>
          <w:tcPr>
            <w:tcW w:w="69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63" w:line="195" w:lineRule="auto"/>
              <w:ind w:left="1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2.27</w:t>
            </w:r>
          </w:p>
        </w:tc>
      </w:tr>
      <w:tr>
        <w:tblPrEx>
          <w:tblW w:w="7719" w:type="dxa"/>
          <w:tblInd w:w="821" w:type="dxa"/>
          <w:tblLayout w:type="fixed"/>
        </w:tblPrEx>
        <w:trPr>
          <w:trHeight w:val="478"/>
        </w:trPr>
        <w:tc>
          <w:tcPr>
            <w:tcW w:w="93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10" w:line="275" w:lineRule="exact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d(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)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0.63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0.56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0.50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0.44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0.40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0.31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0.28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77" w:line="195" w:lineRule="auto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0.25</w:t>
            </w:r>
          </w:p>
        </w:tc>
        <w:tc>
          <w:tcPr>
            <w:tcW w:w="69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77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7719" w:type="dxa"/>
          <w:tblInd w:w="821" w:type="dxa"/>
          <w:tblLayout w:type="fixed"/>
        </w:tblPrEx>
        <w:trPr>
          <w:trHeight w:val="459"/>
        </w:trPr>
        <w:tc>
          <w:tcPr>
            <w:tcW w:w="930" w:type="dxa"/>
            <w:tcBorders>
              <w:top w:val="single" w:sz="10" w:space="0" w:color="000000"/>
              <w:left w:val="single" w:sz="10" w:space="0" w:color="000000"/>
            </w:tcBorders>
            <w:vAlign w:val="top"/>
          </w:tcPr>
          <w:p>
            <w:pPr>
              <w:spacing w:before="107" w:line="274" w:lineRule="exact"/>
              <w:ind w:left="1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>lp/mm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2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2.5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1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2.78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1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3.13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1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3.57</w:t>
            </w:r>
          </w:p>
        </w:tc>
        <w:tc>
          <w:tcPr>
            <w:tcW w:w="677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1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3.85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73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4.55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76" w:line="192" w:lineRule="auto"/>
              <w:ind w:left="2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07" w:line="274" w:lineRule="exact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678" w:type="dxa"/>
            <w:tcBorders>
              <w:top w:val="single" w:sz="10" w:space="0" w:color="000000"/>
            </w:tcBorders>
            <w:vAlign w:val="top"/>
          </w:tcPr>
          <w:p>
            <w:pPr>
              <w:spacing w:before="107" w:line="274" w:lineRule="exact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692" w:type="dxa"/>
            <w:tcBorders>
              <w:top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38" w:line="233" w:lineRule="auto"/>
              <w:ind w:left="3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/</w:t>
            </w:r>
          </w:p>
        </w:tc>
      </w:tr>
      <w:tr>
        <w:tblPrEx>
          <w:tblW w:w="7719" w:type="dxa"/>
          <w:tblInd w:w="821" w:type="dxa"/>
          <w:tblLayout w:type="fixed"/>
        </w:tblPrEx>
        <w:trPr>
          <w:trHeight w:val="493"/>
        </w:trPr>
        <w:tc>
          <w:tcPr>
            <w:tcW w:w="93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20" w:line="274" w:lineRule="exact"/>
              <w:ind w:left="16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d(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5"/>
                <w:position w:val="3"/>
                <w:sz w:val="20"/>
                <w:szCs w:val="20"/>
              </w:rPr>
              <w:t>)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2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0.2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0.18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0.16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14</w:t>
            </w:r>
          </w:p>
        </w:tc>
        <w:tc>
          <w:tcPr>
            <w:tcW w:w="677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1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0.13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11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87" w:line="195" w:lineRule="auto"/>
              <w:ind w:left="2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20" w:line="274" w:lineRule="exact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678" w:type="dxa"/>
            <w:tcBorders>
              <w:bottom w:val="single" w:sz="10" w:space="0" w:color="000000"/>
            </w:tcBorders>
            <w:vAlign w:val="top"/>
          </w:tcPr>
          <w:p>
            <w:pPr>
              <w:spacing w:before="120" w:line="274" w:lineRule="exact"/>
              <w:ind w:left="3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  <w:tc>
          <w:tcPr>
            <w:tcW w:w="69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spacing w:before="151" w:line="233" w:lineRule="auto"/>
              <w:ind w:left="3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/</w:t>
            </w:r>
          </w:p>
        </w:tc>
      </w:tr>
    </w:tbl>
    <w:p>
      <w:pPr>
        <w:spacing w:before="138" w:line="168" w:lineRule="auto"/>
        <w:ind w:left="4143"/>
        <w:rPr>
          <w:rFonts w:ascii="Cambria Math" w:eastAsia="Cambria Math" w:hAnsi="Cambria Math" w:cs="Cambria Math"/>
          <w:sz w:val="16"/>
          <w:szCs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5pt;height:17.75pt;margin-top:6.72pt;margin-left:453.43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314" w:lineRule="exact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4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spacing w:val="-33"/>
                      <w:position w:val="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4"/>
                      <w:sz w:val="24"/>
                      <w:szCs w:val="24"/>
                    </w:rPr>
                    <w:t>1)</w:t>
                  </w:r>
                </w:p>
              </w:txbxContent>
            </v:textbox>
          </v:shape>
        </w:pict>
      </w:r>
      <w:r>
        <w:rPr>
          <w:rFonts w:ascii="Cambria Math" w:eastAsia="Cambria Math" w:hAnsi="Cambria Math" w:cs="Cambria Math"/>
          <w:spacing w:val="-6"/>
          <w:position w:val="-4"/>
          <w:sz w:val="24"/>
          <w:szCs w:val="24"/>
        </w:rPr>
        <w:t>R</w:t>
      </w:r>
      <w:r>
        <w:rPr>
          <w:rFonts w:ascii="Cambria Math" w:eastAsia="Cambria Math" w:hAnsi="Cambria Math" w:cs="Cambria Math"/>
          <w:spacing w:val="3"/>
          <w:position w:val="-4"/>
          <w:sz w:val="24"/>
          <w:szCs w:val="24"/>
        </w:rPr>
        <w:t xml:space="preserve">   </w:t>
      </w:r>
      <w:r>
        <w:rPr>
          <w:rFonts w:ascii="Cambria Math" w:eastAsia="Cambria Math" w:hAnsi="Cambria Math" w:cs="Cambria Math"/>
          <w:spacing w:val="-6"/>
          <w:position w:val="-4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7"/>
          <w:position w:val="-4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6"/>
          <w:position w:val="9"/>
          <w:sz w:val="16"/>
          <w:szCs w:val="16"/>
          <w:u w:val="single" w:color="auto"/>
        </w:rPr>
        <w:t xml:space="preserve">    1</w:t>
      </w:r>
      <w:r>
        <w:rPr>
          <w:rFonts w:ascii="Cambria Math" w:eastAsia="Cambria Math" w:hAnsi="Cambria Math" w:cs="Cambria Math"/>
          <w:position w:val="9"/>
          <w:sz w:val="16"/>
          <w:szCs w:val="16"/>
          <w:u w:val="single" w:color="auto"/>
        </w:rPr>
        <w:t xml:space="preserve">    </w:t>
      </w:r>
    </w:p>
    <w:p>
      <w:pPr>
        <w:spacing w:line="185" w:lineRule="exact"/>
        <w:ind w:left="4296"/>
        <w:rPr>
          <w:rFonts w:ascii="Cambria Math" w:eastAsia="Cambria Math" w:hAnsi="Cambria Math" w:cs="Cambria Math"/>
          <w:sz w:val="16"/>
          <w:szCs w:val="16"/>
        </w:rPr>
      </w:pPr>
      <w:r>
        <w:rPr>
          <w:rFonts w:ascii="Cambria Math" w:eastAsia="Cambria Math" w:hAnsi="Cambria Math" w:cs="Cambria Math"/>
          <w:spacing w:val="1"/>
          <w:position w:val="5"/>
          <w:sz w:val="16"/>
          <w:szCs w:val="16"/>
        </w:rPr>
        <w:t xml:space="preserve">s         </w:t>
      </w:r>
      <w:r>
        <w:rPr>
          <w:rFonts w:ascii="Cambria Math" w:eastAsia="Cambria Math" w:hAnsi="Cambria Math" w:cs="Cambria Math"/>
          <w:spacing w:val="1"/>
          <w:position w:val="-2"/>
          <w:sz w:val="16"/>
          <w:szCs w:val="16"/>
        </w:rPr>
        <w:t>2×d</w:t>
      </w:r>
    </w:p>
    <w:p>
      <w:pPr>
        <w:spacing w:before="140" w:line="221" w:lineRule="auto"/>
        <w:ind w:left="24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181" w:line="433" w:lineRule="exact"/>
        <w:ind w:left="911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position w:val="14"/>
          <w:sz w:val="24"/>
          <w:szCs w:val="24"/>
        </w:rPr>
        <w:t>R</w:t>
      </w:r>
      <w:r>
        <w:rPr>
          <w:rFonts w:ascii="Cambria Math" w:eastAsia="Cambria Math" w:hAnsi="Cambria Math" w:cs="Cambria Math"/>
          <w:position w:val="10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position w:val="14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pacing w:val="-37"/>
          <w:position w:val="14"/>
          <w:sz w:val="24"/>
          <w:szCs w:val="24"/>
        </w:rPr>
        <w:t xml:space="preserve"> </w:t>
      </w:r>
      <w:r>
        <w:rPr>
          <w:rFonts w:ascii="SimSun" w:eastAsia="SimSun" w:hAnsi="SimSun" w:cs="SimSun"/>
          <w:position w:val="14"/>
          <w:sz w:val="24"/>
          <w:szCs w:val="24"/>
        </w:rPr>
        <w:t>空间分辨率，单位</w:t>
      </w:r>
      <w:r>
        <w:rPr>
          <w:rFonts w:ascii="Cambria Math" w:eastAsia="Cambria Math" w:hAnsi="Cambria Math" w:cs="Cambria Math"/>
          <w:position w:val="14"/>
          <w:sz w:val="24"/>
          <w:szCs w:val="24"/>
        </w:rPr>
        <w:t>lp/mm</w:t>
      </w:r>
      <w:r>
        <w:rPr>
          <w:rFonts w:ascii="SimSun" w:eastAsia="SimSun" w:hAnsi="SimSun" w:cs="SimSun"/>
          <w:position w:val="14"/>
          <w:sz w:val="24"/>
          <w:szCs w:val="24"/>
        </w:rPr>
        <w:t>；</w:t>
      </w:r>
    </w:p>
    <w:p>
      <w:pPr>
        <w:spacing w:line="361" w:lineRule="exact"/>
        <w:ind w:left="91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d——</w:t>
      </w:r>
      <w:r>
        <w:rPr>
          <w:rFonts w:ascii="SimSun" w:eastAsia="SimSun" w:hAnsi="SimSun" w:cs="SimSun"/>
          <w:spacing w:val="-1"/>
          <w:position w:val="2"/>
          <w:sz w:val="24"/>
          <w:szCs w:val="24"/>
        </w:rPr>
        <w:t>线宽，单位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mm</w:t>
      </w:r>
      <w:r>
        <w:rPr>
          <w:rFonts w:ascii="SimSun" w:eastAsia="SimSun" w:hAnsi="SimSun" w:cs="SimSun"/>
          <w:spacing w:val="-1"/>
          <w:position w:val="2"/>
          <w:sz w:val="24"/>
          <w:szCs w:val="24"/>
        </w:rPr>
        <w:t>。</w:t>
      </w:r>
    </w:p>
    <w:p>
      <w:pPr>
        <w:spacing w:before="107" w:line="503" w:lineRule="exact"/>
        <w:ind w:left="49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2"/>
          <w:position w:val="16"/>
          <w:sz w:val="24"/>
          <w:szCs w:val="24"/>
        </w:rPr>
        <w:t>获取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>PL</w:t>
      </w:r>
      <w:r>
        <w:rPr>
          <w:rFonts w:ascii="SimSun" w:eastAsia="SimSun" w:hAnsi="SimSun" w:cs="SimSun"/>
          <w:spacing w:val="2"/>
          <w:position w:val="16"/>
          <w:sz w:val="24"/>
          <w:szCs w:val="24"/>
        </w:rPr>
        <w:t>原始图像后，在显示器上对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>PL</w:t>
      </w:r>
      <w:r>
        <w:rPr>
          <w:rFonts w:ascii="SimSun" w:eastAsia="SimSun" w:hAnsi="SimSun" w:cs="SimSun"/>
          <w:spacing w:val="2"/>
          <w:position w:val="16"/>
          <w:sz w:val="24"/>
          <w:szCs w:val="24"/>
        </w:rPr>
        <w:t>空间分辨率图像采用目视方式判别，参考</w:t>
      </w:r>
      <w:r>
        <w:rPr>
          <w:rFonts w:ascii="Times New Roman" w:eastAsia="Times New Roman" w:hAnsi="Times New Roman" w:cs="Times New Roman"/>
          <w:position w:val="16"/>
          <w:sz w:val="24"/>
          <w:szCs w:val="24"/>
        </w:rPr>
        <w:t>GB</w:t>
      </w:r>
      <w:r>
        <w:rPr>
          <w:rFonts w:ascii="Times New Roman" w:eastAsia="Times New Roman" w:hAnsi="Times New Roman" w:cs="Times New Roman"/>
          <w:spacing w:val="2"/>
          <w:position w:val="16"/>
          <w:sz w:val="24"/>
          <w:szCs w:val="24"/>
        </w:rPr>
        <w:t>/T</w:t>
      </w:r>
    </w:p>
    <w:p>
      <w:pPr>
        <w:spacing w:line="220" w:lineRule="auto"/>
        <w:ind w:left="3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19953 6.</w:t>
      </w:r>
      <w:r>
        <w:rPr>
          <w:rFonts w:ascii="Times New Roman" w:eastAsia="Times New Roman" w:hAnsi="Times New Roman" w:cs="Times New Roma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条款的监视器显示判读法，同时遵循以下原则：</w:t>
      </w:r>
    </w:p>
    <w:p>
      <w:pPr>
        <w:spacing w:before="182" w:line="220" w:lineRule="auto"/>
        <w:ind w:left="3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1.  </w:t>
      </w:r>
      <w:r>
        <w:rPr>
          <w:rFonts w:ascii="SimSun" w:eastAsia="SimSun" w:hAnsi="SimSun" w:cs="SimSun"/>
          <w:spacing w:val="-1"/>
          <w:sz w:val="24"/>
          <w:szCs w:val="24"/>
        </w:rPr>
        <w:t>可对被观察的黑白条纹图像进行放大操作，放大率不限；</w:t>
      </w:r>
    </w:p>
    <w:p>
      <w:pPr>
        <w:spacing w:before="182" w:line="360" w:lineRule="auto"/>
        <w:ind w:left="17" w:right="81" w:hanging="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2. 对于一个线对图像中的一条黑线，可</w:t>
      </w:r>
      <w:r>
        <w:rPr>
          <w:rFonts w:ascii="SimSun" w:eastAsia="SimSun" w:hAnsi="SimSun" w:cs="SimSun"/>
          <w:spacing w:val="2"/>
          <w:sz w:val="24"/>
          <w:szCs w:val="24"/>
        </w:rPr>
        <w:t>识别出黑线的长度占线对图像总长度的比例超过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50%时，则定义该黑线可以被识别。对于一个线对图像，可以识别的黑线数为5条时，则该</w:t>
      </w:r>
    </w:p>
    <w:p>
      <w:pPr>
        <w:spacing w:line="220" w:lineRule="auto"/>
        <w:ind w:left="1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线对图像则定义为“可分辨</w:t>
      </w:r>
      <w:r>
        <w:rPr>
          <w:rFonts w:ascii="SimSun" w:eastAsia="SimSun" w:hAnsi="SimSun" w:cs="SimSun"/>
          <w:spacing w:val="-8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”，否则定义为“不可分辨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”。</w:t>
      </w:r>
    </w:p>
    <w:p>
      <w:pPr>
        <w:spacing w:before="182" w:line="468" w:lineRule="exact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position w:val="17"/>
          <w:sz w:val="24"/>
          <w:szCs w:val="24"/>
        </w:rPr>
        <w:t>3. 对于各个测试位置，由低</w:t>
      </w:r>
      <w:r>
        <w:rPr>
          <w:rFonts w:ascii="SimSun" w:eastAsia="SimSun" w:hAnsi="SimSun" w:cs="SimSun"/>
          <w:position w:val="17"/>
          <w:sz w:val="24"/>
          <w:szCs w:val="24"/>
        </w:rPr>
        <w:t>PL</w:t>
      </w:r>
      <w:r>
        <w:rPr>
          <w:rFonts w:ascii="SimSun" w:eastAsia="SimSun" w:hAnsi="SimSun" w:cs="SimSun"/>
          <w:spacing w:val="3"/>
          <w:position w:val="17"/>
          <w:sz w:val="24"/>
          <w:szCs w:val="24"/>
        </w:rPr>
        <w:t>空间分辨率向高</w:t>
      </w:r>
      <w:r>
        <w:rPr>
          <w:rFonts w:ascii="SimSun" w:eastAsia="SimSun" w:hAnsi="SimSun" w:cs="SimSun"/>
          <w:position w:val="17"/>
          <w:sz w:val="24"/>
          <w:szCs w:val="24"/>
        </w:rPr>
        <w:t>PL</w:t>
      </w:r>
      <w:r>
        <w:rPr>
          <w:rFonts w:ascii="SimSun" w:eastAsia="SimSun" w:hAnsi="SimSun" w:cs="SimSun"/>
          <w:spacing w:val="2"/>
          <w:position w:val="17"/>
          <w:sz w:val="24"/>
          <w:szCs w:val="24"/>
        </w:rPr>
        <w:t>空间分辨率逐一判别，直到找到该位置</w:t>
      </w:r>
    </w:p>
    <w:p>
      <w:pPr>
        <w:spacing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“可分辨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”的最高PL空间分辨率的线对图像</w:t>
      </w:r>
      <w:r>
        <w:rPr>
          <w:rFonts w:ascii="SimSun" w:eastAsia="SimSun" w:hAnsi="SimSun" w:cs="SimSun"/>
          <w:spacing w:val="-5"/>
          <w:sz w:val="24"/>
          <w:szCs w:val="24"/>
        </w:rPr>
        <w:t>，其对应PL空间分辨为该位置的PL空间分辨率。</w:t>
      </w:r>
    </w:p>
    <w:p>
      <w:pPr>
        <w:spacing w:before="182" w:line="220" w:lineRule="auto"/>
        <w:ind w:left="1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4. 取所有位置PL空间分辨率最低值作为被校设备的PL</w:t>
      </w:r>
      <w:r>
        <w:rPr>
          <w:rFonts w:ascii="SimSun" w:eastAsia="SimSun" w:hAnsi="SimSun" w:cs="SimSun"/>
          <w:spacing w:val="-1"/>
          <w:sz w:val="24"/>
          <w:szCs w:val="24"/>
        </w:rPr>
        <w:t>空间分辨率的测量值。</w:t>
      </w:r>
    </w:p>
    <w:p>
      <w:pPr>
        <w:pStyle w:val="BodyText"/>
        <w:spacing w:before="105" w:line="221" w:lineRule="auto"/>
        <w:ind w:left="14"/>
      </w:pPr>
      <w:r>
        <w:rPr>
          <w:spacing w:val="-1"/>
        </w:rPr>
        <w:t>7.2.3</w:t>
      </w:r>
      <w:r>
        <w:rPr>
          <w:spacing w:val="-1"/>
        </w:rPr>
        <w:t xml:space="preserve"> </w:t>
      </w:r>
      <w:r>
        <w:rPr>
          <w:spacing w:val="-1"/>
        </w:rPr>
        <w:t>光源不稳定度（仅适用于采用面光源的设备）</w:t>
      </w:r>
    </w:p>
    <w:p>
      <w:pPr>
        <w:spacing w:before="102" w:line="468" w:lineRule="exact"/>
        <w:ind w:left="49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6"/>
          <w:position w:val="17"/>
          <w:sz w:val="24"/>
          <w:szCs w:val="24"/>
        </w:rPr>
        <w:t>将</w:t>
      </w:r>
      <w:r>
        <w:rPr>
          <w:rFonts w:ascii="Times New Roman" w:eastAsia="Times New Roman" w:hAnsi="Times New Roman" w:cs="Times New Roman"/>
          <w:position w:val="17"/>
          <w:sz w:val="24"/>
          <w:szCs w:val="24"/>
        </w:rPr>
        <w:t>WPVS</w:t>
      </w:r>
      <w:r>
        <w:rPr>
          <w:rFonts w:ascii="SimSun" w:eastAsia="SimSun" w:hAnsi="SimSun" w:cs="SimSun"/>
          <w:spacing w:val="16"/>
          <w:position w:val="17"/>
          <w:sz w:val="24"/>
          <w:szCs w:val="24"/>
        </w:rPr>
        <w:t>参考太阳电池放置于测试面中心，待测试信号稳定之后记录一定时间内</w:t>
      </w:r>
    </w:p>
    <w:p>
      <w:pPr>
        <w:spacing w:line="220" w:lineRule="auto"/>
        <w:ind w:left="7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pacing w:val="1"/>
          <w:sz w:val="24"/>
          <w:szCs w:val="24"/>
        </w:rPr>
        <w:t>参考太阳短路电流信号（或转换为等效电压值信号</w:t>
      </w:r>
      <w:r>
        <w:rPr>
          <w:rFonts w:ascii="SimSun" w:eastAsia="SimSun" w:hAnsi="SimSun" w:cs="SimSun"/>
          <w:spacing w:val="7"/>
          <w:sz w:val="24"/>
          <w:szCs w:val="24"/>
        </w:rPr>
        <w:t>），</w:t>
      </w:r>
      <w:r>
        <w:rPr>
          <w:rFonts w:ascii="SimSun" w:eastAsia="SimSun" w:hAnsi="SimSun" w:cs="SimSun"/>
          <w:spacing w:val="1"/>
          <w:sz w:val="24"/>
          <w:szCs w:val="24"/>
        </w:rPr>
        <w:t>测试时间</w:t>
      </w:r>
      <w:r>
        <w:rPr>
          <w:rFonts w:ascii="SimSun" w:eastAsia="SimSun" w:hAnsi="SimSun" w:cs="SimSun"/>
          <w:sz w:val="24"/>
          <w:szCs w:val="24"/>
        </w:rPr>
        <w:t>可根据实际使用需</w:t>
      </w:r>
    </w:p>
    <w:p>
      <w:pPr>
        <w:spacing w:before="182" w:line="219" w:lineRule="auto"/>
        <w:ind w:left="15"/>
        <w:rPr>
          <w:rFonts w:ascii="SimSun" w:eastAsia="SimSun" w:hAnsi="SimSun" w:cs="SimSun"/>
          <w:sz w:val="24"/>
          <w:szCs w:val="24"/>
        </w:rPr>
        <w:sectPr>
          <w:headerReference w:type="default" r:id="rId22"/>
          <w:footerReference w:type="default" r:id="rId23"/>
          <w:pgSz w:w="11906" w:h="16839"/>
          <w:pgMar w:top="1719" w:right="1053" w:bottom="1295" w:left="1414" w:header="1448" w:footer="1135" w:gutter="0"/>
          <w:pgNumType w:start="8"/>
          <w:cols w:space="708"/>
        </w:sectPr>
      </w:pPr>
      <w:r>
        <w:rPr>
          <w:rFonts w:ascii="SimSun" w:eastAsia="SimSun" w:hAnsi="SimSun" w:cs="SimSun"/>
          <w:spacing w:val="-1"/>
          <w:sz w:val="24"/>
          <w:szCs w:val="24"/>
        </w:rPr>
        <w:t>求确定，推荐测试时间为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>
        <w:rPr>
          <w:rFonts w:ascii="SimSun" w:eastAsia="SimSun" w:hAnsi="SimSun" w:cs="SimSun"/>
          <w:spacing w:val="-1"/>
          <w:sz w:val="24"/>
          <w:szCs w:val="24"/>
        </w:rPr>
        <w:t>分钟，采用式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计算光源不稳定度。</w:t>
      </w:r>
    </w:p>
    <w:p>
      <w:pPr>
        <w:spacing w:before="62" w:line="539" w:lineRule="exact"/>
        <w:ind w:left="37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 Math" w:eastAsia="Cambria Math" w:hAnsi="Cambria Math" w:cs="Cambria Math"/>
          <w:spacing w:val="-2"/>
          <w:position w:val="8"/>
          <w:sz w:val="24"/>
          <w:szCs w:val="24"/>
        </w:rPr>
        <w:t>S</w:t>
      </w:r>
      <w:r>
        <w:rPr>
          <w:rFonts w:ascii="Cambria Math" w:eastAsia="Cambria Math" w:hAnsi="Cambria Math" w:cs="Cambria Math"/>
          <w:spacing w:val="32"/>
          <w:w w:val="101"/>
          <w:position w:val="8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2"/>
          <w:position w:val="8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17"/>
          <w:position w:val="8"/>
          <w:sz w:val="24"/>
          <w:szCs w:val="24"/>
        </w:rPr>
        <w:t xml:space="preserve"> </w:t>
      </w:r>
      <w:r>
        <w:ruby>
          <w:rubyPr>
            <w:rubyAlign w:val="left"/>
            <w:hps w:val="16"/>
            <w:hpsRaise w:val="10"/>
            <w:hpsBaseText w:val="21"/>
          </w:rubyPr>
          <w:rt>
            <w:r>
              <w:rPr>
                <w:rFonts w:ascii="Cambria Math" w:eastAsia="Cambria Math" w:hAnsi="Cambria Math" w:cs="Cambria Math"/>
                <w:w w:val="114"/>
                <w:position w:val="10"/>
                <w:sz w:val="16"/>
                <w:szCs w:val="16"/>
              </w:rPr>
              <w:t>I</w:t>
            </w:r>
          </w:rt>
          <w:rubyBase>
            <w:r>
              <w:rPr>
                <w:rFonts w:ascii="Cambria Math" w:eastAsia="Cambria Math" w:hAnsi="Cambria Math" w:cs="Cambria Math"/>
                <w:w w:val="114"/>
                <w:position w:val="-4"/>
                <w:sz w:val="16"/>
                <w:szCs w:val="16"/>
              </w:rPr>
              <w:t>I</w:t>
            </w:r>
          </w:rubyBase>
        </w:ruby>
      </w:r>
      <w:r>
        <w:ruby>
          <w:rubyPr>
            <w:rubyAlign w:val="left"/>
            <w:hps w:val="13"/>
            <w:hpsRaise w:val="8"/>
            <w:hpsBaseText w:val="21"/>
          </w:rubyPr>
          <w:rt>
            <w:r>
              <w:rPr>
                <w:rFonts w:ascii="Cambria Math" w:eastAsia="Cambria Math" w:hAnsi="Cambria Math" w:cs="Cambria Math"/>
                <w:w w:val="113"/>
                <w:position w:val="10"/>
                <w:sz w:val="13"/>
                <w:szCs w:val="13"/>
              </w:rPr>
              <w:t>max</w:t>
            </w:r>
          </w:rt>
          <w:rubyBase>
            <w:r>
              <w:rPr>
                <w:rFonts w:ascii="Cambria Math" w:eastAsia="Cambria Math" w:hAnsi="Cambria Math" w:cs="Cambria Math"/>
                <w:w w:val="113"/>
                <w:position w:val="-7"/>
                <w:sz w:val="13"/>
                <w:szCs w:val="13"/>
              </w:rPr>
              <w:t>max</w:t>
            </w:r>
          </w:rubyBase>
        </w:ruby>
      </w:r>
      <w:r>
        <w:rPr>
          <w:position w:val="-4"/>
          <w:sz w:val="13"/>
          <w:szCs w:val="13"/>
        </w:rPr>
        <w:drawing>
          <wp:inline distT="0" distB="0" distL="0" distR="0">
            <wp:extent cx="85503" cy="32209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5503" cy="3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6"/>
            <w:hpsRaise w:val="10"/>
            <w:hpsBaseText w:val="21"/>
          </w:rubyPr>
          <w:rt>
            <w:r>
              <w:rPr>
                <w:rFonts w:ascii="Cambria Math" w:eastAsia="Cambria Math" w:hAnsi="Cambria Math" w:cs="Cambria Math"/>
                <w:w w:val="124"/>
                <w:position w:val="10"/>
                <w:sz w:val="16"/>
                <w:szCs w:val="16"/>
              </w:rPr>
              <w:t>I</w:t>
            </w:r>
          </w:rt>
          <w:rubyBase>
            <w:r>
              <w:rPr>
                <w:rFonts w:ascii="Cambria Math" w:eastAsia="Cambria Math" w:hAnsi="Cambria Math" w:cs="Cambria Math"/>
                <w:w w:val="124"/>
                <w:position w:val="-4"/>
                <w:sz w:val="16"/>
                <w:szCs w:val="16"/>
              </w:rPr>
              <w:t>I</w:t>
            </w:r>
          </w:rubyBase>
        </w:ruby>
      </w:r>
      <w:r>
        <w:ruby>
          <w:rubyPr>
            <w:rubyAlign w:val="left"/>
            <w:hps w:val="13"/>
            <w:hpsRaise w:val="8"/>
            <w:hpsBaseText w:val="21"/>
          </w:rubyPr>
          <w:rt>
            <w:r>
              <w:rPr>
                <w:rFonts w:ascii="Cambria Math" w:eastAsia="Cambria Math" w:hAnsi="Cambria Math" w:cs="Cambria Math"/>
                <w:w w:val="111"/>
                <w:position w:val="10"/>
                <w:sz w:val="13"/>
                <w:szCs w:val="13"/>
              </w:rPr>
              <w:t>min</w:t>
            </w:r>
          </w:rt>
          <w:rubyBase>
            <w:r>
              <w:rPr>
                <w:rFonts w:ascii="Cambria Math" w:eastAsia="Cambria Math" w:hAnsi="Cambria Math" w:cs="Cambria Math"/>
                <w:w w:val="111"/>
                <w:position w:val="-7"/>
                <w:sz w:val="13"/>
                <w:szCs w:val="13"/>
              </w:rPr>
              <w:t>min</w:t>
            </w:r>
          </w:rubyBase>
        </w:ruby>
      </w:r>
      <w:r>
        <w:rPr>
          <w:rFonts w:ascii="Cambria Math" w:eastAsia="Cambria Math" w:hAnsi="Cambria Math" w:cs="Cambria Math"/>
          <w:spacing w:val="11"/>
          <w:w w:val="103"/>
          <w:position w:val="-7"/>
          <w:sz w:val="13"/>
          <w:szCs w:val="13"/>
        </w:rPr>
        <w:t xml:space="preserve">  </w:t>
      </w:r>
      <w:r>
        <w:rPr>
          <w:rFonts w:ascii="Cambria Math" w:eastAsia="Cambria Math" w:hAnsi="Cambria Math" w:cs="Cambria Math"/>
          <w:spacing w:val="-2"/>
          <w:position w:val="8"/>
          <w:sz w:val="24"/>
          <w:szCs w:val="24"/>
        </w:rPr>
        <w:t>×</w:t>
      </w:r>
      <w:r>
        <w:rPr>
          <w:rFonts w:ascii="Cambria Math" w:eastAsia="Cambria Math" w:hAnsi="Cambria Math" w:cs="Cambria Math"/>
          <w:spacing w:val="22"/>
          <w:position w:val="8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2"/>
          <w:position w:val="8"/>
          <w:sz w:val="24"/>
          <w:szCs w:val="24"/>
        </w:rPr>
        <w:t xml:space="preserve">100%                          </w:t>
      </w:r>
      <w:r>
        <w:rPr>
          <w:rFonts w:ascii="Cambria Math" w:eastAsia="Cambria Math" w:hAnsi="Cambria Math" w:cs="Cambria Math"/>
          <w:spacing w:val="-3"/>
          <w:position w:val="8"/>
          <w:sz w:val="24"/>
          <w:szCs w:val="24"/>
        </w:rPr>
        <w:t xml:space="preserve">                                 </w:t>
      </w:r>
      <w:r>
        <w:rPr>
          <w:rFonts w:ascii="Times New Roman" w:eastAsia="Times New Roman" w:hAnsi="Times New Roman" w:cs="Times New Roman"/>
          <w:spacing w:val="-3"/>
          <w:position w:val="8"/>
          <w:sz w:val="24"/>
          <w:szCs w:val="24"/>
        </w:rPr>
        <w:t>(2)</w:t>
      </w:r>
    </w:p>
    <w:p>
      <w:pPr>
        <w:spacing w:before="206" w:line="221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181" w:line="220" w:lineRule="auto"/>
        <w:ind w:left="6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>
        <w:rPr>
          <w:rFonts w:ascii="SimSun" w:eastAsia="SimSun" w:hAnsi="SimSun" w:cs="SimSun"/>
          <w:sz w:val="24"/>
          <w:szCs w:val="24"/>
        </w:rPr>
        <w:t>光源不稳定度；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5"/>
          <w:footerReference w:type="default" r:id="rId26"/>
          <w:type w:val="nextPage"/>
          <w:pgSz w:w="11906" w:h="16839"/>
          <w:pgMar w:top="1719" w:right="1053" w:bottom="1295" w:left="1414" w:header="1448" w:footer="1135" w:gutter="0"/>
          <w:pgNumType w:start="9"/>
          <w:cols w:space="708"/>
          <w:titlePg w:val="0"/>
        </w:sectPr>
      </w:pPr>
    </w:p>
    <w:p>
      <w:pPr>
        <w:spacing w:before="114" w:line="217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26" style="width:0;height:23.45pt;margin-top:296.6pt;margin-left:547.6pt;mso-position-horizontal-relative:page;mso-position-vertical-relative:page;position:absolute;z-index:251659264" coordorigin="0,0" coordsize="0,469" o:allowincell="f" path="m,l,468e" filled="f" strokecolor="black">
            <v:stroke joinstyle="bevel" endcap="square"/>
          </v:shape>
        </w:pict>
      </w:r>
      <w:r>
        <w:rPr>
          <w:rFonts w:ascii="Cambria Math" w:eastAsia="Cambria Math" w:hAnsi="Cambria Math" w:cs="Cambria Math"/>
          <w:sz w:val="24"/>
          <w:szCs w:val="24"/>
        </w:rPr>
        <w:t>I</w:t>
      </w:r>
      <w:r>
        <w:rPr>
          <w:rFonts w:ascii="Cambria Math" w:eastAsia="Cambria Math" w:hAnsi="Cambria Math" w:cs="Cambria Math"/>
          <w:position w:val="-4"/>
          <w:sz w:val="16"/>
          <w:szCs w:val="16"/>
        </w:rPr>
        <w:t>max</w:t>
      </w:r>
      <w:r>
        <w:rPr>
          <w:rFonts w:ascii="Cambria Math" w:eastAsia="Cambria Math" w:hAnsi="Cambria Math" w:cs="Cambria Math"/>
          <w:spacing w:val="9"/>
          <w:sz w:val="24"/>
          <w:szCs w:val="24"/>
        </w:rPr>
        <w:t xml:space="preserve">, </w:t>
      </w:r>
      <w:r>
        <w:rPr>
          <w:rFonts w:ascii="Cambria Math" w:eastAsia="Cambria Math" w:hAnsi="Cambria Math" w:cs="Cambria Math"/>
          <w:sz w:val="24"/>
          <w:szCs w:val="24"/>
        </w:rPr>
        <w:t>I</w:t>
      </w:r>
      <w:r>
        <w:rPr>
          <w:rFonts w:ascii="Cambria Math" w:eastAsia="Cambria Math" w:hAnsi="Cambria Math" w:cs="Cambria Math"/>
          <w:position w:val="-4"/>
          <w:sz w:val="16"/>
          <w:szCs w:val="16"/>
        </w:rPr>
        <w:t>min</w:t>
      </w:r>
      <w:r>
        <w:rPr>
          <w:rFonts w:ascii="Cambria Math" w:eastAsia="Cambria Math" w:hAnsi="Cambria Math" w:cs="Cambria Math"/>
          <w:spacing w:val="-18"/>
          <w:position w:val="-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pacing w:val="9"/>
          <w:sz w:val="24"/>
          <w:szCs w:val="24"/>
        </w:rPr>
        <w:t>参考太阳电池短路电流（或等效电压值）最大值与最小值，单位</w:t>
      </w:r>
      <w:r>
        <w:rPr>
          <w:rFonts w:ascii="Times New Roman" w:eastAsia="Times New Roman" w:hAnsi="Times New Roman" w:cs="Times New Roman"/>
          <w:sz w:val="24"/>
          <w:szCs w:val="24"/>
        </w:rPr>
        <w:t>mA</w:t>
      </w:r>
    </w:p>
    <w:p>
      <w:pPr>
        <w:spacing w:before="132" w:line="232" w:lineRule="auto"/>
        <w:ind w:left="2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mV</w:t>
      </w:r>
      <w:r>
        <w:rPr>
          <w:rFonts w:ascii="SimSun" w:eastAsia="SimSun" w:hAnsi="SimSun" w:cs="SimSun"/>
          <w:spacing w:val="-5"/>
          <w:sz w:val="24"/>
          <w:szCs w:val="24"/>
        </w:rPr>
        <w:t>）。</w:t>
      </w:r>
    </w:p>
    <w:p>
      <w:pPr>
        <w:pStyle w:val="BodyText"/>
        <w:spacing w:before="86" w:line="221" w:lineRule="auto"/>
        <w:ind w:left="10"/>
      </w:pPr>
      <w:r>
        <w:t>7.2.6</w:t>
      </w:r>
      <w:r>
        <w:t xml:space="preserve"> </w:t>
      </w:r>
      <w:r>
        <w:t>测试面辐射照度不均匀度（仅</w:t>
      </w:r>
      <w:r>
        <w:rPr>
          <w:spacing w:val="-1"/>
        </w:rPr>
        <w:t>适用于采用面光源的设备）</w:t>
      </w:r>
    </w:p>
    <w:p>
      <w:pPr>
        <w:spacing w:before="104" w:line="219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将测试面根据</w:t>
      </w: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z w:val="24"/>
          <w:szCs w:val="24"/>
        </w:rPr>
        <w:t>参考太阳电池尺寸进行区域划分，划分</w:t>
      </w:r>
      <w:r>
        <w:rPr>
          <w:rFonts w:ascii="SimSun" w:eastAsia="SimSun" w:hAnsi="SimSun" w:cs="SimSun"/>
          <w:spacing w:val="-1"/>
          <w:sz w:val="24"/>
          <w:szCs w:val="24"/>
        </w:rPr>
        <w:t>区域一般不少于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64</w:t>
      </w:r>
      <w:r>
        <w:rPr>
          <w:rFonts w:ascii="SimSun" w:eastAsia="SimSun" w:hAnsi="SimSun" w:cs="SimSun"/>
          <w:spacing w:val="-1"/>
          <w:sz w:val="24"/>
          <w:szCs w:val="24"/>
        </w:rPr>
        <w:t>个，</w:t>
      </w:r>
    </w:p>
    <w:p>
      <w:pPr>
        <w:spacing w:before="147" w:line="504" w:lineRule="exact"/>
        <w:ind w:left="3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16"/>
          <w:sz w:val="24"/>
          <w:szCs w:val="24"/>
        </w:rPr>
        <w:t>WPVS</w:t>
      </w:r>
      <w:r>
        <w:rPr>
          <w:rFonts w:ascii="SimSun" w:eastAsia="SimSun" w:hAnsi="SimSun" w:cs="SimSun"/>
          <w:spacing w:val="-2"/>
          <w:position w:val="16"/>
          <w:sz w:val="24"/>
          <w:szCs w:val="24"/>
        </w:rPr>
        <w:t>参考太阳电池有效受光面面积与各测试点面积</w:t>
      </w:r>
      <w:r>
        <w:rPr>
          <w:rFonts w:ascii="SimSun" w:eastAsia="SimSun" w:hAnsi="SimSun" w:cs="SimSun"/>
          <w:spacing w:val="-3"/>
          <w:position w:val="16"/>
          <w:sz w:val="24"/>
          <w:szCs w:val="24"/>
        </w:rPr>
        <w:t>的占比应不小于</w:t>
      </w:r>
      <w:r>
        <w:rPr>
          <w:rFonts w:ascii="Times New Roman" w:eastAsia="Times New Roman" w:hAnsi="Times New Roman" w:cs="Times New Roman"/>
          <w:spacing w:val="-3"/>
          <w:position w:val="16"/>
          <w:sz w:val="24"/>
          <w:szCs w:val="24"/>
        </w:rPr>
        <w:t>80%</w:t>
      </w:r>
      <w:r>
        <w:rPr>
          <w:rFonts w:ascii="SimSun" w:eastAsia="SimSun" w:hAnsi="SimSun" w:cs="SimSun"/>
          <w:spacing w:val="-3"/>
          <w:position w:val="16"/>
          <w:sz w:val="24"/>
          <w:szCs w:val="24"/>
        </w:rPr>
        <w:t>。使用</w:t>
      </w:r>
      <w:r>
        <w:rPr>
          <w:rFonts w:ascii="Times New Roman" w:eastAsia="Times New Roman" w:hAnsi="Times New Roman" w:cs="Times New Roman"/>
          <w:spacing w:val="-3"/>
          <w:position w:val="16"/>
          <w:sz w:val="24"/>
          <w:szCs w:val="24"/>
        </w:rPr>
        <w:t>WPVS</w:t>
      </w:r>
      <w:r>
        <w:rPr>
          <w:rFonts w:ascii="SimSun" w:eastAsia="SimSun" w:hAnsi="SimSun" w:cs="SimSun"/>
          <w:spacing w:val="-3"/>
          <w:position w:val="16"/>
          <w:sz w:val="24"/>
          <w:szCs w:val="24"/>
        </w:rPr>
        <w:t>参考</w:t>
      </w:r>
    </w:p>
    <w:p>
      <w:pPr>
        <w:spacing w:line="220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太阳电池逐一放置于各测试点中心，逐一记录</w:t>
      </w: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z w:val="24"/>
          <w:szCs w:val="24"/>
        </w:rPr>
        <w:t>参考太</w:t>
      </w:r>
      <w:r>
        <w:rPr>
          <w:rFonts w:ascii="SimSun" w:eastAsia="SimSun" w:hAnsi="SimSun" w:cs="SimSun"/>
          <w:spacing w:val="-1"/>
          <w:sz w:val="24"/>
          <w:szCs w:val="24"/>
        </w:rPr>
        <w:t>阳电池在各测试点的短路电流</w:t>
      </w:r>
    </w:p>
    <w:p>
      <w:pPr>
        <w:spacing w:before="182" w:line="219" w:lineRule="auto"/>
        <w:ind w:left="2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（或转换为等效电压值）。测试面辐射照度不均匀度采用式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SimSun" w:eastAsia="SimSun" w:hAnsi="SimSun" w:cs="SimSun"/>
          <w:spacing w:val="-1"/>
          <w:sz w:val="24"/>
          <w:szCs w:val="24"/>
        </w:rPr>
        <w:t>进行计算。</w:t>
      </w:r>
    </w:p>
    <w:p>
      <w:pPr>
        <w:spacing w:before="62" w:line="537" w:lineRule="exact"/>
        <w:ind w:left="37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 Math" w:eastAsia="Cambria Math" w:hAnsi="Cambria Math" w:cs="Cambria Math"/>
          <w:spacing w:val="-9"/>
          <w:position w:val="8"/>
          <w:sz w:val="24"/>
          <w:szCs w:val="24"/>
        </w:rPr>
        <w:t>U</w:t>
      </w:r>
      <w:r>
        <w:rPr>
          <w:rFonts w:ascii="Cambria Math" w:eastAsia="Cambria Math" w:hAnsi="Cambria Math" w:cs="Cambria Math"/>
          <w:spacing w:val="38"/>
          <w:position w:val="8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9"/>
          <w:position w:val="8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20"/>
          <w:position w:val="8"/>
          <w:sz w:val="24"/>
          <w:szCs w:val="24"/>
        </w:rPr>
        <w:t xml:space="preserve"> </w:t>
      </w:r>
      <w:r>
        <w:ruby>
          <w:rubyPr>
            <w:rubyAlign w:val="left"/>
            <w:hps w:val="16"/>
            <w:hpsRaise w:val="10"/>
            <w:hpsBaseText w:val="21"/>
          </w:rubyPr>
          <w:rt>
            <w:r>
              <w:rPr>
                <w:rFonts w:ascii="Cambria Math" w:eastAsia="Cambria Math" w:hAnsi="Cambria Math" w:cs="Cambria Math"/>
                <w:w w:val="114"/>
                <w:position w:val="10"/>
                <w:sz w:val="16"/>
                <w:szCs w:val="16"/>
              </w:rPr>
              <w:t>I</w:t>
            </w:r>
          </w:rt>
          <w:rubyBase>
            <w:r>
              <w:rPr>
                <w:rFonts w:ascii="Cambria Math" w:eastAsia="Cambria Math" w:hAnsi="Cambria Math" w:cs="Cambria Math"/>
                <w:w w:val="114"/>
                <w:position w:val="-4"/>
                <w:sz w:val="16"/>
                <w:szCs w:val="16"/>
              </w:rPr>
              <w:t>I</w:t>
            </w:r>
          </w:rubyBase>
        </w:ruby>
      </w:r>
      <w:r>
        <w:ruby>
          <w:rubyPr>
            <w:rubyAlign w:val="left"/>
            <w:hps w:val="13"/>
            <w:hpsRaise w:val="8"/>
            <w:hpsBaseText w:val="21"/>
          </w:rubyPr>
          <w:rt>
            <w:r>
              <w:rPr>
                <w:rFonts w:ascii="Cambria Math" w:eastAsia="Cambria Math" w:hAnsi="Cambria Math" w:cs="Cambria Math"/>
                <w:w w:val="113"/>
                <w:position w:val="10"/>
                <w:sz w:val="13"/>
                <w:szCs w:val="13"/>
              </w:rPr>
              <w:t>max</w:t>
            </w:r>
          </w:rt>
          <w:rubyBase>
            <w:r>
              <w:rPr>
                <w:rFonts w:ascii="Cambria Math" w:eastAsia="Cambria Math" w:hAnsi="Cambria Math" w:cs="Cambria Math"/>
                <w:w w:val="113"/>
                <w:position w:val="-7"/>
                <w:sz w:val="13"/>
                <w:szCs w:val="13"/>
              </w:rPr>
              <w:t>max</w:t>
            </w:r>
          </w:rubyBase>
        </w:ruby>
      </w:r>
      <w:r>
        <w:rPr>
          <w:position w:val="-4"/>
          <w:sz w:val="13"/>
          <w:szCs w:val="13"/>
        </w:rPr>
        <w:drawing>
          <wp:inline distT="0" distB="0" distL="0" distR="0">
            <wp:extent cx="85503" cy="32207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5503" cy="322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16"/>
            <w:hpsRaise w:val="10"/>
            <w:hpsBaseText w:val="21"/>
          </w:rubyPr>
          <w:rt>
            <w:r>
              <w:rPr>
                <w:rFonts w:ascii="Cambria Math" w:eastAsia="Cambria Math" w:hAnsi="Cambria Math" w:cs="Cambria Math"/>
                <w:w w:val="124"/>
                <w:position w:val="10"/>
                <w:sz w:val="16"/>
                <w:szCs w:val="16"/>
              </w:rPr>
              <w:t>I</w:t>
            </w:r>
          </w:rt>
          <w:rubyBase>
            <w:r>
              <w:rPr>
                <w:rFonts w:ascii="Cambria Math" w:eastAsia="Cambria Math" w:hAnsi="Cambria Math" w:cs="Cambria Math"/>
                <w:w w:val="124"/>
                <w:position w:val="-4"/>
                <w:sz w:val="16"/>
                <w:szCs w:val="16"/>
              </w:rPr>
              <w:t>I</w:t>
            </w:r>
          </w:rubyBase>
        </w:ruby>
      </w:r>
      <w:r>
        <w:ruby>
          <w:rubyPr>
            <w:rubyAlign w:val="left"/>
            <w:hps w:val="13"/>
            <w:hpsRaise w:val="8"/>
            <w:hpsBaseText w:val="21"/>
          </w:rubyPr>
          <w:rt>
            <w:r>
              <w:rPr>
                <w:rFonts w:ascii="Cambria Math" w:eastAsia="Cambria Math" w:hAnsi="Cambria Math" w:cs="Cambria Math"/>
                <w:w w:val="110"/>
                <w:position w:val="10"/>
                <w:sz w:val="13"/>
                <w:szCs w:val="13"/>
              </w:rPr>
              <w:t>min</w:t>
            </w:r>
          </w:rt>
          <w:rubyBase>
            <w:r>
              <w:rPr>
                <w:rFonts w:ascii="Cambria Math" w:eastAsia="Cambria Math" w:hAnsi="Cambria Math" w:cs="Cambria Math"/>
                <w:w w:val="110"/>
                <w:position w:val="-7"/>
                <w:sz w:val="13"/>
                <w:szCs w:val="13"/>
              </w:rPr>
              <w:t>min</w:t>
            </w:r>
          </w:rubyBase>
        </w:ruby>
      </w:r>
      <w:r>
        <w:rPr>
          <w:rFonts w:ascii="Cambria Math" w:eastAsia="Cambria Math" w:hAnsi="Cambria Math" w:cs="Cambria Math"/>
          <w:spacing w:val="13"/>
          <w:position w:val="-7"/>
          <w:sz w:val="13"/>
          <w:szCs w:val="13"/>
        </w:rPr>
        <w:t xml:space="preserve">  </w:t>
      </w:r>
      <w:r>
        <w:rPr>
          <w:rFonts w:ascii="Cambria Math" w:eastAsia="Cambria Math" w:hAnsi="Cambria Math" w:cs="Cambria Math"/>
          <w:spacing w:val="-9"/>
          <w:position w:val="8"/>
          <w:sz w:val="24"/>
          <w:szCs w:val="24"/>
        </w:rPr>
        <w:t>×</w:t>
      </w:r>
      <w:r>
        <w:rPr>
          <w:rFonts w:ascii="Cambria Math" w:eastAsia="Cambria Math" w:hAnsi="Cambria Math" w:cs="Cambria Math"/>
          <w:spacing w:val="22"/>
          <w:position w:val="8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9"/>
          <w:position w:val="8"/>
          <w:sz w:val="24"/>
          <w:szCs w:val="24"/>
        </w:rPr>
        <w:t>100%</w:t>
      </w:r>
      <w:r>
        <w:rPr>
          <w:rFonts w:ascii="Cambria Math" w:eastAsia="Cambria Math" w:hAnsi="Cambria Math" w:cs="Cambria Math"/>
          <w:spacing w:val="1"/>
          <w:position w:val="8"/>
          <w:sz w:val="24"/>
          <w:szCs w:val="24"/>
        </w:rPr>
        <w:t xml:space="preserve">                                                 </w:t>
      </w:r>
      <w:r>
        <w:rPr>
          <w:rFonts w:ascii="Cambria Math" w:eastAsia="Cambria Math" w:hAnsi="Cambria Math" w:cs="Cambria Math"/>
          <w:position w:val="8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pacing w:val="-9"/>
          <w:position w:val="8"/>
          <w:sz w:val="24"/>
          <w:szCs w:val="24"/>
        </w:rPr>
        <w:t>(3)</w:t>
      </w:r>
    </w:p>
    <w:p>
      <w:pPr>
        <w:spacing w:before="208" w:line="221" w:lineRule="auto"/>
        <w:ind w:left="1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式中：</w:t>
      </w:r>
    </w:p>
    <w:p>
      <w:pPr>
        <w:spacing w:before="181" w:line="212" w:lineRule="auto"/>
        <w:ind w:left="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 Math" w:eastAsia="Cambria Math" w:hAnsi="Cambria Math" w:cs="Cambria Math"/>
          <w:spacing w:val="-1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——</w:t>
      </w:r>
      <w:r>
        <w:rPr>
          <w:rFonts w:ascii="SimSun" w:eastAsia="SimSun" w:hAnsi="SimSun" w:cs="SimSun"/>
          <w:spacing w:val="-1"/>
          <w:sz w:val="24"/>
          <w:szCs w:val="24"/>
        </w:rPr>
        <w:t>光源光斑不均匀度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;</w:t>
      </w:r>
    </w:p>
    <w:p>
      <w:pPr>
        <w:spacing w:before="138" w:line="216" w:lineRule="auto"/>
        <w:ind w:left="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>I</w:t>
      </w:r>
      <w:r>
        <w:rPr>
          <w:rFonts w:ascii="Cambria Math" w:eastAsia="Cambria Math" w:hAnsi="Cambria Math" w:cs="Cambria Math"/>
          <w:position w:val="-4"/>
          <w:sz w:val="16"/>
          <w:szCs w:val="16"/>
        </w:rPr>
        <w:t>max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pacing w:val="2"/>
          <w:sz w:val="24"/>
          <w:szCs w:val="24"/>
        </w:rPr>
        <w:t>参考太阳电池短路电流（或等效电压值）最大值，单位</w:t>
      </w:r>
      <w:r>
        <w:rPr>
          <w:rFonts w:ascii="Times New Roman" w:eastAsia="Times New Roman" w:hAnsi="Times New Roman" w:cs="Times New Roman"/>
          <w:sz w:val="24"/>
          <w:szCs w:val="24"/>
        </w:rPr>
        <w:t>mA</w:t>
      </w:r>
      <w:r>
        <w:rPr>
          <w:rFonts w:ascii="SimSun" w:eastAsia="SimSun" w:hAnsi="SimSun" w:cs="SimSun"/>
          <w:spacing w:val="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z w:val="24"/>
          <w:szCs w:val="24"/>
        </w:rPr>
        <w:t>mV</w:t>
      </w:r>
      <w:r>
        <w:rPr>
          <w:rFonts w:ascii="SimSun" w:eastAsia="SimSun" w:hAnsi="SimSun" w:cs="SimSun"/>
          <w:spacing w:val="2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;</w:t>
      </w:r>
    </w:p>
    <w:p>
      <w:pPr>
        <w:spacing w:before="133" w:line="217" w:lineRule="auto"/>
        <w:ind w:left="7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z w:val="24"/>
          <w:szCs w:val="24"/>
        </w:rPr>
        <w:t>I</w:t>
      </w:r>
      <w:r>
        <w:rPr>
          <w:rFonts w:ascii="Cambria Math" w:eastAsia="Cambria Math" w:hAnsi="Cambria Math" w:cs="Cambria Math"/>
          <w:position w:val="-4"/>
          <w:sz w:val="16"/>
          <w:szCs w:val="16"/>
        </w:rPr>
        <w:t>min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——</w:t>
      </w:r>
      <w:r>
        <w:rPr>
          <w:rFonts w:ascii="Times New Roman" w:eastAsia="Times New Roman" w:hAnsi="Times New Roman" w:cs="Times New Roman"/>
          <w:sz w:val="24"/>
          <w:szCs w:val="24"/>
        </w:rPr>
        <w:t>WPVS</w:t>
      </w:r>
      <w:r>
        <w:rPr>
          <w:rFonts w:ascii="SimSun" w:eastAsia="SimSun" w:hAnsi="SimSun" w:cs="SimSun"/>
          <w:spacing w:val="1"/>
          <w:sz w:val="24"/>
          <w:szCs w:val="24"/>
        </w:rPr>
        <w:t>参考太阳电池短路电流（或等效电压值）最小值，单位</w:t>
      </w:r>
      <w:r>
        <w:rPr>
          <w:rFonts w:ascii="Times New Roman" w:eastAsia="Times New Roman" w:hAnsi="Times New Roman" w:cs="Times New Roman"/>
          <w:sz w:val="24"/>
          <w:szCs w:val="24"/>
        </w:rPr>
        <w:t>mA</w:t>
      </w:r>
      <w:r>
        <w:rPr>
          <w:rFonts w:ascii="SimSun" w:eastAsia="SimSun" w:hAnsi="SimSun" w:cs="SimSun"/>
          <w:spacing w:val="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z w:val="24"/>
          <w:szCs w:val="24"/>
        </w:rPr>
        <w:t>mV</w:t>
      </w:r>
      <w:r>
        <w:rPr>
          <w:rFonts w:ascii="SimSun" w:eastAsia="SimSun" w:hAnsi="SimSun" w:cs="SimSun"/>
          <w:spacing w:val="1"/>
          <w:sz w:val="24"/>
          <w:szCs w:val="24"/>
        </w:rPr>
        <w:t>）。</w:t>
      </w:r>
    </w:p>
    <w:p>
      <w:pPr>
        <w:pStyle w:val="BodyText"/>
        <w:spacing w:before="52" w:line="222" w:lineRule="auto"/>
        <w:ind w:left="6"/>
        <w:outlineLvl w:val="1"/>
      </w:pPr>
      <w:r>
        <w:rPr>
          <w:spacing w:val="-2"/>
        </w:rPr>
        <w:t>8</w:t>
      </w:r>
      <w:r>
        <w:rPr>
          <w:spacing w:val="-53"/>
        </w:rPr>
        <w:t xml:space="preserve"> </w:t>
      </w:r>
      <w:r>
        <w:rPr>
          <w:spacing w:val="-2"/>
        </w:rPr>
        <w:t>校准结果表达</w:t>
      </w:r>
    </w:p>
    <w:p>
      <w:pPr>
        <w:spacing w:before="103" w:line="219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根据被检仪器校准结果出具校准证书，校准证</w:t>
      </w:r>
      <w:r>
        <w:rPr>
          <w:rFonts w:ascii="SimSun" w:eastAsia="SimSun" w:hAnsi="SimSun" w:cs="SimSun"/>
          <w:spacing w:val="-1"/>
          <w:sz w:val="24"/>
          <w:szCs w:val="24"/>
        </w:rPr>
        <w:t>书应至少包含以下信息：</w:t>
      </w:r>
    </w:p>
    <w:p>
      <w:pPr>
        <w:spacing w:before="183" w:line="219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5"/>
          <w:sz w:val="24"/>
          <w:szCs w:val="24"/>
        </w:rPr>
        <w:t>a)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5"/>
          <w:sz w:val="24"/>
          <w:szCs w:val="24"/>
        </w:rPr>
        <w:t>标题：“校准证书</w:t>
      </w:r>
      <w:r>
        <w:rPr>
          <w:rFonts w:ascii="SimSun" w:eastAsia="SimSun" w:hAnsi="SimSun" w:cs="SimSun"/>
          <w:spacing w:val="-8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5"/>
          <w:sz w:val="24"/>
          <w:szCs w:val="24"/>
        </w:rPr>
        <w:t>”；</w:t>
      </w:r>
    </w:p>
    <w:p>
      <w:pPr>
        <w:spacing w:before="182" w:line="221" w:lineRule="auto"/>
        <w:ind w:left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b)  实验室名称和地址；</w:t>
      </w:r>
    </w:p>
    <w:p>
      <w:pPr>
        <w:spacing w:before="181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c)  进行校准的地点（如果与实验室的地址不同</w:t>
      </w:r>
      <w:r>
        <w:rPr>
          <w:rFonts w:ascii="SimSun" w:eastAsia="SimSun" w:hAnsi="SimSun" w:cs="SimSun"/>
          <w:spacing w:val="-65"/>
          <w:sz w:val="24"/>
          <w:szCs w:val="24"/>
        </w:rPr>
        <w:t>）；</w:t>
      </w:r>
    </w:p>
    <w:p>
      <w:pPr>
        <w:spacing w:before="182" w:line="219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d)  证书的唯一性标识（如编号</w:t>
      </w:r>
      <w:r>
        <w:rPr>
          <w:rFonts w:ascii="SimSun" w:eastAsia="SimSun" w:hAnsi="SimSun" w:cs="SimSun"/>
          <w:spacing w:val="-55"/>
          <w:sz w:val="24"/>
          <w:szCs w:val="24"/>
        </w:rPr>
        <w:t>），</w:t>
      </w:r>
      <w:r>
        <w:rPr>
          <w:rFonts w:ascii="SimSun" w:eastAsia="SimSun" w:hAnsi="SimSun" w:cs="SimSun"/>
          <w:spacing w:val="-1"/>
          <w:sz w:val="24"/>
          <w:szCs w:val="24"/>
        </w:rPr>
        <w:t>每页及总页数的标识；</w:t>
      </w:r>
    </w:p>
    <w:p>
      <w:pPr>
        <w:spacing w:before="182" w:line="221" w:lineRule="auto"/>
        <w:ind w:left="49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e)  客户的名称以及地址；</w:t>
      </w:r>
    </w:p>
    <w:p>
      <w:pPr>
        <w:spacing w:before="181" w:line="220" w:lineRule="auto"/>
        <w:ind w:left="4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f)  被校准对象的描述和明确标识；</w:t>
      </w:r>
    </w:p>
    <w:p>
      <w:pPr>
        <w:spacing w:before="182" w:line="468" w:lineRule="exact"/>
        <w:ind w:left="49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g)  进行校准的日期，如果与校准结果的有效性和应用有关时，应说明被校准对象的</w:t>
      </w:r>
    </w:p>
    <w:p>
      <w:pPr>
        <w:spacing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接收日期；</w:t>
      </w:r>
    </w:p>
    <w:p>
      <w:pPr>
        <w:spacing w:before="182" w:line="220" w:lineRule="auto"/>
        <w:ind w:left="4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h)  如果与校准结果的有效性应用有关时，应对被校准样品的抽</w:t>
      </w:r>
      <w:r>
        <w:rPr>
          <w:rFonts w:ascii="SimSun" w:eastAsia="SimSun" w:hAnsi="SimSun" w:cs="SimSun"/>
          <w:spacing w:val="-1"/>
          <w:sz w:val="24"/>
          <w:szCs w:val="24"/>
        </w:rPr>
        <w:t>样程序进行说明；</w:t>
      </w:r>
    </w:p>
    <w:p>
      <w:pPr>
        <w:spacing w:before="183" w:line="219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i)  校准所依据的技术规范的标识，包括名称及代号；</w:t>
      </w:r>
    </w:p>
    <w:p>
      <w:pPr>
        <w:spacing w:before="182" w:line="215" w:lineRule="auto"/>
        <w:ind w:left="4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j)  本次校准所用测量标准的溯源性及有效性说明；</w:t>
      </w:r>
    </w:p>
    <w:p>
      <w:pPr>
        <w:spacing w:before="189" w:line="221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k)  校准环境的描述；</w:t>
      </w:r>
    </w:p>
    <w:p>
      <w:pPr>
        <w:spacing w:before="181" w:line="220" w:lineRule="auto"/>
        <w:ind w:left="503"/>
        <w:rPr>
          <w:rFonts w:ascii="SimSun" w:eastAsia="SimSun" w:hAnsi="SimSun" w:cs="SimSun"/>
          <w:sz w:val="24"/>
          <w:szCs w:val="24"/>
        </w:rPr>
        <w:sectPr>
          <w:headerReference w:type="default" r:id="rId28"/>
          <w:footerReference w:type="default" r:id="rId29"/>
          <w:pgSz w:w="11906" w:h="16839"/>
          <w:pgMar w:top="1719" w:right="954" w:bottom="1298" w:left="1418" w:header="1448" w:footer="1135" w:gutter="0"/>
          <w:pgNumType w:start="10"/>
          <w:cols w:space="708"/>
        </w:sectPr>
      </w:pPr>
      <w:r>
        <w:rPr>
          <w:rFonts w:ascii="SimSun" w:eastAsia="SimSun" w:hAnsi="SimSun" w:cs="SimSun"/>
          <w:spacing w:val="-2"/>
          <w:sz w:val="24"/>
          <w:szCs w:val="24"/>
        </w:rPr>
        <w:t>l)  校准结果及其测量不确定度的说明；</w:t>
      </w:r>
    </w:p>
    <w:p>
      <w:pPr>
        <w:spacing w:before="182" w:line="220" w:lineRule="auto"/>
        <w:ind w:left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m)  对校准规范的偏离的说明；</w:t>
      </w:r>
    </w:p>
    <w:p>
      <w:pPr>
        <w:spacing w:before="181" w:line="219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n)  校准证书或校准报告签发人的签名</w:t>
      </w:r>
      <w:r>
        <w:rPr>
          <w:rFonts w:ascii="SimSun" w:eastAsia="SimSun" w:hAnsi="SimSun" w:cs="SimSun"/>
          <w:spacing w:val="-1"/>
          <w:sz w:val="24"/>
          <w:szCs w:val="24"/>
        </w:rPr>
        <w:t>、职务或等效标识；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0"/>
          <w:footerReference w:type="default" r:id="rId31"/>
          <w:type w:val="nextPage"/>
          <w:pgSz w:w="11906" w:h="16839"/>
          <w:pgMar w:top="1719" w:right="954" w:bottom="1298" w:left="1418" w:header="1448" w:footer="1135" w:gutter="0"/>
          <w:pgNumType w:start="11"/>
          <w:cols w:space="708"/>
          <w:titlePg w:val="0"/>
        </w:sectPr>
      </w:pPr>
    </w:p>
    <w:p>
      <w:pPr>
        <w:spacing w:before="115" w:line="220" w:lineRule="auto"/>
        <w:ind w:left="491"/>
        <w:rPr>
          <w:rFonts w:ascii="SimSun" w:eastAsia="SimSun" w:hAnsi="SimSun" w:cs="SimSun"/>
          <w:sz w:val="24"/>
          <w:szCs w:val="24"/>
        </w:rPr>
      </w:pPr>
      <w:r>
        <w:pict>
          <v:rect id="_x0000_s1027" style="width:198pt;height:0.8pt;margin-top:217.62pt;margin-left:207.6pt;mso-position-horizontal-relative:page;mso-position-vertical-relative:page;position:absolute;z-index:251660288" o:allowincell="f" filled="t" fillcolor="black" stroked="f"/>
        </w:pict>
      </w:r>
      <w:r>
        <w:rPr>
          <w:rFonts w:ascii="SimSun" w:eastAsia="SimSun" w:hAnsi="SimSun" w:cs="SimSun"/>
          <w:spacing w:val="-1"/>
          <w:sz w:val="24"/>
          <w:szCs w:val="24"/>
        </w:rPr>
        <w:t>o)  校准结果仅对被校准对象的有效性说明；</w:t>
      </w:r>
    </w:p>
    <w:p>
      <w:pPr>
        <w:spacing w:before="181" w:line="215" w:lineRule="auto"/>
        <w:ind w:left="4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p)  未经实验室书面批准，不得部分复制证</w:t>
      </w:r>
      <w:r>
        <w:rPr>
          <w:rFonts w:ascii="SimSun" w:eastAsia="SimSun" w:hAnsi="SimSun" w:cs="SimSun"/>
          <w:spacing w:val="-1"/>
          <w:sz w:val="24"/>
          <w:szCs w:val="24"/>
        </w:rPr>
        <w:t>书或报告的声明。</w:t>
      </w:r>
    </w:p>
    <w:p>
      <w:pPr>
        <w:pStyle w:val="BodyText"/>
        <w:spacing w:before="108" w:line="222" w:lineRule="auto"/>
        <w:ind w:left="3"/>
        <w:outlineLvl w:val="1"/>
      </w:pPr>
      <w:r>
        <w:rPr>
          <w:spacing w:val="-3"/>
        </w:rPr>
        <w:t>9</w:t>
      </w:r>
      <w:r>
        <w:rPr>
          <w:spacing w:val="-43"/>
        </w:rPr>
        <w:t xml:space="preserve"> </w:t>
      </w:r>
      <w:r>
        <w:rPr>
          <w:spacing w:val="-3"/>
        </w:rPr>
        <w:t>复校时间间隔</w:t>
      </w:r>
    </w:p>
    <w:p>
      <w:pPr>
        <w:spacing w:before="103" w:line="468" w:lineRule="exact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复校时间间隔由仪器使用情况、使用者、仪器本身质量等因素决定，送检单位可根据</w:t>
      </w:r>
    </w:p>
    <w:p>
      <w:pPr>
        <w:spacing w:line="220" w:lineRule="auto"/>
        <w:ind w:left="1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实际使用情况自主决定复校时间间隔。建议仪器复校时间间隔最长不超</w:t>
      </w:r>
      <w:r>
        <w:rPr>
          <w:rFonts w:ascii="SimSun" w:eastAsia="SimSun" w:hAnsi="SimSun" w:cs="SimSun"/>
          <w:spacing w:val="-2"/>
          <w:sz w:val="24"/>
          <w:szCs w:val="24"/>
        </w:rPr>
        <w:t>过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12 </w:t>
      </w:r>
      <w:r>
        <w:rPr>
          <w:rFonts w:ascii="SimSun" w:eastAsia="SimSun" w:hAnsi="SimSun" w:cs="SimSun"/>
          <w:spacing w:val="-2"/>
          <w:sz w:val="24"/>
          <w:szCs w:val="24"/>
        </w:rPr>
        <w:t>个月。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2"/>
          <w:footerReference w:type="default" r:id="rId33"/>
          <w:pgSz w:w="11906" w:h="16839"/>
          <w:pgMar w:top="1719" w:right="1133" w:bottom="1295" w:left="1418" w:header="1448" w:footer="1135" w:gutter="0"/>
          <w:pgNumType w:start="12"/>
          <w:cols w:space="708"/>
        </w:sectPr>
      </w:pPr>
    </w:p>
    <w:p>
      <w:pPr>
        <w:pStyle w:val="BodyText"/>
        <w:spacing w:before="171" w:line="222" w:lineRule="auto"/>
        <w:ind w:left="26"/>
        <w:outlineLvl w:val="1"/>
        <w:rPr>
          <w:sz w:val="28"/>
          <w:szCs w:val="28"/>
        </w:rPr>
      </w:pPr>
      <w:r>
        <w:rPr>
          <w:spacing w:val="-9"/>
          <w:sz w:val="28"/>
          <w:szCs w:val="28"/>
        </w:rPr>
        <w:t>附录</w:t>
      </w:r>
      <w:r>
        <w:rPr>
          <w:spacing w:val="-69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A</w:t>
      </w:r>
    </w:p>
    <w:p>
      <w:pPr>
        <w:pStyle w:val="BodyText"/>
        <w:spacing w:before="287" w:line="222" w:lineRule="auto"/>
        <w:ind w:left="2136"/>
        <w:outlineLvl w:val="1"/>
        <w:rPr>
          <w:sz w:val="28"/>
          <w:szCs w:val="28"/>
        </w:rPr>
      </w:pPr>
      <w:r>
        <w:rPr>
          <w:spacing w:val="-2"/>
          <w:sz w:val="28"/>
          <w:szCs w:val="28"/>
        </w:rPr>
        <w:t>PL</w:t>
      </w:r>
      <w:r>
        <w:rPr>
          <w:spacing w:val="-4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空间分辨率校准结果不确定度评定示例</w:t>
      </w:r>
    </w:p>
    <w:p>
      <w:pPr>
        <w:pStyle w:val="BodyText"/>
        <w:spacing w:before="230" w:line="221" w:lineRule="auto"/>
        <w:ind w:left="3"/>
      </w:pPr>
      <w:r>
        <w:rPr>
          <w:spacing w:val="-2"/>
        </w:rPr>
        <w:t>A.1</w:t>
      </w:r>
      <w:r>
        <w:rPr>
          <w:spacing w:val="-54"/>
        </w:rPr>
        <w:t xml:space="preserve"> </w:t>
      </w:r>
      <w:r>
        <w:rPr>
          <w:spacing w:val="-2"/>
        </w:rPr>
        <w:t>概述</w:t>
      </w:r>
    </w:p>
    <w:p>
      <w:pPr>
        <w:pStyle w:val="BodyText"/>
        <w:spacing w:before="180" w:line="224" w:lineRule="auto"/>
        <w:ind w:left="3"/>
      </w:pPr>
      <w:r>
        <w:rPr>
          <w:spacing w:val="-1"/>
        </w:rPr>
        <w:t>A.1.1</w:t>
      </w:r>
      <w:r>
        <w:rPr>
          <w:spacing w:val="-53"/>
        </w:rPr>
        <w:t xml:space="preserve"> </w:t>
      </w:r>
      <w:r>
        <w:rPr>
          <w:spacing w:val="-1"/>
        </w:rPr>
        <w:t>测量用标准器</w:t>
      </w:r>
    </w:p>
    <w:p>
      <w:pPr>
        <w:spacing w:before="177" w:line="468" w:lineRule="exact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测量用标准器为</w:t>
      </w:r>
      <w:r>
        <w:rPr>
          <w:rFonts w:ascii="SimSun" w:eastAsia="SimSun" w:hAnsi="SimSun" w:cs="SimSun"/>
          <w:spacing w:val="-54"/>
          <w:position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7"/>
          <w:sz w:val="24"/>
          <w:szCs w:val="24"/>
        </w:rPr>
        <w:t xml:space="preserve">PL </w:t>
      </w: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空间分辨率测试板。</w:t>
      </w:r>
    </w:p>
    <w:p>
      <w:pPr>
        <w:pStyle w:val="BodyText"/>
        <w:spacing w:line="222" w:lineRule="auto"/>
        <w:ind w:left="3"/>
      </w:pPr>
      <w:r>
        <w:rPr>
          <w:spacing w:val="-2"/>
        </w:rPr>
        <w:t>A.1.2</w:t>
      </w:r>
      <w:r>
        <w:rPr>
          <w:spacing w:val="-46"/>
        </w:rPr>
        <w:t xml:space="preserve"> </w:t>
      </w:r>
      <w:r>
        <w:rPr>
          <w:spacing w:val="-2"/>
        </w:rPr>
        <w:t>测量对象</w:t>
      </w:r>
    </w:p>
    <w:p>
      <w:pPr>
        <w:spacing w:before="179" w:line="468" w:lineRule="exact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position w:val="17"/>
          <w:sz w:val="24"/>
          <w:szCs w:val="24"/>
        </w:rPr>
        <w:t>测量对象为太阳电池及太阳电池用硅片光致发光缺陷检测仪。</w:t>
      </w:r>
    </w:p>
    <w:p>
      <w:pPr>
        <w:pStyle w:val="BodyText"/>
        <w:spacing w:line="223" w:lineRule="auto"/>
        <w:ind w:left="3"/>
      </w:pPr>
      <w:r>
        <w:rPr>
          <w:spacing w:val="-2"/>
        </w:rPr>
        <w:t>A.2</w:t>
      </w:r>
      <w:r>
        <w:rPr>
          <w:spacing w:val="-50"/>
        </w:rPr>
        <w:t xml:space="preserve"> </w:t>
      </w:r>
      <w:r>
        <w:rPr>
          <w:spacing w:val="-2"/>
        </w:rPr>
        <w:t>测量模型</w:t>
      </w:r>
    </w:p>
    <w:p>
      <w:pPr>
        <w:spacing w:before="179" w:line="219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采用经过溯源的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PL</w:t>
      </w:r>
      <w:r>
        <w:rPr>
          <w:rFonts w:ascii="SimSun" w:eastAsia="SimSun" w:hAnsi="SimSun" w:cs="SimSun"/>
          <w:spacing w:val="-3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空间分辨率测试板测量缺陷检测仪的空间分辨率，空间分辨率的</w:t>
      </w:r>
    </w:p>
    <w:p>
      <w:pPr>
        <w:spacing w:before="183" w:line="220" w:lineRule="auto"/>
        <w:ind w:left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计算如下式所示：</w:t>
      </w:r>
    </w:p>
    <w:p>
      <w:pPr>
        <w:spacing w:before="140" w:line="181" w:lineRule="exact"/>
        <w:ind w:left="4905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Cambria Math" w:eastAsia="Cambria Math" w:hAnsi="Cambria Math" w:cs="Cambria Math"/>
          <w:position w:val="-3"/>
          <w:sz w:val="24"/>
          <w:szCs w:val="24"/>
        </w:rPr>
        <w:t>1</w:t>
      </w:r>
    </w:p>
    <w:p>
      <w:pPr>
        <w:spacing w:line="178" w:lineRule="exact"/>
        <w:ind w:left="4135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Cambria Math" w:eastAsia="Cambria Math" w:hAnsi="Cambria Math" w:cs="Cambria Math"/>
          <w:spacing w:val="-11"/>
          <w:position w:val="-2"/>
          <w:sz w:val="24"/>
          <w:szCs w:val="24"/>
        </w:rPr>
        <w:t>R</w:t>
      </w:r>
      <w:r>
        <w:rPr>
          <w:rFonts w:ascii="Cambria Math" w:eastAsia="Cambria Math" w:hAnsi="Cambria Math" w:cs="Cambria Math"/>
          <w:spacing w:val="2"/>
          <w:position w:val="-2"/>
          <w:sz w:val="24"/>
          <w:szCs w:val="24"/>
        </w:rPr>
        <w:t xml:space="preserve">   </w:t>
      </w:r>
      <w:r>
        <w:rPr>
          <w:rFonts w:ascii="Cambria Math" w:eastAsia="Cambria Math" w:hAnsi="Cambria Math" w:cs="Cambria Math"/>
          <w:spacing w:val="-11"/>
          <w:position w:val="-2"/>
          <w:sz w:val="24"/>
          <w:szCs w:val="24"/>
        </w:rPr>
        <w:t>=</w:t>
      </w:r>
      <w:r>
        <w:rPr>
          <w:rFonts w:ascii="Cambria Math" w:eastAsia="Cambria Math" w:hAnsi="Cambria Math" w:cs="Cambria Math"/>
          <w:spacing w:val="7"/>
          <w:position w:val="-2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trike/>
          <w:position w:val="-2"/>
          <w:sz w:val="24"/>
          <w:szCs w:val="24"/>
        </w:rPr>
        <w:t xml:space="preserve">           </w:t>
      </w:r>
    </w:p>
    <w:p>
      <w:pPr>
        <w:spacing w:line="189" w:lineRule="auto"/>
        <w:ind w:left="4287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Cambria Math" w:eastAsia="Cambria Math" w:hAnsi="Cambria Math" w:cs="Cambria Math"/>
          <w:spacing w:val="-11"/>
          <w:position w:val="10"/>
          <w:sz w:val="16"/>
          <w:szCs w:val="16"/>
        </w:rPr>
        <w:t>s</w:t>
      </w:r>
      <w:r>
        <w:rPr>
          <w:rFonts w:ascii="Cambria Math" w:eastAsia="Cambria Math" w:hAnsi="Cambria Math" w:cs="Cambria Math"/>
          <w:spacing w:val="2"/>
          <w:position w:val="10"/>
          <w:sz w:val="16"/>
          <w:szCs w:val="16"/>
        </w:rPr>
        <w:t xml:space="preserve">         </w:t>
      </w:r>
      <w:r>
        <w:rPr>
          <w:rFonts w:ascii="Cambria Math" w:eastAsia="Cambria Math" w:hAnsi="Cambria Math" w:cs="Cambria Math"/>
          <w:spacing w:val="-11"/>
          <w:sz w:val="24"/>
          <w:szCs w:val="24"/>
        </w:rPr>
        <w:t>2</w:t>
      </w:r>
      <w:r>
        <w:rPr>
          <w:rFonts w:ascii="Cambria Math" w:eastAsia="Cambria Math" w:hAnsi="Cambria Math" w:cs="Cambria Math"/>
          <w:spacing w:val="26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1"/>
          <w:sz w:val="24"/>
          <w:szCs w:val="24"/>
        </w:rPr>
        <w:t>×</w:t>
      </w:r>
      <w:r>
        <w:rPr>
          <w:rFonts w:ascii="Cambria Math" w:eastAsia="Cambria Math" w:hAnsi="Cambria Math" w:cs="Cambria Math"/>
          <w:spacing w:val="13"/>
          <w:w w:val="101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pacing w:val="-11"/>
          <w:sz w:val="24"/>
          <w:szCs w:val="24"/>
        </w:rPr>
        <w:t>d</w:t>
      </w:r>
    </w:p>
    <w:p>
      <w:pPr>
        <w:spacing w:before="2" w:line="503" w:lineRule="exact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式中：</w:t>
      </w:r>
      <w:r>
        <w:rPr>
          <w:rFonts w:ascii="Cambria Math" w:eastAsia="Cambria Math" w:hAnsi="Cambria Math" w:cs="Cambria Math"/>
          <w:spacing w:val="-2"/>
          <w:position w:val="17"/>
          <w:sz w:val="24"/>
          <w:szCs w:val="24"/>
        </w:rPr>
        <w:t>R</w:t>
      </w:r>
      <w:r>
        <w:rPr>
          <w:rFonts w:ascii="Cambria Math" w:eastAsia="Cambria Math" w:hAnsi="Cambria Math" w:cs="Cambria Math"/>
          <w:spacing w:val="-2"/>
          <w:position w:val="13"/>
          <w:sz w:val="16"/>
          <w:szCs w:val="16"/>
        </w:rPr>
        <w:t>s</w:t>
      </w:r>
      <w:r>
        <w:rPr>
          <w:rFonts w:ascii="Cambria Math" w:eastAsia="Cambria Math" w:hAnsi="Cambria Math" w:cs="Cambria Math"/>
          <w:spacing w:val="-7"/>
          <w:position w:val="13"/>
          <w:sz w:val="16"/>
          <w:szCs w:val="16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——被检仪器</w:t>
      </w:r>
      <w:r>
        <w:rPr>
          <w:rFonts w:ascii="SimSun" w:eastAsia="SimSun" w:hAnsi="SimSun" w:cs="SimSun"/>
          <w:spacing w:val="-54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PL</w:t>
      </w:r>
      <w:r>
        <w:rPr>
          <w:rFonts w:ascii="SimSun" w:eastAsia="SimSun" w:hAnsi="SimSun" w:cs="SimSun"/>
          <w:spacing w:val="-44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空间分辨率，</w:t>
      </w:r>
      <w:r>
        <w:rPr>
          <w:rFonts w:ascii="Times New Roman" w:eastAsia="Times New Roman" w:hAnsi="Times New Roman" w:cs="Times New Roman"/>
          <w:spacing w:val="-2"/>
          <w:position w:val="17"/>
          <w:sz w:val="24"/>
          <w:szCs w:val="24"/>
        </w:rPr>
        <w:t>lp/mm</w:t>
      </w:r>
      <w:r>
        <w:rPr>
          <w:rFonts w:ascii="SimSun" w:eastAsia="SimSun" w:hAnsi="SimSun" w:cs="SimSun"/>
          <w:spacing w:val="-2"/>
          <w:position w:val="17"/>
          <w:sz w:val="24"/>
          <w:szCs w:val="24"/>
        </w:rPr>
        <w:t>；</w:t>
      </w:r>
    </w:p>
    <w:p>
      <w:pPr>
        <w:spacing w:before="1" w:line="220" w:lineRule="auto"/>
        <w:ind w:left="1212"/>
        <w:rPr>
          <w:rFonts w:ascii="SimSun" w:eastAsia="SimSun" w:hAnsi="SimSun" w:cs="SimSun"/>
          <w:sz w:val="24"/>
          <w:szCs w:val="24"/>
        </w:rPr>
      </w:pPr>
      <w:r>
        <w:rPr>
          <w:rFonts w:ascii="Cambria Math" w:eastAsia="Cambria Math" w:hAnsi="Cambria Math" w:cs="Cambria Math"/>
          <w:spacing w:val="-1"/>
          <w:sz w:val="24"/>
          <w:szCs w:val="24"/>
        </w:rPr>
        <w:t>d</w:t>
      </w:r>
      <w:r>
        <w:rPr>
          <w:rFonts w:ascii="SimSun" w:eastAsia="SimSun" w:hAnsi="SimSun" w:cs="SimSun"/>
          <w:spacing w:val="-1"/>
          <w:sz w:val="24"/>
          <w:szCs w:val="24"/>
        </w:rPr>
        <w:t>——线对单个条纹宽度，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mm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pStyle w:val="BodyText"/>
        <w:spacing w:before="127" w:line="221" w:lineRule="auto"/>
        <w:ind w:left="3"/>
      </w:pPr>
      <w:r>
        <w:rPr>
          <w:spacing w:val="-2"/>
        </w:rPr>
        <w:t>A.2.1</w:t>
      </w:r>
      <w:r>
        <w:rPr>
          <w:spacing w:val="-42"/>
        </w:rPr>
        <w:t xml:space="preserve"> </w:t>
      </w:r>
      <w:r>
        <w:rPr>
          <w:spacing w:val="-2"/>
        </w:rPr>
        <w:t>不确定度来源</w:t>
      </w:r>
    </w:p>
    <w:p>
      <w:pPr>
        <w:spacing w:before="181" w:line="468" w:lineRule="exact"/>
        <w:ind w:right="2"/>
        <w:jc w:val="right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不确定度来源包括：测量重复性引起的不确定度，</w:t>
      </w:r>
      <w:r>
        <w:rPr>
          <w:rFonts w:ascii="Times New Roman" w:eastAsia="Times New Roman" w:hAnsi="Times New Roman" w:cs="Times New Roman"/>
          <w:spacing w:val="-4"/>
          <w:position w:val="17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30"/>
          <w:position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position w:val="17"/>
          <w:sz w:val="24"/>
          <w:szCs w:val="24"/>
        </w:rPr>
        <w:t>空间分辨率测试板引起的不确定</w:t>
      </w:r>
    </w:p>
    <w:p>
      <w:pPr>
        <w:spacing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度，</w:t>
      </w:r>
      <w:r>
        <w:rPr>
          <w:rFonts w:ascii="SimSun" w:eastAsia="SimSun" w:hAnsi="SimSun" w:cs="SimSun"/>
          <w:spacing w:val="-6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目视判断引起的不确定度。</w:t>
      </w:r>
    </w:p>
    <w:p>
      <w:pPr>
        <w:pStyle w:val="BodyText"/>
        <w:spacing w:before="181" w:line="222" w:lineRule="auto"/>
        <w:ind w:left="3"/>
      </w:pPr>
      <w:r>
        <w:rPr>
          <w:spacing w:val="-1"/>
        </w:rPr>
        <w:t>A.3</w:t>
      </w:r>
      <w:r>
        <w:rPr>
          <w:spacing w:val="-50"/>
        </w:rPr>
        <w:t xml:space="preserve"> </w:t>
      </w:r>
      <w:r>
        <w:rPr>
          <w:spacing w:val="-1"/>
        </w:rPr>
        <w:t>标准不确定度分量的评定</w:t>
      </w:r>
    </w:p>
    <w:p>
      <w:pPr>
        <w:pStyle w:val="BodyText"/>
        <w:spacing w:before="180" w:line="222" w:lineRule="auto"/>
        <w:ind w:left="3"/>
      </w:pPr>
      <w:r>
        <w:rPr>
          <w:spacing w:val="-1"/>
        </w:rPr>
        <w:t>A.3.1</w:t>
      </w:r>
      <w:r>
        <w:rPr>
          <w:spacing w:val="-53"/>
        </w:rPr>
        <w:t xml:space="preserve"> </w:t>
      </w:r>
      <w:r>
        <w:rPr>
          <w:spacing w:val="-1"/>
        </w:rPr>
        <w:t>测量重复性引入的不确定度分量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</w:rPr>
        <w:t>“</w:t>
      </w:r>
      <w:r>
        <w:rPr>
          <w:rFonts w:ascii="Times New Roman" w:eastAsia="Times New Roman" w:hAnsi="Times New Roman" w:cs="Times New Roman"/>
          <w:i/>
          <w:iCs/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spacing w:val="-2"/>
          <w:position w:val="-1"/>
          <w:sz w:val="15"/>
          <w:szCs w:val="15"/>
        </w:rPr>
        <w:t xml:space="preserve"> </w:t>
      </w:r>
      <w:r>
        <w:rPr>
          <w:spacing w:val="-2"/>
        </w:rPr>
        <w:t>评定</w:t>
      </w:r>
    </w:p>
    <w:p>
      <w:pPr>
        <w:spacing w:before="179" w:line="360" w:lineRule="auto"/>
        <w:ind w:left="9" w:right="2" w:firstLine="48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用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PL </w:t>
      </w:r>
      <w:r>
        <w:rPr>
          <w:rFonts w:ascii="SimSun" w:eastAsia="SimSun" w:hAnsi="SimSun" w:cs="SimSun"/>
          <w:spacing w:val="-1"/>
          <w:sz w:val="24"/>
          <w:szCs w:val="24"/>
        </w:rPr>
        <w:t>空间分辨率测试板贴在被校设备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空间分辨率测量结果最差的位置，使</w:t>
      </w:r>
      <w:r>
        <w:rPr>
          <w:rFonts w:ascii="SimSun" w:eastAsia="SimSun" w:hAnsi="SimSun" w:cs="SimSun"/>
          <w:spacing w:val="-2"/>
          <w:sz w:val="24"/>
          <w:szCs w:val="24"/>
        </w:rPr>
        <w:t>用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SimSun" w:eastAsia="SimSun" w:hAnsi="SimSun" w:cs="SimSun"/>
          <w:sz w:val="24"/>
          <w:szCs w:val="24"/>
        </w:rPr>
        <w:t>缺陷检测仪进行重复测量，再根据目视结果，记</w:t>
      </w:r>
      <w:r>
        <w:rPr>
          <w:rFonts w:ascii="SimSun" w:eastAsia="SimSun" w:hAnsi="SimSun" w:cs="SimSun"/>
          <w:spacing w:val="-1"/>
          <w:sz w:val="24"/>
          <w:szCs w:val="24"/>
        </w:rPr>
        <w:t>录每次测量的最小目视可分辨线对条纹宽</w:t>
      </w:r>
    </w:p>
    <w:p>
      <w:pPr>
        <w:spacing w:before="2"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度，测量结果如表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A1 </w:t>
      </w:r>
      <w:r>
        <w:rPr>
          <w:rFonts w:ascii="SimSun" w:eastAsia="SimSun" w:hAnsi="SimSun" w:cs="SimSun"/>
          <w:spacing w:val="-1"/>
          <w:sz w:val="24"/>
          <w:szCs w:val="24"/>
        </w:rPr>
        <w:t>所示：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4"/>
          <w:footerReference w:type="default" r:id="rId35"/>
          <w:pgSz w:w="11906" w:h="16839"/>
          <w:pgMar w:top="1719" w:right="1132" w:bottom="1298" w:left="1418" w:header="1448" w:footer="1135" w:gutter="0"/>
          <w:pgNumType w:start="13"/>
          <w:cols w:space="708"/>
        </w:sectPr>
      </w:pPr>
    </w:p>
    <w:p>
      <w:pPr>
        <w:pStyle w:val="BodyText"/>
        <w:spacing w:before="31" w:line="222" w:lineRule="auto"/>
        <w:ind w:left="3086"/>
        <w:rPr>
          <w:sz w:val="20"/>
          <w:szCs w:val="20"/>
        </w:rPr>
      </w:pPr>
      <w:r>
        <w:rPr>
          <w:spacing w:val="7"/>
          <w:sz w:val="20"/>
          <w:szCs w:val="20"/>
        </w:rPr>
        <w:t>表</w:t>
      </w:r>
      <w:r>
        <w:rPr>
          <w:spacing w:val="-33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A1</w:t>
      </w:r>
      <w:r>
        <w:rPr>
          <w:spacing w:val="7"/>
          <w:sz w:val="20"/>
          <w:szCs w:val="20"/>
        </w:rPr>
        <w:t xml:space="preserve">  </w:t>
      </w:r>
      <w:r>
        <w:rPr>
          <w:spacing w:val="7"/>
          <w:sz w:val="20"/>
          <w:szCs w:val="20"/>
        </w:rPr>
        <w:t>测量重复性引入的不确定度</w:t>
      </w:r>
    </w:p>
    <w:tbl>
      <w:tblPr>
        <w:tblStyle w:val="TableNormal2"/>
        <w:tblW w:w="6332" w:type="dxa"/>
        <w:tblInd w:w="15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004"/>
        <w:gridCol w:w="4328"/>
      </w:tblGrid>
      <w:tr>
        <w:tblPrEx>
          <w:tblW w:w="6332" w:type="dxa"/>
          <w:tblInd w:w="151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9"/>
        </w:trPr>
        <w:tc>
          <w:tcPr>
            <w:tcW w:w="2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28" w:type="dxa"/>
            <w:vAlign w:val="top"/>
          </w:tcPr>
          <w:p>
            <w:pPr>
              <w:spacing w:before="71" w:line="228" w:lineRule="auto"/>
              <w:ind w:left="53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最小目视可分辨线对条纹宽度(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mm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)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4"/>
        </w:trPr>
        <w:tc>
          <w:tcPr>
            <w:tcW w:w="2004" w:type="dxa"/>
            <w:vAlign w:val="top"/>
          </w:tcPr>
          <w:p>
            <w:pPr>
              <w:spacing w:before="95" w:line="189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3"/>
                <w:sz w:val="14"/>
                <w:szCs w:val="14"/>
              </w:rPr>
              <w:t>1</w:t>
            </w:r>
          </w:p>
        </w:tc>
        <w:tc>
          <w:tcPr>
            <w:tcW w:w="4328" w:type="dxa"/>
            <w:vAlign w:val="top"/>
          </w:tcPr>
          <w:p>
            <w:pPr>
              <w:spacing w:before="103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0.25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4"/>
        </w:trPr>
        <w:tc>
          <w:tcPr>
            <w:tcW w:w="2004" w:type="dxa"/>
            <w:vAlign w:val="top"/>
          </w:tcPr>
          <w:p>
            <w:pPr>
              <w:spacing w:before="97" w:line="196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2</w:t>
            </w:r>
          </w:p>
        </w:tc>
        <w:tc>
          <w:tcPr>
            <w:tcW w:w="4328" w:type="dxa"/>
            <w:vAlign w:val="top"/>
          </w:tcPr>
          <w:p>
            <w:pPr>
              <w:spacing w:before="90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4"/>
        </w:trPr>
        <w:tc>
          <w:tcPr>
            <w:tcW w:w="2004" w:type="dxa"/>
            <w:vAlign w:val="top"/>
          </w:tcPr>
          <w:p>
            <w:pPr>
              <w:spacing w:before="98" w:line="195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3</w:t>
            </w:r>
          </w:p>
        </w:tc>
        <w:tc>
          <w:tcPr>
            <w:tcW w:w="4328" w:type="dxa"/>
            <w:vAlign w:val="top"/>
          </w:tcPr>
          <w:p>
            <w:pPr>
              <w:spacing w:before="89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4"/>
        </w:trPr>
        <w:tc>
          <w:tcPr>
            <w:tcW w:w="2004" w:type="dxa"/>
            <w:vAlign w:val="top"/>
          </w:tcPr>
          <w:p>
            <w:pPr>
              <w:spacing w:before="101" w:line="193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4</w:t>
            </w:r>
          </w:p>
        </w:tc>
        <w:tc>
          <w:tcPr>
            <w:tcW w:w="4328" w:type="dxa"/>
            <w:vAlign w:val="top"/>
          </w:tcPr>
          <w:p>
            <w:pPr>
              <w:spacing w:before="90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2" w:line="193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5</w:t>
            </w:r>
          </w:p>
        </w:tc>
        <w:tc>
          <w:tcPr>
            <w:tcW w:w="4328" w:type="dxa"/>
            <w:vAlign w:val="top"/>
          </w:tcPr>
          <w:p>
            <w:pPr>
              <w:spacing w:before="91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0" w:line="186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3"/>
                <w:sz w:val="14"/>
                <w:szCs w:val="14"/>
              </w:rPr>
              <w:t>6</w:t>
            </w:r>
          </w:p>
        </w:tc>
        <w:tc>
          <w:tcPr>
            <w:tcW w:w="4328" w:type="dxa"/>
            <w:vAlign w:val="top"/>
          </w:tcPr>
          <w:p>
            <w:pPr>
              <w:spacing w:before="92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0.25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1" w:line="194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7</w:t>
            </w:r>
          </w:p>
        </w:tc>
        <w:tc>
          <w:tcPr>
            <w:tcW w:w="4328" w:type="dxa"/>
            <w:vAlign w:val="top"/>
          </w:tcPr>
          <w:p>
            <w:pPr>
              <w:spacing w:before="92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1" w:line="194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8</w:t>
            </w:r>
          </w:p>
        </w:tc>
        <w:tc>
          <w:tcPr>
            <w:tcW w:w="4328" w:type="dxa"/>
            <w:vAlign w:val="top"/>
          </w:tcPr>
          <w:p>
            <w:pPr>
              <w:spacing w:before="93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1" w:line="194" w:lineRule="auto"/>
              <w:ind w:left="905"/>
              <w:rPr>
                <w:rFonts w:ascii="Kartika" w:eastAsia="Kartika" w:hAnsi="Kartika" w:cs="Kartika"/>
                <w:sz w:val="14"/>
                <w:szCs w:val="14"/>
              </w:rPr>
            </w:pPr>
            <w:r>
              <w:rPr>
                <w:rFonts w:ascii="Kartika" w:eastAsia="Kartika" w:hAnsi="Kartika" w:cs="Kartika"/>
                <w:spacing w:val="-3"/>
                <w:position w:val="1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3"/>
                <w:position w:val="-2"/>
                <w:sz w:val="14"/>
                <w:szCs w:val="14"/>
              </w:rPr>
              <w:t>9</w:t>
            </w:r>
          </w:p>
        </w:tc>
        <w:tc>
          <w:tcPr>
            <w:tcW w:w="4328" w:type="dxa"/>
            <w:vAlign w:val="top"/>
          </w:tcPr>
          <w:p>
            <w:pPr>
              <w:spacing w:before="105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1" w:line="185" w:lineRule="auto"/>
              <w:ind w:left="864"/>
              <w:rPr>
                <w:rFonts w:ascii="Kartika" w:eastAsia="Kartika" w:hAnsi="Kartika" w:cs="Kartika"/>
                <w:sz w:val="14"/>
                <w:szCs w:val="14"/>
              </w:rPr>
            </w:pPr>
            <w:r>
              <w:pict>
                <v:shape id="_x0000_s1028" type="#_x0000_t202" style="width:8pt;height:24.05pt;margin-top:12.17pt;margin-left:46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440" w:lineRule="exact"/>
                          <w:jc w:val="right"/>
                          <w:rPr>
                            <w:rFonts w:ascii="Kartika" w:eastAsia="Kartika" w:hAnsi="Kartika" w:cs="Kartika"/>
                            <w:sz w:val="20"/>
                            <w:szCs w:val="20"/>
                          </w:rPr>
                        </w:pPr>
                        <w:r>
                          <w:rPr>
                            <w:rFonts w:ascii="Kartika" w:eastAsia="Kartika" w:hAnsi="Kartika" w:cs="Kartika"/>
                            <w:spacing w:val="-18"/>
                            <w:w w:val="79"/>
                            <w:position w:val="7"/>
                            <w:sz w:val="20"/>
                            <w:szCs w:val="20"/>
                          </w:rPr>
                          <w:t>ഥ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rtika" w:eastAsia="Kartika" w:hAnsi="Kartika" w:cs="Kartika"/>
                <w:spacing w:val="-2"/>
                <w:position w:val="2"/>
                <w:sz w:val="20"/>
                <w:szCs w:val="20"/>
              </w:rPr>
              <w:t>d</w:t>
            </w:r>
            <w:r>
              <w:rPr>
                <w:rFonts w:ascii="Kartika" w:eastAsia="Kartika" w:hAnsi="Kartika" w:cs="Kartika"/>
                <w:spacing w:val="-2"/>
                <w:position w:val="-2"/>
                <w:sz w:val="14"/>
                <w:szCs w:val="14"/>
              </w:rPr>
              <w:t>10</w:t>
            </w:r>
          </w:p>
        </w:tc>
        <w:tc>
          <w:tcPr>
            <w:tcW w:w="4328" w:type="dxa"/>
            <w:vAlign w:val="top"/>
          </w:tcPr>
          <w:p>
            <w:pPr>
              <w:spacing w:before="105" w:line="195" w:lineRule="auto"/>
              <w:ind w:left="19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5"/>
        </w:trPr>
        <w:tc>
          <w:tcPr>
            <w:tcW w:w="2004" w:type="dxa"/>
            <w:vAlign w:val="top"/>
          </w:tcPr>
          <w:p>
            <w:pPr>
              <w:spacing w:before="102" w:line="196" w:lineRule="auto"/>
              <w:ind w:left="950"/>
              <w:rPr>
                <w:rFonts w:ascii="Kartika" w:eastAsia="Kartika" w:hAnsi="Kartika" w:cs="Kartika"/>
                <w:sz w:val="20"/>
                <w:szCs w:val="20"/>
              </w:rPr>
            </w:pPr>
            <w:r>
              <w:rPr>
                <w:rFonts w:ascii="Kartika" w:eastAsia="Kartika" w:hAnsi="Kartika" w:cs="Kartika"/>
                <w:sz w:val="20"/>
                <w:szCs w:val="20"/>
              </w:rPr>
              <w:t>d</w:t>
            </w:r>
          </w:p>
        </w:tc>
        <w:tc>
          <w:tcPr>
            <w:tcW w:w="4328" w:type="dxa"/>
            <w:vAlign w:val="top"/>
          </w:tcPr>
          <w:p>
            <w:pPr>
              <w:spacing w:before="106" w:line="195" w:lineRule="auto"/>
              <w:ind w:left="19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0.226</w:t>
            </w:r>
          </w:p>
        </w:tc>
      </w:tr>
      <w:tr>
        <w:tblPrEx>
          <w:tblW w:w="6332" w:type="dxa"/>
          <w:tblInd w:w="1510" w:type="dxa"/>
          <w:tblLayout w:type="fixed"/>
        </w:tblPrEx>
        <w:trPr>
          <w:trHeight w:val="349"/>
        </w:trPr>
        <w:tc>
          <w:tcPr>
            <w:tcW w:w="2004" w:type="dxa"/>
            <w:vAlign w:val="top"/>
          </w:tcPr>
          <w:p>
            <w:pPr>
              <w:spacing w:before="71" w:line="221" w:lineRule="auto"/>
              <w:ind w:left="187"/>
              <w:rPr>
                <w:rFonts w:ascii="Kartika" w:eastAsia="Kartika" w:hAnsi="Kartika" w:cs="Kartika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实验标准偏差</w:t>
            </w:r>
            <w:r>
              <w:rPr>
                <w:rFonts w:ascii="Kartika" w:eastAsia="Kartika" w:hAnsi="Kartika" w:cs="Kartika"/>
                <w:spacing w:val="8"/>
                <w:sz w:val="20"/>
                <w:szCs w:val="20"/>
              </w:rPr>
              <w:t>s(d)</w:t>
            </w:r>
          </w:p>
        </w:tc>
        <w:tc>
          <w:tcPr>
            <w:tcW w:w="4328" w:type="dxa"/>
            <w:vAlign w:val="top"/>
          </w:tcPr>
          <w:p>
            <w:pPr>
              <w:spacing w:before="106" w:line="195" w:lineRule="auto"/>
              <w:ind w:left="193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0.013</w:t>
            </w:r>
          </w:p>
        </w:tc>
      </w:tr>
    </w:tbl>
    <w:p>
      <w:pPr>
        <w:spacing w:before="114" w:line="221" w:lineRule="auto"/>
        <w:ind w:left="49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则由测量重复性引入的不确定度</w:t>
      </w:r>
      <w:r>
        <w:rPr>
          <w:rFonts w:ascii="SimSun" w:eastAsia="SimSun" w:hAnsi="SimSun" w:cs="SimSun"/>
          <w:spacing w:val="-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position w:val="-1"/>
          <w:sz w:val="15"/>
          <w:szCs w:val="15"/>
        </w:rPr>
        <w:t>1</w:t>
      </w:r>
      <w:r>
        <w:rPr>
          <w:rFonts w:ascii="Times New Roman" w:eastAsia="Times New Roman" w:hAnsi="Times New Roman" w:cs="Times New Roman"/>
          <w:spacing w:val="12"/>
          <w:w w:val="101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为：</w:t>
      </w:r>
    </w:p>
    <w:p>
      <w:pPr>
        <w:spacing w:before="207" w:line="206" w:lineRule="auto"/>
        <w:ind w:left="3519"/>
        <w:rPr>
          <w:rFonts w:ascii="Kartika" w:eastAsia="Kartika" w:hAnsi="Kartika" w:cs="Kartika"/>
          <w:sz w:val="24"/>
          <w:szCs w:val="24"/>
        </w:rPr>
      </w:pPr>
      <w:r>
        <w:rPr>
          <w:rFonts w:ascii="Kartika" w:eastAsia="Kartika" w:hAnsi="Kartika" w:cs="Kartika"/>
          <w:spacing w:val="-5"/>
          <w:sz w:val="24"/>
          <w:szCs w:val="24"/>
        </w:rPr>
        <w:t>u</w:t>
      </w:r>
      <w:r>
        <w:rPr>
          <w:rFonts w:ascii="Kartika" w:eastAsia="Kartika" w:hAnsi="Kartika" w:cs="Kartika"/>
          <w:spacing w:val="-5"/>
          <w:position w:val="-4"/>
          <w:sz w:val="16"/>
          <w:szCs w:val="16"/>
        </w:rPr>
        <w:t>1</w:t>
      </w:r>
      <w:r>
        <w:rPr>
          <w:rFonts w:ascii="Kartika" w:eastAsia="Kartika" w:hAnsi="Kartika" w:cs="Kartika"/>
          <w:spacing w:val="-18"/>
          <w:position w:val="-4"/>
          <w:sz w:val="16"/>
          <w:szCs w:val="16"/>
        </w:rPr>
        <w:t xml:space="preserve"> </w:t>
      </w:r>
      <w:r>
        <w:rPr>
          <w:rFonts w:ascii="Kartika" w:eastAsia="Kartika" w:hAnsi="Kartika" w:cs="Kartika"/>
          <w:spacing w:val="-5"/>
          <w:sz w:val="24"/>
          <w:szCs w:val="24"/>
        </w:rPr>
        <w:t>=</w:t>
      </w:r>
      <w:r>
        <w:rPr>
          <w:rFonts w:ascii="Kartika" w:eastAsia="Kartika" w:hAnsi="Kartika" w:cs="Kartika"/>
          <w:spacing w:val="-107"/>
          <w:sz w:val="24"/>
          <w:szCs w:val="24"/>
        </w:rPr>
        <w:t xml:space="preserve"> </w:t>
      </w:r>
      <w:r>
        <w:rPr>
          <w:rFonts w:ascii="Kartika" w:eastAsia="Kartika" w:hAnsi="Kartika" w:cs="Kartika"/>
          <w:spacing w:val="-5"/>
          <w:sz w:val="24"/>
          <w:szCs w:val="24"/>
        </w:rPr>
        <w:t>s</w:t>
      </w:r>
      <w:r>
        <w:rPr>
          <w:rFonts w:ascii="Kartika" w:eastAsia="Kartika" w:hAnsi="Kartika" w:cs="Kartika"/>
          <w:spacing w:val="-156"/>
          <w:sz w:val="24"/>
          <w:szCs w:val="24"/>
        </w:rPr>
        <w:t xml:space="preserve"> </w:t>
      </w:r>
      <w:r>
        <w:rPr>
          <w:position w:val="-4"/>
          <w:sz w:val="24"/>
          <w:szCs w:val="24"/>
        </w:rPr>
        <w:drawing>
          <wp:inline distT="0" distB="0" distL="0" distR="0">
            <wp:extent cx="47904" cy="14097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904" cy="14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rtika" w:eastAsia="Kartika" w:hAnsi="Kartika" w:cs="Kartika"/>
          <w:spacing w:val="-5"/>
          <w:sz w:val="24"/>
          <w:szCs w:val="24"/>
        </w:rPr>
        <w:t>D</w:t>
      </w:r>
      <w:r>
        <w:rPr>
          <w:position w:val="-4"/>
          <w:sz w:val="24"/>
          <w:szCs w:val="24"/>
        </w:rPr>
        <w:drawing>
          <wp:inline distT="0" distB="0" distL="0" distR="0">
            <wp:extent cx="47917" cy="14097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917" cy="14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rtika" w:eastAsia="Kartika" w:hAnsi="Kartika" w:cs="Kartika"/>
          <w:spacing w:val="-73"/>
          <w:sz w:val="24"/>
          <w:szCs w:val="24"/>
        </w:rPr>
        <w:t xml:space="preserve"> </w:t>
      </w:r>
      <w:r>
        <w:rPr>
          <w:rFonts w:ascii="Kartika" w:eastAsia="Kartika" w:hAnsi="Kartika" w:cs="Kartika"/>
          <w:spacing w:val="-5"/>
          <w:sz w:val="24"/>
          <w:szCs w:val="24"/>
        </w:rPr>
        <w:t>=</w:t>
      </w:r>
      <w:r>
        <w:rPr>
          <w:rFonts w:ascii="Kartika" w:eastAsia="Kartika" w:hAnsi="Kartika" w:cs="Kartika"/>
          <w:spacing w:val="-100"/>
          <w:sz w:val="24"/>
          <w:szCs w:val="24"/>
        </w:rPr>
        <w:t xml:space="preserve"> </w:t>
      </w:r>
      <w:r>
        <w:rPr>
          <w:rFonts w:ascii="Kartika" w:eastAsia="Kartika" w:hAnsi="Kartika" w:cs="Kartika"/>
          <w:spacing w:val="-5"/>
          <w:sz w:val="24"/>
          <w:szCs w:val="24"/>
        </w:rPr>
        <w:t>0.013mm</w:t>
      </w:r>
    </w:p>
    <w:p>
      <w:pPr>
        <w:pStyle w:val="BodyText"/>
        <w:spacing w:before="142" w:line="221" w:lineRule="auto"/>
        <w:ind w:left="3"/>
      </w:pPr>
      <w:r>
        <w:rPr>
          <w:spacing w:val="-1"/>
        </w:rPr>
        <w:t>A.3.2</w:t>
      </w:r>
      <w:r>
        <w:rPr>
          <w:spacing w:val="-1"/>
        </w:rPr>
        <w:t xml:space="preserve"> </w:t>
      </w:r>
      <w:r>
        <w:rPr>
          <w:spacing w:val="-1"/>
        </w:rPr>
        <w:t>由</w:t>
      </w:r>
      <w:r>
        <w:rPr>
          <w:spacing w:val="-47"/>
        </w:rPr>
        <w:t xml:space="preserve"> </w:t>
      </w:r>
      <w:r>
        <w:rPr>
          <w:spacing w:val="-1"/>
        </w:rPr>
        <w:t>EL</w:t>
      </w:r>
      <w:r>
        <w:rPr>
          <w:spacing w:val="-47"/>
        </w:rPr>
        <w:t xml:space="preserve"> </w:t>
      </w:r>
      <w:r>
        <w:rPr>
          <w:spacing w:val="-1"/>
        </w:rPr>
        <w:t>空间分辨率测试板校准结果引入的不确定度分量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 xml:space="preserve">2 </w:t>
      </w:r>
      <w:r>
        <w:rPr>
          <w:spacing w:val="-1"/>
        </w:rPr>
        <w:t>评定</w:t>
      </w:r>
    </w:p>
    <w:p>
      <w:pPr>
        <w:spacing w:before="181" w:line="360" w:lineRule="auto"/>
        <w:ind w:left="8" w:right="2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对于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空间分辨率测试板，根据校准证书提供的数据可知，校准结果的扩展不确定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度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=0.01mm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2"/>
          <w:sz w:val="24"/>
          <w:szCs w:val="24"/>
        </w:rPr>
        <w:t>k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=2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，则由</w:t>
      </w:r>
      <w:r>
        <w:rPr>
          <w:rFonts w:ascii="SimSun" w:eastAsia="SimSun" w:hAnsi="SimSun" w:cs="SimSun"/>
          <w:spacing w:val="-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PL</w:t>
      </w:r>
      <w:r>
        <w:rPr>
          <w:rFonts w:ascii="Times New Roman" w:eastAsia="Times New Roman" w:hAnsi="Times New Roman" w:cs="Times New Roman"/>
          <w:spacing w:val="17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空间分辨率测试板校准结果</w:t>
      </w:r>
      <w:r>
        <w:rPr>
          <w:rFonts w:ascii="SimSun" w:eastAsia="SimSun" w:hAnsi="SimSun" w:cs="SimSun"/>
          <w:spacing w:val="-3"/>
          <w:sz w:val="24"/>
          <w:szCs w:val="24"/>
        </w:rPr>
        <w:t>引入的不确定度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=0.005mm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pStyle w:val="BodyText"/>
        <w:spacing w:before="1" w:line="221" w:lineRule="auto"/>
        <w:ind w:left="3"/>
      </w:pPr>
      <w:r>
        <w:rPr>
          <w:spacing w:val="-3"/>
        </w:rPr>
        <w:t>A.3.3</w:t>
      </w:r>
      <w:r>
        <w:rPr>
          <w:spacing w:val="-3"/>
        </w:rPr>
        <w:t xml:space="preserve"> </w:t>
      </w:r>
      <w:r>
        <w:rPr>
          <w:spacing w:val="-3"/>
        </w:rPr>
        <w:t>目视判断引入的不确定度分量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</w:rPr>
        <w:t>u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 xml:space="preserve">3 </w:t>
      </w:r>
      <w:r>
        <w:rPr>
          <w:spacing w:val="-3"/>
        </w:rPr>
        <w:t>评定</w:t>
      </w:r>
    </w:p>
    <w:p>
      <w:pPr>
        <w:spacing w:before="179" w:line="368" w:lineRule="auto"/>
        <w:ind w:left="8" w:firstLine="52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目视的分辨极限角通常为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15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角分，则根据约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25cm</w:t>
      </w:r>
      <w:r>
        <w:rPr>
          <w:rFonts w:ascii="Times New Roman" w:eastAsia="Times New Roman" w:hAnsi="Times New Roman" w:cs="Times New Roman"/>
          <w:spacing w:val="3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的目视距离，可分</w:t>
      </w:r>
      <w:r>
        <w:rPr>
          <w:rFonts w:ascii="SimSun" w:eastAsia="SimSun" w:hAnsi="SimSun" w:cs="SimSun"/>
          <w:spacing w:val="-3"/>
          <w:sz w:val="24"/>
          <w:szCs w:val="24"/>
        </w:rPr>
        <w:t>辨的最小线距约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1mm</w:t>
      </w:r>
      <w:r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。另外根据光学系统光学传递函数测量理论，正常人眼能够分辨的调制度最低值一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般是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0.05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，此时的对比度约为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：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4"/>
          <w:sz w:val="24"/>
          <w:szCs w:val="24"/>
        </w:rPr>
        <w:t>左右，且每个人之间存在差异，对于光致发光缺陷检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测仪，一般拍摄出的照片调制度都大于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0.05</w:t>
      </w:r>
      <w:r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，因此，对于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(0.25~5.0) lp/m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29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的图案，由于人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眼判断引入的判断误差约为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</w:t>
      </w:r>
      <w:r>
        <w:rPr>
          <w:rFonts w:ascii="Times New Roman" w:eastAsia="Times New Roman" w:hAnsi="Times New Roman" w:cs="Times New Roma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1mm</w:t>
      </w:r>
      <w:r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，假设为均匀分布，由于</w:t>
      </w:r>
      <w:r>
        <w:rPr>
          <w:rFonts w:ascii="SimSun" w:eastAsia="SimSun" w:hAnsi="SimSun" w:cs="SimSun"/>
          <w:spacing w:val="-2"/>
          <w:sz w:val="24"/>
          <w:szCs w:val="24"/>
        </w:rPr>
        <w:t>粘贴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EL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空间分辨率测试板区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域经过软件将图像进行五倍放大，则人眼判断引入的不确定度</w:t>
      </w:r>
      <w:r>
        <w:rPr>
          <w:rFonts w:ascii="Kartika" w:eastAsia="Kartika" w:hAnsi="Kartika" w:cs="Kartika"/>
          <w:spacing w:val="-1"/>
          <w:sz w:val="24"/>
          <w:szCs w:val="24"/>
        </w:rPr>
        <w:t>u</w:t>
      </w:r>
      <w:r>
        <w:rPr>
          <w:rFonts w:ascii="Kartika" w:eastAsia="Kartika" w:hAnsi="Kartika" w:cs="Kartika"/>
          <w:spacing w:val="-1"/>
          <w:position w:val="-4"/>
          <w:sz w:val="16"/>
          <w:szCs w:val="16"/>
        </w:rPr>
        <w:t>3</w:t>
      </w:r>
      <w:r>
        <w:rPr>
          <w:rFonts w:ascii="Kartika" w:eastAsia="Kartika" w:hAnsi="Kartika" w:cs="Kartika"/>
          <w:spacing w:val="-23"/>
          <w:position w:val="-4"/>
          <w:sz w:val="16"/>
          <w:szCs w:val="16"/>
        </w:rPr>
        <w:t xml:space="preserve"> </w:t>
      </w:r>
      <w:r>
        <w:rPr>
          <w:rFonts w:ascii="Kartika" w:eastAsia="Kartika" w:hAnsi="Kartika" w:cs="Kartika"/>
          <w:spacing w:val="-1"/>
          <w:sz w:val="24"/>
          <w:szCs w:val="24"/>
        </w:rPr>
        <w:t>=</w:t>
      </w:r>
      <w:r>
        <w:rPr>
          <w:rFonts w:ascii="Kartika" w:eastAsia="Kartika" w:hAnsi="Kartika" w:cs="Kartika"/>
          <w:spacing w:val="-121"/>
          <w:sz w:val="24"/>
          <w:szCs w:val="24"/>
        </w:rPr>
        <w:t xml:space="preserve"> </w:t>
      </w:r>
      <w:r>
        <w:rPr>
          <w:position w:val="-11"/>
          <w:sz w:val="24"/>
          <w:szCs w:val="24"/>
        </w:rPr>
        <w:drawing>
          <wp:inline distT="0" distB="0" distL="0" distR="0">
            <wp:extent cx="200558" cy="24070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0558" cy="24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rtika" w:eastAsia="Kartika" w:hAnsi="Kartika" w:cs="Kartika"/>
          <w:spacing w:val="-101"/>
          <w:sz w:val="24"/>
          <w:szCs w:val="24"/>
        </w:rPr>
        <w:t xml:space="preserve"> </w:t>
      </w:r>
      <w:r>
        <w:rPr>
          <w:rFonts w:ascii="Kartika" w:eastAsia="Kartika" w:hAnsi="Kartika" w:cs="Kartika"/>
          <w:spacing w:val="-1"/>
          <w:sz w:val="24"/>
          <w:szCs w:val="24"/>
        </w:rPr>
        <w:t>=</w:t>
      </w:r>
      <w:r>
        <w:rPr>
          <w:rFonts w:ascii="Kartika" w:eastAsia="Kartika" w:hAnsi="Kartika" w:cs="Kartika"/>
          <w:spacing w:val="-97"/>
          <w:sz w:val="24"/>
          <w:szCs w:val="24"/>
        </w:rPr>
        <w:t xml:space="preserve"> </w:t>
      </w:r>
      <w:r>
        <w:rPr>
          <w:rFonts w:ascii="Kartika" w:eastAsia="Kartika" w:hAnsi="Kartika" w:cs="Kartika"/>
          <w:spacing w:val="-1"/>
          <w:sz w:val="24"/>
          <w:szCs w:val="24"/>
        </w:rPr>
        <w:t>0.012mm</w:t>
      </w:r>
      <w:r>
        <w:rPr>
          <w:rFonts w:ascii="SimSun" w:eastAsia="SimSun" w:hAnsi="SimSun" w:cs="SimSun"/>
          <w:spacing w:val="-1"/>
          <w:sz w:val="24"/>
          <w:szCs w:val="24"/>
        </w:rPr>
        <w:t>。由于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由目视判断引入的不确定度分量小于由重复性引入</w:t>
      </w:r>
      <w:r>
        <w:rPr>
          <w:rFonts w:ascii="SimSun" w:eastAsia="SimSun" w:hAnsi="SimSun" w:cs="SimSun"/>
          <w:spacing w:val="-1"/>
          <w:sz w:val="24"/>
          <w:szCs w:val="24"/>
        </w:rPr>
        <w:t>的不确定度分量，因此，忽略由目视判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https://d.book118.com/288070105073006040</w:t>
        </w:r>
      </w:hyperlink>
    </w:p>
    <w:p>
      <w:pPr>
        <w:spacing w:before="179" w:line="368" w:lineRule="auto"/>
        <w:ind w:left="8" w:firstLine="526"/>
        <w:rPr>
          <w:rFonts w:ascii="SimSun" w:eastAsia="SimSun" w:hAnsi="SimSun" w:cs="SimSun"/>
          <w:sz w:val="24"/>
          <w:szCs w:val="24"/>
        </w:rPr>
      </w:pPr>
    </w:p>
    <w:sectPr>
      <w:headerReference w:type="default" r:id="rId40"/>
      <w:footerReference w:type="default" r:id="rId41"/>
      <w:pgSz w:w="11906" w:h="16839"/>
      <w:pgMar w:top="1719" w:right="1132" w:bottom="1298" w:left="1418" w:header="1448" w:footer="1135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3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3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90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90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49" style="width:467.75pt;height:0.5pt;margin-top:85.5pt;margin-left:70.9pt;mso-position-horizontal-relative:page;mso-position-vertical-relative:page;position:absolute;z-index:251658240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0" style="width:467.75pt;height:0.5pt;margin-top:85.5pt;margin-left:70.9pt;mso-position-horizontal-relative:page;mso-position-vertical-relative:page;position:absolute;z-index:251659264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1" style="width:467.75pt;height:0.5pt;margin-top:85.5pt;margin-left:70.9pt;mso-position-horizontal-relative:page;mso-position-vertical-relative:page;position:absolute;z-index:251660288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2" style="width:467.75pt;height:0.5pt;margin-top:85.5pt;margin-left:70.9pt;mso-position-horizontal-relative:page;mso-position-vertical-relative:page;position:absolute;z-index:251661312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3" style="width:467.75pt;height:0.5pt;margin-top:85.5pt;margin-left:70.9pt;mso-position-horizontal-relative:page;mso-position-vertical-relative:page;position:absolute;z-index:251662336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4" style="width:467.75pt;height:0.5pt;margin-top:85.5pt;margin-left:70.9pt;mso-position-horizontal-relative:page;mso-position-vertical-relative:page;position:absolute;z-index:251663360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5" style="width:467.75pt;height:0.5pt;margin-top:85.5pt;margin-left:70.9pt;mso-position-horizontal-relative:page;mso-position-vertical-relative:page;position:absolute;z-index:251664384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8"/>
      <w:rPr>
        <w:sz w:val="20"/>
        <w:szCs w:val="20"/>
      </w:rPr>
    </w:pPr>
    <w:r>
      <w:pict>
        <v:shape id="_x0000_s2056" style="width:467.75pt;height:0.5pt;margin-top:85.5pt;margin-left:70.9pt;mso-position-horizontal-relative:page;mso-position-vertical-relative:page;position:absolute;z-index:251665408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8"/>
      <w:rPr>
        <w:sz w:val="20"/>
        <w:szCs w:val="20"/>
      </w:rPr>
    </w:pPr>
    <w:r>
      <w:pict>
        <v:shape id="_x0000_s2057" style="width:467.75pt;height:0.5pt;margin-top:85.5pt;margin-left:70.9pt;mso-position-horizontal-relative:page;mso-position-vertical-relative:page;position:absolute;z-index:251666432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8" style="width:467.75pt;height:0.5pt;margin-top:85.5pt;margin-left:70.9pt;mso-position-horizontal-relative:page;mso-position-vertical-relative:page;position:absolute;z-index:251667456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59" style="width:467.75pt;height:0.5pt;margin-top:85.5pt;margin-left:70.9pt;mso-position-horizontal-relative:page;mso-position-vertical-relative:page;position:absolute;z-index:251668480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60" style="width:467.75pt;height:0.5pt;margin-top:85.5pt;margin-left:70.9pt;mso-position-horizontal-relative:page;mso-position-vertical-relative:page;position:absolute;z-index:251669504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61" style="width:467.75pt;height:0.5pt;margin-top:85.5pt;margin-left:70.9pt;mso-position-horizontal-relative:page;mso-position-vertical-relative:page;position:absolute;z-index:251670528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ind w:left="4004"/>
      <w:rPr>
        <w:sz w:val="20"/>
        <w:szCs w:val="20"/>
      </w:rPr>
    </w:pPr>
    <w:r>
      <w:pict>
        <v:shape id="_x0000_s2062" style="width:467.75pt;height:0.5pt;margin-top:85.5pt;margin-left:70.9pt;mso-position-horizontal-relative:page;mso-position-vertical-relative:page;position:absolute;z-index:251671552" coordorigin="0,0" coordsize="9355,10" o:allowincell="f" path="m,l9354,l9354,9l,9l,xe" filled="t" fillcolor="black" stroked="f"/>
      </w:pict>
    </w:r>
    <w:r>
      <w:rPr>
        <w:sz w:val="20"/>
        <w:szCs w:val="20"/>
      </w:rPr>
      <w:t>JJFXXXX</w:t>
    </w:r>
    <w:r>
      <w:rPr>
        <w:spacing w:val="53"/>
        <w:sz w:val="20"/>
        <w:szCs w:val="20"/>
      </w:rPr>
      <w:t>－</w:t>
    </w:r>
    <w:r>
      <w:rPr>
        <w:sz w:val="20"/>
        <w:szCs w:val="20"/>
      </w:rPr>
      <w:t>XXXX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jpe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image" Target="media/image5.png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image" Target="media/image6.png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header" Target="header13.xml" /><Relationship Id="rId35" Type="http://schemas.openxmlformats.org/officeDocument/2006/relationships/footer" Target="footer13.xml" /><Relationship Id="rId36" Type="http://schemas.openxmlformats.org/officeDocument/2006/relationships/image" Target="media/image7.png" /><Relationship Id="rId37" Type="http://schemas.openxmlformats.org/officeDocument/2006/relationships/image" Target="media/image8.png" /><Relationship Id="rId38" Type="http://schemas.openxmlformats.org/officeDocument/2006/relationships/image" Target="media/image9.png" /><Relationship Id="rId39" Type="http://schemas.openxmlformats.org/officeDocument/2006/relationships/hyperlink" Target="https://d.book118.com/288070105073006040" TargetMode="External" /><Relationship Id="rId4" Type="http://schemas.openxmlformats.org/officeDocument/2006/relationships/header" Target="header1.xml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jpe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revision>0</cp:revision>
  <dcterms:created xsi:type="dcterms:W3CDTF">2024-02-26T14:38:28Z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2024-02-26T21:42:37Z</vt:filetime>
  </property>
  <property fmtid="{D5CDD505-2E9C-101B-9397-08002B2CF9AE}" pid="3" name="CRO">
    <vt:lpwstr>wqlLaW5nc29mdCBQREYgdG8gV1BTIDkw</vt:lpwstr>
  </property>
</Properties>
</file>