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5" w:line="1303" w:lineRule="exact"/>
        <w:ind w:firstLine="14"/>
      </w:pPr>
      <w:r>
        <w:pict>
          <v:shape id="_x0000_s1025" style="width:537.75pt;height:0.5pt;margin-top:249.5pt;margin-left:31.08pt;mso-position-horizontal-relative:page;mso-position-vertical-relative:page;position:absolute;z-index:251658240" coordorigin="0,0" coordsize="10755,10" o:allowincell="f" path="m,9l10754,9l10754,l,l,9xe" filled="t" fillcolor="#1f497d" stroked="f"/>
        </w:pict>
      </w:r>
      <w:r>
        <w:rPr>
          <w:position w:val="-26"/>
        </w:rPr>
        <w:pict>
          <v:group id="_x0000_i1026" style="width:537.15pt;height:65.2pt;mso-position-horizontal-relative:char;mso-position-vertical-relative:line" coordorigin="0,0" coordsize="10743,1303" filled="f" stroked="f">
            <v:group id="_x0000_s1027" style="width:10743;height:1303;position:absolute" coordorigin="0,0" coordsize="10743,1303" filled="f" stroked="f">
              <v:shape id="_x0000_s1028" style="width:10743;height:650;position:absolute" coordorigin="0,0" coordsize="10743,650" path="m,650l10742,650l10742,l,l,650xem108,650l10634,650l10634,l108,l108,650xe" filled="t" fillcolor="#4f81bd" stroked="f"/>
              <v:shape id="_x0000_s1029" style="width:10743;height:653;position:absolute;top:650" coordorigin="0,0" coordsize="10743,653" path="m,652l10742,652l10742,l,l,652xem108,652l10634,652l10634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0783;height:134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8" w:line="216" w:lineRule="auto"/>
                      <w:ind w:left="160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5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纺织服饰行业</w:t>
                    </w:r>
                  </w:p>
                  <w:p>
                    <w:pPr>
                      <w:spacing w:before="186" w:line="217" w:lineRule="auto"/>
                      <w:ind w:left="2454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pacing w:val="-1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港股纺织服装行业</w:t>
                    </w:r>
                    <w:r>
                      <w:rPr>
                        <w:rFonts w:ascii="KaiTi" w:eastAsia="KaiTi" w:hAnsi="KaiTi" w:cs="KaiTi"/>
                        <w:color w:val="1F497D"/>
                        <w:spacing w:val="-60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F497D"/>
                        <w:spacing w:val="-1"/>
                        <w:sz w:val="36"/>
                        <w:szCs w:val="36"/>
                      </w:rPr>
                      <w:t xml:space="preserve">2023 </w:t>
                    </w:r>
                    <w:r>
                      <w:rPr>
                        <w:rFonts w:ascii="KaiTi" w:eastAsia="KaiTi" w:hAnsi="KaiTi" w:cs="KaiTi"/>
                        <w:color w:val="1F497D"/>
                        <w:spacing w:val="-1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年四季度公募基金持仓分析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80" w:lineRule="exact"/>
      </w:pPr>
    </w:p>
    <w:p>
      <w:pPr>
        <w:spacing w:line="80" w:lineRule="exact"/>
        <w:sectPr>
          <w:headerReference w:type="default" r:id="rId4"/>
          <w:footerReference w:type="default" r:id="rId5"/>
          <w:pgSz w:w="11907" w:h="16839"/>
          <w:pgMar w:top="1715" w:right="528" w:bottom="1727" w:left="621" w:header="691" w:footer="778" w:gutter="0"/>
          <w:cols w:num="1" w:space="708" w:equalWidth="0">
            <w:col w:w="10757" w:space="0"/>
          </w:cols>
        </w:sectPr>
      </w:pPr>
    </w:p>
    <w:p>
      <w:pPr>
        <w:pStyle w:val="BodyText"/>
        <w:spacing w:before="36" w:line="217" w:lineRule="auto"/>
        <w:ind w:left="181"/>
        <w:rPr>
          <w:sz w:val="18"/>
          <w:szCs w:val="18"/>
        </w:rPr>
      </w:pPr>
      <w:r>
        <w:rPr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6" w:lineRule="exact"/>
        <w:ind w:firstLine="329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329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6" w:lineRule="auto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糜韩杰</w:t>
      </w:r>
    </w:p>
    <w:p>
      <w:pPr>
        <w:pStyle w:val="BodyText"/>
        <w:spacing w:before="131" w:line="346" w:lineRule="exact"/>
        <w:ind w:left="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1F497D"/>
          <w:spacing w:val="-4"/>
          <w:position w:val="15"/>
          <w:sz w:val="15"/>
          <w:szCs w:val="15"/>
        </w:rPr>
        <w:t>SAC</w:t>
      </w:r>
      <w:r>
        <w:rPr>
          <w:rFonts w:ascii="Arial" w:eastAsia="Arial" w:hAnsi="Arial" w:cs="Arial"/>
          <w:color w:val="1F497D"/>
          <w:spacing w:val="42"/>
          <w:position w:val="15"/>
          <w:sz w:val="15"/>
          <w:szCs w:val="15"/>
        </w:rPr>
        <w:t xml:space="preserve"> </w:t>
      </w:r>
      <w:r>
        <w:rPr>
          <w:color w:val="1F497D"/>
          <w:spacing w:val="-4"/>
          <w:position w:val="15"/>
          <w:sz w:val="15"/>
          <w:szCs w:val="15"/>
        </w:rPr>
        <w:t>执证号：</w:t>
      </w:r>
      <w:r>
        <w:rPr>
          <w:color w:val="1F497D"/>
          <w:spacing w:val="-4"/>
          <w:position w:val="15"/>
          <w:sz w:val="15"/>
          <w:szCs w:val="15"/>
        </w:rPr>
        <w:t xml:space="preserve"> </w:t>
      </w:r>
      <w:r>
        <w:rPr>
          <w:rFonts w:ascii="Arial" w:eastAsia="Arial" w:hAnsi="Arial" w:cs="Arial"/>
          <w:color w:val="1F497D"/>
          <w:spacing w:val="-4"/>
          <w:position w:val="15"/>
          <w:sz w:val="15"/>
          <w:szCs w:val="15"/>
        </w:rPr>
        <w:t>S0260516020001</w:t>
      </w:r>
    </w:p>
    <w:p>
      <w:pPr>
        <w:spacing w:line="239" w:lineRule="auto"/>
        <w:ind w:left="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1F497D"/>
          <w:spacing w:val="-2"/>
          <w:sz w:val="15"/>
          <w:szCs w:val="15"/>
        </w:rPr>
        <w:t>SFC</w:t>
      </w:r>
      <w:r>
        <w:rPr>
          <w:rFonts w:ascii="Arial" w:eastAsia="Arial" w:hAnsi="Arial" w:cs="Arial"/>
          <w:color w:val="1F497D"/>
          <w:spacing w:val="53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color w:val="1F497D"/>
          <w:spacing w:val="-2"/>
          <w:sz w:val="15"/>
          <w:szCs w:val="15"/>
        </w:rPr>
        <w:t>CE.no:  BPH764</w:t>
      </w:r>
    </w:p>
    <w:p>
      <w:pPr>
        <w:spacing w:before="143" w:line="196" w:lineRule="auto"/>
        <w:ind w:left="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021-38003650</w:t>
      </w:r>
    </w:p>
    <w:p>
      <w:pPr>
        <w:spacing w:before="153" w:line="199" w:lineRule="auto"/>
        <w:ind w:left="1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mihanjie@gf.com.cn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7" w:lineRule="auto"/>
        <w:rPr>
          <w:sz w:val="18"/>
          <w:szCs w:val="18"/>
        </w:rPr>
      </w:pPr>
      <w:r>
        <w:rPr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7" w:lineRule="exact"/>
        <w:ind w:firstLine="167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167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9" w:lineRule="auto"/>
        <w:ind w:left="4"/>
        <w:rPr>
          <w:sz w:val="18"/>
          <w:szCs w:val="18"/>
        </w:rPr>
      </w:pPr>
      <w:r>
        <w:rPr>
          <w:color w:val="1F497D"/>
          <w:spacing w:val="-2"/>
          <w:sz w:val="18"/>
          <w:szCs w:val="18"/>
        </w:rPr>
        <w:t>左琴琴</w:t>
      </w:r>
    </w:p>
    <w:p>
      <w:pPr>
        <w:pStyle w:val="BodyText"/>
        <w:spacing w:before="128" w:line="346" w:lineRule="exact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1F497D"/>
          <w:spacing w:val="-4"/>
          <w:position w:val="15"/>
          <w:sz w:val="15"/>
          <w:szCs w:val="15"/>
        </w:rPr>
        <w:t>SAC</w:t>
      </w:r>
      <w:r>
        <w:rPr>
          <w:rFonts w:ascii="Arial" w:eastAsia="Arial" w:hAnsi="Arial" w:cs="Arial"/>
          <w:color w:val="1F497D"/>
          <w:spacing w:val="42"/>
          <w:position w:val="15"/>
          <w:sz w:val="15"/>
          <w:szCs w:val="15"/>
        </w:rPr>
        <w:t xml:space="preserve"> </w:t>
      </w:r>
      <w:r>
        <w:rPr>
          <w:color w:val="1F497D"/>
          <w:spacing w:val="-4"/>
          <w:position w:val="15"/>
          <w:sz w:val="15"/>
          <w:szCs w:val="15"/>
        </w:rPr>
        <w:t>执证号：</w:t>
      </w:r>
      <w:r>
        <w:rPr>
          <w:color w:val="1F497D"/>
          <w:spacing w:val="-4"/>
          <w:position w:val="15"/>
          <w:sz w:val="15"/>
          <w:szCs w:val="15"/>
        </w:rPr>
        <w:t xml:space="preserve"> </w:t>
      </w:r>
      <w:r>
        <w:rPr>
          <w:rFonts w:ascii="Arial" w:eastAsia="Arial" w:hAnsi="Arial" w:cs="Arial"/>
          <w:color w:val="1F497D"/>
          <w:spacing w:val="-4"/>
          <w:position w:val="15"/>
          <w:sz w:val="15"/>
          <w:szCs w:val="15"/>
        </w:rPr>
        <w:t>S0260521050001</w:t>
      </w:r>
    </w:p>
    <w:p>
      <w:pPr>
        <w:spacing w:line="239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1F497D"/>
          <w:spacing w:val="-2"/>
          <w:sz w:val="15"/>
          <w:szCs w:val="15"/>
        </w:rPr>
        <w:t>SFC</w:t>
      </w:r>
      <w:r>
        <w:rPr>
          <w:rFonts w:ascii="Arial" w:eastAsia="Arial" w:hAnsi="Arial" w:cs="Arial"/>
          <w:color w:val="1F497D"/>
          <w:spacing w:val="53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color w:val="1F497D"/>
          <w:spacing w:val="-2"/>
          <w:sz w:val="15"/>
          <w:szCs w:val="15"/>
        </w:rPr>
        <w:t>CE.no:  BSE791</w:t>
      </w:r>
    </w:p>
    <w:p>
      <w:pPr>
        <w:spacing w:before="143" w:line="196" w:lineRule="auto"/>
        <w:ind w:left="3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021-38003540</w:t>
      </w:r>
    </w:p>
    <w:p>
      <w:pPr>
        <w:spacing w:before="153" w:line="199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zuoqinqin@gf.com.cn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7" w:lineRule="auto"/>
        <w:rPr>
          <w:sz w:val="18"/>
          <w:szCs w:val="18"/>
        </w:rPr>
      </w:pPr>
      <w:r>
        <w:rPr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7" w:lineRule="exact"/>
        <w:ind w:firstLine="110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110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21" w:lineRule="auto"/>
        <w:ind w:left="7"/>
        <w:rPr>
          <w:sz w:val="18"/>
          <w:szCs w:val="18"/>
        </w:rPr>
      </w:pPr>
      <w:r>
        <w:rPr>
          <w:color w:val="1F497D"/>
          <w:spacing w:val="-4"/>
          <w:sz w:val="18"/>
          <w:szCs w:val="18"/>
        </w:rPr>
        <w:t>李咏红</w:t>
      </w:r>
    </w:p>
    <w:p>
      <w:pPr>
        <w:pStyle w:val="BodyText"/>
        <w:spacing w:before="126" w:line="219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1F497D"/>
          <w:spacing w:val="-4"/>
          <w:sz w:val="15"/>
          <w:szCs w:val="15"/>
        </w:rPr>
        <w:t>SAC</w:t>
      </w:r>
      <w:r>
        <w:rPr>
          <w:rFonts w:ascii="Arial" w:eastAsia="Arial" w:hAnsi="Arial" w:cs="Arial"/>
          <w:color w:val="1F497D"/>
          <w:spacing w:val="50"/>
          <w:w w:val="102"/>
          <w:sz w:val="15"/>
          <w:szCs w:val="15"/>
        </w:rPr>
        <w:t xml:space="preserve"> </w:t>
      </w:r>
      <w:r>
        <w:rPr>
          <w:color w:val="1F497D"/>
          <w:spacing w:val="-4"/>
          <w:sz w:val="15"/>
          <w:szCs w:val="15"/>
        </w:rPr>
        <w:t>执证号：</w:t>
      </w:r>
      <w:r>
        <w:rPr>
          <w:color w:val="1F497D"/>
          <w:spacing w:val="-29"/>
          <w:sz w:val="15"/>
          <w:szCs w:val="15"/>
        </w:rPr>
        <w:t xml:space="preserve"> </w:t>
      </w:r>
      <w:r>
        <w:rPr>
          <w:rFonts w:ascii="Arial" w:eastAsia="Arial" w:hAnsi="Arial" w:cs="Arial"/>
          <w:color w:val="1F497D"/>
          <w:spacing w:val="-4"/>
          <w:sz w:val="15"/>
          <w:szCs w:val="15"/>
        </w:rPr>
        <w:t>S0260523100001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52" w:line="199" w:lineRule="auto"/>
        <w:ind w:left="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liyonghong@gf.com.cn</w:t>
      </w:r>
    </w:p>
    <w:p>
      <w:pPr>
        <w:spacing w:line="199" w:lineRule="auto"/>
        <w:rPr>
          <w:rFonts w:ascii="Arial" w:eastAsia="Arial" w:hAnsi="Arial" w:cs="Arial"/>
          <w:sz w:val="18"/>
          <w:szCs w:val="18"/>
        </w:rPr>
        <w:sectPr>
          <w:headerReference w:type="default" r:id="rId8"/>
          <w:footerReference w:type="default" r:id="rId9"/>
          <w:type w:val="continuous"/>
          <w:pgSz w:w="11907" w:h="16839"/>
          <w:pgMar w:top="1715" w:right="528" w:bottom="1727" w:left="621" w:header="691" w:footer="778" w:gutter="0"/>
          <w:pgNumType w:start="2"/>
          <w:cols w:num="6" w:space="708" w:equalWidth="0">
            <w:col w:w="1015" w:space="100"/>
            <w:col w:w="2511" w:space="100"/>
            <w:col w:w="839" w:space="100"/>
            <w:col w:w="2649" w:space="100"/>
            <w:col w:w="839" w:space="100"/>
            <w:col w:w="2406" w:space="0"/>
          </w:cols>
        </w:sectPr>
      </w:pPr>
    </w:p>
    <w:p>
      <w:pPr>
        <w:pStyle w:val="BodyText"/>
        <w:spacing w:before="120" w:line="227" w:lineRule="auto"/>
        <w:ind w:left="123"/>
        <w:rPr>
          <w:sz w:val="12"/>
          <w:szCs w:val="12"/>
        </w:rPr>
      </w:pPr>
      <w:r>
        <w:rPr>
          <w:color w:val="1F497D"/>
          <w:spacing w:val="9"/>
          <w:sz w:val="12"/>
          <w:szCs w:val="12"/>
        </w:rPr>
        <w:t>请注意，李咏红并非香港证券及期货事务监察委员会的注册持牌人，不可在香港从事受监管活动。</w:t>
      </w:r>
    </w:p>
    <w:p>
      <w:pPr>
        <w:pStyle w:val="BodyText"/>
        <w:spacing w:before="283" w:line="221" w:lineRule="auto"/>
        <w:ind w:left="124"/>
        <w:rPr>
          <w:sz w:val="28"/>
          <w:szCs w:val="28"/>
        </w:rPr>
      </w:pPr>
      <w:r>
        <w:rPr>
          <w:color w:val="17365D"/>
          <w:sz w:val="28"/>
          <w:szCs w:val="28"/>
          <w14:textOutline w14:w="5094">
            <w14:solidFill>
              <w14:srgbClr w14:val="17365D"/>
            </w14:solidFill>
            <w14:prstDash w14:val="solid"/>
            <w14:round/>
          </w14:textOutline>
        </w:rPr>
        <w:t>核心观点：</w:t>
      </w:r>
    </w:p>
    <w:p>
      <w:pPr>
        <w:pStyle w:val="BodyText"/>
        <w:spacing w:before="191" w:line="272" w:lineRule="auto"/>
        <w:ind w:left="553" w:right="65" w:hanging="413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基金对港股纺服行业持仓比例仍处于历史低位水平，</w:t>
      </w:r>
      <w:r>
        <w:rPr>
          <w:rFonts w:ascii="Arial" w:eastAsia="Arial" w:hAnsi="Arial" w:cs="Arial"/>
          <w:b/>
          <w:bCs/>
          <w:color w:val="1F497D"/>
          <w:spacing w:val="-3"/>
        </w:rPr>
        <w:t xml:space="preserve">23Q4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环比略有上升。</w:t>
      </w:r>
      <w:r>
        <w:rPr>
          <w:color w:val="1F497D"/>
          <w:spacing w:val="42"/>
        </w:rPr>
        <w:t xml:space="preserve"> </w:t>
      </w:r>
      <w:r>
        <w:rPr>
          <w:color w:val="1F497D"/>
          <w:spacing w:val="-3"/>
        </w:rPr>
        <w:t>根据</w:t>
      </w:r>
      <w:r>
        <w:rPr>
          <w:color w:val="1F497D"/>
          <w:spacing w:val="-54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wind</w:t>
      </w:r>
      <w:r>
        <w:rPr>
          <w:rFonts w:ascii="Arial" w:eastAsia="Arial" w:hAnsi="Arial" w:cs="Arial"/>
          <w:color w:val="1F497D"/>
          <w:spacing w:val="-32"/>
        </w:rPr>
        <w:t xml:space="preserve"> </w:t>
      </w:r>
      <w:r>
        <w:rPr>
          <w:color w:val="1F497D"/>
          <w:spacing w:val="-3"/>
        </w:rPr>
        <w:t>，从趋势上看，公募基金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重仓和</w:t>
      </w:r>
      <w:r>
        <w:rPr>
          <w:color w:val="1F497D"/>
          <w:spacing w:val="-32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QDII </w:t>
      </w:r>
      <w:r>
        <w:rPr>
          <w:color w:val="1F497D"/>
          <w:spacing w:val="-4"/>
        </w:rPr>
        <w:t>持有的港股纺服行业占比自</w:t>
      </w:r>
      <w:r>
        <w:rPr>
          <w:color w:val="1F497D"/>
          <w:spacing w:val="-29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17Q1 </w:t>
      </w:r>
      <w:r>
        <w:rPr>
          <w:color w:val="1F497D"/>
          <w:spacing w:val="-4"/>
        </w:rPr>
        <w:t>起呈持续上升趋势，</w:t>
      </w:r>
      <w:r>
        <w:rPr>
          <w:color w:val="1F497D"/>
          <w:spacing w:val="-26"/>
        </w:rPr>
        <w:t xml:space="preserve"> </w:t>
      </w:r>
      <w:r>
        <w:rPr>
          <w:color w:val="1F497D"/>
          <w:spacing w:val="-4"/>
        </w:rPr>
        <w:t>在</w:t>
      </w:r>
      <w:r>
        <w:rPr>
          <w:color w:val="1F497D"/>
          <w:spacing w:val="-30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19Q3 </w:t>
      </w:r>
      <w:r>
        <w:rPr>
          <w:color w:val="1F497D"/>
          <w:spacing w:val="-4"/>
        </w:rPr>
        <w:t>达到峰值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5.88%</w:t>
      </w:r>
      <w:r>
        <w:rPr>
          <w:color w:val="1F497D"/>
          <w:spacing w:val="-4"/>
        </w:rPr>
        <w:t>，之后逐渐下降，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于</w:t>
      </w:r>
      <w:r>
        <w:rPr>
          <w:color w:val="1F497D"/>
          <w:spacing w:val="-45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20Q3</w:t>
      </w:r>
      <w:r>
        <w:rPr>
          <w:rFonts w:ascii="Arial" w:eastAsia="Arial" w:hAnsi="Arial" w:cs="Arial"/>
          <w:color w:val="1F497D"/>
          <w:spacing w:val="14"/>
          <w:w w:val="101"/>
        </w:rPr>
        <w:t xml:space="preserve"> </w:t>
      </w:r>
      <w:r>
        <w:rPr>
          <w:color w:val="1F497D"/>
          <w:spacing w:val="-4"/>
        </w:rPr>
        <w:t>降至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2.77%</w:t>
      </w:r>
      <w:r>
        <w:rPr>
          <w:color w:val="1F497D"/>
          <w:spacing w:val="-4"/>
        </w:rPr>
        <w:t>，</w:t>
      </w:r>
      <w:r>
        <w:rPr>
          <w:rFonts w:ascii="Arial" w:eastAsia="Arial" w:hAnsi="Arial" w:cs="Arial"/>
          <w:color w:val="1F497D"/>
          <w:spacing w:val="-4"/>
        </w:rPr>
        <w:t>20Q4</w:t>
      </w:r>
      <w:r>
        <w:rPr>
          <w:rFonts w:ascii="Arial" w:eastAsia="Arial" w:hAnsi="Arial" w:cs="Arial"/>
          <w:color w:val="1F497D"/>
          <w:spacing w:val="16"/>
          <w:w w:val="101"/>
        </w:rPr>
        <w:t xml:space="preserve"> </w:t>
      </w:r>
      <w:r>
        <w:rPr>
          <w:color w:val="1F497D"/>
          <w:spacing w:val="-4"/>
        </w:rPr>
        <w:t>小幅反弹至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3.87%</w:t>
      </w:r>
      <w:r>
        <w:rPr>
          <w:color w:val="1F497D"/>
          <w:spacing w:val="-4"/>
        </w:rPr>
        <w:t>后，</w:t>
      </w:r>
      <w:r>
        <w:rPr>
          <w:rFonts w:ascii="Arial" w:eastAsia="Arial" w:hAnsi="Arial" w:cs="Arial"/>
          <w:color w:val="1F497D"/>
          <w:spacing w:val="-4"/>
        </w:rPr>
        <w:t xml:space="preserve">21Q1 </w:t>
      </w:r>
      <w:r>
        <w:rPr>
          <w:color w:val="1F497D"/>
          <w:spacing w:val="-4"/>
        </w:rPr>
        <w:t>又略微下降</w:t>
      </w:r>
      <w:r>
        <w:rPr>
          <w:color w:val="1F497D"/>
          <w:spacing w:val="-45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0.38</w:t>
      </w:r>
      <w:r>
        <w:rPr>
          <w:rFonts w:ascii="Arial" w:eastAsia="Arial" w:hAnsi="Arial" w:cs="Arial"/>
          <w:color w:val="1F497D"/>
          <w:spacing w:val="-5"/>
        </w:rPr>
        <w:t xml:space="preserve"> </w:t>
      </w:r>
      <w:r>
        <w:rPr>
          <w:color w:val="1F497D"/>
          <w:spacing w:val="-5"/>
        </w:rPr>
        <w:t>个百分点至</w:t>
      </w:r>
      <w:r>
        <w:rPr>
          <w:color w:val="1F497D"/>
          <w:spacing w:val="-44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3.49%</w:t>
      </w:r>
      <w:r>
        <w:rPr>
          <w:color w:val="1F497D"/>
          <w:spacing w:val="-5"/>
        </w:rPr>
        <w:t>，</w:t>
      </w:r>
      <w:r>
        <w:rPr>
          <w:rFonts w:ascii="Arial" w:eastAsia="Arial" w:hAnsi="Arial" w:cs="Arial"/>
          <w:color w:val="1F497D"/>
          <w:spacing w:val="-5"/>
        </w:rPr>
        <w:t xml:space="preserve">21Q2 </w:t>
      </w:r>
      <w:r>
        <w:rPr>
          <w:color w:val="1F497D"/>
          <w:spacing w:val="-5"/>
        </w:rPr>
        <w:t>上升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5.43</w:t>
      </w:r>
      <w:r>
        <w:rPr>
          <w:rFonts w:ascii="Arial" w:eastAsia="Arial" w:hAnsi="Arial" w:cs="Arial"/>
          <w:color w:val="1F497D"/>
        </w:rPr>
        <w:t xml:space="preserve">  </w:t>
      </w:r>
      <w:r>
        <w:rPr>
          <w:color w:val="1F497D"/>
          <w:spacing w:val="-4"/>
        </w:rPr>
        <w:t>个百分点至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8.92%</w:t>
      </w:r>
      <w:r>
        <w:rPr>
          <w:color w:val="1F497D"/>
          <w:spacing w:val="-4"/>
        </w:rPr>
        <w:t>，达到自</w:t>
      </w:r>
      <w:r>
        <w:rPr>
          <w:color w:val="1F497D"/>
          <w:spacing w:val="-29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17 </w:t>
      </w:r>
      <w:r>
        <w:rPr>
          <w:color w:val="1F497D"/>
          <w:spacing w:val="-4"/>
        </w:rPr>
        <w:t>年以来的历史最高位置，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自</w:t>
      </w:r>
      <w:r>
        <w:rPr>
          <w:color w:val="1F497D"/>
          <w:spacing w:val="-49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21Q3 </w:t>
      </w:r>
      <w:r>
        <w:rPr>
          <w:color w:val="1F497D"/>
          <w:spacing w:val="-4"/>
        </w:rPr>
        <w:t>起持续下降，于</w:t>
      </w:r>
      <w:r>
        <w:rPr>
          <w:color w:val="1F497D"/>
          <w:spacing w:val="-47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2</w:t>
      </w:r>
      <w:r>
        <w:rPr>
          <w:rFonts w:ascii="Arial" w:eastAsia="Arial" w:hAnsi="Arial" w:cs="Arial"/>
          <w:color w:val="1F497D"/>
          <w:spacing w:val="-5"/>
        </w:rPr>
        <w:t>2Q1</w:t>
      </w:r>
      <w:r>
        <w:rPr>
          <w:rFonts w:ascii="Arial" w:eastAsia="Arial" w:hAnsi="Arial" w:cs="Arial"/>
          <w:color w:val="1F497D"/>
          <w:spacing w:val="15"/>
        </w:rPr>
        <w:t xml:space="preserve"> </w:t>
      </w:r>
      <w:r>
        <w:rPr>
          <w:color w:val="1F497D"/>
          <w:spacing w:val="-5"/>
        </w:rPr>
        <w:t>降至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3.21%</w:t>
      </w:r>
      <w:r>
        <w:rPr>
          <w:color w:val="1F497D"/>
          <w:spacing w:val="-5"/>
        </w:rPr>
        <w:t>，</w:t>
      </w:r>
      <w:r>
        <w:rPr>
          <w:rFonts w:ascii="Arial" w:eastAsia="Arial" w:hAnsi="Arial" w:cs="Arial"/>
          <w:color w:val="1F497D"/>
          <w:spacing w:val="-5"/>
        </w:rPr>
        <w:t xml:space="preserve">22Q2 </w:t>
      </w:r>
      <w:r>
        <w:rPr>
          <w:color w:val="1F497D"/>
          <w:spacing w:val="-5"/>
        </w:rPr>
        <w:t>反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弹至</w:t>
      </w:r>
      <w:r>
        <w:rPr>
          <w:color w:val="1F497D"/>
          <w:spacing w:val="-31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4.48%</w:t>
      </w:r>
      <w:r>
        <w:rPr>
          <w:color w:val="1F497D"/>
          <w:spacing w:val="-4"/>
        </w:rPr>
        <w:t>，之后逐渐下降，</w:t>
      </w:r>
      <w:r>
        <w:rPr>
          <w:color w:val="1F497D"/>
          <w:spacing w:val="-22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23Q3 </w:t>
      </w:r>
      <w:r>
        <w:rPr>
          <w:color w:val="1F497D"/>
          <w:spacing w:val="-4"/>
        </w:rPr>
        <w:t>环比至</w:t>
      </w:r>
      <w:r>
        <w:rPr>
          <w:color w:val="1F497D"/>
          <w:spacing w:val="-30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1.32%</w:t>
      </w:r>
      <w:r>
        <w:rPr>
          <w:rFonts w:ascii="Arial" w:eastAsia="Arial" w:hAnsi="Arial" w:cs="Arial"/>
          <w:color w:val="1F497D"/>
          <w:spacing w:val="-32"/>
        </w:rPr>
        <w:t xml:space="preserve"> </w:t>
      </w:r>
      <w:r>
        <w:rPr>
          <w:color w:val="1F497D"/>
          <w:spacing w:val="-4"/>
        </w:rPr>
        <w:t>，</w:t>
      </w:r>
      <w:r>
        <w:rPr>
          <w:rFonts w:ascii="Arial" w:eastAsia="Arial" w:hAnsi="Arial" w:cs="Arial"/>
          <w:color w:val="1F497D"/>
          <w:spacing w:val="-4"/>
        </w:rPr>
        <w:t xml:space="preserve">23Q4 </w:t>
      </w:r>
      <w:r>
        <w:rPr>
          <w:color w:val="1F497D"/>
          <w:spacing w:val="-4"/>
        </w:rPr>
        <w:t>环比增加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0.04pct </w:t>
      </w:r>
      <w:r>
        <w:rPr>
          <w:color w:val="1F497D"/>
          <w:spacing w:val="-4"/>
        </w:rPr>
        <w:t>至</w:t>
      </w:r>
      <w:r>
        <w:rPr>
          <w:color w:val="1F497D"/>
          <w:spacing w:val="-29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1.36%</w:t>
      </w:r>
      <w:r>
        <w:rPr>
          <w:color w:val="1F497D"/>
          <w:spacing w:val="-4"/>
        </w:rPr>
        <w:t>。</w:t>
      </w:r>
    </w:p>
    <w:p>
      <w:pPr>
        <w:pStyle w:val="BodyText"/>
        <w:spacing w:before="82" w:line="253" w:lineRule="auto"/>
        <w:ind w:left="555" w:right="43" w:hanging="415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6"/>
        </w:rPr>
        <w:t xml:space="preserve"> 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从重仓基金数量看，</w:t>
      </w:r>
      <w:r>
        <w:rPr>
          <w:color w:val="1F497D"/>
          <w:spacing w:val="38"/>
        </w:rPr>
        <w:t xml:space="preserve">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安踏居首，</w:t>
      </w:r>
      <w:r>
        <w:rPr>
          <w:color w:val="1F497D"/>
          <w:spacing w:val="-9"/>
        </w:rPr>
        <w:t xml:space="preserve">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李宁、波司登次之。</w:t>
      </w:r>
      <w:r>
        <w:rPr>
          <w:color w:val="1F497D"/>
          <w:spacing w:val="-9"/>
        </w:rPr>
        <w:t>据</w:t>
      </w:r>
      <w:r>
        <w:rPr>
          <w:color w:val="1F497D"/>
          <w:spacing w:val="-50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 xml:space="preserve">Wind </w:t>
      </w:r>
      <w:r>
        <w:rPr>
          <w:color w:val="1F497D"/>
          <w:spacing w:val="-9"/>
        </w:rPr>
        <w:t>统计，</w:t>
      </w:r>
      <w:r>
        <w:rPr>
          <w:rFonts w:ascii="Arial" w:eastAsia="Arial" w:hAnsi="Arial" w:cs="Arial"/>
          <w:color w:val="1F497D"/>
          <w:spacing w:val="-9"/>
        </w:rPr>
        <w:t xml:space="preserve">23Q4 </w:t>
      </w:r>
      <w:r>
        <w:rPr>
          <w:color w:val="1F497D"/>
          <w:spacing w:val="-9"/>
        </w:rPr>
        <w:t>重仓安踏体育基金数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34</w:t>
      </w:r>
      <w:r>
        <w:rPr>
          <w:rFonts w:ascii="Arial" w:eastAsia="Arial" w:hAnsi="Arial" w:cs="Arial"/>
          <w:color w:val="1F497D"/>
          <w:spacing w:val="21"/>
          <w:w w:val="101"/>
        </w:rPr>
        <w:t xml:space="preserve"> </w:t>
      </w:r>
      <w:r>
        <w:rPr>
          <w:color w:val="1F497D"/>
          <w:spacing w:val="-9"/>
        </w:rPr>
        <w:t>家（</w:t>
      </w:r>
      <w:r>
        <w:rPr>
          <w:rFonts w:ascii="Arial" w:eastAsia="Arial" w:hAnsi="Arial" w:cs="Arial"/>
          <w:color w:val="1F497D"/>
          <w:spacing w:val="-9"/>
        </w:rPr>
        <w:t>-1</w:t>
      </w:r>
      <w:r>
        <w:rPr>
          <w:rFonts w:ascii="Arial" w:eastAsia="Arial" w:hAnsi="Arial" w:cs="Arial"/>
          <w:color w:val="1F497D"/>
          <w:spacing w:val="21"/>
        </w:rPr>
        <w:t xml:space="preserve"> </w:t>
      </w:r>
      <w:r>
        <w:rPr>
          <w:color w:val="1F497D"/>
          <w:spacing w:val="-9"/>
        </w:rPr>
        <w:t>家</w:t>
      </w:r>
      <w:r>
        <w:rPr>
          <w:color w:val="1F497D"/>
          <w:spacing w:val="-5"/>
        </w:rPr>
        <w:t>）；</w:t>
      </w:r>
      <w:r>
        <w:rPr>
          <w:color w:val="1F497D"/>
        </w:rPr>
        <w:t xml:space="preserve"> </w:t>
      </w:r>
      <w:r>
        <w:rPr>
          <w:color w:val="1F497D"/>
          <w:spacing w:val="-9"/>
        </w:rPr>
        <w:t>重仓李宁基金数</w:t>
      </w:r>
      <w:r>
        <w:rPr>
          <w:color w:val="1F497D"/>
          <w:spacing w:val="-44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24</w:t>
      </w:r>
      <w:r>
        <w:rPr>
          <w:rFonts w:ascii="Arial" w:eastAsia="Arial" w:hAnsi="Arial" w:cs="Arial"/>
          <w:color w:val="1F497D"/>
          <w:spacing w:val="19"/>
        </w:rPr>
        <w:t xml:space="preserve"> </w:t>
      </w:r>
      <w:r>
        <w:rPr>
          <w:color w:val="1F497D"/>
          <w:spacing w:val="-9"/>
        </w:rPr>
        <w:t>家（</w:t>
      </w:r>
      <w:r>
        <w:rPr>
          <w:color w:val="1F497D"/>
          <w:spacing w:val="-63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-3</w:t>
      </w:r>
      <w:r>
        <w:rPr>
          <w:rFonts w:ascii="Arial" w:eastAsia="Arial" w:hAnsi="Arial" w:cs="Arial"/>
          <w:color w:val="1F497D"/>
          <w:spacing w:val="19"/>
        </w:rPr>
        <w:t xml:space="preserve"> </w:t>
      </w:r>
      <w:r>
        <w:rPr>
          <w:color w:val="1F497D"/>
          <w:spacing w:val="-9"/>
        </w:rPr>
        <w:t>家</w:t>
      </w:r>
      <w:r>
        <w:rPr>
          <w:color w:val="1F497D"/>
          <w:spacing w:val="-7"/>
        </w:rPr>
        <w:t>）</w:t>
      </w:r>
      <w:r>
        <w:rPr>
          <w:color w:val="1F497D"/>
          <w:spacing w:val="-56"/>
        </w:rPr>
        <w:t xml:space="preserve"> </w:t>
      </w:r>
      <w:r>
        <w:rPr>
          <w:color w:val="1F497D"/>
          <w:spacing w:val="-7"/>
        </w:rPr>
        <w:t>；</w:t>
      </w:r>
      <w:r>
        <w:rPr>
          <w:color w:val="1F497D"/>
          <w:spacing w:val="-9"/>
        </w:rPr>
        <w:t>重仓波司登的基金数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24</w:t>
      </w:r>
      <w:r>
        <w:rPr>
          <w:rFonts w:ascii="Arial" w:eastAsia="Arial" w:hAnsi="Arial" w:cs="Arial"/>
          <w:color w:val="1F497D"/>
          <w:spacing w:val="18"/>
          <w:w w:val="101"/>
        </w:rPr>
        <w:t xml:space="preserve"> </w:t>
      </w:r>
      <w:r>
        <w:rPr>
          <w:color w:val="1F497D"/>
          <w:spacing w:val="-9"/>
        </w:rPr>
        <w:t>家（</w:t>
      </w:r>
      <w:r>
        <w:rPr>
          <w:rFonts w:ascii="Arial" w:eastAsia="Arial" w:hAnsi="Arial" w:cs="Arial"/>
          <w:color w:val="1F497D"/>
          <w:spacing w:val="-9"/>
        </w:rPr>
        <w:t>+14</w:t>
      </w:r>
      <w:r>
        <w:rPr>
          <w:rFonts w:ascii="Arial" w:eastAsia="Arial" w:hAnsi="Arial" w:cs="Arial"/>
          <w:color w:val="1F497D"/>
          <w:spacing w:val="21"/>
        </w:rPr>
        <w:t xml:space="preserve"> </w:t>
      </w:r>
      <w:r>
        <w:rPr>
          <w:color w:val="1F497D"/>
          <w:spacing w:val="-9"/>
        </w:rPr>
        <w:t>家</w:t>
      </w:r>
      <w:r>
        <w:rPr>
          <w:color w:val="1F497D"/>
          <w:spacing w:val="-7"/>
        </w:rPr>
        <w:t>）；</w:t>
      </w:r>
      <w:r>
        <w:rPr>
          <w:color w:val="1F497D"/>
          <w:spacing w:val="-9"/>
        </w:rPr>
        <w:t>重仓申洲国际基金数</w:t>
      </w:r>
      <w:r>
        <w:rPr>
          <w:color w:val="1F497D"/>
          <w:spacing w:val="-29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12</w:t>
      </w:r>
      <w:r>
        <w:rPr>
          <w:rFonts w:ascii="Arial" w:eastAsia="Arial" w:hAnsi="Arial" w:cs="Arial"/>
          <w:color w:val="1F497D"/>
          <w:spacing w:val="19"/>
        </w:rPr>
        <w:t xml:space="preserve"> </w:t>
      </w:r>
      <w:r>
        <w:rPr>
          <w:color w:val="1F497D"/>
          <w:spacing w:val="-9"/>
        </w:rPr>
        <w:t>家（</w:t>
      </w:r>
      <w:r>
        <w:rPr>
          <w:color w:val="1F497D"/>
          <w:spacing w:val="-63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-3</w:t>
      </w:r>
      <w:r>
        <w:rPr>
          <w:rFonts w:ascii="Arial" w:eastAsia="Arial" w:hAnsi="Arial" w:cs="Arial"/>
          <w:color w:val="1F497D"/>
          <w:spacing w:val="19"/>
        </w:rPr>
        <w:t xml:space="preserve"> </w:t>
      </w:r>
      <w:r>
        <w:rPr>
          <w:color w:val="1F497D"/>
          <w:spacing w:val="-9"/>
        </w:rPr>
        <w:t>家）。</w:t>
      </w:r>
    </w:p>
    <w:p>
      <w:pPr>
        <w:pStyle w:val="BodyText"/>
        <w:spacing w:before="75" w:line="262" w:lineRule="auto"/>
        <w:ind w:left="542" w:right="105" w:hanging="402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9"/>
        </w:rPr>
        <w:t xml:space="preserve"> 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从重仓基金持股总数看，</w:t>
      </w:r>
      <w:r>
        <w:rPr>
          <w:color w:val="1F497D"/>
          <w:spacing w:val="-28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波司登居首，</w:t>
      </w:r>
      <w:r>
        <w:rPr>
          <w:color w:val="1F497D"/>
          <w:spacing w:val="49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李宁、安踏体育次之。</w:t>
      </w:r>
      <w:r>
        <w:rPr>
          <w:color w:val="1F497D"/>
          <w:spacing w:val="-6"/>
        </w:rPr>
        <w:t>据</w:t>
      </w:r>
      <w:r>
        <w:rPr>
          <w:color w:val="1F497D"/>
          <w:spacing w:val="-52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 xml:space="preserve">Wind </w:t>
      </w:r>
      <w:r>
        <w:rPr>
          <w:color w:val="1F497D"/>
          <w:spacing w:val="-6"/>
        </w:rPr>
        <w:t>统计，</w:t>
      </w:r>
      <w:r>
        <w:rPr>
          <w:rFonts w:ascii="Arial" w:eastAsia="Arial" w:hAnsi="Arial" w:cs="Arial"/>
          <w:color w:val="1F497D"/>
          <w:spacing w:val="-6"/>
        </w:rPr>
        <w:t xml:space="preserve">23Q4 </w:t>
      </w:r>
      <w:r>
        <w:rPr>
          <w:color w:val="1F497D"/>
          <w:spacing w:val="-6"/>
        </w:rPr>
        <w:t>基金持有波司登（</w:t>
      </w:r>
      <w:r>
        <w:rPr>
          <w:rFonts w:ascii="Arial" w:eastAsia="Arial" w:hAnsi="Arial" w:cs="Arial"/>
          <w:color w:val="1F497D"/>
          <w:spacing w:val="-6"/>
        </w:rPr>
        <w:t xml:space="preserve">23102 </w:t>
      </w:r>
      <w:r>
        <w:rPr>
          <w:color w:val="1F497D"/>
          <w:spacing w:val="-6"/>
        </w:rPr>
        <w:t>万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万股，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5"/>
        </w:rPr>
        <w:t>环比</w:t>
      </w:r>
      <w:r>
        <w:rPr>
          <w:color w:val="1F497D"/>
          <w:spacing w:val="-5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83.2%</w:t>
      </w:r>
      <w:r>
        <w:rPr>
          <w:color w:val="1F497D"/>
          <w:spacing w:val="-25"/>
        </w:rPr>
        <w:t>）；</w:t>
      </w:r>
      <w:r>
        <w:rPr>
          <w:color w:val="1F497D"/>
          <w:spacing w:val="-8"/>
        </w:rPr>
        <w:t xml:space="preserve"> </w:t>
      </w:r>
      <w:r>
        <w:rPr>
          <w:color w:val="1F497D"/>
          <w:spacing w:val="-5"/>
        </w:rPr>
        <w:t>李宁（</w:t>
      </w:r>
      <w:r>
        <w:rPr>
          <w:rFonts w:ascii="Arial" w:eastAsia="Arial" w:hAnsi="Arial" w:cs="Arial"/>
          <w:color w:val="1F497D"/>
          <w:spacing w:val="-5"/>
        </w:rPr>
        <w:t>7597</w:t>
      </w:r>
      <w:r>
        <w:rPr>
          <w:rFonts w:ascii="Arial" w:eastAsia="Arial" w:hAnsi="Arial" w:cs="Arial"/>
          <w:color w:val="1F497D"/>
          <w:spacing w:val="42"/>
        </w:rPr>
        <w:t xml:space="preserve"> </w:t>
      </w:r>
      <w:r>
        <w:rPr>
          <w:color w:val="1F497D"/>
          <w:spacing w:val="-5"/>
        </w:rPr>
        <w:t>万股，环比</w:t>
      </w:r>
      <w:r>
        <w:rPr>
          <w:rFonts w:ascii="Arial" w:eastAsia="Arial" w:hAnsi="Arial" w:cs="Arial"/>
          <w:color w:val="1F497D"/>
          <w:spacing w:val="-5"/>
        </w:rPr>
        <w:t>-19.9%</w:t>
      </w:r>
      <w:r>
        <w:rPr>
          <w:color w:val="1F497D"/>
          <w:spacing w:val="-25"/>
        </w:rPr>
        <w:t>）；</w:t>
      </w:r>
      <w:r>
        <w:rPr>
          <w:color w:val="1F497D"/>
          <w:spacing w:val="-5"/>
        </w:rPr>
        <w:t>安踏体育（</w:t>
      </w:r>
      <w:r>
        <w:rPr>
          <w:rFonts w:ascii="Arial" w:eastAsia="Arial" w:hAnsi="Arial" w:cs="Arial"/>
          <w:color w:val="1F497D"/>
          <w:spacing w:val="-5"/>
        </w:rPr>
        <w:t>1901</w:t>
      </w:r>
      <w:r>
        <w:rPr>
          <w:rFonts w:ascii="Arial" w:eastAsia="Arial" w:hAnsi="Arial" w:cs="Arial"/>
          <w:color w:val="1F497D"/>
          <w:spacing w:val="42"/>
        </w:rPr>
        <w:t xml:space="preserve"> </w:t>
      </w:r>
      <w:r>
        <w:rPr>
          <w:color w:val="1F497D"/>
          <w:spacing w:val="-5"/>
        </w:rPr>
        <w:t>万股，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5"/>
        </w:rPr>
        <w:t>环比</w:t>
      </w:r>
      <w:r>
        <w:rPr>
          <w:rFonts w:ascii="Arial" w:eastAsia="Arial" w:hAnsi="Arial" w:cs="Arial"/>
          <w:color w:val="1F497D"/>
          <w:spacing w:val="-5"/>
        </w:rPr>
        <w:t>+</w:t>
      </w:r>
      <w:r>
        <w:rPr>
          <w:rFonts w:ascii="Arial" w:eastAsia="Arial" w:hAnsi="Arial" w:cs="Arial"/>
          <w:color w:val="1F497D"/>
          <w:spacing w:val="-6"/>
        </w:rPr>
        <w:t>13.0%</w:t>
      </w:r>
      <w:r>
        <w:rPr>
          <w:color w:val="1F497D"/>
          <w:spacing w:val="-25"/>
        </w:rPr>
        <w:t>）；</w:t>
      </w:r>
      <w:r>
        <w:rPr>
          <w:color w:val="1F497D"/>
          <w:spacing w:val="-21"/>
        </w:rPr>
        <w:t xml:space="preserve"> </w:t>
      </w:r>
      <w:r>
        <w:rPr>
          <w:color w:val="1F497D"/>
          <w:spacing w:val="-6"/>
        </w:rPr>
        <w:t>特步国际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（</w:t>
      </w:r>
      <w:r>
        <w:rPr>
          <w:rFonts w:ascii="Arial" w:eastAsia="Arial" w:hAnsi="Arial" w:cs="Arial"/>
          <w:color w:val="1F497D"/>
          <w:spacing w:val="-2"/>
        </w:rPr>
        <w:t xml:space="preserve">1896 </w:t>
      </w:r>
      <w:r>
        <w:rPr>
          <w:color w:val="1F497D"/>
          <w:spacing w:val="-2"/>
        </w:rPr>
        <w:t>万股，</w:t>
      </w:r>
      <w:r>
        <w:rPr>
          <w:color w:val="1F497D"/>
          <w:spacing w:val="-21"/>
        </w:rPr>
        <w:t xml:space="preserve"> </w:t>
      </w:r>
      <w:r>
        <w:rPr>
          <w:color w:val="1F497D"/>
          <w:spacing w:val="-2"/>
        </w:rPr>
        <w:t>环比</w:t>
      </w:r>
      <w:r>
        <w:rPr>
          <w:rFonts w:ascii="Arial" w:eastAsia="Arial" w:hAnsi="Arial" w:cs="Arial"/>
          <w:color w:val="1F497D"/>
          <w:spacing w:val="-2"/>
        </w:rPr>
        <w:t>-26.9%</w:t>
      </w:r>
      <w:r>
        <w:rPr>
          <w:color w:val="1F497D"/>
          <w:spacing w:val="-4"/>
        </w:rPr>
        <w:t>）；</w:t>
      </w:r>
      <w:r>
        <w:rPr>
          <w:color w:val="1F497D"/>
          <w:spacing w:val="-2"/>
        </w:rPr>
        <w:t>申洲国际（</w:t>
      </w:r>
      <w:r>
        <w:rPr>
          <w:rFonts w:ascii="Arial" w:eastAsia="Arial" w:hAnsi="Arial" w:cs="Arial"/>
          <w:color w:val="1F497D"/>
          <w:spacing w:val="-2"/>
        </w:rPr>
        <w:t xml:space="preserve">829 </w:t>
      </w:r>
      <w:r>
        <w:rPr>
          <w:color w:val="1F497D"/>
          <w:spacing w:val="-2"/>
        </w:rPr>
        <w:t>万股</w:t>
      </w:r>
      <w:r>
        <w:rPr>
          <w:color w:val="1F497D"/>
          <w:spacing w:val="-3"/>
        </w:rPr>
        <w:t>，环比</w:t>
      </w:r>
      <w:r>
        <w:rPr>
          <w:rFonts w:ascii="Arial" w:eastAsia="Arial" w:hAnsi="Arial" w:cs="Arial"/>
          <w:color w:val="1F497D"/>
          <w:spacing w:val="-3"/>
        </w:rPr>
        <w:t>-0.7%</w:t>
      </w:r>
      <w:r>
        <w:rPr>
          <w:color w:val="1F497D"/>
          <w:spacing w:val="-3"/>
        </w:rPr>
        <w:t>）。</w:t>
      </w:r>
    </w:p>
    <w:p>
      <w:pPr>
        <w:pStyle w:val="BodyText"/>
        <w:spacing w:before="83" w:line="267" w:lineRule="auto"/>
        <w:ind w:left="544" w:right="53" w:hanging="404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6"/>
        </w:rPr>
        <w:t xml:space="preserve"> 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从基金重仓市值看，</w:t>
      </w:r>
      <w:r>
        <w:rPr>
          <w:color w:val="1F497D"/>
          <w:spacing w:val="65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李宁居首，安踏、波司登次之。</w:t>
      </w:r>
      <w:r>
        <w:rPr>
          <w:color w:val="1F497D"/>
          <w:spacing w:val="-3"/>
        </w:rPr>
        <w:t>据</w:t>
      </w:r>
      <w:r>
        <w:rPr>
          <w:color w:val="1F497D"/>
          <w:spacing w:val="-45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 xml:space="preserve">Wind </w:t>
      </w:r>
      <w:r>
        <w:rPr>
          <w:color w:val="1F497D"/>
          <w:spacing w:val="-3"/>
        </w:rPr>
        <w:t>统计，</w:t>
      </w:r>
      <w:r>
        <w:rPr>
          <w:rFonts w:ascii="Arial" w:eastAsia="Arial" w:hAnsi="Arial" w:cs="Arial"/>
          <w:color w:val="1F497D"/>
          <w:spacing w:val="-3"/>
        </w:rPr>
        <w:t xml:space="preserve">23Q4 </w:t>
      </w:r>
      <w:r>
        <w:rPr>
          <w:color w:val="1F497D"/>
          <w:spacing w:val="-3"/>
        </w:rPr>
        <w:t>基金</w:t>
      </w:r>
      <w:r>
        <w:rPr>
          <w:color w:val="1F497D"/>
          <w:spacing w:val="-4"/>
        </w:rPr>
        <w:t>持有李宁</w:t>
      </w:r>
      <w:r>
        <w:rPr>
          <w:color w:val="1F497D"/>
          <w:spacing w:val="-25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14.3 </w:t>
      </w:r>
      <w:r>
        <w:rPr>
          <w:color w:val="1F497D"/>
          <w:spacing w:val="-4"/>
        </w:rPr>
        <w:t>亿元人民币，环</w:t>
      </w:r>
      <w:r>
        <w:rPr>
          <w:color w:val="1F497D"/>
        </w:rPr>
        <w:t xml:space="preserve"> </w:t>
      </w:r>
      <w:r>
        <w:rPr>
          <w:color w:val="1F497D"/>
          <w:spacing w:val="-7"/>
        </w:rPr>
        <w:t>比减少</w:t>
      </w:r>
      <w:r>
        <w:rPr>
          <w:color w:val="1F497D"/>
          <w:spacing w:val="-33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>49.7%</w:t>
      </w:r>
      <w:r>
        <w:rPr>
          <w:color w:val="1F497D"/>
          <w:spacing w:val="-7"/>
        </w:rPr>
        <w:t>；持有安踏体育</w:t>
      </w:r>
      <w:r>
        <w:rPr>
          <w:color w:val="1F497D"/>
          <w:spacing w:val="-29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 xml:space="preserve">13.0 </w:t>
      </w:r>
      <w:r>
        <w:rPr>
          <w:color w:val="1F497D"/>
          <w:spacing w:val="-7"/>
        </w:rPr>
        <w:t>亿元人民币，环比减少</w:t>
      </w:r>
      <w:r>
        <w:rPr>
          <w:color w:val="1F497D"/>
          <w:spacing w:val="-50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>4.1%</w:t>
      </w:r>
      <w:r>
        <w:rPr>
          <w:color w:val="1F497D"/>
          <w:spacing w:val="-7"/>
        </w:rPr>
        <w:t>；持有波司登</w:t>
      </w:r>
      <w:r>
        <w:rPr>
          <w:color w:val="1F497D"/>
          <w:spacing w:val="-45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 xml:space="preserve">7.3 </w:t>
      </w:r>
      <w:r>
        <w:rPr>
          <w:color w:val="1F497D"/>
          <w:spacing w:val="-7"/>
        </w:rPr>
        <w:t>亿元人民币，环比增加</w:t>
      </w:r>
      <w:r>
        <w:rPr>
          <w:color w:val="1F497D"/>
          <w:spacing w:val="-48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>27.9%</w:t>
      </w:r>
      <w:r>
        <w:rPr>
          <w:color w:val="1F497D"/>
          <w:spacing w:val="-7"/>
        </w:rPr>
        <w:t>；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持有申洲国际</w:t>
      </w:r>
      <w:r>
        <w:rPr>
          <w:color w:val="1F497D"/>
          <w:spacing w:val="-44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6.0 </w:t>
      </w:r>
      <w:r>
        <w:rPr>
          <w:color w:val="1F497D"/>
          <w:spacing w:val="-4"/>
        </w:rPr>
        <w:t>亿元人民币，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环比增</w:t>
      </w:r>
      <w:r>
        <w:rPr>
          <w:color w:val="1F497D"/>
          <w:spacing w:val="-5"/>
        </w:rPr>
        <w:t>加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54.9%</w:t>
      </w:r>
      <w:r>
        <w:rPr>
          <w:color w:val="1F497D"/>
          <w:spacing w:val="-5"/>
        </w:rPr>
        <w:t>；持有特步国际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 xml:space="preserve">0.76 </w:t>
      </w:r>
      <w:r>
        <w:rPr>
          <w:color w:val="1F497D"/>
          <w:spacing w:val="-5"/>
        </w:rPr>
        <w:t>亿元人民币，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5"/>
        </w:rPr>
        <w:t>环比减少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56.1%</w:t>
      </w:r>
      <w:r>
        <w:rPr>
          <w:color w:val="1F497D"/>
          <w:spacing w:val="-5"/>
        </w:rPr>
        <w:t>。</w:t>
      </w:r>
    </w:p>
    <w:p>
      <w:pPr>
        <w:pStyle w:val="BodyText"/>
        <w:spacing w:before="70" w:line="266" w:lineRule="auto"/>
        <w:ind w:left="543" w:right="37" w:hanging="403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6"/>
        </w:rPr>
        <w:t xml:space="preserve"> 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从基金重仓市值占公司总市值比重来看，</w:t>
      </w:r>
      <w:r>
        <w:rPr>
          <w:color w:val="1F497D"/>
          <w:spacing w:val="46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李宁居首，波司登、特步国际次之。</w:t>
      </w:r>
      <w:r>
        <w:rPr>
          <w:color w:val="1F497D"/>
          <w:spacing w:val="-6"/>
        </w:rPr>
        <w:t>据</w:t>
      </w:r>
      <w:r>
        <w:rPr>
          <w:color w:val="1F497D"/>
          <w:spacing w:val="-52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 xml:space="preserve">Wind </w:t>
      </w:r>
      <w:r>
        <w:rPr>
          <w:color w:val="1F497D"/>
          <w:spacing w:val="-6"/>
        </w:rPr>
        <w:t>统</w:t>
      </w:r>
      <w:r>
        <w:rPr>
          <w:color w:val="1F497D"/>
          <w:spacing w:val="-7"/>
        </w:rPr>
        <w:t>计，</w:t>
      </w:r>
      <w:r>
        <w:rPr>
          <w:color w:val="1F497D"/>
          <w:spacing w:val="-22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 xml:space="preserve">23Q4 </w:t>
      </w:r>
      <w:r>
        <w:rPr>
          <w:color w:val="1F497D"/>
          <w:spacing w:val="-7"/>
        </w:rPr>
        <w:t>基金重仓市</w:t>
      </w:r>
      <w:r>
        <w:rPr>
          <w:color w:val="1F497D"/>
          <w:spacing w:val="-7"/>
        </w:rPr>
        <w:t xml:space="preserve"> </w:t>
      </w:r>
      <w:r>
        <w:rPr>
          <w:color w:val="1F497D"/>
          <w:spacing w:val="-10"/>
        </w:rPr>
        <w:t>值占公司总市值比重排名前五的纺服标的分别为李宁（</w:t>
      </w:r>
      <w:r>
        <w:rPr>
          <w:rFonts w:ascii="Arial" w:eastAsia="Arial" w:hAnsi="Arial" w:cs="Arial"/>
          <w:color w:val="1F497D"/>
          <w:spacing w:val="-10"/>
        </w:rPr>
        <w:t>2.89%</w:t>
      </w:r>
      <w:r>
        <w:rPr>
          <w:color w:val="1F497D"/>
          <w:spacing w:val="-10"/>
        </w:rPr>
        <w:t>，环比</w:t>
      </w:r>
      <w:r>
        <w:rPr>
          <w:rFonts w:ascii="Arial" w:eastAsia="Arial" w:hAnsi="Arial" w:cs="Arial"/>
          <w:color w:val="1F497D"/>
          <w:spacing w:val="-10"/>
        </w:rPr>
        <w:t>-19.43%</w:t>
      </w:r>
      <w:r>
        <w:rPr>
          <w:color w:val="1F497D"/>
          <w:spacing w:val="-10"/>
        </w:rPr>
        <w:t>）、波司登（</w:t>
      </w:r>
      <w:r>
        <w:rPr>
          <w:rFonts w:ascii="Arial" w:eastAsia="Arial" w:hAnsi="Arial" w:cs="Arial"/>
          <w:color w:val="1F497D"/>
          <w:spacing w:val="-10"/>
        </w:rPr>
        <w:t>2.12%</w:t>
      </w:r>
      <w:r>
        <w:rPr>
          <w:color w:val="1F497D"/>
          <w:spacing w:val="-10"/>
        </w:rPr>
        <w:t>，环比</w:t>
      </w:r>
      <w:r>
        <w:rPr>
          <w:rFonts w:ascii="Arial" w:eastAsia="Arial" w:hAnsi="Arial" w:cs="Arial"/>
          <w:color w:val="1F497D"/>
          <w:spacing w:val="-10"/>
        </w:rPr>
        <w:t>+83.19%</w:t>
      </w:r>
      <w:r>
        <w:rPr>
          <w:color w:val="1F497D"/>
          <w:spacing w:val="-10"/>
        </w:rPr>
        <w:t>）、</w:t>
      </w:r>
      <w:r>
        <w:rPr>
          <w:color w:val="1F497D"/>
          <w:spacing w:val="7"/>
        </w:rPr>
        <w:t xml:space="preserve"> </w:t>
      </w:r>
      <w:r>
        <w:rPr>
          <w:color w:val="1F497D"/>
          <w:spacing w:val="-5"/>
        </w:rPr>
        <w:t>特步国际（</w:t>
      </w:r>
      <w:r>
        <w:rPr>
          <w:rFonts w:ascii="Arial" w:eastAsia="Arial" w:hAnsi="Arial" w:cs="Arial"/>
          <w:color w:val="1F497D"/>
          <w:spacing w:val="-5"/>
        </w:rPr>
        <w:t>0.72%</w:t>
      </w:r>
      <w:r>
        <w:rPr>
          <w:color w:val="1F497D"/>
          <w:spacing w:val="-5"/>
        </w:rPr>
        <w:t>，环比</w:t>
      </w:r>
      <w:r>
        <w:rPr>
          <w:rFonts w:ascii="Arial" w:eastAsia="Arial" w:hAnsi="Arial" w:cs="Arial"/>
          <w:color w:val="1F497D"/>
          <w:spacing w:val="-5"/>
        </w:rPr>
        <w:t>-26.93%</w:t>
      </w:r>
      <w:r>
        <w:rPr>
          <w:color w:val="1F497D"/>
          <w:spacing w:val="-5"/>
        </w:rPr>
        <w:t>）、</w:t>
      </w:r>
      <w:r>
        <w:rPr>
          <w:color w:val="1F497D"/>
          <w:spacing w:val="-45"/>
        </w:rPr>
        <w:t xml:space="preserve"> </w:t>
      </w:r>
      <w:r>
        <w:rPr>
          <w:color w:val="1F497D"/>
          <w:spacing w:val="-5"/>
        </w:rPr>
        <w:t>安踏体育（</w:t>
      </w:r>
      <w:r>
        <w:rPr>
          <w:rFonts w:ascii="Arial" w:eastAsia="Arial" w:hAnsi="Arial" w:cs="Arial"/>
          <w:color w:val="1F497D"/>
          <w:spacing w:val="-5"/>
        </w:rPr>
        <w:t>0.67%</w:t>
      </w:r>
      <w:r>
        <w:rPr>
          <w:color w:val="1F497D"/>
          <w:spacing w:val="-5"/>
        </w:rPr>
        <w:t>，环比</w:t>
      </w:r>
      <w:r>
        <w:rPr>
          <w:rFonts w:ascii="Arial" w:eastAsia="Arial" w:hAnsi="Arial" w:cs="Arial"/>
          <w:color w:val="1F497D"/>
          <w:spacing w:val="-5"/>
        </w:rPr>
        <w:t>+13.03%</w:t>
      </w:r>
      <w:r>
        <w:rPr>
          <w:color w:val="1F497D"/>
          <w:spacing w:val="-5"/>
        </w:rPr>
        <w:t>）、</w:t>
      </w:r>
      <w:r>
        <w:rPr>
          <w:color w:val="1F497D"/>
          <w:spacing w:val="-24"/>
        </w:rPr>
        <w:t xml:space="preserve"> </w:t>
      </w:r>
      <w:r>
        <w:rPr>
          <w:color w:val="1F497D"/>
          <w:spacing w:val="-5"/>
        </w:rPr>
        <w:t>申洲国际（</w:t>
      </w:r>
      <w:r>
        <w:rPr>
          <w:rFonts w:ascii="Arial" w:eastAsia="Arial" w:hAnsi="Arial" w:cs="Arial"/>
          <w:color w:val="1F497D"/>
          <w:spacing w:val="-5"/>
        </w:rPr>
        <w:t>0.</w:t>
      </w:r>
      <w:r>
        <w:rPr>
          <w:rFonts w:ascii="Arial" w:eastAsia="Arial" w:hAnsi="Arial" w:cs="Arial"/>
          <w:color w:val="1F497D"/>
          <w:spacing w:val="-6"/>
        </w:rPr>
        <w:t>55%</w:t>
      </w:r>
      <w:r>
        <w:rPr>
          <w:color w:val="1F497D"/>
          <w:spacing w:val="-6"/>
        </w:rPr>
        <w:t>，环比</w:t>
      </w:r>
      <w:r>
        <w:rPr>
          <w:rFonts w:ascii="Arial" w:eastAsia="Arial" w:hAnsi="Arial" w:cs="Arial"/>
          <w:color w:val="1F497D"/>
          <w:spacing w:val="-6"/>
        </w:rPr>
        <w:t>-0.71%</w:t>
      </w:r>
      <w:r>
        <w:rPr>
          <w:color w:val="1F497D"/>
          <w:spacing w:val="-6"/>
        </w:rPr>
        <w:t>）。</w:t>
      </w:r>
    </w:p>
    <w:p>
      <w:pPr>
        <w:pStyle w:val="BodyText"/>
        <w:spacing w:before="68" w:line="270" w:lineRule="auto"/>
        <w:ind w:left="542" w:right="43" w:hanging="402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行业基金持仓变化小结：</w:t>
      </w:r>
      <w:r>
        <w:rPr>
          <w:color w:val="1F497D"/>
          <w:spacing w:val="-35"/>
        </w:rPr>
        <w:t xml:space="preserve"> </w:t>
      </w:r>
      <w:r>
        <w:rPr>
          <w:rFonts w:ascii="Arial" w:eastAsia="Arial" w:hAnsi="Arial" w:cs="Arial"/>
          <w:b/>
          <w:bCs/>
          <w:color w:val="1F497D"/>
          <w:spacing w:val="-2"/>
        </w:rPr>
        <w:t xml:space="preserve">23Q4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基金配置较</w:t>
      </w:r>
      <w:r>
        <w:rPr>
          <w:color w:val="1F497D"/>
          <w:spacing w:val="-47"/>
        </w:rPr>
        <w:t xml:space="preserve"> </w:t>
      </w:r>
      <w:r>
        <w:rPr>
          <w:rFonts w:ascii="Arial" w:eastAsia="Arial" w:hAnsi="Arial" w:cs="Arial"/>
          <w:b/>
          <w:bCs/>
          <w:color w:val="1F497D"/>
          <w:spacing w:val="-2"/>
        </w:rPr>
        <w:t xml:space="preserve">23Q3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略有回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升。</w:t>
      </w:r>
      <w:r>
        <w:rPr>
          <w:color w:val="1F497D"/>
          <w:spacing w:val="-3"/>
        </w:rPr>
        <w:t>从基金重仓的配置比例来看，</w:t>
      </w:r>
      <w:r>
        <w:rPr>
          <w:rFonts w:ascii="Arial" w:eastAsia="Arial" w:hAnsi="Arial" w:cs="Arial"/>
          <w:color w:val="1F497D"/>
          <w:spacing w:val="-3"/>
        </w:rPr>
        <w:t xml:space="preserve">23Q4 </w:t>
      </w:r>
      <w:r>
        <w:rPr>
          <w:color w:val="1F497D"/>
          <w:spacing w:val="-3"/>
        </w:rPr>
        <w:t>环比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 xml:space="preserve">23Q3 </w:t>
      </w:r>
      <w:r>
        <w:rPr>
          <w:color w:val="1F497D"/>
          <w:spacing w:val="-3"/>
        </w:rPr>
        <w:t>略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有回升，但处在历史低位水平，低于港股通纺服市值占港股</w:t>
      </w:r>
      <w:r>
        <w:rPr>
          <w:color w:val="1F497D"/>
          <w:spacing w:val="-3"/>
        </w:rPr>
        <w:t>通总市值比例，反映出基金对港股纺服关注度较低。</w:t>
      </w:r>
      <w:r>
        <w:rPr>
          <w:color w:val="1F497D"/>
        </w:rPr>
        <w:t xml:space="preserve"> </w:t>
      </w:r>
      <w:r>
        <w:rPr>
          <w:color w:val="1F497D"/>
          <w:spacing w:val="1"/>
        </w:rPr>
        <w:t>从重仓基金持股总数及其占总市值比例来看：波司登、安踏体育关</w:t>
      </w:r>
      <w:r>
        <w:rPr>
          <w:color w:val="1F497D"/>
        </w:rPr>
        <w:t>注度提升，李宁、申洲国际、特步国际关注</w:t>
      </w:r>
      <w:r>
        <w:rPr>
          <w:color w:val="1F497D"/>
        </w:rPr>
        <w:t xml:space="preserve"> </w:t>
      </w:r>
      <w:r>
        <w:rPr>
          <w:color w:val="1F497D"/>
        </w:rPr>
        <w:t>度下降。</w:t>
      </w:r>
    </w:p>
    <w:p>
      <w:pPr>
        <w:pStyle w:val="BodyText"/>
        <w:spacing w:before="79" w:line="276" w:lineRule="auto"/>
        <w:ind w:left="544" w:right="39" w:hanging="404"/>
        <w:sectPr>
          <w:headerReference w:type="default" r:id="rId13"/>
          <w:footerReference w:type="default" r:id="rId14"/>
          <w:type w:val="continuous"/>
          <w:pgSz w:w="11907" w:h="16839"/>
          <w:pgMar w:top="1715" w:right="528" w:bottom="1727" w:left="621" w:header="691" w:footer="778" w:gutter="0"/>
          <w:pgNumType w:start="3"/>
          <w:cols w:num="1" w:space="708" w:equalWidth="0">
            <w:col w:w="10757" w:space="0"/>
          </w:cols>
        </w:sectPr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43"/>
        </w:rPr>
        <w:t xml:space="preserve"> 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投资建议：</w:t>
      </w:r>
      <w:r>
        <w:rPr>
          <w:color w:val="1F497D"/>
          <w:spacing w:val="71"/>
        </w:rPr>
        <w:t xml:space="preserve"> </w:t>
      </w:r>
      <w:r>
        <w:rPr>
          <w:color w:val="1F497D"/>
          <w:spacing w:val="-6"/>
        </w:rPr>
        <w:t>首先建议关注波司登，看好公司</w:t>
      </w:r>
      <w:r>
        <w:rPr>
          <w:color w:val="1F497D"/>
          <w:spacing w:val="-36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>23/24</w:t>
      </w:r>
      <w:r>
        <w:rPr>
          <w:rFonts w:ascii="Arial" w:eastAsia="Arial" w:hAnsi="Arial" w:cs="Arial"/>
          <w:color w:val="1F497D"/>
          <w:spacing w:val="15"/>
          <w:w w:val="101"/>
        </w:rPr>
        <w:t xml:space="preserve"> </w:t>
      </w:r>
      <w:r>
        <w:rPr>
          <w:color w:val="1F497D"/>
          <w:spacing w:val="-6"/>
        </w:rPr>
        <w:t>财年业绩有望大幅增长，</w:t>
      </w:r>
      <w:r>
        <w:rPr>
          <w:color w:val="1F497D"/>
          <w:spacing w:val="-6"/>
        </w:rPr>
        <w:t xml:space="preserve"> </w:t>
      </w:r>
      <w:r>
        <w:rPr>
          <w:color w:val="1F497D"/>
          <w:spacing w:val="-6"/>
        </w:rPr>
        <w:t>一方面，主业羽绒服业务，线上销</w:t>
      </w:r>
      <w:r>
        <w:rPr>
          <w:color w:val="1F497D"/>
        </w:rPr>
        <w:t xml:space="preserve"> </w:t>
      </w:r>
      <w:r>
        <w:rPr>
          <w:color w:val="1F497D"/>
          <w:spacing w:val="-7"/>
        </w:rPr>
        <w:t>售超预期，</w:t>
      </w:r>
      <w:r>
        <w:rPr>
          <w:color w:val="1F497D"/>
          <w:spacing w:val="-51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 xml:space="preserve">22/23 </w:t>
      </w:r>
      <w:r>
        <w:rPr>
          <w:color w:val="1F497D"/>
          <w:spacing w:val="-7"/>
        </w:rPr>
        <w:t>财年基数较低，</w:t>
      </w:r>
      <w:r>
        <w:rPr>
          <w:color w:val="1F497D"/>
          <w:spacing w:val="-26"/>
        </w:rPr>
        <w:t xml:space="preserve"> </w:t>
      </w:r>
      <w:r>
        <w:rPr>
          <w:color w:val="1F497D"/>
          <w:spacing w:val="-7"/>
        </w:rPr>
        <w:t>且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 xml:space="preserve">24 </w:t>
      </w:r>
      <w:r>
        <w:rPr>
          <w:color w:val="1F497D"/>
          <w:spacing w:val="-7"/>
        </w:rPr>
        <w:t>年春节较晚，节前旺销季</w:t>
      </w:r>
      <w:r>
        <w:rPr>
          <w:color w:val="1F497D"/>
          <w:spacing w:val="-8"/>
        </w:rPr>
        <w:t>长，</w:t>
      </w:r>
      <w:r>
        <w:rPr>
          <w:color w:val="1F497D"/>
          <w:spacing w:val="-53"/>
        </w:rPr>
        <w:t xml:space="preserve"> </w:t>
      </w:r>
      <w:r>
        <w:rPr>
          <w:color w:val="1F497D"/>
          <w:spacing w:val="-8"/>
        </w:rPr>
        <w:t>加盟商轻装上阵，同时公司在品牌、产品、</w:t>
      </w:r>
      <w:r>
        <w:rPr>
          <w:color w:val="1F497D"/>
        </w:rPr>
        <w:t xml:space="preserve"> </w:t>
      </w:r>
      <w:r>
        <w:rPr>
          <w:color w:val="1F497D"/>
          <w:spacing w:val="-3"/>
        </w:rPr>
        <w:t>零售层面不断发力，另一方面，股权激励充分调动激励对象积极性。其次，</w:t>
      </w:r>
      <w:r>
        <w:rPr>
          <w:color w:val="1F497D"/>
          <w:spacing w:val="65"/>
        </w:rPr>
        <w:t xml:space="preserve"> </w:t>
      </w:r>
      <w:r>
        <w:rPr>
          <w:color w:val="1F497D"/>
          <w:spacing w:val="-3"/>
        </w:rPr>
        <w:t>看好申洲国际，公司业绩回暖趋势</w:t>
      </w:r>
      <w:r>
        <w:rPr>
          <w:color w:val="1F497D"/>
        </w:rPr>
        <w:t xml:space="preserve"> </w:t>
      </w:r>
    </w:p>
    <w:p>
      <w:pPr>
        <w:pStyle w:val="BodyText"/>
        <w:spacing w:before="79" w:line="276" w:lineRule="auto"/>
        <w:ind w:left="544" w:right="39" w:hanging="404"/>
      </w:pPr>
      <w:r>
        <w:rPr>
          <w:color w:val="1F497D"/>
          <w:spacing w:val="-1"/>
        </w:rPr>
        <w:t>不变，重要客户耐克、阿迪、彪马库存去化</w:t>
      </w:r>
      <w:r>
        <w:rPr>
          <w:color w:val="1F497D"/>
          <w:spacing w:val="-2"/>
        </w:rPr>
        <w:t>顺利，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2"/>
        </w:rPr>
        <w:t>优衣库库存较为良性，且耐克等客户采购向头部供应商集中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趋势不变，</w:t>
      </w:r>
      <w:r>
        <w:rPr>
          <w:color w:val="1F497D"/>
          <w:spacing w:val="62"/>
        </w:rPr>
        <w:t xml:space="preserve"> </w:t>
      </w:r>
      <w:r>
        <w:rPr>
          <w:color w:val="1F497D"/>
          <w:spacing w:val="-5"/>
        </w:rPr>
        <w:t>伴随下游需求回暖，公司产能利用率有望稳步回升，进而有望带动毛利率恢复。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5"/>
        </w:rPr>
        <w:t>最后，我们认为运</w:t>
      </w:r>
      <w:r>
        <w:rPr>
          <w:color w:val="1F497D"/>
        </w:rPr>
        <w:t xml:space="preserve"> </w:t>
      </w:r>
      <w:r>
        <w:rPr>
          <w:color w:val="1F497D"/>
          <w:spacing w:val="1"/>
        </w:rPr>
        <w:t>动鞋服仍持乐观趋势。随着经营环境的改善，库存有望持续改</w:t>
      </w:r>
      <w:r>
        <w:rPr>
          <w:color w:val="1F497D"/>
        </w:rPr>
        <w:t>善，各公司利润率有望修复。中长期来看，龙头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贯彻多品牌发展战略，行业竞争格局稳定，份额持续向头部品牌集中，</w:t>
      </w:r>
      <w:r>
        <w:rPr>
          <w:color w:val="1F497D"/>
          <w:spacing w:val="-3"/>
        </w:rPr>
        <w:t xml:space="preserve"> </w:t>
      </w:r>
      <w:r>
        <w:rPr>
          <w:color w:val="1F497D"/>
          <w:spacing w:val="-2"/>
        </w:rPr>
        <w:t>建议关注安踏体育、李宁、特步国际。</w:t>
      </w:r>
    </w:p>
    <w:p>
      <w:pPr>
        <w:pStyle w:val="BodyText"/>
        <w:spacing w:before="81" w:line="186" w:lineRule="auto"/>
        <w:ind w:left="140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9"/>
        </w:rPr>
        <w:t xml:space="preserve"> 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风险提示：</w:t>
      </w:r>
      <w:r>
        <w:rPr>
          <w:color w:val="1F497D"/>
          <w:spacing w:val="-3"/>
        </w:rPr>
        <w:t>人民币汇率波动风险；原材料价格下跌风险；</w:t>
      </w:r>
      <w:r>
        <w:rPr>
          <w:color w:val="1F497D"/>
          <w:spacing w:val="-3"/>
        </w:rPr>
        <w:t xml:space="preserve"> </w:t>
      </w:r>
      <w:r>
        <w:rPr>
          <w:color w:val="1F497D"/>
          <w:spacing w:val="-3"/>
        </w:rPr>
        <w:t>终端需求低迷风险。</w:t>
      </w:r>
    </w:p>
    <w:p>
      <w:pPr>
        <w:spacing w:line="186" w:lineRule="auto"/>
        <w:sectPr>
          <w:headerReference w:type="default" r:id="rId15"/>
          <w:footerReference w:type="default" r:id="rId16"/>
          <w:type w:val="nextPage"/>
          <w:pgSz w:w="11907" w:h="16839"/>
          <w:pgMar w:top="1715" w:right="528" w:bottom="1727" w:left="621" w:header="691" w:footer="778" w:gutter="0"/>
          <w:pgNumType w:start="4"/>
          <w:cols w:num="1" w:space="708" w:equalWidth="0">
            <w:col w:w="10757" w:space="0"/>
          </w:cols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76"/>
      </w:pP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0"/>
        <w:tblW w:w="10494" w:type="dxa"/>
        <w:tblInd w:w="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61"/>
        <w:gridCol w:w="1027"/>
        <w:gridCol w:w="577"/>
        <w:gridCol w:w="661"/>
        <w:gridCol w:w="905"/>
        <w:gridCol w:w="440"/>
        <w:gridCol w:w="833"/>
        <w:gridCol w:w="1264"/>
        <w:gridCol w:w="1348"/>
        <w:gridCol w:w="729"/>
        <w:gridCol w:w="673"/>
        <w:gridCol w:w="1176"/>
      </w:tblGrid>
      <w:tr>
        <w:tblPrEx>
          <w:tblW w:w="10494" w:type="dxa"/>
          <w:tblInd w:w="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1"/>
        </w:trPr>
        <w:tc>
          <w:tcPr>
            <w:tcW w:w="86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102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9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8" w:lineRule="auto"/>
              <w:ind w:left="13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6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19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spacing w:line="224" w:lineRule="auto"/>
              <w:ind w:left="12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0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215" w:lineRule="auto"/>
              <w:ind w:left="31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spacing w:before="139" w:line="218" w:lineRule="auto"/>
              <w:ind w:left="14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4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4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3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7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6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b/>
                <w:bCs/>
                <w:color w:val="1F497D"/>
              </w:rPr>
              <w:t>/</w:t>
            </w:r>
            <w:r>
              <w:rPr>
                <w:rFonts w:ascii="KaiTi" w:eastAsia="KaiTi" w:hAnsi="KaiTi" w:cs="KaiTi"/>
                <w:color w:val="1F497D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26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2" w:line="231" w:lineRule="auto"/>
              <w:ind w:left="216"/>
              <w:rPr>
                <w:rFonts w:ascii="KaiTi" w:eastAsia="KaiTi" w:hAnsi="KaiTi" w:cs="KaiTi"/>
              </w:rPr>
            </w:pPr>
            <w:r>
              <w:rPr>
                <w:b/>
                <w:bCs/>
                <w:color w:val="1F497D"/>
                <w:spacing w:val="-2"/>
              </w:rPr>
              <w:t>EPS</w:t>
            </w:r>
            <w:r>
              <w:rPr>
                <w:rFonts w:ascii="KaiTi" w:eastAsia="KaiTi" w:hAnsi="KaiTi" w:cs="KaiTi"/>
                <w:color w:val="1F497D"/>
                <w:spacing w:val="-2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（元）</w:t>
            </w:r>
          </w:p>
          <w:p>
            <w:pPr>
              <w:pStyle w:val="TableText"/>
              <w:spacing w:before="150" w:line="195" w:lineRule="auto"/>
              <w:ind w:left="117"/>
            </w:pPr>
            <w:r>
              <w:rPr>
                <w:b/>
                <w:bCs/>
                <w:color w:val="1F497D"/>
                <w:spacing w:val="-1"/>
              </w:rPr>
              <w:t>2023E</w:t>
            </w:r>
            <w:r>
              <w:rPr>
                <w:b/>
                <w:bCs/>
                <w:color w:val="1F497D"/>
                <w:spacing w:val="8"/>
              </w:rPr>
              <w:t xml:space="preserve">   </w:t>
            </w:r>
            <w:r>
              <w:rPr>
                <w:b/>
                <w:bCs/>
                <w:color w:val="1F497D"/>
                <w:spacing w:val="-1"/>
              </w:rPr>
              <w:t>2024E</w:t>
            </w:r>
          </w:p>
        </w:tc>
        <w:tc>
          <w:tcPr>
            <w:tcW w:w="134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2" w:line="211" w:lineRule="exact"/>
              <w:ind w:left="361"/>
              <w:rPr>
                <w:rFonts w:ascii="KaiTi" w:eastAsia="KaiTi" w:hAnsi="KaiTi" w:cs="KaiTi"/>
              </w:rPr>
            </w:pPr>
            <w:r>
              <w:rPr>
                <w:b/>
                <w:bCs/>
                <w:color w:val="1F497D"/>
                <w:spacing w:val="-2"/>
              </w:rPr>
              <w:t>PE</w:t>
            </w:r>
            <w:r>
              <w:rPr>
                <w:rFonts w:ascii="KaiTi" w:eastAsia="KaiTi" w:hAnsi="KaiTi" w:cs="KaiTi"/>
                <w:color w:val="1F497D"/>
                <w:spacing w:val="-2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b/>
                <w:bCs/>
                <w:color w:val="1F497D"/>
                <w:spacing w:val="-2"/>
              </w:rPr>
              <w:t>x</w:t>
            </w:r>
            <w:r>
              <w:rPr>
                <w:rFonts w:ascii="KaiTi" w:eastAsia="KaiTi" w:hAnsi="KaiTi" w:cs="KaiTi"/>
                <w:color w:val="1F497D"/>
                <w:spacing w:val="-2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</w:p>
          <w:p>
            <w:pPr>
              <w:pStyle w:val="TableText"/>
              <w:spacing w:before="139" w:line="195" w:lineRule="auto"/>
              <w:ind w:left="80"/>
            </w:pPr>
            <w:r>
              <w:rPr>
                <w:b/>
                <w:bCs/>
                <w:color w:val="1F497D"/>
                <w:spacing w:val="-1"/>
              </w:rPr>
              <w:t>2023E</w:t>
            </w:r>
            <w:r>
              <w:rPr>
                <w:b/>
                <w:bCs/>
                <w:color w:val="1F497D"/>
                <w:spacing w:val="5"/>
              </w:rPr>
              <w:t xml:space="preserve">     </w:t>
            </w:r>
            <w:r>
              <w:rPr>
                <w:b/>
                <w:bCs/>
                <w:color w:val="1F497D"/>
                <w:spacing w:val="-1"/>
              </w:rPr>
              <w:t>2024E</w:t>
            </w:r>
          </w:p>
        </w:tc>
        <w:tc>
          <w:tcPr>
            <w:tcW w:w="1402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2" w:line="211" w:lineRule="exact"/>
              <w:ind w:left="108"/>
              <w:rPr>
                <w:rFonts w:ascii="KaiTi" w:eastAsia="KaiTi" w:hAnsi="KaiTi" w:cs="KaiTi"/>
              </w:rPr>
            </w:pPr>
            <w:r>
              <w:rPr>
                <w:b/>
                <w:bCs/>
                <w:color w:val="1F497D"/>
                <w:spacing w:val="-1"/>
              </w:rPr>
              <w:t>EV/EBITDA</w:t>
            </w:r>
            <w:r>
              <w:rPr>
                <w:rFonts w:ascii="KaiTi" w:eastAsia="KaiTi" w:hAnsi="KaiTi" w:cs="KaiTi"/>
                <w:color w:val="1F497D"/>
                <w:spacing w:val="-1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b/>
                <w:bCs/>
                <w:color w:val="1F497D"/>
                <w:spacing w:val="-1"/>
              </w:rPr>
              <w:t>x</w:t>
            </w:r>
            <w:r>
              <w:rPr>
                <w:rFonts w:ascii="KaiTi" w:eastAsia="KaiTi" w:hAnsi="KaiTi" w:cs="KaiTi"/>
                <w:color w:val="1F497D"/>
                <w:spacing w:val="-1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</w:p>
        </w:tc>
        <w:tc>
          <w:tcPr>
            <w:tcW w:w="117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2" w:line="211" w:lineRule="exact"/>
              <w:ind w:left="211"/>
              <w:rPr>
                <w:rFonts w:ascii="KaiTi" w:eastAsia="KaiTi" w:hAnsi="KaiTi" w:cs="KaiTi"/>
              </w:rPr>
            </w:pPr>
            <w:r>
              <w:rPr>
                <w:b/>
                <w:bCs/>
                <w:color w:val="1F497D"/>
                <w:spacing w:val="-2"/>
              </w:rPr>
              <w:t>ROE</w:t>
            </w:r>
            <w:r>
              <w:rPr>
                <w:rFonts w:ascii="KaiTi" w:eastAsia="KaiTi" w:hAnsi="KaiTi" w:cs="KaiTi"/>
                <w:color w:val="1F497D"/>
                <w:spacing w:val="-2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b/>
                <w:bCs/>
                <w:color w:val="1F497D"/>
                <w:spacing w:val="-2"/>
              </w:rPr>
              <w:t>%</w:t>
            </w:r>
            <w:r>
              <w:rPr>
                <w:rFonts w:ascii="KaiTi" w:eastAsia="KaiTi" w:hAnsi="KaiTi" w:cs="KaiTi"/>
                <w:color w:val="1F497D"/>
                <w:spacing w:val="-2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</w:p>
          <w:p>
            <w:pPr>
              <w:pStyle w:val="TableText"/>
              <w:spacing w:before="139" w:line="195" w:lineRule="auto"/>
              <w:ind w:left="93"/>
            </w:pPr>
            <w:r>
              <w:rPr>
                <w:b/>
                <w:bCs/>
                <w:color w:val="1F497D"/>
                <w:spacing w:val="-1"/>
              </w:rPr>
              <w:t>2023E</w:t>
            </w:r>
            <w:r>
              <w:rPr>
                <w:b/>
                <w:bCs/>
                <w:color w:val="1F497D"/>
                <w:spacing w:val="11"/>
                <w:w w:val="101"/>
              </w:rPr>
              <w:t xml:space="preserve">  </w:t>
            </w:r>
            <w:r>
              <w:rPr>
                <w:b/>
                <w:bCs/>
                <w:color w:val="1F497D"/>
                <w:spacing w:val="-1"/>
              </w:rPr>
              <w:t>2024E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30"/>
        </w:trPr>
        <w:tc>
          <w:tcPr>
            <w:tcW w:w="86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57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6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4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26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48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72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48"/>
            </w:pPr>
            <w:r>
              <w:rPr>
                <w:b/>
                <w:bCs/>
                <w:color w:val="1F497D"/>
                <w:spacing w:val="-1"/>
              </w:rPr>
              <w:t>2023E</w:t>
            </w:r>
          </w:p>
        </w:tc>
        <w:tc>
          <w:tcPr>
            <w:tcW w:w="67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30"/>
            </w:pPr>
            <w:r>
              <w:rPr>
                <w:b/>
                <w:bCs/>
                <w:color w:val="1F497D"/>
                <w:spacing w:val="-1"/>
              </w:rPr>
              <w:t>2024E</w:t>
            </w:r>
          </w:p>
        </w:tc>
        <w:tc>
          <w:tcPr>
            <w:tcW w:w="1176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8"/>
        </w:trPr>
        <w:tc>
          <w:tcPr>
            <w:tcW w:w="861" w:type="dxa"/>
            <w:tcBorders>
              <w:top w:val="single" w:sz="6" w:space="0" w:color="000000"/>
            </w:tcBorders>
            <w:vAlign w:val="top"/>
          </w:tcPr>
          <w:p>
            <w:pPr>
              <w:spacing w:before="78" w:line="220" w:lineRule="auto"/>
              <w:ind w:left="12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比音勒芬</w:t>
            </w:r>
          </w:p>
        </w:tc>
        <w:tc>
          <w:tcPr>
            <w:tcW w:w="102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1" w:line="197" w:lineRule="auto"/>
              <w:ind w:left="125"/>
            </w:pPr>
            <w:r>
              <w:rPr>
                <w:color w:val="1F497D"/>
                <w:spacing w:val="-1"/>
              </w:rPr>
              <w:t>002832.SZ</w:t>
            </w:r>
          </w:p>
        </w:tc>
        <w:tc>
          <w:tcPr>
            <w:tcW w:w="57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1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153"/>
            </w:pPr>
            <w:r>
              <w:rPr>
                <w:color w:val="1F497D"/>
                <w:spacing w:val="-1"/>
              </w:rPr>
              <w:t>29.85</w:t>
            </w:r>
          </w:p>
        </w:tc>
        <w:tc>
          <w:tcPr>
            <w:tcW w:w="90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1" w:line="197" w:lineRule="auto"/>
              <w:ind w:left="71"/>
            </w:pPr>
            <w:r>
              <w:rPr>
                <w:color w:val="1F497D"/>
                <w:spacing w:val="-1"/>
              </w:rPr>
              <w:t>2023/12/31</w:t>
            </w:r>
          </w:p>
        </w:tc>
        <w:tc>
          <w:tcPr>
            <w:tcW w:w="440" w:type="dxa"/>
            <w:tcBorders>
              <w:top w:val="single" w:sz="6" w:space="0" w:color="000000"/>
            </w:tcBorders>
            <w:vAlign w:val="top"/>
          </w:tcPr>
          <w:p>
            <w:pPr>
              <w:spacing w:before="78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204"/>
            </w:pPr>
            <w:r>
              <w:rPr>
                <w:color w:val="1F497D"/>
                <w:spacing w:val="-2"/>
              </w:rPr>
              <w:t>52.95</w:t>
            </w:r>
          </w:p>
        </w:tc>
        <w:tc>
          <w:tcPr>
            <w:tcW w:w="126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208"/>
            </w:pPr>
            <w:r>
              <w:rPr>
                <w:color w:val="1F497D"/>
                <w:spacing w:val="-2"/>
              </w:rPr>
              <w:t>1.65       2.12</w:t>
            </w:r>
          </w:p>
        </w:tc>
        <w:tc>
          <w:tcPr>
            <w:tcW w:w="134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125"/>
            </w:pPr>
            <w:r>
              <w:rPr>
                <w:color w:val="1F497D"/>
                <w:spacing w:val="-4"/>
              </w:rPr>
              <w:t>18.09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14.08</w:t>
            </w:r>
          </w:p>
        </w:tc>
        <w:tc>
          <w:tcPr>
            <w:tcW w:w="72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193"/>
            </w:pPr>
            <w:r>
              <w:rPr>
                <w:color w:val="1F497D"/>
                <w:spacing w:val="-4"/>
              </w:rPr>
              <w:t>11.50</w:t>
            </w:r>
          </w:p>
        </w:tc>
        <w:tc>
          <w:tcPr>
            <w:tcW w:w="67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207"/>
            </w:pPr>
            <w:r>
              <w:rPr>
                <w:color w:val="1F497D"/>
                <w:spacing w:val="-2"/>
              </w:rPr>
              <w:t>9.53</w:t>
            </w:r>
          </w:p>
        </w:tc>
        <w:tc>
          <w:tcPr>
            <w:tcW w:w="117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138"/>
            </w:pPr>
            <w:r>
              <w:rPr>
                <w:color w:val="1F497D"/>
                <w:spacing w:val="-3"/>
              </w:rPr>
              <w:t>19.90</w:t>
            </w:r>
            <w:r>
              <w:rPr>
                <w:color w:val="1F497D"/>
                <w:spacing w:val="15"/>
                <w:w w:val="101"/>
              </w:rPr>
              <w:t xml:space="preserve">   </w:t>
            </w:r>
            <w:r>
              <w:rPr>
                <w:color w:val="1F497D"/>
                <w:spacing w:val="-3"/>
              </w:rPr>
              <w:t>21.90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9"/>
        </w:trPr>
        <w:tc>
          <w:tcPr>
            <w:tcW w:w="861" w:type="dxa"/>
            <w:vAlign w:val="top"/>
          </w:tcPr>
          <w:p>
            <w:pPr>
              <w:spacing w:before="86" w:line="218" w:lineRule="auto"/>
              <w:ind w:left="18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</w:rPr>
              <w:t>报喜鸟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0" w:line="197" w:lineRule="auto"/>
              <w:ind w:left="125"/>
            </w:pPr>
            <w:r>
              <w:rPr>
                <w:color w:val="1F497D"/>
                <w:spacing w:val="-1"/>
              </w:rPr>
              <w:t>002154.SZ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0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1" w:line="195" w:lineRule="auto"/>
              <w:ind w:left="198"/>
            </w:pPr>
            <w:r>
              <w:rPr>
                <w:color w:val="1F497D"/>
                <w:spacing w:val="-2"/>
              </w:rPr>
              <w:t>6.42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0" w:line="197" w:lineRule="auto"/>
              <w:ind w:left="71"/>
            </w:pPr>
            <w:r>
              <w:rPr>
                <w:color w:val="1F497D"/>
                <w:spacing w:val="-1"/>
              </w:rPr>
              <w:t>2024/01/26</w:t>
            </w:r>
          </w:p>
        </w:tc>
        <w:tc>
          <w:tcPr>
            <w:tcW w:w="440" w:type="dxa"/>
            <w:vAlign w:val="top"/>
          </w:tcPr>
          <w:p>
            <w:pPr>
              <w:spacing w:before="87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1" w:line="195" w:lineRule="auto"/>
              <w:ind w:left="250"/>
            </w:pPr>
            <w:r>
              <w:rPr>
                <w:color w:val="1F497D"/>
                <w:spacing w:val="-2"/>
              </w:rPr>
              <w:t>8.00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1" w:line="195" w:lineRule="auto"/>
              <w:ind w:left="197"/>
            </w:pPr>
            <w:r>
              <w:rPr>
                <w:color w:val="1F497D"/>
                <w:spacing w:val="-2"/>
              </w:rPr>
              <w:t>0.49       0.57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1" w:line="195" w:lineRule="auto"/>
              <w:ind w:left="125"/>
            </w:pPr>
            <w:r>
              <w:rPr>
                <w:color w:val="1F497D"/>
                <w:spacing w:val="-4"/>
              </w:rPr>
              <w:t>13.10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11.26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1" w:line="195" w:lineRule="auto"/>
              <w:ind w:left="225"/>
            </w:pPr>
            <w:r>
              <w:rPr>
                <w:color w:val="1F497D"/>
                <w:spacing w:val="-2"/>
              </w:rPr>
              <w:t>8.17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1" w:line="195" w:lineRule="auto"/>
              <w:ind w:left="208"/>
            </w:pPr>
            <w:r>
              <w:rPr>
                <w:color w:val="1F497D"/>
                <w:spacing w:val="-2"/>
              </w:rPr>
              <w:t>7.22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1" w:line="195" w:lineRule="auto"/>
              <w:ind w:left="138"/>
            </w:pPr>
            <w:r>
              <w:rPr>
                <w:color w:val="1F497D"/>
                <w:spacing w:val="-4"/>
              </w:rPr>
              <w:t>16.80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17.80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6"/>
        </w:trPr>
        <w:tc>
          <w:tcPr>
            <w:tcW w:w="861" w:type="dxa"/>
            <w:vAlign w:val="top"/>
          </w:tcPr>
          <w:p>
            <w:pPr>
              <w:spacing w:before="84" w:line="217" w:lineRule="auto"/>
              <w:ind w:left="12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罗莱生活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7" w:line="197" w:lineRule="auto"/>
              <w:ind w:left="125"/>
            </w:pPr>
            <w:r>
              <w:rPr>
                <w:color w:val="1F497D"/>
                <w:spacing w:val="-1"/>
              </w:rPr>
              <w:t>002293.SZ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7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98"/>
            </w:pPr>
            <w:r>
              <w:rPr>
                <w:color w:val="1F497D"/>
                <w:spacing w:val="-2"/>
              </w:rPr>
              <w:t>9.33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7" w:line="197" w:lineRule="auto"/>
              <w:ind w:left="71"/>
            </w:pPr>
            <w:r>
              <w:rPr>
                <w:color w:val="1F497D"/>
                <w:spacing w:val="-1"/>
              </w:rPr>
              <w:t>2023/04/23</w:t>
            </w:r>
          </w:p>
        </w:tc>
        <w:tc>
          <w:tcPr>
            <w:tcW w:w="440" w:type="dxa"/>
            <w:vAlign w:val="top"/>
          </w:tcPr>
          <w:p>
            <w:pPr>
              <w:spacing w:before="84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9" w:line="195" w:lineRule="auto"/>
              <w:ind w:left="215"/>
            </w:pPr>
            <w:r>
              <w:rPr>
                <w:color w:val="1F497D"/>
                <w:spacing w:val="-4"/>
              </w:rPr>
              <w:t>13.56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7"/>
            </w:pPr>
            <w:r>
              <w:rPr>
                <w:color w:val="1F497D"/>
                <w:spacing w:val="-3"/>
              </w:rPr>
              <w:t>0.85</w:t>
            </w:r>
            <w:r>
              <w:rPr>
                <w:color w:val="1F497D"/>
                <w:spacing w:val="1"/>
              </w:rPr>
              <w:t xml:space="preserve">       </w:t>
            </w:r>
            <w:r>
              <w:rPr>
                <w:color w:val="1F497D"/>
                <w:spacing w:val="-3"/>
              </w:rPr>
              <w:t>1.03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9" w:line="195" w:lineRule="auto"/>
              <w:ind w:left="125"/>
            </w:pPr>
            <w:r>
              <w:rPr>
                <w:color w:val="1F497D"/>
                <w:spacing w:val="-3"/>
              </w:rPr>
              <w:t>10.98</w:t>
            </w:r>
            <w:r>
              <w:rPr>
                <w:color w:val="1F497D"/>
              </w:rPr>
              <w:t xml:space="preserve">        </w:t>
            </w:r>
            <w:r>
              <w:rPr>
                <w:color w:val="1F497D"/>
                <w:spacing w:val="-3"/>
              </w:rPr>
              <w:t>9.06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225"/>
            </w:pPr>
            <w:r>
              <w:rPr>
                <w:color w:val="1F497D"/>
                <w:spacing w:val="-2"/>
              </w:rPr>
              <w:t>6.99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207"/>
            </w:pPr>
            <w:r>
              <w:rPr>
                <w:color w:val="1F497D"/>
                <w:spacing w:val="-2"/>
              </w:rPr>
              <w:t>5.94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38"/>
            </w:pPr>
            <w:r>
              <w:rPr>
                <w:color w:val="1F497D"/>
                <w:spacing w:val="-4"/>
              </w:rPr>
              <w:t>16.30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18.80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5"/>
        </w:trPr>
        <w:tc>
          <w:tcPr>
            <w:tcW w:w="861" w:type="dxa"/>
            <w:vAlign w:val="top"/>
          </w:tcPr>
          <w:p>
            <w:pPr>
              <w:spacing w:before="84" w:line="218" w:lineRule="auto"/>
              <w:ind w:left="20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富安娜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7" w:line="197" w:lineRule="auto"/>
              <w:ind w:left="125"/>
            </w:pPr>
            <w:r>
              <w:rPr>
                <w:color w:val="1F497D"/>
                <w:spacing w:val="-1"/>
              </w:rPr>
              <w:t>002327.SZ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7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98"/>
            </w:pPr>
            <w:r>
              <w:rPr>
                <w:color w:val="1F497D"/>
                <w:spacing w:val="-2"/>
              </w:rPr>
              <w:t>9.57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7" w:line="197" w:lineRule="auto"/>
              <w:ind w:left="71"/>
            </w:pPr>
            <w:r>
              <w:rPr>
                <w:color w:val="1F497D"/>
                <w:spacing w:val="-1"/>
              </w:rPr>
              <w:t>2023/11/02</w:t>
            </w:r>
          </w:p>
        </w:tc>
        <w:tc>
          <w:tcPr>
            <w:tcW w:w="440" w:type="dxa"/>
            <w:vAlign w:val="top"/>
          </w:tcPr>
          <w:p>
            <w:pPr>
              <w:spacing w:before="84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9" w:line="195" w:lineRule="auto"/>
              <w:ind w:left="250"/>
            </w:pPr>
            <w:r>
              <w:rPr>
                <w:color w:val="1F497D"/>
                <w:spacing w:val="-2"/>
              </w:rPr>
              <w:t>9.96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7"/>
            </w:pPr>
            <w:r>
              <w:rPr>
                <w:color w:val="1F497D"/>
                <w:spacing w:val="-2"/>
              </w:rPr>
              <w:t>0.69       0.77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9" w:line="195" w:lineRule="auto"/>
              <w:ind w:left="125"/>
            </w:pPr>
            <w:r>
              <w:rPr>
                <w:color w:val="1F497D"/>
                <w:spacing w:val="-4"/>
              </w:rPr>
              <w:t>13.87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12.43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225"/>
            </w:pPr>
            <w:r>
              <w:rPr>
                <w:color w:val="1F497D"/>
                <w:spacing w:val="-2"/>
              </w:rPr>
              <w:t>9.90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207"/>
            </w:pPr>
            <w:r>
              <w:rPr>
                <w:color w:val="1F497D"/>
                <w:spacing w:val="-2"/>
              </w:rPr>
              <w:t>9.09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38"/>
            </w:pPr>
            <w:r>
              <w:rPr>
                <w:color w:val="1F497D"/>
                <w:spacing w:val="-4"/>
              </w:rPr>
              <w:t>14.90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16.30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6"/>
        </w:trPr>
        <w:tc>
          <w:tcPr>
            <w:tcW w:w="861" w:type="dxa"/>
            <w:vAlign w:val="top"/>
          </w:tcPr>
          <w:p>
            <w:pPr>
              <w:spacing w:before="85" w:line="217" w:lineRule="auto"/>
              <w:ind w:left="19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太平鸟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9" w:line="197" w:lineRule="auto"/>
              <w:ind w:left="115"/>
            </w:pPr>
            <w:r>
              <w:rPr>
                <w:color w:val="1F497D"/>
                <w:spacing w:val="-1"/>
              </w:rPr>
              <w:t>603877.SH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9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0" w:line="195" w:lineRule="auto"/>
              <w:ind w:left="166"/>
            </w:pPr>
            <w:r>
              <w:rPr>
                <w:color w:val="1F497D"/>
                <w:spacing w:val="-4"/>
              </w:rPr>
              <w:t>17.09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9" w:line="197" w:lineRule="auto"/>
              <w:ind w:left="71"/>
            </w:pPr>
            <w:r>
              <w:rPr>
                <w:color w:val="1F497D"/>
                <w:spacing w:val="-1"/>
              </w:rPr>
              <w:t>2023/04/20</w:t>
            </w:r>
          </w:p>
        </w:tc>
        <w:tc>
          <w:tcPr>
            <w:tcW w:w="440" w:type="dxa"/>
            <w:vAlign w:val="top"/>
          </w:tcPr>
          <w:p>
            <w:pPr>
              <w:spacing w:before="86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0" w:line="195" w:lineRule="auto"/>
              <w:ind w:left="202"/>
            </w:pPr>
            <w:r>
              <w:rPr>
                <w:color w:val="1F497D"/>
                <w:spacing w:val="-1"/>
              </w:rPr>
              <w:t>23.87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0" w:line="195" w:lineRule="auto"/>
              <w:ind w:left="208"/>
            </w:pPr>
            <w:r>
              <w:rPr>
                <w:color w:val="1F497D"/>
                <w:spacing w:val="-5"/>
              </w:rPr>
              <w:t>1.49</w:t>
            </w:r>
            <w:r>
              <w:rPr>
                <w:color w:val="1F497D"/>
                <w:spacing w:val="1"/>
              </w:rPr>
              <w:t xml:space="preserve">       </w:t>
            </w:r>
            <w:r>
              <w:rPr>
                <w:color w:val="1F497D"/>
                <w:spacing w:val="-5"/>
              </w:rPr>
              <w:t>1.73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0" w:line="195" w:lineRule="auto"/>
              <w:ind w:left="125"/>
            </w:pPr>
            <w:r>
              <w:rPr>
                <w:color w:val="1F497D"/>
                <w:spacing w:val="-3"/>
              </w:rPr>
              <w:t>11.47</w:t>
            </w:r>
            <w:r>
              <w:rPr>
                <w:color w:val="1F497D"/>
              </w:rPr>
              <w:t xml:space="preserve">        </w:t>
            </w:r>
            <w:r>
              <w:rPr>
                <w:color w:val="1F497D"/>
                <w:spacing w:val="-3"/>
              </w:rPr>
              <w:t>9.88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0" w:line="195" w:lineRule="auto"/>
              <w:ind w:left="221"/>
            </w:pPr>
            <w:r>
              <w:rPr>
                <w:color w:val="1F497D"/>
                <w:spacing w:val="-1"/>
              </w:rPr>
              <w:t>4.94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1" w:line="194" w:lineRule="auto"/>
              <w:ind w:left="203"/>
            </w:pPr>
            <w:r>
              <w:rPr>
                <w:color w:val="1F497D"/>
                <w:spacing w:val="-1"/>
              </w:rPr>
              <w:t>4.55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0" w:line="195" w:lineRule="auto"/>
              <w:ind w:left="138"/>
            </w:pPr>
            <w:r>
              <w:rPr>
                <w:color w:val="1F497D"/>
                <w:spacing w:val="-4"/>
              </w:rPr>
              <w:t>15.90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17.00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3"/>
        </w:trPr>
        <w:tc>
          <w:tcPr>
            <w:tcW w:w="861" w:type="dxa"/>
            <w:vAlign w:val="top"/>
          </w:tcPr>
          <w:p>
            <w:pPr>
              <w:spacing w:before="84" w:line="223" w:lineRule="auto"/>
              <w:ind w:left="18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</w:rPr>
              <w:t>歌力思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7" w:line="197" w:lineRule="auto"/>
              <w:ind w:left="115"/>
            </w:pPr>
            <w:r>
              <w:rPr>
                <w:color w:val="1F497D"/>
                <w:spacing w:val="-1"/>
              </w:rPr>
              <w:t>603808.SH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7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8" w:line="195" w:lineRule="auto"/>
              <w:ind w:left="198"/>
            </w:pPr>
            <w:r>
              <w:rPr>
                <w:color w:val="1F497D"/>
                <w:spacing w:val="-2"/>
              </w:rPr>
              <w:t>8.74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7" w:line="197" w:lineRule="auto"/>
              <w:ind w:left="71"/>
            </w:pPr>
            <w:r>
              <w:rPr>
                <w:color w:val="1F497D"/>
                <w:spacing w:val="-1"/>
              </w:rPr>
              <w:t>2023/11/06</w:t>
            </w:r>
          </w:p>
        </w:tc>
        <w:tc>
          <w:tcPr>
            <w:tcW w:w="440" w:type="dxa"/>
            <w:vAlign w:val="top"/>
          </w:tcPr>
          <w:p>
            <w:pPr>
              <w:spacing w:before="84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8" w:line="195" w:lineRule="auto"/>
              <w:ind w:left="215"/>
            </w:pPr>
            <w:r>
              <w:rPr>
                <w:color w:val="1F497D"/>
                <w:spacing w:val="-4"/>
              </w:rPr>
              <w:t>12.91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8" w:line="195" w:lineRule="auto"/>
              <w:ind w:left="197"/>
            </w:pPr>
            <w:r>
              <w:rPr>
                <w:color w:val="1F497D"/>
                <w:spacing w:val="-2"/>
              </w:rPr>
              <w:t>0.62       0.86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8" w:line="195" w:lineRule="auto"/>
              <w:ind w:left="125"/>
            </w:pPr>
            <w:r>
              <w:rPr>
                <w:color w:val="1F497D"/>
                <w:spacing w:val="-4"/>
              </w:rPr>
              <w:t>14.10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10.16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1" w:line="192" w:lineRule="auto"/>
              <w:ind w:left="225"/>
            </w:pPr>
            <w:r>
              <w:rPr>
                <w:color w:val="1F497D"/>
                <w:spacing w:val="-2"/>
              </w:rPr>
              <w:t>5.75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8" w:line="195" w:lineRule="auto"/>
              <w:ind w:left="203"/>
            </w:pPr>
            <w:r>
              <w:rPr>
                <w:color w:val="1F497D"/>
                <w:spacing w:val="-1"/>
              </w:rPr>
              <w:t>4.78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8" w:line="195" w:lineRule="auto"/>
              <w:ind w:left="173"/>
            </w:pPr>
            <w:r>
              <w:rPr>
                <w:color w:val="1F497D"/>
                <w:spacing w:val="-3"/>
              </w:rPr>
              <w:t>7.70</w:t>
            </w:r>
            <w:r>
              <w:rPr>
                <w:color w:val="1F497D"/>
                <w:spacing w:val="1"/>
              </w:rPr>
              <w:t xml:space="preserve">     </w:t>
            </w:r>
            <w:r>
              <w:rPr>
                <w:color w:val="1F497D"/>
                <w:spacing w:val="-3"/>
              </w:rPr>
              <w:t>10.00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9"/>
        </w:trPr>
        <w:tc>
          <w:tcPr>
            <w:tcW w:w="861" w:type="dxa"/>
            <w:vAlign w:val="top"/>
          </w:tcPr>
          <w:p>
            <w:pPr>
              <w:spacing w:before="87" w:line="213" w:lineRule="auto"/>
              <w:ind w:left="10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森马服饰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0" w:line="197" w:lineRule="auto"/>
              <w:ind w:left="125"/>
            </w:pPr>
            <w:r>
              <w:rPr>
                <w:color w:val="1F497D"/>
                <w:spacing w:val="-1"/>
              </w:rPr>
              <w:t>002563.SZ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0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2" w:line="195" w:lineRule="auto"/>
              <w:ind w:left="198"/>
            </w:pPr>
            <w:r>
              <w:rPr>
                <w:color w:val="1F497D"/>
                <w:spacing w:val="-2"/>
              </w:rPr>
              <w:t>5.98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0" w:line="197" w:lineRule="auto"/>
              <w:ind w:left="71"/>
            </w:pPr>
            <w:r>
              <w:rPr>
                <w:color w:val="1F497D"/>
                <w:spacing w:val="-1"/>
              </w:rPr>
              <w:t>2023/05/02</w:t>
            </w:r>
          </w:p>
        </w:tc>
        <w:tc>
          <w:tcPr>
            <w:tcW w:w="440" w:type="dxa"/>
            <w:vAlign w:val="top"/>
          </w:tcPr>
          <w:p>
            <w:pPr>
              <w:spacing w:before="87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2" w:line="195" w:lineRule="auto"/>
              <w:ind w:left="251"/>
            </w:pPr>
            <w:r>
              <w:rPr>
                <w:color w:val="1F497D"/>
                <w:spacing w:val="-2"/>
              </w:rPr>
              <w:t>7.58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2" w:line="195" w:lineRule="auto"/>
              <w:ind w:left="197"/>
            </w:pPr>
            <w:r>
              <w:rPr>
                <w:color w:val="1F497D"/>
                <w:spacing w:val="-2"/>
              </w:rPr>
              <w:t>0.45       0.54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2" w:line="195" w:lineRule="auto"/>
              <w:ind w:left="125"/>
            </w:pPr>
            <w:r>
              <w:rPr>
                <w:color w:val="1F497D"/>
                <w:spacing w:val="-4"/>
              </w:rPr>
              <w:t>13.29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11.07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2" w:line="195" w:lineRule="auto"/>
              <w:ind w:left="225"/>
            </w:pPr>
            <w:r>
              <w:rPr>
                <w:color w:val="1F497D"/>
                <w:spacing w:val="-2"/>
              </w:rPr>
              <w:t>6.20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2" w:line="195" w:lineRule="auto"/>
              <w:ind w:left="207"/>
            </w:pPr>
            <w:r>
              <w:rPr>
                <w:color w:val="1F497D"/>
                <w:spacing w:val="-2"/>
              </w:rPr>
              <w:t>5.32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2" w:line="195" w:lineRule="auto"/>
              <w:ind w:left="138"/>
            </w:pPr>
            <w:r>
              <w:rPr>
                <w:color w:val="1F497D"/>
                <w:spacing w:val="-4"/>
              </w:rPr>
              <w:t>10.60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12.40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6"/>
        </w:trPr>
        <w:tc>
          <w:tcPr>
            <w:tcW w:w="861" w:type="dxa"/>
            <w:vAlign w:val="top"/>
          </w:tcPr>
          <w:p>
            <w:pPr>
              <w:spacing w:before="85" w:line="220" w:lineRule="auto"/>
              <w:ind w:left="12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朗姿股份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8" w:line="197" w:lineRule="auto"/>
              <w:ind w:left="125"/>
            </w:pPr>
            <w:r>
              <w:rPr>
                <w:color w:val="1F497D"/>
                <w:spacing w:val="-1"/>
              </w:rPr>
              <w:t>002612.SZ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8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66"/>
            </w:pPr>
            <w:r>
              <w:rPr>
                <w:color w:val="1F497D"/>
                <w:spacing w:val="-4"/>
              </w:rPr>
              <w:t>18.44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8" w:line="197" w:lineRule="auto"/>
              <w:ind w:left="71"/>
            </w:pPr>
            <w:r>
              <w:rPr>
                <w:color w:val="1F497D"/>
                <w:spacing w:val="-1"/>
              </w:rPr>
              <w:t>2023/11/14</w:t>
            </w:r>
          </w:p>
        </w:tc>
        <w:tc>
          <w:tcPr>
            <w:tcW w:w="440" w:type="dxa"/>
            <w:vAlign w:val="top"/>
          </w:tcPr>
          <w:p>
            <w:pPr>
              <w:spacing w:before="85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9" w:line="195" w:lineRule="auto"/>
              <w:ind w:left="204"/>
            </w:pPr>
            <w:r>
              <w:rPr>
                <w:color w:val="1F497D"/>
                <w:spacing w:val="-2"/>
              </w:rPr>
              <w:t>31.48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7"/>
            </w:pPr>
            <w:r>
              <w:rPr>
                <w:color w:val="1F497D"/>
                <w:spacing w:val="-2"/>
              </w:rPr>
              <w:t>0.48       0.67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9" w:line="195" w:lineRule="auto"/>
              <w:ind w:left="114"/>
            </w:pPr>
            <w:r>
              <w:rPr>
                <w:color w:val="1F497D"/>
                <w:spacing w:val="-1"/>
              </w:rPr>
              <w:t>38.42       27.52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193"/>
            </w:pPr>
            <w:r>
              <w:rPr>
                <w:color w:val="1F497D"/>
                <w:spacing w:val="-4"/>
              </w:rPr>
              <w:t>14.31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175"/>
            </w:pPr>
            <w:r>
              <w:rPr>
                <w:color w:val="1F497D"/>
                <w:spacing w:val="-4"/>
              </w:rPr>
              <w:t>12.40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72"/>
            </w:pPr>
            <w:r>
              <w:rPr>
                <w:color w:val="1F497D"/>
                <w:spacing w:val="-2"/>
              </w:rPr>
              <w:t>6.90</w:t>
            </w:r>
            <w:r>
              <w:rPr>
                <w:color w:val="1F497D"/>
                <w:spacing w:val="8"/>
              </w:rPr>
              <w:t xml:space="preserve">     </w:t>
            </w:r>
            <w:r>
              <w:rPr>
                <w:color w:val="1F497D"/>
                <w:spacing w:val="-2"/>
              </w:rPr>
              <w:t>8.70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6"/>
        </w:trPr>
        <w:tc>
          <w:tcPr>
            <w:tcW w:w="861" w:type="dxa"/>
            <w:vAlign w:val="top"/>
          </w:tcPr>
          <w:p>
            <w:pPr>
              <w:spacing w:before="84" w:line="215" w:lineRule="auto"/>
              <w:ind w:left="18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乔治白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8" w:line="197" w:lineRule="auto"/>
              <w:ind w:left="125"/>
            </w:pPr>
            <w:r>
              <w:rPr>
                <w:color w:val="1F497D"/>
                <w:spacing w:val="-1"/>
              </w:rPr>
              <w:t>002687.SZ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8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0" w:line="195" w:lineRule="auto"/>
              <w:ind w:left="198"/>
            </w:pPr>
            <w:r>
              <w:rPr>
                <w:color w:val="1F497D"/>
                <w:spacing w:val="-2"/>
              </w:rPr>
              <w:t>5.27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8" w:line="197" w:lineRule="auto"/>
              <w:ind w:left="71"/>
            </w:pPr>
            <w:r>
              <w:rPr>
                <w:color w:val="1F497D"/>
                <w:spacing w:val="-1"/>
              </w:rPr>
              <w:t>2023/11/05</w:t>
            </w:r>
          </w:p>
        </w:tc>
        <w:tc>
          <w:tcPr>
            <w:tcW w:w="440" w:type="dxa"/>
            <w:vAlign w:val="top"/>
          </w:tcPr>
          <w:p>
            <w:pPr>
              <w:spacing w:before="85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0" w:line="195" w:lineRule="auto"/>
              <w:ind w:left="249"/>
            </w:pPr>
            <w:r>
              <w:rPr>
                <w:color w:val="1F497D"/>
                <w:spacing w:val="-2"/>
              </w:rPr>
              <w:t>6.69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0" w:line="195" w:lineRule="auto"/>
              <w:ind w:left="197"/>
            </w:pPr>
            <w:r>
              <w:rPr>
                <w:color w:val="1F497D"/>
                <w:spacing w:val="-2"/>
              </w:rPr>
              <w:t>0.36       0.45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0" w:line="195" w:lineRule="auto"/>
              <w:ind w:left="125"/>
            </w:pPr>
            <w:r>
              <w:rPr>
                <w:color w:val="1F497D"/>
                <w:spacing w:val="-4"/>
              </w:rPr>
              <w:t>14.64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11.71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0" w:line="195" w:lineRule="auto"/>
              <w:ind w:left="225"/>
            </w:pPr>
            <w:r>
              <w:rPr>
                <w:color w:val="1F497D"/>
                <w:spacing w:val="-2"/>
              </w:rPr>
              <w:t>8.81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0" w:line="195" w:lineRule="auto"/>
              <w:ind w:left="208"/>
            </w:pPr>
            <w:r>
              <w:rPr>
                <w:color w:val="1F497D"/>
                <w:spacing w:val="-2"/>
              </w:rPr>
              <w:t>7.26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0" w:line="195" w:lineRule="auto"/>
              <w:ind w:left="138"/>
            </w:pPr>
            <w:r>
              <w:rPr>
                <w:color w:val="1F497D"/>
                <w:spacing w:val="-4"/>
              </w:rPr>
              <w:t>11.70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12.50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8"/>
        </w:trPr>
        <w:tc>
          <w:tcPr>
            <w:tcW w:w="861" w:type="dxa"/>
            <w:vAlign w:val="top"/>
          </w:tcPr>
          <w:p>
            <w:pPr>
              <w:spacing w:before="86" w:line="226" w:lineRule="auto"/>
              <w:ind w:left="11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</w:rPr>
              <w:t>红豆股份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9" w:line="197" w:lineRule="auto"/>
              <w:ind w:left="115"/>
            </w:pPr>
            <w:r>
              <w:rPr>
                <w:color w:val="1F497D"/>
                <w:spacing w:val="-1"/>
              </w:rPr>
              <w:t>600400.SH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9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1" w:line="195" w:lineRule="auto"/>
              <w:ind w:left="196"/>
            </w:pPr>
            <w:r>
              <w:rPr>
                <w:color w:val="1F497D"/>
                <w:spacing w:val="-1"/>
              </w:rPr>
              <w:t>2.90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9" w:line="197" w:lineRule="auto"/>
              <w:ind w:left="71"/>
            </w:pPr>
            <w:r>
              <w:rPr>
                <w:color w:val="1F497D"/>
                <w:spacing w:val="-1"/>
              </w:rPr>
              <w:t>2023/11/14</w:t>
            </w:r>
          </w:p>
        </w:tc>
        <w:tc>
          <w:tcPr>
            <w:tcW w:w="440" w:type="dxa"/>
            <w:vAlign w:val="top"/>
          </w:tcPr>
          <w:p>
            <w:pPr>
              <w:spacing w:before="86" w:line="220" w:lineRule="auto"/>
              <w:ind w:left="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增持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1" w:line="195" w:lineRule="auto"/>
              <w:ind w:left="250"/>
            </w:pPr>
            <w:r>
              <w:rPr>
                <w:color w:val="1F497D"/>
                <w:spacing w:val="-2"/>
              </w:rPr>
              <w:t>3.85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1" w:line="195" w:lineRule="auto"/>
              <w:ind w:left="197"/>
            </w:pPr>
            <w:r>
              <w:rPr>
                <w:color w:val="1F497D"/>
                <w:spacing w:val="-2"/>
              </w:rPr>
              <w:t>0.03       0.04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1" w:line="195" w:lineRule="auto"/>
              <w:ind w:left="114"/>
            </w:pPr>
            <w:r>
              <w:rPr>
                <w:color w:val="1F497D"/>
                <w:spacing w:val="-1"/>
              </w:rPr>
              <w:t>96.67       72.50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1" w:line="195" w:lineRule="auto"/>
              <w:ind w:left="180"/>
            </w:pPr>
            <w:r>
              <w:rPr>
                <w:color w:val="1F497D"/>
                <w:spacing w:val="-1"/>
              </w:rPr>
              <w:t>25.55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1" w:line="195" w:lineRule="auto"/>
              <w:ind w:left="162"/>
            </w:pPr>
            <w:r>
              <w:rPr>
                <w:color w:val="1F497D"/>
                <w:spacing w:val="-1"/>
              </w:rPr>
              <w:t>20.27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1" w:line="195" w:lineRule="auto"/>
              <w:ind w:left="171"/>
            </w:pPr>
            <w:r>
              <w:rPr>
                <w:color w:val="1F497D"/>
                <w:spacing w:val="-1"/>
              </w:rPr>
              <w:t>2.40</w:t>
            </w:r>
            <w:r>
              <w:rPr>
                <w:color w:val="1F497D"/>
                <w:spacing w:val="7"/>
              </w:rPr>
              <w:t xml:space="preserve">     </w:t>
            </w:r>
            <w:r>
              <w:rPr>
                <w:color w:val="1F497D"/>
                <w:spacing w:val="-1"/>
              </w:rPr>
              <w:t>2.90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3"/>
        </w:trPr>
        <w:tc>
          <w:tcPr>
            <w:tcW w:w="861" w:type="dxa"/>
            <w:vAlign w:val="top"/>
          </w:tcPr>
          <w:p>
            <w:pPr>
              <w:spacing w:before="84" w:line="218" w:lineRule="auto"/>
              <w:ind w:left="11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</w:rPr>
              <w:t>海澜之家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7" w:line="197" w:lineRule="auto"/>
              <w:ind w:left="115"/>
            </w:pPr>
            <w:r>
              <w:rPr>
                <w:color w:val="1F497D"/>
                <w:spacing w:val="-1"/>
              </w:rPr>
              <w:t>600398.SH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7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99"/>
            </w:pPr>
            <w:r>
              <w:rPr>
                <w:color w:val="1F497D"/>
                <w:spacing w:val="-2"/>
              </w:rPr>
              <w:t>7.59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7" w:line="197" w:lineRule="auto"/>
              <w:ind w:left="71"/>
            </w:pPr>
            <w:r>
              <w:rPr>
                <w:color w:val="1F497D"/>
                <w:spacing w:val="-1"/>
              </w:rPr>
              <w:t>2023/10/31</w:t>
            </w:r>
          </w:p>
        </w:tc>
        <w:tc>
          <w:tcPr>
            <w:tcW w:w="440" w:type="dxa"/>
            <w:vAlign w:val="top"/>
          </w:tcPr>
          <w:p>
            <w:pPr>
              <w:spacing w:before="84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9" w:line="195" w:lineRule="auto"/>
              <w:ind w:left="250"/>
            </w:pPr>
            <w:r>
              <w:rPr>
                <w:color w:val="1F497D"/>
                <w:spacing w:val="-2"/>
              </w:rPr>
              <w:t>8.00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7"/>
            </w:pPr>
            <w:r>
              <w:rPr>
                <w:color w:val="1F497D"/>
                <w:spacing w:val="-2"/>
              </w:rPr>
              <w:t>0.67       0.80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7" w:line="197" w:lineRule="auto"/>
              <w:ind w:left="130"/>
            </w:pPr>
            <w:r>
              <w:rPr>
                <w:color w:val="1F497D"/>
                <w:spacing w:val="-5"/>
              </w:rPr>
              <w:t>11.94</w:t>
            </w:r>
            <w:r>
              <w:rPr>
                <w:color w:val="1F497D"/>
                <w:spacing w:val="3"/>
              </w:rPr>
              <w:t xml:space="preserve">       </w:t>
            </w:r>
            <w:r>
              <w:rPr>
                <w:color w:val="1F497D"/>
                <w:spacing w:val="-5"/>
              </w:rPr>
              <w:t>10.00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225"/>
            </w:pPr>
            <w:r>
              <w:rPr>
                <w:color w:val="1F497D"/>
                <w:spacing w:val="-2"/>
              </w:rPr>
              <w:t>6.12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207"/>
            </w:pPr>
            <w:r>
              <w:rPr>
                <w:color w:val="1F497D"/>
                <w:spacing w:val="-2"/>
              </w:rPr>
              <w:t>5.14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38"/>
            </w:pPr>
            <w:r>
              <w:rPr>
                <w:color w:val="1F497D"/>
                <w:spacing w:val="-3"/>
              </w:rPr>
              <w:t>19.00</w:t>
            </w:r>
            <w:r>
              <w:rPr>
                <w:color w:val="1F497D"/>
                <w:spacing w:val="15"/>
                <w:w w:val="101"/>
              </w:rPr>
              <w:t xml:space="preserve">   </w:t>
            </w:r>
            <w:r>
              <w:rPr>
                <w:color w:val="1F497D"/>
                <w:spacing w:val="-3"/>
              </w:rPr>
              <w:t>21.90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7"/>
        </w:trPr>
        <w:tc>
          <w:tcPr>
            <w:tcW w:w="861" w:type="dxa"/>
            <w:vAlign w:val="top"/>
          </w:tcPr>
          <w:p>
            <w:pPr>
              <w:spacing w:before="85" w:line="218" w:lineRule="auto"/>
              <w:ind w:left="10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</w:rPr>
              <w:t>伟星股份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8" w:line="197" w:lineRule="auto"/>
              <w:ind w:left="125"/>
            </w:pPr>
            <w:r>
              <w:rPr>
                <w:color w:val="1F497D"/>
                <w:spacing w:val="-1"/>
              </w:rPr>
              <w:t>002003.SZ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8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0" w:line="195" w:lineRule="auto"/>
              <w:ind w:left="166"/>
            </w:pPr>
            <w:r>
              <w:rPr>
                <w:color w:val="1F497D"/>
                <w:spacing w:val="-4"/>
              </w:rPr>
              <w:t>10.23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8" w:line="197" w:lineRule="auto"/>
              <w:ind w:left="71"/>
            </w:pPr>
            <w:r>
              <w:rPr>
                <w:color w:val="1F497D"/>
                <w:spacing w:val="-1"/>
              </w:rPr>
              <w:t>2023/10/27</w:t>
            </w:r>
          </w:p>
        </w:tc>
        <w:tc>
          <w:tcPr>
            <w:tcW w:w="440" w:type="dxa"/>
            <w:vAlign w:val="top"/>
          </w:tcPr>
          <w:p>
            <w:pPr>
              <w:spacing w:before="85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0" w:line="195" w:lineRule="auto"/>
              <w:ind w:left="215"/>
            </w:pPr>
            <w:r>
              <w:rPr>
                <w:color w:val="1F497D"/>
                <w:spacing w:val="-4"/>
              </w:rPr>
              <w:t>12.02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0" w:line="195" w:lineRule="auto"/>
              <w:ind w:left="197"/>
            </w:pPr>
            <w:r>
              <w:rPr>
                <w:color w:val="1F497D"/>
                <w:spacing w:val="-2"/>
              </w:rPr>
              <w:t>0.49       0.55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0" w:line="195" w:lineRule="auto"/>
              <w:ind w:left="112"/>
            </w:pPr>
            <w:r>
              <w:rPr>
                <w:color w:val="1F497D"/>
                <w:spacing w:val="-3"/>
              </w:rPr>
              <w:t>20.88</w:t>
            </w:r>
            <w:r>
              <w:rPr>
                <w:color w:val="1F497D"/>
                <w:spacing w:val="3"/>
              </w:rPr>
              <w:t xml:space="preserve">       </w:t>
            </w:r>
            <w:r>
              <w:rPr>
                <w:color w:val="1F497D"/>
                <w:spacing w:val="-3"/>
              </w:rPr>
              <w:t>18.60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0" w:line="195" w:lineRule="auto"/>
              <w:ind w:left="193"/>
            </w:pPr>
            <w:r>
              <w:rPr>
                <w:color w:val="1F497D"/>
                <w:spacing w:val="-4"/>
              </w:rPr>
              <w:t>13.53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0" w:line="195" w:lineRule="auto"/>
              <w:ind w:left="175"/>
            </w:pPr>
            <w:r>
              <w:rPr>
                <w:color w:val="1F497D"/>
                <w:spacing w:val="-4"/>
              </w:rPr>
              <w:t>12.24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0" w:line="195" w:lineRule="auto"/>
              <w:ind w:left="138"/>
            </w:pPr>
            <w:r>
              <w:rPr>
                <w:color w:val="1F497D"/>
                <w:spacing w:val="-4"/>
              </w:rPr>
              <w:t>14.30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15.40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7"/>
        </w:trPr>
        <w:tc>
          <w:tcPr>
            <w:tcW w:w="861" w:type="dxa"/>
            <w:vAlign w:val="top"/>
          </w:tcPr>
          <w:p>
            <w:pPr>
              <w:spacing w:before="85" w:line="219" w:lineRule="auto"/>
              <w:ind w:left="10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</w:rPr>
              <w:t>健盛集团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8" w:line="197" w:lineRule="auto"/>
              <w:ind w:left="115"/>
            </w:pPr>
            <w:r>
              <w:rPr>
                <w:color w:val="1F497D"/>
                <w:spacing w:val="-1"/>
              </w:rPr>
              <w:t>603558.SH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8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98"/>
            </w:pPr>
            <w:r>
              <w:rPr>
                <w:color w:val="1F497D"/>
                <w:spacing w:val="-2"/>
              </w:rPr>
              <w:t>9.81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8" w:line="197" w:lineRule="auto"/>
              <w:ind w:left="71"/>
            </w:pPr>
            <w:r>
              <w:rPr>
                <w:color w:val="1F497D"/>
                <w:spacing w:val="-1"/>
              </w:rPr>
              <w:t>2023/12/24</w:t>
            </w:r>
          </w:p>
        </w:tc>
        <w:tc>
          <w:tcPr>
            <w:tcW w:w="440" w:type="dxa"/>
            <w:vAlign w:val="top"/>
          </w:tcPr>
          <w:p>
            <w:pPr>
              <w:spacing w:before="85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0" w:line="195" w:lineRule="auto"/>
              <w:ind w:left="215"/>
            </w:pPr>
            <w:r>
              <w:rPr>
                <w:color w:val="1F497D"/>
                <w:spacing w:val="-4"/>
              </w:rPr>
              <w:t>12.41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7"/>
            </w:pPr>
            <w:r>
              <w:rPr>
                <w:color w:val="1F497D"/>
                <w:spacing w:val="-2"/>
              </w:rPr>
              <w:t>0.65       0.84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9" w:line="195" w:lineRule="auto"/>
              <w:ind w:left="125"/>
            </w:pPr>
            <w:r>
              <w:rPr>
                <w:color w:val="1F497D"/>
                <w:spacing w:val="-4"/>
              </w:rPr>
              <w:t>15.09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11.68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226"/>
            </w:pPr>
            <w:r>
              <w:rPr>
                <w:color w:val="1F497D"/>
                <w:spacing w:val="-2"/>
              </w:rPr>
              <w:t>7.30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207"/>
            </w:pPr>
            <w:r>
              <w:rPr>
                <w:color w:val="1F497D"/>
                <w:spacing w:val="-2"/>
              </w:rPr>
              <w:t>6.20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73"/>
            </w:pPr>
            <w:r>
              <w:rPr>
                <w:color w:val="1F497D"/>
                <w:spacing w:val="-3"/>
              </w:rPr>
              <w:t>9.20</w:t>
            </w:r>
            <w:r>
              <w:rPr>
                <w:color w:val="1F497D"/>
                <w:spacing w:val="1"/>
              </w:rPr>
              <w:t xml:space="preserve">     </w:t>
            </w:r>
            <w:r>
              <w:rPr>
                <w:color w:val="1F497D"/>
                <w:spacing w:val="-3"/>
              </w:rPr>
              <w:t>10.60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3"/>
        </w:trPr>
        <w:tc>
          <w:tcPr>
            <w:tcW w:w="861" w:type="dxa"/>
            <w:vAlign w:val="top"/>
          </w:tcPr>
          <w:p>
            <w:pPr>
              <w:spacing w:before="84" w:line="218" w:lineRule="auto"/>
              <w:ind w:left="10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新澳股份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7" w:line="197" w:lineRule="auto"/>
              <w:ind w:left="115"/>
            </w:pPr>
            <w:r>
              <w:rPr>
                <w:color w:val="1F497D"/>
                <w:spacing w:val="-1"/>
              </w:rPr>
              <w:t>603889.SH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7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99"/>
            </w:pPr>
            <w:r>
              <w:rPr>
                <w:color w:val="1F497D"/>
                <w:spacing w:val="-2"/>
              </w:rPr>
              <w:t>7.61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7" w:line="197" w:lineRule="auto"/>
              <w:ind w:left="71"/>
            </w:pPr>
            <w:r>
              <w:rPr>
                <w:color w:val="1F497D"/>
                <w:spacing w:val="-1"/>
              </w:rPr>
              <w:t>2023/10/22</w:t>
            </w:r>
          </w:p>
        </w:tc>
        <w:tc>
          <w:tcPr>
            <w:tcW w:w="440" w:type="dxa"/>
            <w:vAlign w:val="top"/>
          </w:tcPr>
          <w:p>
            <w:pPr>
              <w:spacing w:before="84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9" w:line="195" w:lineRule="auto"/>
              <w:ind w:left="250"/>
            </w:pPr>
            <w:r>
              <w:rPr>
                <w:color w:val="1F497D"/>
                <w:spacing w:val="-2"/>
              </w:rPr>
              <w:t>8.07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7"/>
            </w:pPr>
            <w:r>
              <w:rPr>
                <w:color w:val="1F497D"/>
                <w:spacing w:val="-2"/>
              </w:rPr>
              <w:t>0.58       0.66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9" w:line="195" w:lineRule="auto"/>
              <w:ind w:left="125"/>
            </w:pPr>
            <w:r>
              <w:rPr>
                <w:color w:val="1F497D"/>
                <w:spacing w:val="-4"/>
              </w:rPr>
              <w:t>13.12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11.53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225"/>
            </w:pPr>
            <w:r>
              <w:rPr>
                <w:color w:val="1F497D"/>
                <w:spacing w:val="-2"/>
              </w:rPr>
              <w:t>8.63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208"/>
            </w:pPr>
            <w:r>
              <w:rPr>
                <w:color w:val="1F497D"/>
                <w:spacing w:val="-2"/>
              </w:rPr>
              <w:t>7.33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38"/>
            </w:pPr>
            <w:r>
              <w:rPr>
                <w:color w:val="1F497D"/>
                <w:spacing w:val="-4"/>
              </w:rPr>
              <w:t>12.30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13.10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8"/>
        </w:trPr>
        <w:tc>
          <w:tcPr>
            <w:tcW w:w="861" w:type="dxa"/>
            <w:vAlign w:val="top"/>
          </w:tcPr>
          <w:p>
            <w:pPr>
              <w:spacing w:before="87" w:line="225" w:lineRule="auto"/>
              <w:ind w:left="11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开润股份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1" w:line="197" w:lineRule="auto"/>
              <w:ind w:left="125"/>
            </w:pPr>
            <w:r>
              <w:rPr>
                <w:color w:val="1F497D"/>
                <w:spacing w:val="-1"/>
              </w:rPr>
              <w:t>300577.SZ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1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2" w:line="195" w:lineRule="auto"/>
              <w:ind w:left="166"/>
            </w:pPr>
            <w:r>
              <w:rPr>
                <w:color w:val="1F497D"/>
                <w:spacing w:val="-4"/>
              </w:rPr>
              <w:t>13.40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1" w:line="197" w:lineRule="auto"/>
              <w:ind w:left="71"/>
            </w:pPr>
            <w:r>
              <w:rPr>
                <w:color w:val="1F497D"/>
                <w:spacing w:val="-1"/>
              </w:rPr>
              <w:t>2023/11/05</w:t>
            </w:r>
          </w:p>
        </w:tc>
        <w:tc>
          <w:tcPr>
            <w:tcW w:w="440" w:type="dxa"/>
            <w:vAlign w:val="top"/>
          </w:tcPr>
          <w:p>
            <w:pPr>
              <w:spacing w:before="88" w:line="220" w:lineRule="auto"/>
              <w:ind w:left="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增持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2" w:line="195" w:lineRule="auto"/>
              <w:ind w:left="202"/>
            </w:pPr>
            <w:r>
              <w:rPr>
                <w:color w:val="1F497D"/>
                <w:spacing w:val="-1"/>
              </w:rPr>
              <w:t>20.27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2" w:line="195" w:lineRule="auto"/>
              <w:ind w:left="197"/>
            </w:pPr>
            <w:r>
              <w:rPr>
                <w:color w:val="1F497D"/>
                <w:spacing w:val="-2"/>
              </w:rPr>
              <w:t>0.68       0.88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2" w:line="195" w:lineRule="auto"/>
              <w:ind w:left="125"/>
            </w:pPr>
            <w:r>
              <w:rPr>
                <w:color w:val="1F497D"/>
                <w:spacing w:val="-4"/>
              </w:rPr>
              <w:t>19.71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15.23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2" w:line="195" w:lineRule="auto"/>
              <w:ind w:left="225"/>
            </w:pPr>
            <w:r>
              <w:rPr>
                <w:color w:val="1F497D"/>
                <w:spacing w:val="-2"/>
              </w:rPr>
              <w:t>9.68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3" w:line="194" w:lineRule="auto"/>
              <w:ind w:left="208"/>
            </w:pPr>
            <w:r>
              <w:rPr>
                <w:color w:val="1F497D"/>
                <w:spacing w:val="-2"/>
              </w:rPr>
              <w:t>7.74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2" w:line="195" w:lineRule="auto"/>
              <w:ind w:left="172"/>
            </w:pPr>
            <w:r>
              <w:rPr>
                <w:color w:val="1F497D"/>
                <w:spacing w:val="-3"/>
              </w:rPr>
              <w:t>8.90</w:t>
            </w:r>
            <w:r>
              <w:rPr>
                <w:color w:val="1F497D"/>
                <w:spacing w:val="1"/>
              </w:rPr>
              <w:t xml:space="preserve">     </w:t>
            </w:r>
            <w:r>
              <w:rPr>
                <w:color w:val="1F497D"/>
                <w:spacing w:val="-3"/>
              </w:rPr>
              <w:t>10.50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4"/>
        </w:trPr>
        <w:tc>
          <w:tcPr>
            <w:tcW w:w="861" w:type="dxa"/>
            <w:vAlign w:val="top"/>
          </w:tcPr>
          <w:p>
            <w:pPr>
              <w:spacing w:before="86" w:line="220" w:lineRule="auto"/>
              <w:ind w:left="10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</w:rPr>
              <w:t>稳健医疗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9" w:line="197" w:lineRule="auto"/>
              <w:ind w:left="125"/>
            </w:pPr>
            <w:r>
              <w:rPr>
                <w:color w:val="1F497D"/>
                <w:spacing w:val="-1"/>
              </w:rPr>
              <w:t>300888.SZ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9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1" w:line="195" w:lineRule="auto"/>
              <w:ind w:left="155"/>
            </w:pPr>
            <w:r>
              <w:rPr>
                <w:color w:val="1F497D"/>
                <w:spacing w:val="-2"/>
              </w:rPr>
              <w:t>35.10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9" w:line="197" w:lineRule="auto"/>
              <w:ind w:left="71"/>
            </w:pPr>
            <w:r>
              <w:rPr>
                <w:color w:val="1F497D"/>
                <w:spacing w:val="-1"/>
              </w:rPr>
              <w:t>2023/11/27</w:t>
            </w:r>
          </w:p>
        </w:tc>
        <w:tc>
          <w:tcPr>
            <w:tcW w:w="440" w:type="dxa"/>
            <w:vAlign w:val="top"/>
          </w:tcPr>
          <w:p>
            <w:pPr>
              <w:spacing w:before="86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1" w:line="195" w:lineRule="auto"/>
              <w:ind w:left="200"/>
            </w:pPr>
            <w:r>
              <w:rPr>
                <w:color w:val="1F497D"/>
                <w:spacing w:val="-1"/>
              </w:rPr>
              <w:t>45.72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1" w:line="195" w:lineRule="auto"/>
              <w:ind w:left="197"/>
            </w:pPr>
            <w:r>
              <w:rPr>
                <w:color w:val="1F497D"/>
                <w:spacing w:val="-2"/>
              </w:rPr>
              <w:t>3.98</w:t>
            </w:r>
            <w:r>
              <w:rPr>
                <w:color w:val="1F497D"/>
                <w:spacing w:val="7"/>
              </w:rPr>
              <w:t xml:space="preserve">      </w:t>
            </w:r>
            <w:r>
              <w:rPr>
                <w:color w:val="1F497D"/>
                <w:spacing w:val="-2"/>
              </w:rPr>
              <w:t>2.29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1" w:line="195" w:lineRule="auto"/>
              <w:ind w:left="157"/>
            </w:pPr>
            <w:r>
              <w:rPr>
                <w:color w:val="1F497D"/>
                <w:spacing w:val="-3"/>
              </w:rPr>
              <w:t>8.82</w:t>
            </w:r>
            <w:r>
              <w:rPr>
                <w:color w:val="1F497D"/>
                <w:spacing w:val="2"/>
              </w:rPr>
              <w:t xml:space="preserve">        </w:t>
            </w:r>
            <w:r>
              <w:rPr>
                <w:color w:val="1F497D"/>
                <w:spacing w:val="-3"/>
              </w:rPr>
              <w:t>15.33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1" w:line="195" w:lineRule="auto"/>
              <w:ind w:left="193"/>
            </w:pPr>
            <w:r>
              <w:rPr>
                <w:color w:val="1F497D"/>
                <w:spacing w:val="-4"/>
              </w:rPr>
              <w:t>13.22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1" w:line="195" w:lineRule="auto"/>
              <w:ind w:left="175"/>
            </w:pPr>
            <w:r>
              <w:rPr>
                <w:color w:val="1F497D"/>
                <w:spacing w:val="-4"/>
              </w:rPr>
              <w:t>11.76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1" w:line="195" w:lineRule="auto"/>
              <w:ind w:left="138"/>
            </w:pPr>
            <w:r>
              <w:rPr>
                <w:color w:val="1F497D"/>
                <w:spacing w:val="-2"/>
              </w:rPr>
              <w:t>17.00     8.90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8"/>
        </w:trPr>
        <w:tc>
          <w:tcPr>
            <w:tcW w:w="861" w:type="dxa"/>
            <w:vAlign w:val="top"/>
          </w:tcPr>
          <w:p>
            <w:pPr>
              <w:pStyle w:val="TableText"/>
              <w:spacing w:before="89" w:line="215" w:lineRule="auto"/>
              <w:ind w:left="198"/>
            </w:pPr>
            <w:r>
              <w:rPr>
                <w:rFonts w:ascii="KaiTi" w:eastAsia="KaiTi" w:hAnsi="KaiTi" w:cs="KaiTi"/>
                <w:color w:val="1F497D"/>
                <w:spacing w:val="-2"/>
              </w:rPr>
              <w:t>鲁泰</w:t>
            </w:r>
            <w:r>
              <w:rPr>
                <w:rFonts w:ascii="KaiTi" w:eastAsia="KaiTi" w:hAnsi="KaiTi" w:cs="KaiTi"/>
                <w:color w:val="1F497D"/>
                <w:spacing w:val="-42"/>
              </w:rPr>
              <w:t xml:space="preserve"> </w:t>
            </w:r>
            <w:r>
              <w:rPr>
                <w:color w:val="1F497D"/>
                <w:spacing w:val="-2"/>
              </w:rPr>
              <w:t>A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1" w:line="197" w:lineRule="auto"/>
              <w:ind w:left="125"/>
            </w:pPr>
            <w:r>
              <w:rPr>
                <w:color w:val="1F497D"/>
                <w:spacing w:val="-1"/>
              </w:rPr>
              <w:t>000726.SZ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1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3" w:line="195" w:lineRule="auto"/>
              <w:ind w:left="198"/>
            </w:pPr>
            <w:r>
              <w:rPr>
                <w:color w:val="1F497D"/>
                <w:spacing w:val="-2"/>
              </w:rPr>
              <w:t>6.57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1" w:line="197" w:lineRule="auto"/>
              <w:ind w:left="71"/>
            </w:pPr>
            <w:r>
              <w:rPr>
                <w:color w:val="1F497D"/>
                <w:spacing w:val="-1"/>
              </w:rPr>
              <w:t>2024/01/14</w:t>
            </w:r>
          </w:p>
        </w:tc>
        <w:tc>
          <w:tcPr>
            <w:tcW w:w="440" w:type="dxa"/>
            <w:vAlign w:val="top"/>
          </w:tcPr>
          <w:p>
            <w:pPr>
              <w:spacing w:before="88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3" w:line="195" w:lineRule="auto"/>
              <w:ind w:left="250"/>
            </w:pPr>
            <w:r>
              <w:rPr>
                <w:color w:val="1F497D"/>
                <w:spacing w:val="-2"/>
              </w:rPr>
              <w:t>9.39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3" w:line="195" w:lineRule="auto"/>
              <w:ind w:left="197"/>
            </w:pPr>
            <w:r>
              <w:rPr>
                <w:color w:val="1F497D"/>
                <w:spacing w:val="-2"/>
              </w:rPr>
              <w:t>0.70       0.94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3" w:line="195" w:lineRule="auto"/>
              <w:ind w:left="157"/>
            </w:pPr>
            <w:r>
              <w:rPr>
                <w:color w:val="1F497D"/>
                <w:spacing w:val="-1"/>
              </w:rPr>
              <w:t>9.39         6.99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3" w:line="195" w:lineRule="auto"/>
              <w:ind w:left="225"/>
            </w:pPr>
            <w:r>
              <w:rPr>
                <w:color w:val="1F497D"/>
                <w:spacing w:val="-2"/>
              </w:rPr>
              <w:t>5.33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3" w:line="195" w:lineRule="auto"/>
              <w:ind w:left="203"/>
            </w:pPr>
            <w:r>
              <w:rPr>
                <w:color w:val="1F497D"/>
                <w:spacing w:val="-1"/>
              </w:rPr>
              <w:t>4.05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3" w:line="195" w:lineRule="auto"/>
              <w:ind w:left="172"/>
            </w:pPr>
            <w:r>
              <w:rPr>
                <w:color w:val="1F497D"/>
                <w:spacing w:val="-2"/>
              </w:rPr>
              <w:t>6.40</w:t>
            </w:r>
            <w:r>
              <w:rPr>
                <w:color w:val="1F497D"/>
                <w:spacing w:val="8"/>
              </w:rPr>
              <w:t xml:space="preserve">     </w:t>
            </w:r>
            <w:r>
              <w:rPr>
                <w:color w:val="1F497D"/>
                <w:spacing w:val="-2"/>
              </w:rPr>
              <w:t>8.00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4"/>
        </w:trPr>
        <w:tc>
          <w:tcPr>
            <w:tcW w:w="861" w:type="dxa"/>
            <w:vAlign w:val="top"/>
          </w:tcPr>
          <w:p>
            <w:pPr>
              <w:spacing w:before="84" w:line="218" w:lineRule="auto"/>
              <w:ind w:left="11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</w:rPr>
              <w:t>华利集团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07" w:line="197" w:lineRule="auto"/>
              <w:ind w:left="125"/>
            </w:pPr>
            <w:r>
              <w:rPr>
                <w:color w:val="1F497D"/>
                <w:spacing w:val="-1"/>
              </w:rPr>
              <w:t>300979.SZ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07" w:line="197" w:lineRule="auto"/>
              <w:ind w:left="126"/>
            </w:pPr>
            <w:r>
              <w:rPr>
                <w:color w:val="1F497D"/>
                <w:spacing w:val="-3"/>
              </w:rPr>
              <w:t>CNY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09" w:line="195" w:lineRule="auto"/>
              <w:ind w:left="155"/>
            </w:pPr>
            <w:r>
              <w:rPr>
                <w:color w:val="1F497D"/>
                <w:spacing w:val="-2"/>
              </w:rPr>
              <w:t>52.42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7" w:line="197" w:lineRule="auto"/>
              <w:ind w:left="71"/>
            </w:pPr>
            <w:r>
              <w:rPr>
                <w:color w:val="1F497D"/>
                <w:spacing w:val="-1"/>
              </w:rPr>
              <w:t>2023/12/10</w:t>
            </w:r>
          </w:p>
        </w:tc>
        <w:tc>
          <w:tcPr>
            <w:tcW w:w="440" w:type="dxa"/>
            <w:vAlign w:val="top"/>
          </w:tcPr>
          <w:p>
            <w:pPr>
              <w:spacing w:before="84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09" w:line="195" w:lineRule="auto"/>
              <w:ind w:left="204"/>
            </w:pPr>
            <w:r>
              <w:rPr>
                <w:color w:val="1F497D"/>
                <w:spacing w:val="-2"/>
              </w:rPr>
              <w:t>68.90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9" w:line="195" w:lineRule="auto"/>
              <w:ind w:left="195"/>
            </w:pPr>
            <w:r>
              <w:rPr>
                <w:color w:val="1F497D"/>
                <w:spacing w:val="-1"/>
              </w:rPr>
              <w:t>2.76       3.20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9" w:line="195" w:lineRule="auto"/>
              <w:ind w:left="125"/>
            </w:pPr>
            <w:r>
              <w:rPr>
                <w:color w:val="1F497D"/>
                <w:spacing w:val="-4"/>
              </w:rPr>
              <w:t>18.99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16.38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09" w:line="195" w:lineRule="auto"/>
              <w:ind w:left="193"/>
            </w:pPr>
            <w:r>
              <w:rPr>
                <w:color w:val="1F497D"/>
                <w:spacing w:val="-4"/>
              </w:rPr>
              <w:t>12.30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175"/>
            </w:pPr>
            <w:r>
              <w:rPr>
                <w:color w:val="1F497D"/>
                <w:spacing w:val="-4"/>
              </w:rPr>
              <w:t>10.62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25"/>
            </w:pPr>
            <w:r>
              <w:rPr>
                <w:color w:val="1F497D"/>
                <w:spacing w:val="-1"/>
              </w:rPr>
              <w:t>21.20</w:t>
            </w:r>
            <w:r>
              <w:rPr>
                <w:color w:val="1F497D"/>
                <w:spacing w:val="13"/>
                <w:w w:val="101"/>
              </w:rPr>
              <w:t xml:space="preserve">   </w:t>
            </w:r>
            <w:r>
              <w:rPr>
                <w:color w:val="1F497D"/>
                <w:spacing w:val="-1"/>
              </w:rPr>
              <w:t>21.40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8"/>
        </w:trPr>
        <w:tc>
          <w:tcPr>
            <w:tcW w:w="861" w:type="dxa"/>
            <w:vAlign w:val="top"/>
          </w:tcPr>
          <w:p>
            <w:pPr>
              <w:spacing w:before="87" w:line="220" w:lineRule="auto"/>
              <w:ind w:left="12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申洲国际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1" w:line="195" w:lineRule="auto"/>
              <w:ind w:left="159"/>
            </w:pPr>
            <w:r>
              <w:rPr>
                <w:color w:val="1F497D"/>
                <w:spacing w:val="-1"/>
              </w:rPr>
              <w:t>02313.HK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2" w:line="194" w:lineRule="auto"/>
              <w:ind w:left="131"/>
            </w:pPr>
            <w:r>
              <w:rPr>
                <w:color w:val="1F497D"/>
                <w:spacing w:val="-4"/>
              </w:rPr>
              <w:t>HKD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1" w:line="195" w:lineRule="auto"/>
              <w:ind w:left="156"/>
            </w:pPr>
            <w:r>
              <w:rPr>
                <w:color w:val="1F497D"/>
                <w:spacing w:val="-2"/>
              </w:rPr>
              <w:t>71.25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0" w:line="197" w:lineRule="auto"/>
              <w:ind w:left="71"/>
            </w:pPr>
            <w:r>
              <w:rPr>
                <w:color w:val="1F497D"/>
                <w:spacing w:val="-1"/>
              </w:rPr>
              <w:t>2023/04/02</w:t>
            </w:r>
          </w:p>
        </w:tc>
        <w:tc>
          <w:tcPr>
            <w:tcW w:w="440" w:type="dxa"/>
            <w:vAlign w:val="top"/>
          </w:tcPr>
          <w:p>
            <w:pPr>
              <w:spacing w:before="87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1" w:line="195" w:lineRule="auto"/>
              <w:ind w:left="172"/>
            </w:pPr>
            <w:r>
              <w:rPr>
                <w:color w:val="1F497D"/>
                <w:spacing w:val="-3"/>
              </w:rPr>
              <w:t>111.46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1" w:line="195" w:lineRule="auto"/>
              <w:ind w:left="197"/>
            </w:pPr>
            <w:r>
              <w:rPr>
                <w:color w:val="1F497D"/>
                <w:spacing w:val="-1"/>
              </w:rPr>
              <w:t>3.25</w:t>
            </w:r>
            <w:r>
              <w:rPr>
                <w:color w:val="1F497D"/>
                <w:spacing w:val="5"/>
              </w:rPr>
              <w:t xml:space="preserve">      </w:t>
            </w:r>
            <w:r>
              <w:rPr>
                <w:color w:val="1F497D"/>
                <w:spacing w:val="-1"/>
              </w:rPr>
              <w:t>4.65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1" w:line="195" w:lineRule="auto"/>
              <w:ind w:left="112"/>
            </w:pPr>
            <w:r>
              <w:rPr>
                <w:color w:val="1F497D"/>
                <w:spacing w:val="-3"/>
              </w:rPr>
              <w:t>21.92</w:t>
            </w:r>
            <w:r>
              <w:rPr>
                <w:color w:val="1F497D"/>
                <w:spacing w:val="3"/>
              </w:rPr>
              <w:t xml:space="preserve">       </w:t>
            </w:r>
            <w:r>
              <w:rPr>
                <w:color w:val="1F497D"/>
                <w:spacing w:val="-3"/>
              </w:rPr>
              <w:t>15.32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1" w:line="195" w:lineRule="auto"/>
              <w:ind w:left="193"/>
            </w:pPr>
            <w:r>
              <w:rPr>
                <w:color w:val="1F497D"/>
                <w:spacing w:val="-4"/>
              </w:rPr>
              <w:t>15.34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1" w:line="195" w:lineRule="auto"/>
              <w:ind w:left="175"/>
            </w:pPr>
            <w:r>
              <w:rPr>
                <w:color w:val="1F497D"/>
                <w:spacing w:val="-4"/>
              </w:rPr>
              <w:t>11.30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1" w:line="195" w:lineRule="auto"/>
              <w:ind w:left="138"/>
            </w:pPr>
            <w:r>
              <w:rPr>
                <w:color w:val="1F497D"/>
                <w:spacing w:val="-4"/>
              </w:rPr>
              <w:t>15.05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19.41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3"/>
        </w:trPr>
        <w:tc>
          <w:tcPr>
            <w:tcW w:w="861" w:type="dxa"/>
            <w:vAlign w:val="top"/>
          </w:tcPr>
          <w:p>
            <w:pPr>
              <w:spacing w:before="85" w:line="220" w:lineRule="auto"/>
              <w:ind w:left="19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波司登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0" w:line="195" w:lineRule="auto"/>
              <w:ind w:left="159"/>
            </w:pPr>
            <w:r>
              <w:rPr>
                <w:color w:val="1F497D"/>
                <w:spacing w:val="-1"/>
              </w:rPr>
              <w:t>03998.HK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1" w:line="194" w:lineRule="auto"/>
              <w:ind w:left="131"/>
            </w:pPr>
            <w:r>
              <w:rPr>
                <w:color w:val="1F497D"/>
                <w:spacing w:val="-4"/>
              </w:rPr>
              <w:t>HKD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0" w:line="195" w:lineRule="auto"/>
              <w:ind w:left="198"/>
            </w:pPr>
            <w:r>
              <w:rPr>
                <w:color w:val="1F497D"/>
                <w:spacing w:val="-2"/>
              </w:rPr>
              <w:t>3.61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08" w:line="197" w:lineRule="auto"/>
              <w:ind w:left="71"/>
            </w:pPr>
            <w:r>
              <w:rPr>
                <w:color w:val="1F497D"/>
                <w:spacing w:val="-1"/>
              </w:rPr>
              <w:t>2024/01/23</w:t>
            </w:r>
          </w:p>
        </w:tc>
        <w:tc>
          <w:tcPr>
            <w:tcW w:w="440" w:type="dxa"/>
            <w:vAlign w:val="top"/>
          </w:tcPr>
          <w:p>
            <w:pPr>
              <w:spacing w:before="85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0" w:line="195" w:lineRule="auto"/>
              <w:ind w:left="250"/>
            </w:pPr>
            <w:r>
              <w:rPr>
                <w:color w:val="1F497D"/>
                <w:spacing w:val="-2"/>
              </w:rPr>
              <w:t>5.98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0" w:line="195" w:lineRule="auto"/>
              <w:ind w:left="197"/>
            </w:pPr>
            <w:r>
              <w:rPr>
                <w:color w:val="1F497D"/>
                <w:spacing w:val="-2"/>
              </w:rPr>
              <w:t>0.20       0.25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0" w:line="195" w:lineRule="auto"/>
              <w:ind w:left="125"/>
            </w:pPr>
            <w:r>
              <w:rPr>
                <w:color w:val="1F497D"/>
                <w:spacing w:val="-4"/>
              </w:rPr>
              <w:t>18.05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14.44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0" w:line="195" w:lineRule="auto"/>
              <w:ind w:left="193"/>
            </w:pPr>
            <w:r>
              <w:rPr>
                <w:color w:val="1F497D"/>
                <w:spacing w:val="-4"/>
              </w:rPr>
              <w:t>12.11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0" w:line="195" w:lineRule="auto"/>
              <w:ind w:left="207"/>
            </w:pPr>
            <w:r>
              <w:rPr>
                <w:color w:val="1F497D"/>
                <w:spacing w:val="-2"/>
              </w:rPr>
              <w:t>8.17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0" w:line="195" w:lineRule="auto"/>
              <w:ind w:left="138"/>
            </w:pPr>
            <w:r>
              <w:rPr>
                <w:color w:val="1F497D"/>
                <w:spacing w:val="-3"/>
              </w:rPr>
              <w:t>17.04</w:t>
            </w:r>
            <w:r>
              <w:rPr>
                <w:color w:val="1F497D"/>
                <w:spacing w:val="15"/>
                <w:w w:val="101"/>
              </w:rPr>
              <w:t xml:space="preserve">   </w:t>
            </w:r>
            <w:r>
              <w:rPr>
                <w:color w:val="1F497D"/>
                <w:spacing w:val="-3"/>
              </w:rPr>
              <w:t>20.40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7"/>
        </w:trPr>
        <w:tc>
          <w:tcPr>
            <w:tcW w:w="861" w:type="dxa"/>
            <w:vAlign w:val="top"/>
          </w:tcPr>
          <w:p>
            <w:pPr>
              <w:spacing w:before="89" w:line="220" w:lineRule="auto"/>
              <w:ind w:left="27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李宁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4" w:line="195" w:lineRule="auto"/>
              <w:ind w:left="159"/>
            </w:pPr>
            <w:r>
              <w:rPr>
                <w:color w:val="1F497D"/>
                <w:spacing w:val="-1"/>
              </w:rPr>
              <w:t>02331.HK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4" w:line="194" w:lineRule="auto"/>
              <w:ind w:left="131"/>
            </w:pPr>
            <w:r>
              <w:rPr>
                <w:color w:val="1F497D"/>
                <w:spacing w:val="-4"/>
              </w:rPr>
              <w:t>HKD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4" w:line="195" w:lineRule="auto"/>
              <w:ind w:left="166"/>
            </w:pPr>
            <w:r>
              <w:rPr>
                <w:color w:val="1F497D"/>
                <w:spacing w:val="-4"/>
              </w:rPr>
              <w:t>17.12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2" w:line="197" w:lineRule="auto"/>
              <w:ind w:left="71"/>
            </w:pPr>
            <w:r>
              <w:rPr>
                <w:color w:val="1F497D"/>
                <w:spacing w:val="-1"/>
              </w:rPr>
              <w:t>2023/11/01</w:t>
            </w:r>
          </w:p>
        </w:tc>
        <w:tc>
          <w:tcPr>
            <w:tcW w:w="440" w:type="dxa"/>
            <w:vAlign w:val="top"/>
          </w:tcPr>
          <w:p>
            <w:pPr>
              <w:spacing w:before="89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4" w:line="195" w:lineRule="auto"/>
              <w:ind w:left="204"/>
            </w:pPr>
            <w:r>
              <w:rPr>
                <w:color w:val="1F497D"/>
                <w:spacing w:val="-2"/>
              </w:rPr>
              <w:t>39.40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4" w:line="195" w:lineRule="auto"/>
              <w:ind w:left="208"/>
            </w:pPr>
            <w:r>
              <w:rPr>
                <w:color w:val="1F497D"/>
                <w:spacing w:val="-5"/>
              </w:rPr>
              <w:t>1.40</w:t>
            </w:r>
            <w:r>
              <w:rPr>
                <w:color w:val="1F497D"/>
                <w:spacing w:val="1"/>
              </w:rPr>
              <w:t xml:space="preserve">       </w:t>
            </w:r>
            <w:r>
              <w:rPr>
                <w:color w:val="1F497D"/>
                <w:spacing w:val="-5"/>
              </w:rPr>
              <w:t>1.64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4" w:line="195" w:lineRule="auto"/>
              <w:ind w:left="125"/>
            </w:pPr>
            <w:r>
              <w:rPr>
                <w:color w:val="1F497D"/>
                <w:spacing w:val="-4"/>
              </w:rPr>
              <w:t>12.23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10.44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4" w:line="195" w:lineRule="auto"/>
              <w:ind w:left="226"/>
            </w:pPr>
            <w:r>
              <w:rPr>
                <w:color w:val="1F497D"/>
                <w:spacing w:val="-2"/>
              </w:rPr>
              <w:t>7.53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4" w:line="195" w:lineRule="auto"/>
              <w:ind w:left="207"/>
            </w:pPr>
            <w:r>
              <w:rPr>
                <w:color w:val="1F497D"/>
                <w:spacing w:val="-2"/>
              </w:rPr>
              <w:t>6.55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4" w:line="195" w:lineRule="auto"/>
              <w:ind w:left="138"/>
            </w:pPr>
            <w:r>
              <w:rPr>
                <w:color w:val="1F497D"/>
                <w:spacing w:val="-4"/>
              </w:rPr>
              <w:t>13.20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13.50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7"/>
        </w:trPr>
        <w:tc>
          <w:tcPr>
            <w:tcW w:w="861" w:type="dxa"/>
            <w:vAlign w:val="top"/>
          </w:tcPr>
          <w:p>
            <w:pPr>
              <w:spacing w:before="89" w:line="220" w:lineRule="auto"/>
              <w:ind w:left="10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特步国际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3" w:line="195" w:lineRule="auto"/>
              <w:ind w:left="159"/>
            </w:pPr>
            <w:r>
              <w:rPr>
                <w:color w:val="1F497D"/>
                <w:spacing w:val="-1"/>
              </w:rPr>
              <w:t>01368.HK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4" w:line="194" w:lineRule="auto"/>
              <w:ind w:left="131"/>
            </w:pPr>
            <w:r>
              <w:rPr>
                <w:color w:val="1F497D"/>
                <w:spacing w:val="-4"/>
              </w:rPr>
              <w:t>HKD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3" w:line="195" w:lineRule="auto"/>
              <w:ind w:left="198"/>
            </w:pPr>
            <w:r>
              <w:rPr>
                <w:color w:val="1F497D"/>
                <w:spacing w:val="-2"/>
              </w:rPr>
              <w:t>3.98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1" w:line="197" w:lineRule="auto"/>
              <w:ind w:left="71"/>
            </w:pPr>
            <w:r>
              <w:rPr>
                <w:color w:val="1F497D"/>
                <w:spacing w:val="-1"/>
              </w:rPr>
              <w:t>2024/01/17</w:t>
            </w:r>
          </w:p>
        </w:tc>
        <w:tc>
          <w:tcPr>
            <w:tcW w:w="440" w:type="dxa"/>
            <w:vAlign w:val="top"/>
          </w:tcPr>
          <w:p>
            <w:pPr>
              <w:spacing w:before="88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3" w:line="195" w:lineRule="auto"/>
              <w:ind w:left="251"/>
            </w:pPr>
            <w:r>
              <w:rPr>
                <w:color w:val="1F497D"/>
                <w:spacing w:val="-2"/>
              </w:rPr>
              <w:t>7.18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3" w:line="195" w:lineRule="auto"/>
              <w:ind w:left="197"/>
            </w:pPr>
            <w:r>
              <w:rPr>
                <w:color w:val="1F497D"/>
                <w:spacing w:val="-2"/>
              </w:rPr>
              <w:t>0.39       0.44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3" w:line="195" w:lineRule="auto"/>
              <w:ind w:left="125"/>
            </w:pPr>
            <w:r>
              <w:rPr>
                <w:color w:val="1F497D"/>
                <w:spacing w:val="-3"/>
              </w:rPr>
              <w:t>10.21</w:t>
            </w:r>
            <w:r>
              <w:rPr>
                <w:color w:val="1F497D"/>
              </w:rPr>
              <w:t xml:space="preserve">        </w:t>
            </w:r>
            <w:r>
              <w:rPr>
                <w:color w:val="1F497D"/>
                <w:spacing w:val="-3"/>
              </w:rPr>
              <w:t>9.05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3" w:line="195" w:lineRule="auto"/>
              <w:ind w:left="226"/>
            </w:pPr>
            <w:r>
              <w:rPr>
                <w:color w:val="1F497D"/>
                <w:spacing w:val="-2"/>
              </w:rPr>
              <w:t>7.19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3" w:line="195" w:lineRule="auto"/>
              <w:ind w:left="207"/>
            </w:pPr>
            <w:r>
              <w:rPr>
                <w:color w:val="1F497D"/>
                <w:spacing w:val="-2"/>
              </w:rPr>
              <w:t>6.36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3" w:line="195" w:lineRule="auto"/>
              <w:ind w:left="138"/>
            </w:pPr>
            <w:r>
              <w:rPr>
                <w:color w:val="1F497D"/>
                <w:spacing w:val="-4"/>
              </w:rPr>
              <w:t>11.00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11.10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4"/>
        </w:trPr>
        <w:tc>
          <w:tcPr>
            <w:tcW w:w="861" w:type="dxa"/>
            <w:vAlign w:val="top"/>
          </w:tcPr>
          <w:p>
            <w:pPr>
              <w:spacing w:before="88" w:line="216" w:lineRule="auto"/>
              <w:ind w:left="1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安踏体育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112" w:line="195" w:lineRule="auto"/>
              <w:ind w:left="159"/>
            </w:pPr>
            <w:r>
              <w:rPr>
                <w:color w:val="1F497D"/>
                <w:spacing w:val="-1"/>
              </w:rPr>
              <w:t>02020.HK</w:t>
            </w:r>
          </w:p>
        </w:tc>
        <w:tc>
          <w:tcPr>
            <w:tcW w:w="577" w:type="dxa"/>
            <w:vAlign w:val="top"/>
          </w:tcPr>
          <w:p>
            <w:pPr>
              <w:pStyle w:val="TableText"/>
              <w:spacing w:before="113" w:line="194" w:lineRule="auto"/>
              <w:ind w:left="131"/>
            </w:pPr>
            <w:r>
              <w:rPr>
                <w:color w:val="1F497D"/>
                <w:spacing w:val="-4"/>
              </w:rPr>
              <w:t>HKD</w:t>
            </w:r>
          </w:p>
        </w:tc>
        <w:tc>
          <w:tcPr>
            <w:tcW w:w="661" w:type="dxa"/>
            <w:vAlign w:val="top"/>
          </w:tcPr>
          <w:p>
            <w:pPr>
              <w:pStyle w:val="TableText"/>
              <w:spacing w:before="112" w:line="195" w:lineRule="auto"/>
              <w:ind w:left="156"/>
            </w:pPr>
            <w:r>
              <w:rPr>
                <w:color w:val="1F497D"/>
                <w:spacing w:val="-2"/>
              </w:rPr>
              <w:t>70.00</w:t>
            </w:r>
          </w:p>
        </w:tc>
        <w:tc>
          <w:tcPr>
            <w:tcW w:w="905" w:type="dxa"/>
            <w:vAlign w:val="top"/>
          </w:tcPr>
          <w:p>
            <w:pPr>
              <w:pStyle w:val="TableText"/>
              <w:spacing w:before="111" w:line="197" w:lineRule="auto"/>
              <w:ind w:left="71"/>
            </w:pPr>
            <w:r>
              <w:rPr>
                <w:color w:val="1F497D"/>
                <w:spacing w:val="-1"/>
              </w:rPr>
              <w:t>2024/01/19</w:t>
            </w:r>
          </w:p>
        </w:tc>
        <w:tc>
          <w:tcPr>
            <w:tcW w:w="440" w:type="dxa"/>
            <w:vAlign w:val="top"/>
          </w:tcPr>
          <w:p>
            <w:pPr>
              <w:spacing w:before="88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vAlign w:val="top"/>
          </w:tcPr>
          <w:p>
            <w:pPr>
              <w:pStyle w:val="TableText"/>
              <w:spacing w:before="112" w:line="195" w:lineRule="auto"/>
              <w:ind w:left="204"/>
            </w:pPr>
            <w:r>
              <w:rPr>
                <w:color w:val="1F497D"/>
                <w:spacing w:val="-2"/>
              </w:rPr>
              <w:t>93.11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2" w:line="195" w:lineRule="auto"/>
              <w:ind w:left="197"/>
            </w:pPr>
            <w:r>
              <w:rPr>
                <w:color w:val="1F497D"/>
                <w:spacing w:val="-1"/>
              </w:rPr>
              <w:t>3.50</w:t>
            </w:r>
            <w:r>
              <w:rPr>
                <w:color w:val="1F497D"/>
                <w:spacing w:val="5"/>
              </w:rPr>
              <w:t xml:space="preserve">      </w:t>
            </w:r>
            <w:r>
              <w:rPr>
                <w:color w:val="1F497D"/>
                <w:spacing w:val="-1"/>
              </w:rPr>
              <w:t>4.26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12" w:line="195" w:lineRule="auto"/>
              <w:ind w:left="112"/>
            </w:pPr>
            <w:r>
              <w:rPr>
                <w:color w:val="1F497D"/>
                <w:spacing w:val="-3"/>
              </w:rPr>
              <w:t>20.00</w:t>
            </w:r>
            <w:r>
              <w:rPr>
                <w:color w:val="1F497D"/>
                <w:spacing w:val="3"/>
              </w:rPr>
              <w:t xml:space="preserve">       </w:t>
            </w:r>
            <w:r>
              <w:rPr>
                <w:color w:val="1F497D"/>
                <w:spacing w:val="-3"/>
              </w:rPr>
              <w:t>16.43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12" w:line="195" w:lineRule="auto"/>
              <w:ind w:left="193"/>
            </w:pPr>
            <w:r>
              <w:rPr>
                <w:color w:val="1F497D"/>
                <w:spacing w:val="-4"/>
              </w:rPr>
              <w:t>10.15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2" w:line="195" w:lineRule="auto"/>
              <w:ind w:left="207"/>
            </w:pPr>
            <w:r>
              <w:rPr>
                <w:color w:val="1F497D"/>
                <w:spacing w:val="-2"/>
              </w:rPr>
              <w:t>9.01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2" w:line="195" w:lineRule="auto"/>
              <w:ind w:left="125"/>
            </w:pPr>
            <w:r>
              <w:rPr>
                <w:color w:val="1F497D"/>
                <w:spacing w:val="-1"/>
              </w:rPr>
              <w:t>22.30</w:t>
            </w:r>
            <w:r>
              <w:rPr>
                <w:color w:val="1F497D"/>
                <w:spacing w:val="13"/>
                <w:w w:val="101"/>
              </w:rPr>
              <w:t xml:space="preserve">   </w:t>
            </w:r>
            <w:r>
              <w:rPr>
                <w:color w:val="1F497D"/>
                <w:spacing w:val="-1"/>
              </w:rPr>
              <w:t>21.40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36"/>
        </w:trPr>
        <w:tc>
          <w:tcPr>
            <w:tcW w:w="861" w:type="dxa"/>
            <w:tcBorders>
              <w:bottom w:val="single" w:sz="2" w:space="0" w:color="000000"/>
            </w:tcBorders>
            <w:vAlign w:val="top"/>
          </w:tcPr>
          <w:p>
            <w:pPr>
              <w:spacing w:before="88" w:line="219" w:lineRule="auto"/>
              <w:ind w:left="27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滔搏</w:t>
            </w:r>
          </w:p>
        </w:tc>
        <w:tc>
          <w:tcPr>
            <w:tcW w:w="102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159"/>
            </w:pPr>
            <w:r>
              <w:rPr>
                <w:color w:val="1F497D"/>
                <w:spacing w:val="-1"/>
              </w:rPr>
              <w:t>06110.HK</w:t>
            </w:r>
          </w:p>
        </w:tc>
        <w:tc>
          <w:tcPr>
            <w:tcW w:w="57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4" w:lineRule="auto"/>
              <w:ind w:left="131"/>
            </w:pPr>
            <w:r>
              <w:rPr>
                <w:color w:val="1F497D"/>
                <w:spacing w:val="-4"/>
              </w:rPr>
              <w:t>HKD</w:t>
            </w:r>
          </w:p>
        </w:tc>
        <w:tc>
          <w:tcPr>
            <w:tcW w:w="66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198"/>
            </w:pPr>
            <w:r>
              <w:rPr>
                <w:color w:val="1F497D"/>
                <w:spacing w:val="-2"/>
              </w:rPr>
              <w:t>5.28</w:t>
            </w:r>
          </w:p>
        </w:tc>
        <w:tc>
          <w:tcPr>
            <w:tcW w:w="90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1" w:line="197" w:lineRule="auto"/>
              <w:ind w:left="71"/>
            </w:pPr>
            <w:r>
              <w:rPr>
                <w:color w:val="1F497D"/>
                <w:spacing w:val="-1"/>
              </w:rPr>
              <w:t>2023/09/07</w:t>
            </w:r>
          </w:p>
        </w:tc>
        <w:tc>
          <w:tcPr>
            <w:tcW w:w="440" w:type="dxa"/>
            <w:tcBorders>
              <w:bottom w:val="single" w:sz="2" w:space="0" w:color="000000"/>
            </w:tcBorders>
            <w:vAlign w:val="top"/>
          </w:tcPr>
          <w:p>
            <w:pPr>
              <w:spacing w:before="88" w:line="226" w:lineRule="auto"/>
              <w:ind w:left="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251"/>
            </w:pPr>
            <w:r>
              <w:rPr>
                <w:color w:val="1F497D"/>
                <w:spacing w:val="-2"/>
              </w:rPr>
              <w:t>7.10</w:t>
            </w:r>
          </w:p>
        </w:tc>
        <w:tc>
          <w:tcPr>
            <w:tcW w:w="126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197"/>
            </w:pPr>
            <w:r>
              <w:rPr>
                <w:color w:val="1F497D"/>
                <w:spacing w:val="-2"/>
              </w:rPr>
              <w:t>0.30       0.36</w:t>
            </w:r>
          </w:p>
        </w:tc>
        <w:tc>
          <w:tcPr>
            <w:tcW w:w="134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125"/>
            </w:pPr>
            <w:r>
              <w:rPr>
                <w:color w:val="1F497D"/>
                <w:spacing w:val="-4"/>
              </w:rPr>
              <w:t>17.60</w:t>
            </w:r>
            <w:r>
              <w:rPr>
                <w:color w:val="1F497D"/>
                <w:spacing w:val="2"/>
              </w:rPr>
              <w:t xml:space="preserve">       </w:t>
            </w:r>
            <w:r>
              <w:rPr>
                <w:color w:val="1F497D"/>
                <w:spacing w:val="-4"/>
              </w:rPr>
              <w:t>14.67</w:t>
            </w:r>
          </w:p>
        </w:tc>
        <w:tc>
          <w:tcPr>
            <w:tcW w:w="72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226"/>
            </w:pPr>
            <w:r>
              <w:rPr>
                <w:color w:val="1F497D"/>
                <w:spacing w:val="-2"/>
              </w:rPr>
              <w:t>7.69</w:t>
            </w:r>
          </w:p>
        </w:tc>
        <w:tc>
          <w:tcPr>
            <w:tcW w:w="67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208"/>
            </w:pPr>
            <w:r>
              <w:rPr>
                <w:color w:val="1F497D"/>
                <w:spacing w:val="-2"/>
              </w:rPr>
              <w:t>7.00</w:t>
            </w:r>
          </w:p>
        </w:tc>
        <w:tc>
          <w:tcPr>
            <w:tcW w:w="117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2" w:line="195" w:lineRule="auto"/>
              <w:ind w:left="138"/>
            </w:pPr>
            <w:r>
              <w:rPr>
                <w:color w:val="1F497D"/>
                <w:spacing w:val="-4"/>
              </w:rPr>
              <w:t>18.70</w:t>
            </w:r>
            <w:r>
              <w:rPr>
                <w:color w:val="1F497D"/>
                <w:spacing w:val="3"/>
              </w:rPr>
              <w:t xml:space="preserve">    </w:t>
            </w:r>
            <w:r>
              <w:rPr>
                <w:color w:val="1F497D"/>
                <w:spacing w:val="-4"/>
              </w:rPr>
              <w:t>18.60</w:t>
            </w:r>
          </w:p>
        </w:tc>
      </w:tr>
    </w:tbl>
    <w:p>
      <w:pPr>
        <w:pStyle w:val="BodyText"/>
        <w:spacing w:before="73" w:line="216" w:lineRule="auto"/>
        <w:ind w:left="16"/>
        <w:rPr>
          <w:sz w:val="18"/>
          <w:szCs w:val="18"/>
        </w:rPr>
      </w:pPr>
      <w:r>
        <w:rPr>
          <w:color w:val="1F497D"/>
          <w:spacing w:val="-7"/>
          <w:sz w:val="18"/>
          <w:szCs w:val="18"/>
        </w:rPr>
        <w:t>数据来源：</w:t>
      </w:r>
      <w:r>
        <w:rPr>
          <w:color w:val="1F497D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7"/>
          <w:sz w:val="18"/>
          <w:szCs w:val="18"/>
        </w:rPr>
        <w:t>Wind</w:t>
      </w:r>
      <w:r>
        <w:rPr>
          <w:color w:val="1F497D"/>
          <w:spacing w:val="-7"/>
          <w:sz w:val="18"/>
          <w:szCs w:val="18"/>
        </w:rPr>
        <w:t>、广发证券发展研究中心</w:t>
      </w:r>
    </w:p>
    <w:p>
      <w:pPr>
        <w:spacing w:line="216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https://d.book118.com/288130102106006032</w:t>
        </w:r>
      </w:hyperlink>
    </w:p>
    <w:p>
      <w:pPr>
        <w:spacing w:line="216" w:lineRule="auto"/>
        <w:rPr>
          <w:sz w:val="18"/>
          <w:szCs w:val="18"/>
        </w:rPr>
      </w:pPr>
    </w:p>
    <w:sectPr>
      <w:headerReference w:type="default" r:id="rId18"/>
      <w:footerReference w:type="default" r:id="rId19"/>
      <w:pgSz w:w="11907" w:h="16839"/>
      <w:pgMar w:top="1383" w:right="649" w:bottom="1289" w:left="622" w:header="794" w:footer="723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4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65pt;height:12.25pt;margin-top:-1pt;margin-left:0.07pt;position:absolute;z-index:2516582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393" w:lineRule="auto"/>
      <w:rPr>
        <w:rFonts w:ascii="Arial"/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65pt;height:12.25pt;margin-top:-1pt;margin-left:0.07pt;position:absolute;z-index:25165926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393" w:lineRule="auto"/>
      <w:rPr>
        <w:rFonts w:ascii="Arial"/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65pt;height:12.25pt;margin-top:-1pt;margin-left:0.07pt;position:absolute;z-index:2516602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393" w:lineRule="auto"/>
      <w:rPr>
        <w:rFonts w:ascii="Arial"/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65pt;height:12.25pt;margin-top:-1pt;margin-left:0.07pt;position:absolute;z-index:25166131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393" w:lineRule="auto"/>
      <w:rPr>
        <w:rFonts w:ascii="Arial"/>
        <w:sz w:val="21"/>
      </w:rPr>
    </w:pPr>
  </w:p>
  <w:p>
    <w:pPr>
      <w:spacing w:line="175" w:lineRule="auto"/>
      <w:ind w:left="506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jc w:val="right"/>
      <w:rPr>
        <w:rFonts w:ascii="SimHei" w:eastAsia="SimHei" w:hAnsi="SimHei" w:cs="SimHei"/>
        <w:sz w:val="18"/>
        <w:szCs w:val="18"/>
      </w:rPr>
    </w:pPr>
    <w:r>
      <w:pict>
        <v:shape id="_x0000_s2057" style="width:529.55pt;height:1pt;margin-top:777.44pt;margin-left:31.15pt;mso-position-horizontal-relative:page;mso-position-vertical-relative:page;position:absolute;z-index:25166336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65pt;height:12.25pt;margin-top:2.45pt;margin-left:0;position:absolute;z-index:2516623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52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6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83" w:right="381" w:hanging="1122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行业专题研究|纺织服饰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1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83" w:right="381" w:hanging="1122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92648638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48638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行业专题研究|纺织服饰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1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83" w:right="381" w:hanging="1122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81372892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72892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行业专题研究|纺织服饰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1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83" w:right="381" w:hanging="1122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01729865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729865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行业专题研究|纺织服饰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1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504444</wp:posOffset>
          </wp:positionV>
          <wp:extent cx="1162050" cy="352043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行业专题研究|纺织服饰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yperlink" Target="https://d.book118.com/288130102106006032" TargetMode="Externa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广发证券-纺织服饰行业：港股纺织服装行业2023年四季度公募基金持仓分析-240128.pdf</dc:title>
  <cp:revision>0</cp:revision>
  <dcterms:created xsi:type="dcterms:W3CDTF">2024-01-31T08:36:26Z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2024-01-31T08:42:01Z</vt:filetime>
  </property>
  <property fmtid="{D5CDD505-2E9C-101B-9397-08002B2CF9AE}" pid="3" name="CRO">
    <vt:lpwstr>wqlLaW5nc29mdCBQREYgdG8gV1BTIDkw</vt:lpwstr>
  </property>
</Properties>
</file>