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微信生态项目策划方案报告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二、运营模式分析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_Toc20834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三、经济效益分析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2" w:history="1">
        <w:r>
          <w:rPr>
            <w:rFonts w:ascii="仿宋" w:eastAsia="仿宋" w:hAnsi="仿宋" w:cs="仿宋" w:hint="eastAsia"/>
            <w:lang w:eastAsia="zh-CN"/>
          </w:rPr>
          <w:t>(三)、微信生态项目盈利能力分析</w:t>
        </w:r>
        <w:r>
          <w:tab/>
        </w:r>
        <w:r>
          <w:fldChar w:fldCharType="begin"/>
        </w:r>
        <w:r>
          <w:instrText xml:space="preserve"> PAGEREF _Toc27332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eastAsia="zh-CN"/>
          </w:rPr>
          <w:t>四、微信生态项目可持续发展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五、微信生态项目建设背景及必要性分析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(一)、微信生态项目承办单位背景分析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(二)、微信生态项目背景分析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(三)、微信生态项目建设必要性分析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六、产业环境分析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七、后期运营与管理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eastAsia="zh-CN"/>
          </w:rPr>
          <w:t>(一)、微信生态项目运营管理机制</w:t>
        </w:r>
        <w:r>
          <w:tab/>
        </w:r>
        <w:r>
          <w:fldChar w:fldCharType="begin"/>
        </w:r>
        <w:r>
          <w:instrText xml:space="preserve"> PAGEREF _Toc15427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八、人力资源的特点及管理过程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九、微信生态项目环境影响分析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_Toc11854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_Toc25359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_Toc21051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(四)、微信生态项目建设对区域经济的影响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_Toc2054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5" w:history="1">
        <w:r>
          <w:rPr>
            <w:rFonts w:ascii="仿宋" w:eastAsia="仿宋" w:hAnsi="仿宋" w:cs="仿宋" w:hint="eastAsia"/>
            <w:lang w:eastAsia="zh-CN"/>
          </w:rPr>
          <w:t>十、微信生态行业行业机遇与挑战</w:t>
        </w:r>
        <w:r>
          <w:tab/>
        </w:r>
        <w:r>
          <w:fldChar w:fldCharType="begin"/>
        </w:r>
        <w:r>
          <w:instrText xml:space="preserve"> PAGEREF _Toc13215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十一、微信生态项目招投标方案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(四)、微信生态项目招投标要求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(五)、微信生态项目招标方式和招标程序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十二、组织机构管理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十三、安全管理与风险预防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3" w:history="1">
        <w:r>
          <w:rPr>
            <w:rFonts w:ascii="仿宋" w:eastAsia="仿宋" w:hAnsi="仿宋" w:cs="仿宋" w:hint="eastAsia"/>
            <w:lang w:eastAsia="zh-CN"/>
          </w:rPr>
          <w:t>十五、微信生态项目验收与运行</w:t>
        </w:r>
        <w:r>
          <w:tab/>
        </w:r>
        <w:r>
          <w:fldChar w:fldCharType="begin"/>
        </w:r>
        <w:r>
          <w:instrText xml:space="preserve"> PAGEREF _Toc25893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(一)、微信生态项目验收的程序和步骤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0" w:history="1">
        <w:r>
          <w:rPr>
            <w:rFonts w:ascii="仿宋" w:eastAsia="仿宋" w:hAnsi="仿宋" w:cs="仿宋" w:hint="eastAsia"/>
            <w:lang w:eastAsia="zh-CN"/>
          </w:rPr>
          <w:t>(二)、微信生态项目验收的相关标准和规范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(三)、微信生态项目运行的监督与管理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(四)、微信生态项目运行中的安全与质量保障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(五)、微信生态项目运行中的持续改进与优化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十六、风险性分析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6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3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十七、微信生态项目执行风险与应对策略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(一)、微信生态项目执行风险识别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7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十八、战略和未来发展计划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十九、项目运营管理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_Toc22512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73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二十、微信生态项目监测与评估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0" w:history="1">
        <w:r>
          <w:rPr>
            <w:rFonts w:ascii="仿宋" w:eastAsia="仿宋" w:hAnsi="仿宋" w:cs="仿宋" w:hint="eastAsia"/>
            <w:lang w:eastAsia="zh-CN"/>
          </w:rPr>
          <w:t>(一)、微信生态项目监控体系建设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(四)、定期微信生态项目评估与改进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7" w:history="1">
        <w:r>
          <w:rPr>
            <w:rFonts w:ascii="仿宋" w:eastAsia="仿宋" w:hAnsi="仿宋" w:cs="仿宋" w:hint="eastAsia"/>
            <w:lang w:eastAsia="zh-CN"/>
          </w:rPr>
          <w:t>二十一、外部合作与产业联盟</w:t>
        </w:r>
        <w:r>
          <w:tab/>
        </w:r>
        <w:r>
          <w:fldChar w:fldCharType="begin"/>
        </w:r>
        <w:r>
          <w:instrText xml:space="preserve"> PAGEREF _Toc28997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0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2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二十二微信生态项目沟通与协作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2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二十三、知识产权管理与保护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575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96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 某市 XX 区 XX 街道 XXX 号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https://d.book118.com/288137055071006043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微信生态项目策划方案报告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微信生态项目策划方案报告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微信生态项目策划方案报告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微信生态项目策划方案报告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微信生态项目策划方案报告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BA188A"/>
    <w:rsid w:val="34BA188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8137055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2024-03-04T22:31:00Z</dcterms:created>
  <dcterms:modified xsi:type="dcterms:W3CDTF">2024-03-04T22:31:12Z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F9B40BCE4CDC4C1F8C3C54D8B79270AE_11</vt:lpwstr>
  </property>
  <property fmtid="{D5CDD505-2E9C-101B-9397-08002B2CF9AE}" pid="3" name="KSOProductBuildVer">
    <vt:lpwstr>2052-12.1.0.16399</vt:lpwstr>
  </property>
</Properties>
</file>