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7176" w:lineRule="exact"/>
        <w:sectPr>
          <w:headerReference w:type="default" r:id="rId4"/>
          <w:footerReference w:type="default" r:id="rId5"/>
          <w:pgSz w:w="12246" w:h="17685"/>
          <w:pgMar w:top="1" w:right="0" w:bottom="1" w:left="0" w:header="0" w:footer="0" w:gutter="0"/>
          <w:cols w:space="708"/>
        </w:sectPr>
      </w:pPr>
      <w:r>
        <w:rPr>
          <w:position w:val="-343"/>
        </w:rPr>
        <w:drawing>
          <wp:inline distT="0" distB="0" distL="0" distR="0">
            <wp:extent cx="7775994" cy="109071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775994" cy="10907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97" w:lineRule="auto"/>
        <w:rPr>
          <w:rFonts w:ascii="Arial"/>
          <w:sz w:val="21"/>
        </w:rPr>
      </w:pPr>
    </w:p>
    <w:p>
      <w:pPr>
        <w:spacing w:before="39" w:line="242" w:lineRule="auto"/>
        <w:ind w:left="372"/>
        <w:outlineLvl w:val="0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5"/>
          <w:sz w:val="12"/>
          <w:szCs w:val="12"/>
        </w:rPr>
        <w:t>撤资浪潮之后_在俄外企情况、俄方应对及对我启示2.indd</w:t>
      </w:r>
      <w:r>
        <w:rPr>
          <w:rFonts w:ascii="SimSun" w:eastAsia="SimSun" w:hAnsi="SimSun" w:cs="SimSun"/>
          <w:spacing w:val="35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1</w:t>
      </w:r>
      <w:r>
        <w:rPr>
          <w:rFonts w:ascii="SimSun" w:eastAsia="SimSun" w:hAnsi="SimSun" w:cs="SimSun"/>
          <w:spacing w:val="1"/>
          <w:sz w:val="12"/>
          <w:szCs w:val="12"/>
        </w:rPr>
        <w:t xml:space="preserve">                                                       </w:t>
      </w:r>
      <w:r>
        <w:rPr>
          <w:rFonts w:ascii="SimSun" w:eastAsia="SimSun" w:hAnsi="SimSun" w:cs="SimSun"/>
          <w:sz w:val="12"/>
          <w:szCs w:val="12"/>
        </w:rPr>
        <w:t xml:space="preserve">                                                                      </w:t>
      </w:r>
      <w:r>
        <w:rPr>
          <w:rFonts w:ascii="SimSun" w:eastAsia="SimSun" w:hAnsi="SimSun" w:cs="SimSun"/>
          <w:spacing w:val="-5"/>
          <w:sz w:val="12"/>
          <w:szCs w:val="12"/>
        </w:rPr>
        <w:t>2024/2/18</w:t>
      </w:r>
      <w:r>
        <w:rPr>
          <w:rFonts w:ascii="SimSun" w:eastAsia="SimSun" w:hAnsi="SimSun" w:cs="SimSun"/>
          <w:spacing w:val="29"/>
          <w:w w:val="10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15:05</w:t>
      </w:r>
    </w:p>
    <w:p>
      <w:pPr>
        <w:spacing w:line="242" w:lineRule="auto"/>
        <w:rPr>
          <w:rFonts w:ascii="SimSun" w:eastAsia="SimSun" w:hAnsi="SimSun" w:cs="SimSun"/>
          <w:sz w:val="12"/>
          <w:szCs w:val="12"/>
        </w:rPr>
        <w:sectPr>
          <w:headerReference w:type="default" r:id="rId7"/>
          <w:footerReference w:type="default" r:id="rId8"/>
          <w:type w:val="nextPage"/>
          <w:pgSz w:w="12246" w:h="17685"/>
          <w:pgMar w:top="1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341" w:lineRule="auto"/>
      </w:pPr>
    </w:p>
    <w:p>
      <w:pPr>
        <w:pStyle w:val="BodyText"/>
        <w:spacing w:line="341" w:lineRule="auto"/>
      </w:pPr>
    </w:p>
    <w:p>
      <w:pPr>
        <w:spacing w:before="69" w:line="183" w:lineRule="auto"/>
        <w:ind w:left="660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b/>
          <w:bCs/>
          <w:color w:val="231F20"/>
          <w:sz w:val="16"/>
          <w:szCs w:val="16"/>
        </w:rPr>
        <w:t>撤资浪潮之后：在俄外企情况、俄方应对及对</w:t>
      </w:r>
      <w:r>
        <w:rPr>
          <w:rFonts w:ascii="Microsoft YaHei" w:eastAsia="Microsoft YaHei" w:hAnsi="Microsoft YaHei" w:cs="Microsoft YaHei"/>
          <w:b/>
          <w:bCs/>
          <w:color w:val="231F20"/>
          <w:spacing w:val="-1"/>
          <w:sz w:val="16"/>
          <w:szCs w:val="16"/>
        </w:rPr>
        <w:t>我启示</w:t>
      </w:r>
    </w:p>
    <w:p>
      <w:pPr>
        <w:pStyle w:val="BodyText"/>
        <w:spacing w:line="344" w:lineRule="auto"/>
      </w:pPr>
    </w:p>
    <w:p>
      <w:pPr>
        <w:pStyle w:val="BodyText"/>
        <w:spacing w:line="344" w:lineRule="auto"/>
      </w:pPr>
    </w:p>
    <w:sdt>
      <w:sdtPr>
        <w:rPr>
          <w:rFonts w:ascii="Microsoft YaHei" w:eastAsia="Microsoft YaHei" w:hAnsi="Microsoft YaHei" w:cs="Microsoft YaHei"/>
          <w:sz w:val="48"/>
          <w:szCs w:val="48"/>
        </w:rPr>
        <w:id w:val="1599203406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36"/>
          <w:szCs w:val="36"/>
        </w:rPr>
      </w:sdtEndPr>
      <w:sdtContent>
        <w:p>
          <w:pPr>
            <w:spacing w:before="206" w:line="175" w:lineRule="auto"/>
            <w:ind w:left="5223"/>
            <w:rPr>
              <w:rFonts w:ascii="Microsoft YaHei" w:eastAsia="Microsoft YaHei" w:hAnsi="Microsoft YaHei" w:cs="Microsoft YaHei"/>
              <w:sz w:val="48"/>
              <w:szCs w:val="48"/>
            </w:rPr>
          </w:pPr>
          <w:bookmarkStart w:id="0" w:name="bookmark1"/>
          <w:bookmarkEnd w:id="0"/>
          <w:r>
            <w:rPr>
              <w:rFonts w:ascii="Microsoft YaHei" w:eastAsia="Microsoft YaHei" w:hAnsi="Microsoft YaHei" w:cs="Microsoft YaHei"/>
              <w:b/>
              <w:bCs/>
              <w:color w:val="3D5A89"/>
              <w:spacing w:val="-32"/>
              <w:sz w:val="48"/>
              <w:szCs w:val="48"/>
            </w:rPr>
            <w:t>目</w:t>
          </w:r>
          <w:r>
            <w:rPr>
              <w:rFonts w:ascii="Microsoft YaHei" w:eastAsia="Microsoft YaHei" w:hAnsi="Microsoft YaHei" w:cs="Microsoft YaHei"/>
              <w:b/>
              <w:bCs/>
              <w:color w:val="3D5A89"/>
              <w:spacing w:val="97"/>
              <w:sz w:val="48"/>
              <w:szCs w:val="48"/>
            </w:rPr>
            <w:t xml:space="preserve"> </w:t>
          </w:r>
          <w:r>
            <w:rPr>
              <w:rFonts w:ascii="Microsoft YaHei" w:eastAsia="Microsoft YaHei" w:hAnsi="Microsoft YaHei" w:cs="Microsoft YaHei"/>
              <w:b/>
              <w:bCs/>
              <w:color w:val="3D5A89"/>
              <w:spacing w:val="-32"/>
              <w:sz w:val="48"/>
              <w:szCs w:val="48"/>
            </w:rPr>
            <w:t>录</w:t>
          </w:r>
        </w:p>
        <w:p>
          <w:pPr>
            <w:pStyle w:val="BodyText"/>
            <w:spacing w:line="411" w:lineRule="auto"/>
          </w:pPr>
        </w:p>
        <w:p>
          <w:pPr>
            <w:pStyle w:val="BodyText"/>
            <w:spacing w:before="154" w:line="183" w:lineRule="auto"/>
            <w:ind w:left="1219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z w:val="36"/>
              <w:szCs w:val="36"/>
            </w:rPr>
            <w:t xml:space="preserve">核心提要                 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 xml:space="preserve">                     </w:t>
          </w:r>
          <w:hyperlink w:anchor="bookmark1" w:history="1">
            <w:r>
              <w:rPr>
                <w:color w:val="231F20"/>
                <w:spacing w:val="-1"/>
                <w:sz w:val="36"/>
                <w:szCs w:val="36"/>
              </w:rPr>
              <w:t>2</w:t>
            </w:r>
          </w:hyperlink>
        </w:p>
        <w:p>
          <w:pPr>
            <w:pStyle w:val="BodyText"/>
            <w:spacing w:line="336" w:lineRule="auto"/>
          </w:pPr>
        </w:p>
        <w:p>
          <w:pPr>
            <w:pStyle w:val="BodyText"/>
            <w:spacing w:before="155" w:line="184" w:lineRule="auto"/>
            <w:ind w:left="1220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1"/>
              <w:sz w:val="36"/>
              <w:szCs w:val="36"/>
            </w:rPr>
            <w:t xml:space="preserve">一、美西方国家在俄企业数据统计                                </w:t>
          </w:r>
          <w:hyperlink w:anchor="bookmark2" w:history="1">
            <w:r>
              <w:rPr>
                <w:color w:val="231F20"/>
                <w:spacing w:val="1"/>
                <w:sz w:val="36"/>
                <w:szCs w:val="36"/>
              </w:rPr>
              <w:t>4</w:t>
            </w:r>
          </w:hyperlink>
        </w:p>
        <w:p>
          <w:pPr>
            <w:pStyle w:val="BodyText"/>
            <w:spacing w:line="341" w:lineRule="auto"/>
          </w:pPr>
        </w:p>
        <w:p>
          <w:pPr>
            <w:pStyle w:val="BodyText"/>
            <w:spacing w:before="155" w:line="182" w:lineRule="auto"/>
            <w:ind w:left="1225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>二、在俄企业所受阻碍</w:t>
          </w:r>
          <w:r>
            <w:rPr>
              <w:rFonts w:ascii="Microsoft YaHei" w:eastAsia="Microsoft YaHei" w:hAnsi="Microsoft YaHei" w:cs="Microsoft YaHei"/>
              <w:color w:val="231F20"/>
              <w:spacing w:val="1"/>
              <w:sz w:val="36"/>
              <w:szCs w:val="36"/>
            </w:rPr>
            <w:t xml:space="preserve">                                                 </w:t>
          </w:r>
          <w:hyperlink w:anchor="bookmark3" w:history="1">
            <w:r>
              <w:rPr>
                <w:color w:val="231F20"/>
                <w:spacing w:val="-1"/>
                <w:sz w:val="36"/>
                <w:szCs w:val="36"/>
              </w:rPr>
              <w:t>7</w:t>
            </w:r>
          </w:hyperlink>
        </w:p>
        <w:p>
          <w:pPr>
            <w:pStyle w:val="BodyText"/>
            <w:spacing w:line="339" w:lineRule="auto"/>
          </w:pPr>
        </w:p>
        <w:p>
          <w:pPr>
            <w:pStyle w:val="BodyText"/>
            <w:spacing w:before="155" w:line="183" w:lineRule="auto"/>
            <w:ind w:left="1225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>三、俄罗斯的应对措施及潜在问题</w:t>
          </w:r>
          <w:r>
            <w:rPr>
              <w:rFonts w:ascii="Microsoft YaHei" w:eastAsia="Microsoft YaHei" w:hAnsi="Microsoft YaHei" w:cs="Microsoft YaHei"/>
              <w:color w:val="231F20"/>
              <w:spacing w:val="2"/>
              <w:sz w:val="36"/>
              <w:szCs w:val="36"/>
            </w:rPr>
            <w:t xml:space="preserve">                                </w:t>
          </w:r>
          <w:hyperlink w:anchor="bookmark4" w:history="1">
            <w:r>
              <w:rPr>
                <w:color w:val="231F20"/>
                <w:spacing w:val="-1"/>
                <w:sz w:val="36"/>
                <w:szCs w:val="36"/>
              </w:rPr>
              <w:t>8</w:t>
            </w:r>
          </w:hyperlink>
        </w:p>
        <w:p>
          <w:pPr>
            <w:pStyle w:val="BodyText"/>
            <w:spacing w:line="336" w:lineRule="auto"/>
          </w:pPr>
        </w:p>
        <w:p>
          <w:pPr>
            <w:pStyle w:val="BodyText"/>
            <w:spacing w:before="155" w:line="184" w:lineRule="auto"/>
            <w:ind w:left="1247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z w:val="36"/>
              <w:szCs w:val="36"/>
            </w:rPr>
            <w:t xml:space="preserve">四、外资退出对俄罗斯本土企业的影响     </w:t>
          </w: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 xml:space="preserve">                   </w:t>
          </w:r>
          <w:hyperlink w:anchor="bookmark5" w:history="1">
            <w:r>
              <w:rPr>
                <w:color w:val="231F20"/>
                <w:spacing w:val="-1"/>
                <w:sz w:val="36"/>
                <w:szCs w:val="36"/>
              </w:rPr>
              <w:t>10</w:t>
            </w:r>
          </w:hyperlink>
        </w:p>
        <w:p>
          <w:pPr>
            <w:pStyle w:val="BodyText"/>
            <w:spacing w:line="336" w:lineRule="auto"/>
          </w:pPr>
        </w:p>
        <w:p>
          <w:pPr>
            <w:pStyle w:val="BodyText"/>
            <w:spacing w:before="156" w:line="184" w:lineRule="auto"/>
            <w:ind w:left="1222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z w:val="36"/>
              <w:szCs w:val="36"/>
            </w:rPr>
            <w:t xml:space="preserve">五、外国公司的若干应对途径       </w:t>
          </w: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 xml:space="preserve">                               </w:t>
          </w:r>
          <w:hyperlink w:anchor="bookmark6" w:history="1">
            <w:r>
              <w:rPr>
                <w:color w:val="231F20"/>
                <w:spacing w:val="-1"/>
                <w:sz w:val="36"/>
                <w:szCs w:val="36"/>
              </w:rPr>
              <w:t>11</w:t>
            </w:r>
          </w:hyperlink>
        </w:p>
        <w:p>
          <w:pPr>
            <w:pStyle w:val="BodyText"/>
            <w:spacing w:line="339" w:lineRule="auto"/>
          </w:pPr>
        </w:p>
        <w:p>
          <w:pPr>
            <w:pStyle w:val="BodyText"/>
            <w:spacing w:before="155" w:line="183" w:lineRule="auto"/>
            <w:ind w:left="1224"/>
            <w:rPr>
              <w:sz w:val="36"/>
              <w:szCs w:val="36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"/>
              <w:sz w:val="36"/>
              <w:szCs w:val="36"/>
            </w:rPr>
            <w:t xml:space="preserve">六、政策建议                                                 </w:t>
          </w:r>
          <w:r>
            <w:rPr>
              <w:rFonts w:ascii="Microsoft YaHei" w:eastAsia="Microsoft YaHei" w:hAnsi="Microsoft YaHei" w:cs="Microsoft YaHei"/>
              <w:color w:val="231F20"/>
              <w:spacing w:val="-2"/>
              <w:sz w:val="36"/>
              <w:szCs w:val="36"/>
            </w:rPr>
            <w:t xml:space="preserve">             </w:t>
          </w:r>
          <w:hyperlink w:anchor="bookmark7" w:history="1">
            <w:r>
              <w:rPr>
                <w:color w:val="231F20"/>
                <w:spacing w:val="-2"/>
                <w:sz w:val="36"/>
                <w:szCs w:val="36"/>
              </w:rPr>
              <w:t>14</w:t>
            </w:r>
          </w:hyperlink>
        </w:p>
      </w:sdtContent>
    </w:sdt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  <w:sectPr>
          <w:headerReference w:type="default" r:id="rId9"/>
          <w:footerReference w:type="default" r:id="rId10"/>
          <w:pgSz w:w="12246" w:h="17685"/>
          <w:pgMar w:top="400" w:right="396" w:bottom="29" w:left="372" w:header="0" w:footer="0" w:gutter="0"/>
          <w:pgNumType w:start="3"/>
          <w:cols w:space="708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52" w:line="182" w:lineRule="auto"/>
        <w:ind w:left="10220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z w:val="16"/>
          <w:szCs w:val="16"/>
        </w:rPr>
        <w:t>1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39" w:line="199" w:lineRule="auto"/>
        <w:jc w:val="righ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5"/>
          <w:sz w:val="12"/>
          <w:szCs w:val="12"/>
        </w:rPr>
        <w:t>撤资浪潮之后_在俄外企情况、俄方应对及对我启示2.indd</w:t>
      </w:r>
      <w:r>
        <w:rPr>
          <w:rFonts w:ascii="SimSun" w:eastAsia="SimSun" w:hAnsi="SimSun" w:cs="SimSun"/>
          <w:spacing w:val="30"/>
          <w:w w:val="10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1</w:t>
      </w:r>
      <w:r>
        <w:rPr>
          <w:rFonts w:ascii="SimSun" w:eastAsia="SimSun" w:hAnsi="SimSun" w:cs="SimSun"/>
          <w:spacing w:val="1"/>
          <w:sz w:val="12"/>
          <w:szCs w:val="12"/>
        </w:rPr>
        <w:t xml:space="preserve">                                                       </w:t>
      </w:r>
      <w:r>
        <w:rPr>
          <w:rFonts w:ascii="SimSun" w:eastAsia="SimSun" w:hAnsi="SimSun" w:cs="SimSun"/>
          <w:sz w:val="12"/>
          <w:szCs w:val="12"/>
        </w:rPr>
        <w:t xml:space="preserve">                                                                      </w:t>
      </w:r>
      <w:r>
        <w:rPr>
          <w:rFonts w:ascii="SimSun" w:eastAsia="SimSun" w:hAnsi="SimSun" w:cs="SimSun"/>
          <w:spacing w:val="-5"/>
          <w:sz w:val="12"/>
          <w:szCs w:val="12"/>
        </w:rPr>
        <w:t>2024/2/18</w:t>
      </w:r>
      <w:r>
        <w:rPr>
          <w:rFonts w:ascii="SimSun" w:eastAsia="SimSun" w:hAnsi="SimSun" w:cs="SimSun"/>
          <w:spacing w:val="29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15:05</w:t>
      </w:r>
    </w:p>
    <w:p>
      <w:pPr>
        <w:spacing w:line="199" w:lineRule="auto"/>
        <w:rPr>
          <w:rFonts w:ascii="SimSun" w:eastAsia="SimSun" w:hAnsi="SimSun" w:cs="SimSun"/>
          <w:sz w:val="12"/>
          <w:szCs w:val="12"/>
        </w:rPr>
        <w:sectPr>
          <w:headerReference w:type="default" r:id="rId11"/>
          <w:footerReference w:type="default" r:id="rId12"/>
          <w:type w:val="nextPage"/>
          <w:pgSz w:w="12246" w:h="17685"/>
          <w:pgMar w:top="400" w:right="396" w:bottom="29" w:left="372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341" w:lineRule="auto"/>
      </w:pPr>
    </w:p>
    <w:p>
      <w:pPr>
        <w:pStyle w:val="BodyText"/>
        <w:spacing w:line="341" w:lineRule="auto"/>
      </w:pPr>
    </w:p>
    <w:p>
      <w:pPr>
        <w:spacing w:before="69" w:line="183" w:lineRule="auto"/>
        <w:ind w:left="121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b/>
          <w:bCs/>
          <w:color w:val="231F20"/>
          <w:sz w:val="16"/>
          <w:szCs w:val="16"/>
        </w:rPr>
        <w:t>撤资浪潮之后：在俄外企情况、俄方应对及对</w:t>
      </w:r>
      <w:r>
        <w:rPr>
          <w:rFonts w:ascii="Microsoft YaHei" w:eastAsia="Microsoft YaHei" w:hAnsi="Microsoft YaHei" w:cs="Microsoft YaHei"/>
          <w:b/>
          <w:bCs/>
          <w:color w:val="231F20"/>
          <w:spacing w:val="-1"/>
          <w:sz w:val="16"/>
          <w:szCs w:val="16"/>
        </w:rPr>
        <w:t>我启示</w:t>
      </w:r>
    </w:p>
    <w:p>
      <w:pPr>
        <w:pStyle w:val="BodyText"/>
        <w:spacing w:line="307" w:lineRule="auto"/>
      </w:pPr>
    </w:p>
    <w:p>
      <w:pPr>
        <w:pStyle w:val="BodyText"/>
        <w:spacing w:line="307" w:lineRule="auto"/>
      </w:pPr>
    </w:p>
    <w:p>
      <w:pPr>
        <w:spacing w:before="258" w:line="181" w:lineRule="auto"/>
        <w:ind w:left="4558"/>
        <w:rPr>
          <w:rFonts w:ascii="Microsoft YaHei" w:eastAsia="Microsoft YaHei" w:hAnsi="Microsoft YaHei" w:cs="Microsoft YaHei"/>
          <w:sz w:val="60"/>
          <w:szCs w:val="60"/>
        </w:rPr>
      </w:pPr>
      <w:r>
        <w:rPr>
          <w:rFonts w:ascii="Microsoft YaHei" w:eastAsia="Microsoft YaHei" w:hAnsi="Microsoft YaHei" w:cs="Microsoft YaHei"/>
          <w:b/>
          <w:bCs/>
          <w:color w:val="3D5A89"/>
          <w:spacing w:val="-2"/>
          <w:sz w:val="60"/>
          <w:szCs w:val="60"/>
        </w:rPr>
        <w:t>核心提要</w:t>
      </w:r>
    </w:p>
    <w:p>
      <w:pPr>
        <w:pStyle w:val="BodyText"/>
        <w:spacing w:line="317" w:lineRule="auto"/>
      </w:pPr>
    </w:p>
    <w:p>
      <w:pPr>
        <w:pStyle w:val="BodyText"/>
        <w:spacing w:line="317" w:lineRule="auto"/>
      </w:pPr>
    </w:p>
    <w:p>
      <w:pPr>
        <w:spacing w:before="137" w:line="210" w:lineRule="auto"/>
        <w:ind w:left="1217" w:right="1189" w:firstLine="677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2"/>
          <w:sz w:val="32"/>
          <w:szCs w:val="32"/>
        </w:rPr>
        <w:t>●</w:t>
      </w:r>
      <w:r>
        <w:rPr>
          <w:rFonts w:ascii="Times New Roman" w:eastAsia="Times New Roman" w:hAnsi="Times New Roman" w:cs="Times New Roman"/>
          <w:b/>
          <w:bCs/>
          <w:color w:val="231F20"/>
          <w:spacing w:val="39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2"/>
          <w:sz w:val="32"/>
          <w:szCs w:val="32"/>
        </w:rPr>
        <w:t>美国及其盟友占退出俄罗斯市场公司的绝大多数，</w:t>
      </w:r>
      <w:r>
        <w:rPr>
          <w:rFonts w:ascii="Microsoft YaHei" w:eastAsia="Microsoft YaHei" w:hAnsi="Microsoft YaHei" w:cs="Microsoft YaHei"/>
          <w:b/>
          <w:bCs/>
          <w:color w:val="231F20"/>
          <w:spacing w:val="-67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1"/>
          <w:sz w:val="32"/>
          <w:szCs w:val="32"/>
        </w:rPr>
        <w:t>民众对</w:t>
      </w:r>
      <w:r>
        <w:rPr>
          <w:rFonts w:ascii="Microsoft YaHei" w:eastAsia="Microsoft YaHei" w:hAnsi="Microsoft YaHei" w:cs="Microsoft YaHei"/>
          <w:b/>
          <w:bCs/>
          <w:color w:val="231F2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-2"/>
          <w:sz w:val="32"/>
          <w:szCs w:val="32"/>
        </w:rPr>
        <w:t>俄态度、在俄盈利能力与资产类别影响着各国企业留存率。</w:t>
      </w:r>
    </w:p>
    <w:p>
      <w:pPr>
        <w:spacing w:before="294" w:line="210" w:lineRule="auto"/>
        <w:ind w:left="1227" w:right="1085" w:firstLine="652"/>
        <w:jc w:val="both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截至 </w:t>
      </w:r>
      <w:r>
        <w:rPr>
          <w:rFonts w:ascii="Times New Roman" w:eastAsia="Times New Roman" w:hAnsi="Times New Roman" w:cs="Times New Roman"/>
          <w:color w:val="231F20"/>
          <w:spacing w:val="2"/>
          <w:sz w:val="32"/>
          <w:szCs w:val="32"/>
        </w:rPr>
        <w:t xml:space="preserve">2024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年 </w:t>
      </w:r>
      <w:r>
        <w:rPr>
          <w:rFonts w:ascii="Times New Roman" w:eastAsia="Times New Roman" w:hAnsi="Times New Roman" w:cs="Times New Roman"/>
          <w:color w:val="231F20"/>
          <w:spacing w:val="2"/>
          <w:sz w:val="32"/>
          <w:szCs w:val="32"/>
        </w:rPr>
        <w:t xml:space="preserve">2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月 </w:t>
      </w:r>
      <w:r>
        <w:rPr>
          <w:rFonts w:ascii="Times New Roman" w:eastAsia="Times New Roman" w:hAnsi="Times New Roman" w:cs="Times New Roman"/>
          <w:color w:val="231F20"/>
          <w:spacing w:val="2"/>
          <w:sz w:val="32"/>
          <w:szCs w:val="32"/>
        </w:rPr>
        <w:t xml:space="preserve">2 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日，共有 </w:t>
      </w:r>
      <w:r>
        <w:rPr>
          <w:rFonts w:ascii="Times New Roman" w:eastAsia="Times New Roman" w:hAnsi="Times New Roman" w:cs="Times New Roman"/>
          <w:color w:val="231F20"/>
          <w:spacing w:val="2"/>
          <w:sz w:val="32"/>
          <w:szCs w:val="32"/>
        </w:rPr>
        <w:t>352</w:t>
      </w:r>
      <w:r>
        <w:rPr>
          <w:rFonts w:ascii="Times New Roman" w:eastAsia="Times New Roman" w:hAnsi="Times New Roman" w:cs="Times New Roman"/>
          <w:color w:val="231F20"/>
          <w:spacing w:val="33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家外国企业完全退出俄罗</w:t>
      </w:r>
      <w:r>
        <w:rPr>
          <w:rFonts w:ascii="Microsoft YaHei" w:eastAsia="Microsoft YaHei" w:hAnsi="Microsoft YaHei" w:cs="Microsoft YaHei"/>
          <w:color w:val="231F20"/>
          <w:sz w:val="32"/>
          <w:szCs w:val="32"/>
        </w:rPr>
        <w:t xml:space="preserve">  </w:t>
      </w:r>
      <w:r>
        <w:rPr>
          <w:rFonts w:ascii="Microsoft YaHei" w:eastAsia="Microsoft YaHei" w:hAnsi="Microsoft YaHei" w:cs="Microsoft YaHei"/>
          <w:color w:val="231F20"/>
          <w:spacing w:val="-9"/>
          <w:sz w:val="32"/>
          <w:szCs w:val="32"/>
        </w:rPr>
        <w:t>斯市场，</w:t>
      </w:r>
      <w:r>
        <w:rPr>
          <w:rFonts w:ascii="Microsoft YaHei" w:eastAsia="Microsoft YaHei" w:hAnsi="Microsoft YaHei" w:cs="Microsoft YaHei"/>
          <w:color w:val="231F20"/>
          <w:spacing w:val="6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9"/>
          <w:sz w:val="32"/>
          <w:szCs w:val="32"/>
        </w:rPr>
        <w:t xml:space="preserve">其中五眼联盟、欧盟及日韩国家完全撤离了 </w:t>
      </w:r>
      <w:r>
        <w:rPr>
          <w:rFonts w:ascii="Times New Roman" w:eastAsia="Times New Roman" w:hAnsi="Times New Roman" w:cs="Times New Roman"/>
          <w:color w:val="231F20"/>
          <w:spacing w:val="-9"/>
          <w:sz w:val="32"/>
          <w:szCs w:val="32"/>
        </w:rPr>
        <w:t xml:space="preserve">328 </w:t>
      </w:r>
      <w:r>
        <w:rPr>
          <w:rFonts w:ascii="Microsoft YaHei" w:eastAsia="Microsoft YaHei" w:hAnsi="Microsoft YaHei" w:cs="Microsoft YaHei"/>
          <w:color w:val="231F20"/>
          <w:spacing w:val="-9"/>
          <w:sz w:val="32"/>
          <w:szCs w:val="32"/>
        </w:rPr>
        <w:t>家企业，</w:t>
      </w:r>
    </w:p>
    <w:p>
      <w:pPr>
        <w:spacing w:line="175" w:lineRule="auto"/>
        <w:ind w:left="126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9"/>
          <w:sz w:val="32"/>
          <w:szCs w:val="32"/>
        </w:rPr>
        <w:t>占撤离企业的绝大多数。</w:t>
      </w:r>
    </w:p>
    <w:p>
      <w:pPr>
        <w:spacing w:before="305" w:line="210" w:lineRule="auto"/>
        <w:ind w:left="1233" w:right="1203" w:firstLine="646"/>
        <w:jc w:val="both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3"/>
          <w:sz w:val="32"/>
          <w:szCs w:val="32"/>
        </w:rPr>
        <w:t>从民众舆论角度出发，美西方国家民众对俄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罗斯的观点态度</w:t>
      </w:r>
      <w:r>
        <w:rPr>
          <w:rFonts w:ascii="Microsoft YaHei" w:eastAsia="Microsoft YaHei" w:hAnsi="Microsoft YaHei" w:cs="Microsoft YaHei"/>
          <w:color w:val="231F2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与各国企业撤离俄罗斯的情况存在一定相关性。民众对俄厌恶程</w:t>
      </w:r>
    </w:p>
    <w:p>
      <w:pPr>
        <w:spacing w:line="176" w:lineRule="auto"/>
        <w:ind w:left="1226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5"/>
          <w:sz w:val="32"/>
          <w:szCs w:val="32"/>
        </w:rPr>
        <w:t>度与企业撤离率有正相关关系。</w:t>
      </w:r>
    </w:p>
    <w:p>
      <w:pPr>
        <w:spacing w:before="304" w:line="210" w:lineRule="auto"/>
        <w:ind w:left="1879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3"/>
          <w:sz w:val="32"/>
          <w:szCs w:val="32"/>
        </w:rPr>
        <w:t>从公司经营角度出发，盈利水平高或重资产占比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大的公司更</w:t>
      </w:r>
    </w:p>
    <w:p>
      <w:pPr>
        <w:spacing w:line="176" w:lineRule="auto"/>
        <w:ind w:left="1229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6"/>
          <w:sz w:val="32"/>
          <w:szCs w:val="32"/>
        </w:rPr>
        <w:t>不愿脱离俄罗斯市场。</w:t>
      </w:r>
    </w:p>
    <w:p>
      <w:pPr>
        <w:spacing w:before="237" w:line="210" w:lineRule="auto"/>
        <w:ind w:left="1219" w:right="1190" w:firstLine="673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3"/>
          <w:sz w:val="32"/>
          <w:szCs w:val="32"/>
        </w:rPr>
        <w:t>●</w:t>
      </w:r>
      <w:r>
        <w:rPr>
          <w:rFonts w:ascii="Times New Roman" w:eastAsia="Times New Roman" w:hAnsi="Times New Roman" w:cs="Times New Roman"/>
          <w:b/>
          <w:bCs/>
          <w:color w:val="231F20"/>
          <w:spacing w:val="4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3"/>
          <w:sz w:val="32"/>
          <w:szCs w:val="32"/>
        </w:rPr>
        <w:t>舆论压力、经济制裁与军事冲突本身都对在俄企业经营造</w:t>
      </w:r>
      <w:r>
        <w:rPr>
          <w:rFonts w:ascii="Microsoft YaHei" w:eastAsia="Microsoft YaHei" w:hAnsi="Microsoft YaHei" w:cs="Microsoft YaHei"/>
          <w:b/>
          <w:bCs/>
          <w:color w:val="231F20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-9"/>
          <w:sz w:val="32"/>
          <w:szCs w:val="32"/>
        </w:rPr>
        <w:t>成了阻碍。</w:t>
      </w:r>
    </w:p>
    <w:p>
      <w:pPr>
        <w:spacing w:before="292" w:line="210" w:lineRule="auto"/>
        <w:ind w:left="1877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3"/>
          <w:sz w:val="32"/>
          <w:szCs w:val="32"/>
        </w:rPr>
        <w:t>耶鲁大学、基辅经济学院等美西方及乌克兰的机构对在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俄企</w:t>
      </w:r>
    </w:p>
    <w:p>
      <w:pPr>
        <w:spacing w:before="2" w:line="178" w:lineRule="auto"/>
        <w:ind w:left="123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3"/>
          <w:sz w:val="32"/>
          <w:szCs w:val="32"/>
        </w:rPr>
        <w:t>业进行了统计跟踪，利用舆论压力敦促企业撤出俄罗斯市场。</w:t>
      </w:r>
    </w:p>
    <w:p>
      <w:pPr>
        <w:spacing w:before="298" w:line="210" w:lineRule="auto"/>
        <w:ind w:left="1876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3"/>
          <w:sz w:val="32"/>
          <w:szCs w:val="32"/>
        </w:rPr>
        <w:t>物流混乱停滞、贸易结算困难、出口禁令制裁成为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了在俄企</w:t>
      </w:r>
    </w:p>
    <w:p>
      <w:pPr>
        <w:spacing w:line="179" w:lineRule="auto"/>
        <w:ind w:left="123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10"/>
          <w:sz w:val="32"/>
          <w:szCs w:val="32"/>
        </w:rPr>
        <w:t>业经营的较大阻碍，</w:t>
      </w:r>
      <w:r>
        <w:rPr>
          <w:rFonts w:ascii="Microsoft YaHei" w:eastAsia="Microsoft YaHei" w:hAnsi="Microsoft YaHei" w:cs="Microsoft YaHei"/>
          <w:color w:val="231F20"/>
          <w:spacing w:val="88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-10"/>
          <w:sz w:val="32"/>
          <w:szCs w:val="32"/>
        </w:rPr>
        <w:t>资本流通限制也使得企业</w:t>
      </w:r>
      <w:r>
        <w:rPr>
          <w:rFonts w:ascii="Microsoft YaHei" w:eastAsia="Microsoft YaHei" w:hAnsi="Microsoft YaHei" w:cs="Microsoft YaHei"/>
          <w:color w:val="231F20"/>
          <w:spacing w:val="-11"/>
          <w:sz w:val="32"/>
          <w:szCs w:val="32"/>
        </w:rPr>
        <w:t>资金转移变得困难。</w:t>
      </w:r>
    </w:p>
    <w:p>
      <w:pPr>
        <w:spacing w:before="228" w:line="231" w:lineRule="auto"/>
        <w:ind w:left="1893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231F20"/>
          <w:spacing w:val="-9"/>
          <w:sz w:val="32"/>
          <w:szCs w:val="32"/>
        </w:rPr>
        <w:t xml:space="preserve">● </w:t>
      </w:r>
      <w:r>
        <w:rPr>
          <w:rFonts w:ascii="Microsoft YaHei" w:eastAsia="Microsoft YaHei" w:hAnsi="Microsoft YaHei" w:cs="Microsoft YaHei"/>
          <w:b/>
          <w:bCs/>
          <w:color w:val="231F20"/>
          <w:spacing w:val="-9"/>
          <w:sz w:val="32"/>
          <w:szCs w:val="32"/>
        </w:rPr>
        <w:t>俄政府通过一系列措施缓解外资撤离冲击，</w:t>
      </w:r>
      <w:r>
        <w:rPr>
          <w:rFonts w:ascii="Microsoft YaHei" w:eastAsia="Microsoft YaHei" w:hAnsi="Microsoft YaHei" w:cs="Microsoft YaHei"/>
          <w:b/>
          <w:bCs/>
          <w:color w:val="231F20"/>
          <w:spacing w:val="77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231F20"/>
          <w:spacing w:val="-9"/>
          <w:sz w:val="32"/>
          <w:szCs w:val="32"/>
        </w:rPr>
        <w:t>但仍面临阻</w:t>
      </w:r>
      <w:r>
        <w:rPr>
          <w:rFonts w:ascii="Microsoft YaHei" w:eastAsia="Microsoft YaHei" w:hAnsi="Microsoft YaHei" w:cs="Microsoft YaHei"/>
          <w:b/>
          <w:bCs/>
          <w:color w:val="231F20"/>
          <w:spacing w:val="-10"/>
          <w:sz w:val="32"/>
          <w:szCs w:val="32"/>
        </w:rPr>
        <w:t>碍。</w:t>
      </w:r>
    </w:p>
    <w:p>
      <w:pPr>
        <w:spacing w:before="247" w:line="210" w:lineRule="auto"/>
        <w:ind w:left="1225" w:right="1203" w:firstLine="647"/>
        <w:jc w:val="both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3"/>
          <w:sz w:val="32"/>
          <w:szCs w:val="32"/>
        </w:rPr>
        <w:t>俄政府成立了外国投资政府控制委员会，收紧了外资出售条</w:t>
      </w:r>
      <w:r>
        <w:rPr>
          <w:rFonts w:ascii="Microsoft YaHei" w:eastAsia="Microsoft YaHei" w:hAnsi="Microsoft YaHei" w:cs="Microsoft YaHei"/>
          <w:color w:val="231F20"/>
          <w:spacing w:val="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件，并取消 </w:t>
      </w:r>
      <w:r>
        <w:rPr>
          <w:rFonts w:ascii="Times New Roman" w:eastAsia="Times New Roman" w:hAnsi="Times New Roman" w:cs="Times New Roman"/>
          <w:color w:val="231F20"/>
          <w:spacing w:val="2"/>
          <w:position w:val="1"/>
          <w:sz w:val="32"/>
          <w:szCs w:val="32"/>
        </w:rPr>
        <w:t xml:space="preserve">“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 xml:space="preserve">不友好国家和地区 </w:t>
      </w:r>
      <w:r>
        <w:rPr>
          <w:rFonts w:ascii="Times New Roman" w:eastAsia="Times New Roman" w:hAnsi="Times New Roman" w:cs="Times New Roman"/>
          <w:color w:val="231F20"/>
          <w:spacing w:val="2"/>
          <w:position w:val="1"/>
          <w:sz w:val="32"/>
          <w:szCs w:val="32"/>
        </w:rPr>
        <w:t>”</w:t>
      </w:r>
      <w:r>
        <w:rPr>
          <w:rFonts w:ascii="Times New Roman" w:eastAsia="Times New Roman" w:hAnsi="Times New Roman" w:cs="Times New Roman"/>
          <w:color w:val="231F20"/>
          <w:spacing w:val="30"/>
          <w:w w:val="101"/>
          <w:position w:val="1"/>
          <w:sz w:val="32"/>
          <w:szCs w:val="32"/>
        </w:rPr>
        <w:t xml:space="preserve"> </w:t>
      </w:r>
      <w:r>
        <w:rPr>
          <w:rFonts w:ascii="Microsoft YaHei" w:eastAsia="Microsoft YaHei" w:hAnsi="Microsoft YaHei" w:cs="Microsoft YaHei"/>
          <w:color w:val="231F20"/>
          <w:spacing w:val="2"/>
          <w:sz w:val="32"/>
          <w:szCs w:val="32"/>
        </w:rPr>
        <w:t>的专利赔偿金，鼓励本土资本</w:t>
      </w:r>
    </w:p>
    <w:p>
      <w:pPr>
        <w:spacing w:line="176" w:lineRule="auto"/>
        <w:ind w:left="1234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9"/>
          <w:sz w:val="32"/>
          <w:szCs w:val="32"/>
        </w:rPr>
        <w:t>收购撤离企业。</w:t>
      </w:r>
    </w:p>
    <w:p>
      <w:pPr>
        <w:pStyle w:val="BodyText"/>
        <w:spacing w:line="270" w:lineRule="auto"/>
        <w:sectPr>
          <w:headerReference w:type="default" r:id="rId13"/>
          <w:footerReference w:type="default" r:id="rId14"/>
          <w:pgSz w:w="12246" w:h="17685"/>
          <w:pgMar w:top="400" w:right="396" w:bottom="29" w:left="372" w:header="0" w:footer="0" w:gutter="0"/>
          <w:pgNumType w:start="5"/>
          <w:cols w:space="708"/>
        </w:sectPr>
      </w:pPr>
    </w:p>
    <w:p>
      <w:pPr>
        <w:pStyle w:val="BodyText"/>
        <w:spacing w:line="270" w:lineRule="auto"/>
      </w:pPr>
    </w:p>
    <w:p>
      <w:pPr>
        <w:pStyle w:val="BodyText"/>
        <w:spacing w:line="271" w:lineRule="auto"/>
      </w:pPr>
    </w:p>
    <w:p>
      <w:pPr>
        <w:spacing w:before="53" w:line="184" w:lineRule="auto"/>
        <w:ind w:left="121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color w:val="231F20"/>
          <w:sz w:val="16"/>
          <w:szCs w:val="16"/>
        </w:rPr>
        <w:t>2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spacing w:before="39" w:line="199" w:lineRule="auto"/>
        <w:jc w:val="right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pacing w:val="-5"/>
          <w:sz w:val="12"/>
          <w:szCs w:val="12"/>
        </w:rPr>
        <w:t>撤资浪潮之后_在俄外企情况、俄方应对及对我启示2.indd</w:t>
      </w:r>
      <w:r>
        <w:rPr>
          <w:rFonts w:ascii="SimSun" w:eastAsia="SimSun" w:hAnsi="SimSun" w:cs="SimSun"/>
          <w:spacing w:val="30"/>
          <w:w w:val="101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2</w:t>
      </w:r>
      <w:r>
        <w:rPr>
          <w:rFonts w:ascii="SimSun" w:eastAsia="SimSun" w:hAnsi="SimSun" w:cs="SimSun"/>
          <w:spacing w:val="1"/>
          <w:sz w:val="12"/>
          <w:szCs w:val="12"/>
        </w:rPr>
        <w:t xml:space="preserve">                                                       </w:t>
      </w:r>
      <w:r>
        <w:rPr>
          <w:rFonts w:ascii="SimSun" w:eastAsia="SimSun" w:hAnsi="SimSun" w:cs="SimSun"/>
          <w:sz w:val="12"/>
          <w:szCs w:val="12"/>
        </w:rPr>
        <w:t xml:space="preserve">                                                                      </w:t>
      </w:r>
      <w:r>
        <w:rPr>
          <w:rFonts w:ascii="SimSun" w:eastAsia="SimSun" w:hAnsi="SimSun" w:cs="SimSun"/>
          <w:spacing w:val="-5"/>
          <w:sz w:val="12"/>
          <w:szCs w:val="12"/>
        </w:rPr>
        <w:t>2024/2/18</w:t>
      </w:r>
      <w:r>
        <w:rPr>
          <w:rFonts w:ascii="SimSun" w:eastAsia="SimSun" w:hAnsi="SimSun" w:cs="SimSun"/>
          <w:spacing w:val="29"/>
          <w:sz w:val="12"/>
          <w:szCs w:val="12"/>
        </w:rPr>
        <w:t xml:space="preserve"> </w:t>
      </w:r>
      <w:r>
        <w:rPr>
          <w:rFonts w:ascii="SimSun" w:eastAsia="SimSun" w:hAnsi="SimSun" w:cs="SimSun"/>
          <w:spacing w:val="-5"/>
          <w:sz w:val="12"/>
          <w:szCs w:val="12"/>
        </w:rPr>
        <w:t>15:05</w:t>
      </w:r>
    </w:p>
    <w:p>
      <w:pPr>
        <w:spacing w:line="199" w:lineRule="auto"/>
        <w:rPr>
          <w:rFonts w:ascii="SimSun" w:eastAsia="SimSun" w:hAnsi="SimSun" w:cs="SimSun"/>
          <w:sz w:val="12"/>
          <w:szCs w:val="12"/>
        </w:rPr>
      </w:pPr>
      <w:r>
        <w:rPr>
          <w:rFonts w:ascii="SimSun" w:eastAsia="SimSun" w:hAnsi="SimSun" w:cs="SimSun"/>
          <w:sz w:val="12"/>
          <w:szCs w:val="12"/>
        </w:rPr>
        <w:br/>
      </w:r>
      <w:r>
        <w:rPr>
          <w:rFonts w:ascii="SimSun" w:eastAsia="SimSun" w:hAnsi="SimSun" w:cs="SimSun"/>
          <w:sz w:val="12"/>
          <w:szCs w:val="1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https://d.book118.com/295024231114011113</w:t>
        </w:r>
      </w:hyperlink>
    </w:p>
    <w:p>
      <w:pPr>
        <w:spacing w:line="199" w:lineRule="auto"/>
        <w:rPr>
          <w:rFonts w:ascii="SimSun" w:eastAsia="SimSun" w:hAnsi="SimSun" w:cs="SimSun"/>
          <w:sz w:val="12"/>
          <w:szCs w:val="12"/>
        </w:rPr>
      </w:pPr>
    </w:p>
    <w:sectPr>
      <w:headerReference w:type="default" r:id="rId16"/>
      <w:footerReference w:type="default" r:id="rId17"/>
      <w:type w:val="nextPage"/>
      <w:pgSz w:w="12246" w:h="17685"/>
      <w:pgMar w:top="400" w:right="396" w:bottom="29" w:left="372" w:header="0" w:footer="0" w:gutter="0"/>
      <w:pgNumType w:start="6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hyperlink" Target="https://d.book118.com/295024231114011113" TargetMode="Externa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2024-02-29T18:05:12Z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2024-02-29T18:27:20Z</vt:filetime>
  </property>
  <property fmtid="{D5CDD505-2E9C-101B-9397-08002B2CF9AE}" pid="3" name="CRO">
    <vt:lpwstr>wqlLaW5nc29mdCBQREYgdG8gV1BTIDkw</vt:lpwstr>
  </property>
</Properties>
</file>