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麦克风市场分析及竞争策略报告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7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一、法人治理结构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_Toc23639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_Toc32454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0" w:history="1">
        <w:r>
          <w:rPr>
            <w:rFonts w:ascii="仿宋" w:eastAsia="仿宋" w:hAnsi="仿宋" w:cs="仿宋" w:hint="eastAsia"/>
            <w:lang w:eastAsia="zh-CN"/>
          </w:rPr>
          <w:t>二、市场预测</w:t>
        </w:r>
        <w:r>
          <w:tab/>
        </w:r>
        <w:r>
          <w:fldChar w:fldCharType="begin"/>
        </w:r>
        <w:r>
          <w:instrText xml:space="preserve"> PAGEREF _Toc13160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_Toc32241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8" w:history="1">
        <w:r>
          <w:rPr>
            <w:rFonts w:ascii="仿宋" w:eastAsia="仿宋" w:hAnsi="仿宋" w:cs="仿宋" w:hint="eastAsia"/>
            <w:lang w:eastAsia="zh-CN"/>
          </w:rPr>
          <w:t>四、麦克风项目可持续发展</w:t>
        </w:r>
        <w:r>
          <w:tab/>
        </w:r>
        <w:r>
          <w:fldChar w:fldCharType="begin"/>
        </w:r>
        <w:r>
          <w:instrText xml:space="preserve"> PAGEREF _Toc9848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_Toc28987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五、环保分析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(一)、建设期环境影响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3" w:history="1">
        <w:r>
          <w:rPr>
            <w:rFonts w:ascii="仿宋" w:eastAsia="仿宋" w:hAnsi="仿宋" w:cs="仿宋" w:hint="eastAsia"/>
            <w:lang w:eastAsia="zh-CN"/>
          </w:rPr>
          <w:t>(二)、营运期环境评价</w:t>
        </w:r>
        <w:r>
          <w:tab/>
        </w:r>
        <w:r>
          <w:fldChar w:fldCharType="begin"/>
        </w:r>
        <w:r>
          <w:instrText xml:space="preserve"> PAGEREF _Toc14063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(三)、环境管理与控制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1" w:history="1">
        <w:r>
          <w:rPr>
            <w:rFonts w:ascii="仿宋" w:eastAsia="仿宋" w:hAnsi="仿宋" w:cs="仿宋" w:hint="eastAsia"/>
            <w:lang w:eastAsia="zh-CN"/>
          </w:rPr>
          <w:t>(四)、环境改善与建议</w:t>
        </w:r>
        <w:r>
          <w:tab/>
        </w:r>
        <w:r>
          <w:fldChar w:fldCharType="begin"/>
        </w:r>
        <w:r>
          <w:instrText xml:space="preserve"> PAGEREF _Toc10801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六、麦克风行业前景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0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七、进度计划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_Toc31230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_Toc28396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eastAsia="zh-CN"/>
          </w:rPr>
          <w:t>(六)、麦克风项目实施保障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八、麦克风市场地位与竞争战略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_Toc4272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九、工艺技术分析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3" w:history="1">
        <w:r>
          <w:rPr>
            <w:rFonts w:ascii="仿宋" w:eastAsia="仿宋" w:hAnsi="仿宋" w:cs="仿宋" w:hint="eastAsia"/>
            <w:lang w:eastAsia="zh-CN"/>
          </w:rPr>
          <w:t>(二)、麦克风项目技术工艺分析</w:t>
        </w:r>
        <w:r>
          <w:tab/>
        </w:r>
        <w:r>
          <w:fldChar w:fldCharType="begin"/>
        </w:r>
        <w:r>
          <w:instrText xml:space="preserve"> PAGEREF _Toc6193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(三)、麦克风项目技术流程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十、麦克风项目规划进度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(一)、麦克风项目进度安排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9" w:history="1">
        <w:r>
          <w:rPr>
            <w:rFonts w:ascii="仿宋" w:eastAsia="仿宋" w:hAnsi="仿宋" w:cs="仿宋" w:hint="eastAsia"/>
            <w:lang w:eastAsia="zh-CN"/>
          </w:rPr>
          <w:t>(二)、麦克风项目实施保障措施</w:t>
        </w:r>
        <w:r>
          <w:tab/>
        </w:r>
        <w:r>
          <w:fldChar w:fldCharType="begin"/>
        </w:r>
        <w:r>
          <w:instrText xml:space="preserve"> PAGEREF _Toc24869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3" w:history="1">
        <w:r>
          <w:rPr>
            <w:rFonts w:ascii="仿宋" w:eastAsia="仿宋" w:hAnsi="仿宋" w:cs="仿宋" w:hint="eastAsia"/>
            <w:lang w:eastAsia="zh-CN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_Toc20913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_Toc1579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_Toc32076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23" w:history="1">
        <w:r>
          <w:rPr>
            <w:rFonts w:ascii="仿宋" w:eastAsia="仿宋" w:hAnsi="仿宋" w:cs="仿宋" w:hint="eastAsia"/>
            <w:lang w:eastAsia="zh-CN"/>
          </w:rPr>
          <w:t>十二、项目实施与进度安排</w:t>
        </w:r>
        <w:r>
          <w:tab/>
        </w:r>
        <w:r>
          <w:fldChar w:fldCharType="begin"/>
        </w:r>
        <w:r>
          <w:instrText xml:space="preserve"> PAGEREF _Toc10623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5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_Toc19255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60" w:history="1">
        <w:r>
          <w:rPr>
            <w:rFonts w:ascii="仿宋" w:eastAsia="仿宋" w:hAnsi="仿宋" w:cs="仿宋" w:hint="eastAsia"/>
            <w:lang w:eastAsia="zh-CN"/>
          </w:rPr>
          <w:t>十三、资源合理利用</w:t>
        </w:r>
        <w:r>
          <w:tab/>
        </w:r>
        <w:r>
          <w:fldChar w:fldCharType="begin"/>
        </w:r>
        <w:r>
          <w:instrText xml:space="preserve"> PAGEREF _Toc17760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7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_Toc7957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2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_Toc13662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1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_Toc4531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十四、创新与研发策略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5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_Toc7595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7" w:history="1">
        <w:r>
          <w:rPr>
            <w:rFonts w:ascii="仿宋" w:eastAsia="仿宋" w:hAnsi="仿宋" w:cs="仿宋" w:hint="eastAsia"/>
            <w:lang w:eastAsia="zh-CN"/>
          </w:rPr>
          <w:t>十五、员工管理与发展</w:t>
        </w:r>
        <w:r>
          <w:tab/>
        </w:r>
        <w:r>
          <w:fldChar w:fldCharType="begin"/>
        </w:r>
        <w:r>
          <w:instrText xml:space="preserve"> PAGEREF _Toc25607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0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_Toc29930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十六、未来计划和展望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8" w:history="1">
        <w:r>
          <w:rPr>
            <w:rFonts w:ascii="仿宋" w:eastAsia="仿宋" w:hAnsi="仿宋" w:cs="仿宋" w:hint="eastAsia"/>
            <w:lang w:eastAsia="zh-CN"/>
          </w:rPr>
          <w:t>十七、风险管理与应对策略</w:t>
        </w:r>
        <w:r>
          <w:tab/>
        </w:r>
        <w:r>
          <w:fldChar w:fldCharType="begin"/>
        </w:r>
        <w:r>
          <w:instrText xml:space="preserve"> PAGEREF _Toc26268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4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_Toc9094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5" w:history="1">
        <w:r>
          <w:rPr>
            <w:rFonts w:ascii="仿宋" w:eastAsia="仿宋" w:hAnsi="仿宋" w:cs="仿宋" w:hint="eastAsia"/>
            <w:lang w:eastAsia="zh-CN"/>
          </w:rPr>
          <w:t>十九、人才队伍建设</w:t>
        </w:r>
        <w:r>
          <w:tab/>
        </w:r>
        <w:r>
          <w:fldChar w:fldCharType="begin"/>
        </w:r>
        <w:r>
          <w:instrText xml:space="preserve"> PAGEREF _Toc32275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4" w:history="1">
        <w:r>
          <w:rPr>
            <w:rFonts w:ascii="仿宋" w:eastAsia="仿宋" w:hAnsi="仿宋" w:cs="仿宋" w:hint="eastAsia"/>
            <w:lang w:eastAsia="zh-CN"/>
          </w:rPr>
          <w:t>(一)、人才战略规划</w:t>
        </w:r>
        <w:r>
          <w:tab/>
        </w:r>
        <w:r>
          <w:fldChar w:fldCharType="begin"/>
        </w:r>
        <w:r>
          <w:instrText xml:space="preserve"> PAGEREF _Toc20964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2" w:history="1">
        <w:r>
          <w:rPr>
            <w:rFonts w:ascii="仿宋" w:eastAsia="仿宋" w:hAnsi="仿宋" w:cs="仿宋" w:hint="eastAsia"/>
            <w:lang w:eastAsia="zh-CN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8" w:history="1">
        <w:r>
          <w:rPr>
            <w:rFonts w:ascii="仿宋" w:eastAsia="仿宋" w:hAnsi="仿宋" w:cs="仿宋" w:hint="eastAsia"/>
            <w:lang w:eastAsia="zh-CN"/>
          </w:rPr>
          <w:t>二十、麦克风项目总结分析</w:t>
        </w:r>
        <w:r>
          <w:tab/>
        </w:r>
        <w:r>
          <w:fldChar w:fldCharType="begin"/>
        </w:r>
        <w:r>
          <w:instrText xml:space="preserve"> PAGEREF _Toc13668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7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48"/>
      <w:r>
        <w:rPr>
          <w:rFonts w:ascii="仿宋" w:eastAsia="仿宋" w:hAnsi="仿宋" w:cs="仿宋" w:hint="eastAsia"/>
          <w:sz w:val="28"/>
          <w:lang w:eastAsia="zh-CN"/>
        </w:rPr>
        <w:t>一、法人治理结构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39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1.股东权益的规定和责任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在公司召开股东大会、分配股利、清算或其他需要确认股东身份的行为时，董事会或股东大会召集人将确定股权登记日，该日的收盘后登记在册的股东将享有相关权益。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公司股东享有以下权利：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根据所持股份的比例分配股息和其他盈利；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有权要求召开股东大会、参与表决或委任代理人代表自己参会；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对公司经营进行监督，提出建议或质询；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根据法律、法规及公司章程的规定转让、赠与或质押股份；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lang w:eastAsia="zh-CN"/>
        </w:rPr>
        <w:t xml:space="preserve"> -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查阅公司章程、股东名册、债券存根、股东大会记录、董事会决议、监事会决议和财务会计报告；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在公司终止或清算时，按持有股份比例参与剩余财产的分配；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对股东大会通过的公司合并或分立决议持异议的股东，有权要求公司回购股份；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其他根据法律、法规、规章或章程规定的权利。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若股东要求查阅前述信息或索取资料，需向公司提供书面文件，证明自己持有公司股份的种类和数量。公司在核实股东身份后，将按要求提供所需信息。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若公司股东大会或董事会的决议内容违反法律或法规，股东有权向法院请求将其视作无效。若股东大会或董事会召集程序、表决方式违反法律、法规或章程，或决议内容违反章程规定，股东有权在决议作出之日起60天内要求法院撤销决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如果董事或高级管理人员在履行职责时违反法律、法规或章程，给公司造成损失，持有公司1%以上股份且连续持股180天以上的股东有权以书面形式请求监事会向法院提起诉讼；若监事会违反法律、法规或章程在执行职责时给公司造成损失，股东可以书面请求董事会向法院提起诉讼。若监事会或董事会拒绝提起诉讼，或在接到请求后30天内未提起诉讼，或情况紧急并可能给公司利益带来无法弥补的损害时，上述股东有权以自己的名义直接向法院提起诉讼。若他人侵犯公司合法权益，给公司造成损失，符合第一款规定的股东可依法向法院提起诉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https://d.book118.com/295221343022011120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麦克风市场分析及竞争策略报告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F2035F"/>
    <w:rsid w:val="4593521B"/>
    <w:rsid w:val="4BF2035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5221343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2024-03-06T06:04:00Z</dcterms:created>
  <dcterms:modified xsi:type="dcterms:W3CDTF">2024-03-06T06:05:00Z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E029713280C0485EAFBC56C4697A5F5C_11</vt:lpwstr>
  </property>
  <property fmtid="{D5CDD505-2E9C-101B-9397-08002B2CF9AE}" pid="3" name="KSOProductBuildVer">
    <vt:lpwstr>2052-12.1.0.16399</vt:lpwstr>
  </property>
</Properties>
</file>