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凝血分析试剂项目情况报告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12" w:history="1">
        <w:r>
          <w:rPr>
            <w:rFonts w:ascii="仿宋" w:eastAsia="仿宋" w:hAnsi="仿宋" w:cs="仿宋" w:hint="eastAsia"/>
            <w:lang w:eastAsia="zh-CN"/>
          </w:rPr>
          <w:t>概论</w:t>
        </w:r>
        <w:r>
          <w:tab/>
        </w:r>
        <w:r>
          <w:fldChar w:fldCharType="begin"/>
        </w:r>
        <w:r>
          <w:instrText xml:space="preserve"> PAGEREF _Toc20812 \h </w:instrText>
        </w:r>
        <w:r>
          <w:fldChar w:fldCharType="separate"/>
        </w:r>
        <w:r>
          <w:t>3</w:t>
        </w:r>
        <w:r>
          <w:fldChar w:fldCharType="end"/>
        </w:r>
      </w:hyperlink>
    </w:p>
    <w:p>
      <w:pPr>
        <w:pStyle w:val="TOC1"/>
        <w:tabs>
          <w:tab w:val="right" w:leader="dot" w:pos="8306"/>
        </w:tabs>
      </w:pPr>
      <w:hyperlink w:anchor="_Toc28873" w:history="1">
        <w:r>
          <w:rPr>
            <w:rFonts w:ascii="仿宋" w:eastAsia="仿宋" w:hAnsi="仿宋" w:cs="仿宋" w:hint="eastAsia"/>
            <w:lang w:eastAsia="zh-CN"/>
          </w:rPr>
          <w:t>一、工艺分析</w:t>
        </w:r>
        <w:r>
          <w:tab/>
        </w:r>
        <w:r>
          <w:fldChar w:fldCharType="begin"/>
        </w:r>
        <w:r>
          <w:instrText xml:space="preserve"> PAGEREF _Toc28873 \h </w:instrText>
        </w:r>
        <w:r>
          <w:fldChar w:fldCharType="separate"/>
        </w:r>
        <w:r>
          <w:t>3</w:t>
        </w:r>
        <w:r>
          <w:fldChar w:fldCharType="end"/>
        </w:r>
      </w:hyperlink>
    </w:p>
    <w:p>
      <w:pPr>
        <w:pStyle w:val="TOC2"/>
        <w:tabs>
          <w:tab w:val="right" w:leader="dot" w:pos="8306"/>
        </w:tabs>
      </w:pPr>
      <w:hyperlink w:anchor="_Toc25386" w:history="1">
        <w:r>
          <w:rPr>
            <w:rFonts w:ascii="仿宋" w:eastAsia="仿宋" w:hAnsi="仿宋" w:cs="仿宋" w:hint="eastAsia"/>
            <w:lang w:eastAsia="zh-CN"/>
          </w:rPr>
          <w:t>(一)、技术管理特点</w:t>
        </w:r>
        <w:r>
          <w:tab/>
        </w:r>
        <w:r>
          <w:fldChar w:fldCharType="begin"/>
        </w:r>
        <w:r>
          <w:instrText xml:space="preserve"> PAGEREF _Toc25386 \h </w:instrText>
        </w:r>
        <w:r>
          <w:fldChar w:fldCharType="separate"/>
        </w:r>
        <w:r>
          <w:t>3</w:t>
        </w:r>
        <w:r>
          <w:fldChar w:fldCharType="end"/>
        </w:r>
      </w:hyperlink>
    </w:p>
    <w:p>
      <w:pPr>
        <w:pStyle w:val="TOC2"/>
        <w:tabs>
          <w:tab w:val="right" w:leader="dot" w:pos="8306"/>
        </w:tabs>
      </w:pPr>
      <w:hyperlink w:anchor="_Toc29100" w:history="1">
        <w:r>
          <w:rPr>
            <w:rFonts w:ascii="仿宋" w:eastAsia="仿宋" w:hAnsi="仿宋" w:cs="仿宋" w:hint="eastAsia"/>
            <w:lang w:eastAsia="zh-CN"/>
          </w:rPr>
          <w:t>(二)、凝血分析试剂项目工艺技术设计方案</w:t>
        </w:r>
        <w:r>
          <w:tab/>
        </w:r>
        <w:r>
          <w:fldChar w:fldCharType="begin"/>
        </w:r>
        <w:r>
          <w:instrText xml:space="preserve"> PAGEREF _Toc29100 \h </w:instrText>
        </w:r>
        <w:r>
          <w:fldChar w:fldCharType="separate"/>
        </w:r>
        <w:r>
          <w:t>4</w:t>
        </w:r>
        <w:r>
          <w:fldChar w:fldCharType="end"/>
        </w:r>
      </w:hyperlink>
    </w:p>
    <w:p>
      <w:pPr>
        <w:pStyle w:val="TOC2"/>
        <w:tabs>
          <w:tab w:val="right" w:leader="dot" w:pos="8306"/>
        </w:tabs>
      </w:pPr>
      <w:hyperlink w:anchor="_Toc19617" w:history="1">
        <w:r>
          <w:rPr>
            <w:rFonts w:ascii="仿宋" w:eastAsia="仿宋" w:hAnsi="仿宋" w:cs="仿宋" w:hint="eastAsia"/>
            <w:lang w:eastAsia="zh-CN"/>
          </w:rPr>
          <w:t>(三)、设备选型方案</w:t>
        </w:r>
        <w:r>
          <w:tab/>
        </w:r>
        <w:r>
          <w:fldChar w:fldCharType="begin"/>
        </w:r>
        <w:r>
          <w:instrText xml:space="preserve"> PAGEREF _Toc19617 \h </w:instrText>
        </w:r>
        <w:r>
          <w:fldChar w:fldCharType="separate"/>
        </w:r>
        <w:r>
          <w:t>5</w:t>
        </w:r>
        <w:r>
          <w:fldChar w:fldCharType="end"/>
        </w:r>
      </w:hyperlink>
    </w:p>
    <w:p>
      <w:pPr>
        <w:pStyle w:val="TOC1"/>
        <w:tabs>
          <w:tab w:val="right" w:leader="dot" w:pos="8306"/>
        </w:tabs>
      </w:pPr>
      <w:hyperlink w:anchor="_Toc16900" w:history="1">
        <w:r>
          <w:rPr>
            <w:rFonts w:ascii="仿宋" w:eastAsia="仿宋" w:hAnsi="仿宋" w:cs="仿宋" w:hint="eastAsia"/>
            <w:lang w:eastAsia="zh-CN"/>
          </w:rPr>
          <w:t>二、凝血分析试剂项目环境保护分析</w:t>
        </w:r>
        <w:r>
          <w:tab/>
        </w:r>
        <w:r>
          <w:fldChar w:fldCharType="begin"/>
        </w:r>
        <w:r>
          <w:instrText xml:space="preserve"> PAGEREF _Toc16900 \h </w:instrText>
        </w:r>
        <w:r>
          <w:fldChar w:fldCharType="separate"/>
        </w:r>
        <w:r>
          <w:t>5</w:t>
        </w:r>
        <w:r>
          <w:fldChar w:fldCharType="end"/>
        </w:r>
      </w:hyperlink>
    </w:p>
    <w:p>
      <w:pPr>
        <w:pStyle w:val="TOC2"/>
        <w:tabs>
          <w:tab w:val="right" w:leader="dot" w:pos="8306"/>
        </w:tabs>
      </w:pPr>
      <w:hyperlink w:anchor="_Toc16906" w:history="1">
        <w:r>
          <w:rPr>
            <w:rFonts w:ascii="仿宋" w:eastAsia="仿宋" w:hAnsi="仿宋" w:cs="仿宋" w:hint="eastAsia"/>
            <w:lang w:eastAsia="zh-CN"/>
          </w:rPr>
          <w:t>(一)、建设区域环境质量现状</w:t>
        </w:r>
        <w:r>
          <w:tab/>
        </w:r>
        <w:r>
          <w:fldChar w:fldCharType="begin"/>
        </w:r>
        <w:r>
          <w:instrText xml:space="preserve"> PAGEREF _Toc16906 \h </w:instrText>
        </w:r>
        <w:r>
          <w:fldChar w:fldCharType="separate"/>
        </w:r>
        <w:r>
          <w:t>5</w:t>
        </w:r>
        <w:r>
          <w:fldChar w:fldCharType="end"/>
        </w:r>
      </w:hyperlink>
    </w:p>
    <w:p>
      <w:pPr>
        <w:pStyle w:val="TOC2"/>
        <w:tabs>
          <w:tab w:val="right" w:leader="dot" w:pos="8306"/>
        </w:tabs>
      </w:pPr>
      <w:hyperlink w:anchor="_Toc2200" w:history="1">
        <w:r>
          <w:rPr>
            <w:rFonts w:ascii="仿宋" w:eastAsia="仿宋" w:hAnsi="仿宋" w:cs="仿宋" w:hint="eastAsia"/>
            <w:lang w:eastAsia="zh-CN"/>
          </w:rPr>
          <w:t>(二)、建设期环境保护</w:t>
        </w:r>
        <w:r>
          <w:tab/>
        </w:r>
        <w:r>
          <w:fldChar w:fldCharType="begin"/>
        </w:r>
        <w:r>
          <w:instrText xml:space="preserve"> PAGEREF _Toc2200 \h </w:instrText>
        </w:r>
        <w:r>
          <w:fldChar w:fldCharType="separate"/>
        </w:r>
        <w:r>
          <w:t>7</w:t>
        </w:r>
        <w:r>
          <w:fldChar w:fldCharType="end"/>
        </w:r>
      </w:hyperlink>
    </w:p>
    <w:p>
      <w:pPr>
        <w:pStyle w:val="TOC2"/>
        <w:tabs>
          <w:tab w:val="right" w:leader="dot" w:pos="8306"/>
        </w:tabs>
      </w:pPr>
      <w:hyperlink w:anchor="_Toc27519" w:history="1">
        <w:r>
          <w:rPr>
            <w:rFonts w:ascii="仿宋" w:eastAsia="仿宋" w:hAnsi="仿宋" w:cs="仿宋" w:hint="eastAsia"/>
            <w:lang w:eastAsia="zh-CN"/>
          </w:rPr>
          <w:t>(三)、运营期环境保护</w:t>
        </w:r>
        <w:r>
          <w:tab/>
        </w:r>
        <w:r>
          <w:fldChar w:fldCharType="begin"/>
        </w:r>
        <w:r>
          <w:instrText xml:space="preserve"> PAGEREF _Toc27519 \h </w:instrText>
        </w:r>
        <w:r>
          <w:fldChar w:fldCharType="separate"/>
        </w:r>
        <w:r>
          <w:t>8</w:t>
        </w:r>
        <w:r>
          <w:fldChar w:fldCharType="end"/>
        </w:r>
      </w:hyperlink>
    </w:p>
    <w:p>
      <w:pPr>
        <w:pStyle w:val="TOC2"/>
        <w:tabs>
          <w:tab w:val="right" w:leader="dot" w:pos="8306"/>
        </w:tabs>
      </w:pPr>
      <w:hyperlink w:anchor="_Toc16328" w:history="1">
        <w:r>
          <w:rPr>
            <w:rFonts w:ascii="仿宋" w:eastAsia="仿宋" w:hAnsi="仿宋" w:cs="仿宋" w:hint="eastAsia"/>
            <w:lang w:eastAsia="zh-CN"/>
          </w:rPr>
          <w:t>(四)、凝血分析试剂项目建设对区域经济的影响</w:t>
        </w:r>
        <w:r>
          <w:tab/>
        </w:r>
        <w:r>
          <w:fldChar w:fldCharType="begin"/>
        </w:r>
        <w:r>
          <w:instrText xml:space="preserve"> PAGEREF _Toc16328 \h </w:instrText>
        </w:r>
        <w:r>
          <w:fldChar w:fldCharType="separate"/>
        </w:r>
        <w:r>
          <w:t>9</w:t>
        </w:r>
        <w:r>
          <w:fldChar w:fldCharType="end"/>
        </w:r>
      </w:hyperlink>
    </w:p>
    <w:p>
      <w:pPr>
        <w:pStyle w:val="TOC2"/>
        <w:tabs>
          <w:tab w:val="right" w:leader="dot" w:pos="8306"/>
        </w:tabs>
      </w:pPr>
      <w:hyperlink w:anchor="_Toc10721" w:history="1">
        <w:r>
          <w:rPr>
            <w:rFonts w:ascii="仿宋" w:eastAsia="仿宋" w:hAnsi="仿宋" w:cs="仿宋" w:hint="eastAsia"/>
            <w:lang w:eastAsia="zh-CN"/>
          </w:rPr>
          <w:t>(五)、废弃物处理</w:t>
        </w:r>
        <w:r>
          <w:tab/>
        </w:r>
        <w:r>
          <w:fldChar w:fldCharType="begin"/>
        </w:r>
        <w:r>
          <w:instrText xml:space="preserve"> PAGEREF _Toc10721 \h </w:instrText>
        </w:r>
        <w:r>
          <w:fldChar w:fldCharType="separate"/>
        </w:r>
        <w:r>
          <w:t>10</w:t>
        </w:r>
        <w:r>
          <w:fldChar w:fldCharType="end"/>
        </w:r>
      </w:hyperlink>
    </w:p>
    <w:p>
      <w:pPr>
        <w:pStyle w:val="TOC2"/>
        <w:tabs>
          <w:tab w:val="right" w:leader="dot" w:pos="8306"/>
        </w:tabs>
      </w:pPr>
      <w:hyperlink w:anchor="_Toc23785" w:history="1">
        <w:r>
          <w:rPr>
            <w:rFonts w:ascii="仿宋" w:eastAsia="仿宋" w:hAnsi="仿宋" w:cs="仿宋" w:hint="eastAsia"/>
            <w:lang w:eastAsia="zh-CN"/>
          </w:rPr>
          <w:t>(六)、特殊环境影响分析</w:t>
        </w:r>
        <w:r>
          <w:tab/>
        </w:r>
        <w:r>
          <w:fldChar w:fldCharType="begin"/>
        </w:r>
        <w:r>
          <w:instrText xml:space="preserve"> PAGEREF _Toc23785 \h </w:instrText>
        </w:r>
        <w:r>
          <w:fldChar w:fldCharType="separate"/>
        </w:r>
        <w:r>
          <w:t>12</w:t>
        </w:r>
        <w:r>
          <w:fldChar w:fldCharType="end"/>
        </w:r>
      </w:hyperlink>
    </w:p>
    <w:p>
      <w:pPr>
        <w:pStyle w:val="TOC2"/>
        <w:tabs>
          <w:tab w:val="right" w:leader="dot" w:pos="8306"/>
        </w:tabs>
      </w:pPr>
      <w:hyperlink w:anchor="_Toc15685" w:history="1">
        <w:r>
          <w:rPr>
            <w:rFonts w:ascii="仿宋" w:eastAsia="仿宋" w:hAnsi="仿宋" w:cs="仿宋" w:hint="eastAsia"/>
            <w:lang w:eastAsia="zh-CN"/>
          </w:rPr>
          <w:t>(七)、清洁生产</w:t>
        </w:r>
        <w:r>
          <w:tab/>
        </w:r>
        <w:r>
          <w:fldChar w:fldCharType="begin"/>
        </w:r>
        <w:r>
          <w:instrText xml:space="preserve"> PAGEREF _Toc15685 \h </w:instrText>
        </w:r>
        <w:r>
          <w:fldChar w:fldCharType="separate"/>
        </w:r>
        <w:r>
          <w:t>13</w:t>
        </w:r>
        <w:r>
          <w:fldChar w:fldCharType="end"/>
        </w:r>
      </w:hyperlink>
    </w:p>
    <w:p>
      <w:pPr>
        <w:pStyle w:val="TOC2"/>
        <w:tabs>
          <w:tab w:val="right" w:leader="dot" w:pos="8306"/>
        </w:tabs>
      </w:pPr>
      <w:hyperlink w:anchor="_Toc1931" w:history="1">
        <w:r>
          <w:rPr>
            <w:rFonts w:ascii="仿宋" w:eastAsia="仿宋" w:hAnsi="仿宋" w:cs="仿宋" w:hint="eastAsia"/>
            <w:lang w:eastAsia="zh-CN"/>
          </w:rPr>
          <w:t>(八)、环境保护综合评价</w:t>
        </w:r>
        <w:r>
          <w:tab/>
        </w:r>
        <w:r>
          <w:fldChar w:fldCharType="begin"/>
        </w:r>
        <w:r>
          <w:instrText xml:space="preserve"> PAGEREF _Toc1931 \h </w:instrText>
        </w:r>
        <w:r>
          <w:fldChar w:fldCharType="separate"/>
        </w:r>
        <w:r>
          <w:t>15</w:t>
        </w:r>
        <w:r>
          <w:fldChar w:fldCharType="end"/>
        </w:r>
      </w:hyperlink>
    </w:p>
    <w:p>
      <w:pPr>
        <w:pStyle w:val="TOC1"/>
        <w:tabs>
          <w:tab w:val="right" w:leader="dot" w:pos="8306"/>
        </w:tabs>
      </w:pPr>
      <w:hyperlink w:anchor="_Toc8091" w:history="1">
        <w:r>
          <w:rPr>
            <w:rFonts w:ascii="仿宋" w:eastAsia="仿宋" w:hAnsi="仿宋" w:cs="仿宋" w:hint="eastAsia"/>
            <w:lang w:eastAsia="zh-CN"/>
          </w:rPr>
          <w:t>三、凝血分析试剂项目选址说明</w:t>
        </w:r>
        <w:r>
          <w:tab/>
        </w:r>
        <w:r>
          <w:fldChar w:fldCharType="begin"/>
        </w:r>
        <w:r>
          <w:instrText xml:space="preserve"> PAGEREF _Toc8091 \h </w:instrText>
        </w:r>
        <w:r>
          <w:fldChar w:fldCharType="separate"/>
        </w:r>
        <w:r>
          <w:t>17</w:t>
        </w:r>
        <w:r>
          <w:fldChar w:fldCharType="end"/>
        </w:r>
      </w:hyperlink>
    </w:p>
    <w:p>
      <w:pPr>
        <w:pStyle w:val="TOC2"/>
        <w:tabs>
          <w:tab w:val="right" w:leader="dot" w:pos="8306"/>
        </w:tabs>
      </w:pPr>
      <w:hyperlink w:anchor="_Toc2032" w:history="1">
        <w:r>
          <w:rPr>
            <w:rFonts w:ascii="仿宋" w:eastAsia="仿宋" w:hAnsi="仿宋" w:cs="仿宋" w:hint="eastAsia"/>
            <w:lang w:eastAsia="zh-CN"/>
          </w:rPr>
          <w:t>(一)、凝血分析试剂项目选址</w:t>
        </w:r>
        <w:r>
          <w:tab/>
        </w:r>
        <w:r>
          <w:fldChar w:fldCharType="begin"/>
        </w:r>
        <w:r>
          <w:instrText xml:space="preserve"> PAGEREF _Toc2032 \h </w:instrText>
        </w:r>
        <w:r>
          <w:fldChar w:fldCharType="separate"/>
        </w:r>
        <w:r>
          <w:t>17</w:t>
        </w:r>
        <w:r>
          <w:fldChar w:fldCharType="end"/>
        </w:r>
      </w:hyperlink>
    </w:p>
    <w:p>
      <w:pPr>
        <w:pStyle w:val="TOC2"/>
        <w:tabs>
          <w:tab w:val="right" w:leader="dot" w:pos="8306"/>
        </w:tabs>
      </w:pPr>
      <w:hyperlink w:anchor="_Toc15826" w:history="1">
        <w:r>
          <w:rPr>
            <w:rFonts w:ascii="仿宋" w:eastAsia="仿宋" w:hAnsi="仿宋" w:cs="仿宋" w:hint="eastAsia"/>
            <w:lang w:eastAsia="zh-CN"/>
          </w:rPr>
          <w:t>(二)、用地控制指标</w:t>
        </w:r>
        <w:r>
          <w:tab/>
        </w:r>
        <w:r>
          <w:fldChar w:fldCharType="begin"/>
        </w:r>
        <w:r>
          <w:instrText xml:space="preserve"> PAGEREF _Toc15826 \h </w:instrText>
        </w:r>
        <w:r>
          <w:fldChar w:fldCharType="separate"/>
        </w:r>
        <w:r>
          <w:t>17</w:t>
        </w:r>
        <w:r>
          <w:fldChar w:fldCharType="end"/>
        </w:r>
      </w:hyperlink>
    </w:p>
    <w:p>
      <w:pPr>
        <w:pStyle w:val="TOC2"/>
        <w:tabs>
          <w:tab w:val="right" w:leader="dot" w:pos="8306"/>
        </w:tabs>
      </w:pPr>
      <w:hyperlink w:anchor="_Toc3643" w:history="1">
        <w:r>
          <w:rPr>
            <w:rFonts w:ascii="仿宋" w:eastAsia="仿宋" w:hAnsi="仿宋" w:cs="仿宋" w:hint="eastAsia"/>
            <w:lang w:eastAsia="zh-CN"/>
          </w:rPr>
          <w:t>(三)、节约用地措施</w:t>
        </w:r>
        <w:r>
          <w:tab/>
        </w:r>
        <w:r>
          <w:fldChar w:fldCharType="begin"/>
        </w:r>
        <w:r>
          <w:instrText xml:space="preserve"> PAGEREF _Toc3643 \h </w:instrText>
        </w:r>
        <w:r>
          <w:fldChar w:fldCharType="separate"/>
        </w:r>
        <w:r>
          <w:t>18</w:t>
        </w:r>
        <w:r>
          <w:fldChar w:fldCharType="end"/>
        </w:r>
      </w:hyperlink>
    </w:p>
    <w:p>
      <w:pPr>
        <w:pStyle w:val="TOC2"/>
        <w:tabs>
          <w:tab w:val="right" w:leader="dot" w:pos="8306"/>
        </w:tabs>
      </w:pPr>
      <w:hyperlink w:anchor="_Toc19136" w:history="1">
        <w:r>
          <w:rPr>
            <w:rFonts w:ascii="仿宋" w:eastAsia="仿宋" w:hAnsi="仿宋" w:cs="仿宋" w:hint="eastAsia"/>
            <w:lang w:eastAsia="zh-CN"/>
          </w:rPr>
          <w:t>(四)、总图布置方案</w:t>
        </w:r>
        <w:r>
          <w:tab/>
        </w:r>
        <w:r>
          <w:fldChar w:fldCharType="begin"/>
        </w:r>
        <w:r>
          <w:instrText xml:space="preserve"> PAGEREF _Toc19136 \h </w:instrText>
        </w:r>
        <w:r>
          <w:fldChar w:fldCharType="separate"/>
        </w:r>
        <w:r>
          <w:t>19</w:t>
        </w:r>
        <w:r>
          <w:fldChar w:fldCharType="end"/>
        </w:r>
      </w:hyperlink>
    </w:p>
    <w:p>
      <w:pPr>
        <w:pStyle w:val="TOC2"/>
        <w:tabs>
          <w:tab w:val="right" w:leader="dot" w:pos="8306"/>
        </w:tabs>
      </w:pPr>
      <w:hyperlink w:anchor="_Toc16420" w:history="1">
        <w:r>
          <w:rPr>
            <w:rFonts w:ascii="仿宋" w:eastAsia="仿宋" w:hAnsi="仿宋" w:cs="仿宋" w:hint="eastAsia"/>
            <w:lang w:eastAsia="zh-CN"/>
          </w:rPr>
          <w:t>(五)、选址综合评价</w:t>
        </w:r>
        <w:r>
          <w:tab/>
        </w:r>
        <w:r>
          <w:fldChar w:fldCharType="begin"/>
        </w:r>
        <w:r>
          <w:instrText xml:space="preserve"> PAGEREF _Toc16420 \h </w:instrText>
        </w:r>
        <w:r>
          <w:fldChar w:fldCharType="separate"/>
        </w:r>
        <w:r>
          <w:t>20</w:t>
        </w:r>
        <w:r>
          <w:fldChar w:fldCharType="end"/>
        </w:r>
      </w:hyperlink>
    </w:p>
    <w:p>
      <w:pPr>
        <w:pStyle w:val="TOC1"/>
        <w:tabs>
          <w:tab w:val="right" w:leader="dot" w:pos="8306"/>
        </w:tabs>
      </w:pPr>
      <w:hyperlink w:anchor="_Toc656" w:history="1">
        <w:r>
          <w:rPr>
            <w:rFonts w:ascii="仿宋" w:eastAsia="仿宋" w:hAnsi="仿宋" w:cs="仿宋" w:hint="eastAsia"/>
            <w:lang w:eastAsia="zh-CN"/>
          </w:rPr>
          <w:t>四、建设单位基本信息</w:t>
        </w:r>
        <w:r>
          <w:tab/>
        </w:r>
        <w:r>
          <w:fldChar w:fldCharType="begin"/>
        </w:r>
        <w:r>
          <w:instrText xml:space="preserve"> PAGEREF _Toc656 \h </w:instrText>
        </w:r>
        <w:r>
          <w:fldChar w:fldCharType="separate"/>
        </w:r>
        <w:r>
          <w:t>21</w:t>
        </w:r>
        <w:r>
          <w:fldChar w:fldCharType="end"/>
        </w:r>
      </w:hyperlink>
    </w:p>
    <w:p>
      <w:pPr>
        <w:pStyle w:val="TOC2"/>
        <w:tabs>
          <w:tab w:val="right" w:leader="dot" w:pos="8306"/>
        </w:tabs>
      </w:pPr>
      <w:hyperlink w:anchor="_Toc10544" w:history="1">
        <w:r>
          <w:rPr>
            <w:rFonts w:ascii="仿宋" w:eastAsia="仿宋" w:hAnsi="仿宋" w:cs="仿宋" w:hint="eastAsia"/>
            <w:lang w:eastAsia="zh-CN"/>
          </w:rPr>
          <w:t>(一)、凝血分析试剂项目承办单位基本情况</w:t>
        </w:r>
        <w:r>
          <w:tab/>
        </w:r>
        <w:r>
          <w:fldChar w:fldCharType="begin"/>
        </w:r>
        <w:r>
          <w:instrText xml:space="preserve"> PAGEREF _Toc10544 \h </w:instrText>
        </w:r>
        <w:r>
          <w:fldChar w:fldCharType="separate"/>
        </w:r>
        <w:r>
          <w:t>21</w:t>
        </w:r>
        <w:r>
          <w:fldChar w:fldCharType="end"/>
        </w:r>
      </w:hyperlink>
    </w:p>
    <w:p>
      <w:pPr>
        <w:pStyle w:val="TOC2"/>
        <w:tabs>
          <w:tab w:val="right" w:leader="dot" w:pos="8306"/>
        </w:tabs>
      </w:pPr>
      <w:hyperlink w:anchor="_Toc10904" w:history="1">
        <w:r>
          <w:rPr>
            <w:rFonts w:ascii="仿宋" w:eastAsia="仿宋" w:hAnsi="仿宋" w:cs="仿宋" w:hint="eastAsia"/>
            <w:lang w:eastAsia="zh-CN"/>
          </w:rPr>
          <w:t>(二)、公司经济效益分析</w:t>
        </w:r>
        <w:r>
          <w:tab/>
        </w:r>
        <w:r>
          <w:fldChar w:fldCharType="begin"/>
        </w:r>
        <w:r>
          <w:instrText xml:space="preserve"> PAGEREF _Toc10904 \h </w:instrText>
        </w:r>
        <w:r>
          <w:fldChar w:fldCharType="separate"/>
        </w:r>
        <w:r>
          <w:t>23</w:t>
        </w:r>
        <w:r>
          <w:fldChar w:fldCharType="end"/>
        </w:r>
      </w:hyperlink>
    </w:p>
    <w:p>
      <w:pPr>
        <w:pStyle w:val="TOC1"/>
        <w:tabs>
          <w:tab w:val="right" w:leader="dot" w:pos="8306"/>
        </w:tabs>
      </w:pPr>
      <w:hyperlink w:anchor="_Toc18875" w:history="1">
        <w:r>
          <w:rPr>
            <w:rFonts w:ascii="仿宋" w:eastAsia="仿宋" w:hAnsi="仿宋" w:cs="仿宋" w:hint="eastAsia"/>
            <w:lang w:eastAsia="zh-CN"/>
          </w:rPr>
          <w:t>五、凝血分析试剂项目运营管理</w:t>
        </w:r>
        <w:r>
          <w:tab/>
        </w:r>
        <w:r>
          <w:fldChar w:fldCharType="begin"/>
        </w:r>
        <w:r>
          <w:instrText xml:space="preserve"> PAGEREF _Toc18875 \h </w:instrText>
        </w:r>
        <w:r>
          <w:fldChar w:fldCharType="separate"/>
        </w:r>
        <w:r>
          <w:t>24</w:t>
        </w:r>
        <w:r>
          <w:fldChar w:fldCharType="end"/>
        </w:r>
      </w:hyperlink>
    </w:p>
    <w:p>
      <w:pPr>
        <w:pStyle w:val="TOC2"/>
        <w:tabs>
          <w:tab w:val="right" w:leader="dot" w:pos="8306"/>
        </w:tabs>
      </w:pPr>
      <w:hyperlink w:anchor="_Toc14514" w:history="1">
        <w:r>
          <w:rPr>
            <w:rFonts w:ascii="仿宋" w:eastAsia="仿宋" w:hAnsi="仿宋" w:cs="仿宋" w:hint="eastAsia"/>
            <w:lang w:eastAsia="zh-CN"/>
          </w:rPr>
          <w:t>(一)、运营管理机构设置</w:t>
        </w:r>
        <w:r>
          <w:tab/>
        </w:r>
        <w:r>
          <w:fldChar w:fldCharType="begin"/>
        </w:r>
        <w:r>
          <w:instrText xml:space="preserve"> PAGEREF _Toc14514 \h </w:instrText>
        </w:r>
        <w:r>
          <w:fldChar w:fldCharType="separate"/>
        </w:r>
        <w:r>
          <w:t>24</w:t>
        </w:r>
        <w:r>
          <w:fldChar w:fldCharType="end"/>
        </w:r>
      </w:hyperlink>
    </w:p>
    <w:p>
      <w:pPr>
        <w:pStyle w:val="TOC2"/>
        <w:tabs>
          <w:tab w:val="right" w:leader="dot" w:pos="8306"/>
        </w:tabs>
      </w:pPr>
      <w:hyperlink w:anchor="_Toc9055" w:history="1">
        <w:r>
          <w:rPr>
            <w:rFonts w:ascii="仿宋" w:eastAsia="仿宋" w:hAnsi="仿宋" w:cs="仿宋" w:hint="eastAsia"/>
            <w:lang w:eastAsia="zh-CN"/>
          </w:rPr>
          <w:t>(二)、运营管理流程</w:t>
        </w:r>
        <w:r>
          <w:tab/>
        </w:r>
        <w:r>
          <w:fldChar w:fldCharType="begin"/>
        </w:r>
        <w:r>
          <w:instrText xml:space="preserve"> PAGEREF _Toc9055 \h </w:instrText>
        </w:r>
        <w:r>
          <w:fldChar w:fldCharType="separate"/>
        </w:r>
        <w:r>
          <w:t>28</w:t>
        </w:r>
        <w:r>
          <w:fldChar w:fldCharType="end"/>
        </w:r>
      </w:hyperlink>
    </w:p>
    <w:p>
      <w:pPr>
        <w:pStyle w:val="TOC2"/>
        <w:tabs>
          <w:tab w:val="right" w:leader="dot" w:pos="8306"/>
        </w:tabs>
      </w:pPr>
      <w:hyperlink w:anchor="_Toc9874" w:history="1">
        <w:r>
          <w:rPr>
            <w:rFonts w:ascii="仿宋" w:eastAsia="仿宋" w:hAnsi="仿宋" w:cs="仿宋" w:hint="eastAsia"/>
            <w:lang w:eastAsia="zh-CN"/>
          </w:rPr>
          <w:t>(三)、人员配备及培训</w:t>
        </w:r>
        <w:r>
          <w:tab/>
        </w:r>
        <w:r>
          <w:fldChar w:fldCharType="begin"/>
        </w:r>
        <w:r>
          <w:instrText xml:space="preserve"> PAGEREF _Toc9874 \h </w:instrText>
        </w:r>
        <w:r>
          <w:fldChar w:fldCharType="separate"/>
        </w:r>
        <w:r>
          <w:t>31</w:t>
        </w:r>
        <w:r>
          <w:fldChar w:fldCharType="end"/>
        </w:r>
      </w:hyperlink>
    </w:p>
    <w:p>
      <w:pPr>
        <w:pStyle w:val="TOC2"/>
        <w:tabs>
          <w:tab w:val="right" w:leader="dot" w:pos="8306"/>
        </w:tabs>
      </w:pPr>
      <w:hyperlink w:anchor="_Toc21879" w:history="1">
        <w:r>
          <w:rPr>
            <w:rFonts w:ascii="仿宋" w:eastAsia="仿宋" w:hAnsi="仿宋" w:cs="仿宋" w:hint="eastAsia"/>
            <w:lang w:eastAsia="zh-CN"/>
          </w:rPr>
          <w:t>(四)、质量管理体系</w:t>
        </w:r>
        <w:r>
          <w:tab/>
        </w:r>
        <w:r>
          <w:fldChar w:fldCharType="begin"/>
        </w:r>
        <w:r>
          <w:instrText xml:space="preserve"> PAGEREF _Toc21879 \h </w:instrText>
        </w:r>
        <w:r>
          <w:fldChar w:fldCharType="separate"/>
        </w:r>
        <w:r>
          <w:t>33</w:t>
        </w:r>
        <w:r>
          <w:fldChar w:fldCharType="end"/>
        </w:r>
      </w:hyperlink>
    </w:p>
    <w:p>
      <w:pPr>
        <w:pStyle w:val="TOC2"/>
        <w:tabs>
          <w:tab w:val="right" w:leader="dot" w:pos="8306"/>
        </w:tabs>
      </w:pPr>
      <w:hyperlink w:anchor="_Toc22713" w:history="1">
        <w:r>
          <w:rPr>
            <w:rFonts w:ascii="仿宋" w:eastAsia="仿宋" w:hAnsi="仿宋" w:cs="仿宋" w:hint="eastAsia"/>
            <w:lang w:eastAsia="zh-CN"/>
          </w:rPr>
          <w:t>(五)、安全生产管理</w:t>
        </w:r>
        <w:r>
          <w:tab/>
        </w:r>
        <w:r>
          <w:fldChar w:fldCharType="begin"/>
        </w:r>
        <w:r>
          <w:instrText xml:space="preserve"> PAGEREF _Toc22713 \h </w:instrText>
        </w:r>
        <w:r>
          <w:fldChar w:fldCharType="separate"/>
        </w:r>
        <w:r>
          <w:t>36</w:t>
        </w:r>
        <w:r>
          <w:fldChar w:fldCharType="end"/>
        </w:r>
      </w:hyperlink>
    </w:p>
    <w:p>
      <w:pPr>
        <w:pStyle w:val="TOC2"/>
        <w:tabs>
          <w:tab w:val="right" w:leader="dot" w:pos="8306"/>
        </w:tabs>
      </w:pPr>
      <w:hyperlink w:anchor="_Toc13008" w:history="1">
        <w:r>
          <w:rPr>
            <w:rFonts w:ascii="仿宋" w:eastAsia="仿宋" w:hAnsi="仿宋" w:cs="仿宋" w:hint="eastAsia"/>
            <w:lang w:eastAsia="zh-CN"/>
          </w:rPr>
          <w:t>(六)、环境管理</w:t>
        </w:r>
        <w:r>
          <w:tab/>
        </w:r>
        <w:r>
          <w:fldChar w:fldCharType="begin"/>
        </w:r>
        <w:r>
          <w:instrText xml:space="preserve"> PAGEREF _Toc13008 \h </w:instrText>
        </w:r>
        <w:r>
          <w:fldChar w:fldCharType="separate"/>
        </w:r>
        <w:r>
          <w:t>38</w:t>
        </w:r>
        <w:r>
          <w:fldChar w:fldCharType="end"/>
        </w:r>
      </w:hyperlink>
    </w:p>
    <w:p>
      <w:pPr>
        <w:pStyle w:val="TOC2"/>
        <w:tabs>
          <w:tab w:val="right" w:leader="dot" w:pos="8306"/>
        </w:tabs>
      </w:pPr>
      <w:hyperlink w:anchor="_Toc32230" w:history="1">
        <w:r>
          <w:rPr>
            <w:rFonts w:ascii="仿宋" w:eastAsia="仿宋" w:hAnsi="仿宋" w:cs="仿宋" w:hint="eastAsia"/>
            <w:lang w:eastAsia="zh-CN"/>
          </w:rPr>
          <w:t>(七)、设备维护与保养</w:t>
        </w:r>
        <w:r>
          <w:tab/>
        </w:r>
        <w:r>
          <w:fldChar w:fldCharType="begin"/>
        </w:r>
        <w:r>
          <w:instrText xml:space="preserve"> PAGEREF _Toc32230 \h </w:instrText>
        </w:r>
        <w:r>
          <w:fldChar w:fldCharType="separate"/>
        </w:r>
        <w:r>
          <w:t>40</w:t>
        </w:r>
        <w:r>
          <w:fldChar w:fldCharType="end"/>
        </w:r>
      </w:hyperlink>
    </w:p>
    <w:p>
      <w:pPr>
        <w:pStyle w:val="TOC2"/>
        <w:tabs>
          <w:tab w:val="right" w:leader="dot" w:pos="8306"/>
        </w:tabs>
      </w:pPr>
      <w:hyperlink w:anchor="_Toc16835" w:history="1">
        <w:r>
          <w:rPr>
            <w:rFonts w:ascii="仿宋" w:eastAsia="仿宋" w:hAnsi="仿宋" w:cs="仿宋" w:hint="eastAsia"/>
            <w:lang w:eastAsia="zh-CN"/>
          </w:rPr>
          <w:t>(八)、应急预案与处置</w:t>
        </w:r>
        <w:r>
          <w:tab/>
        </w:r>
        <w:r>
          <w:fldChar w:fldCharType="begin"/>
        </w:r>
        <w:r>
          <w:instrText xml:space="preserve"> PAGEREF _Toc16835 \h </w:instrText>
        </w:r>
        <w:r>
          <w:fldChar w:fldCharType="separate"/>
        </w:r>
        <w:r>
          <w:t>42</w:t>
        </w:r>
        <w:r>
          <w:fldChar w:fldCharType="end"/>
        </w:r>
      </w:hyperlink>
    </w:p>
    <w:p>
      <w:pPr>
        <w:pStyle w:val="TOC2"/>
        <w:tabs>
          <w:tab w:val="right" w:leader="dot" w:pos="8306"/>
        </w:tabs>
      </w:pPr>
      <w:hyperlink w:anchor="_Toc13117" w:history="1">
        <w:r>
          <w:rPr>
            <w:rFonts w:ascii="仿宋" w:eastAsia="仿宋" w:hAnsi="仿宋" w:cs="仿宋" w:hint="eastAsia"/>
            <w:lang w:eastAsia="zh-CN"/>
          </w:rPr>
          <w:t>(九)、绩效评估</w:t>
        </w:r>
        <w:r>
          <w:tab/>
        </w:r>
        <w:r>
          <w:fldChar w:fldCharType="begin"/>
        </w:r>
        <w:r>
          <w:instrText xml:space="preserve"> PAGEREF _Toc13117 \h </w:instrText>
        </w:r>
        <w:r>
          <w:fldChar w:fldCharType="separate"/>
        </w:r>
        <w:r>
          <w:t>44</w:t>
        </w:r>
        <w:r>
          <w:fldChar w:fldCharType="end"/>
        </w:r>
      </w:hyperlink>
    </w:p>
    <w:p>
      <w:pPr>
        <w:pStyle w:val="TOC1"/>
        <w:tabs>
          <w:tab w:val="right" w:leader="dot" w:pos="8306"/>
        </w:tabs>
      </w:pPr>
      <w:hyperlink w:anchor="_Toc25170" w:history="1">
        <w:r>
          <w:rPr>
            <w:rFonts w:ascii="仿宋" w:eastAsia="仿宋" w:hAnsi="仿宋" w:cs="仿宋" w:hint="eastAsia"/>
            <w:lang w:eastAsia="zh-CN"/>
          </w:rPr>
          <w:t>六、知识管理与技术创新</w:t>
        </w:r>
        <w:r>
          <w:tab/>
        </w:r>
        <w:r>
          <w:fldChar w:fldCharType="begin"/>
        </w:r>
        <w:r>
          <w:instrText xml:space="preserve"> PAGEREF _Toc25170 \h </w:instrText>
        </w:r>
        <w:r>
          <w:fldChar w:fldCharType="separate"/>
        </w:r>
        <w:r>
          <w:t>46</w:t>
        </w:r>
        <w:r>
          <w:fldChar w:fldCharType="end"/>
        </w:r>
      </w:hyperlink>
    </w:p>
    <w:p>
      <w:pPr>
        <w:pStyle w:val="TOC2"/>
        <w:tabs>
          <w:tab w:val="right" w:leader="dot" w:pos="8306"/>
        </w:tabs>
      </w:pPr>
      <w:hyperlink w:anchor="_Toc23162" w:history="1">
        <w:r>
          <w:rPr>
            <w:rFonts w:ascii="仿宋" w:eastAsia="仿宋" w:hAnsi="仿宋" w:cs="仿宋" w:hint="eastAsia"/>
            <w:lang w:eastAsia="zh-CN"/>
          </w:rPr>
          <w:t>(一)、知识管理体系建设</w:t>
        </w:r>
        <w:r>
          <w:tab/>
        </w:r>
        <w:r>
          <w:fldChar w:fldCharType="begin"/>
        </w:r>
        <w:r>
          <w:instrText xml:space="preserve"> PAGEREF _Toc23162 \h </w:instrText>
        </w:r>
        <w:r>
          <w:fldChar w:fldCharType="separate"/>
        </w:r>
        <w:r>
          <w:t>46</w:t>
        </w:r>
        <w:r>
          <w:fldChar w:fldCharType="end"/>
        </w:r>
      </w:hyperlink>
    </w:p>
    <w:p>
      <w:pPr>
        <w:pStyle w:val="TOC2"/>
        <w:tabs>
          <w:tab w:val="right" w:leader="dot" w:pos="8306"/>
        </w:tabs>
      </w:pPr>
      <w:hyperlink w:anchor="_Toc29182" w:history="1">
        <w:r>
          <w:rPr>
            <w:rFonts w:ascii="仿宋" w:eastAsia="仿宋" w:hAnsi="仿宋" w:cs="仿宋" w:hint="eastAsia"/>
            <w:lang w:eastAsia="zh-CN"/>
          </w:rPr>
          <w:t>(二)、技术创新与研发投入</w:t>
        </w:r>
        <w:r>
          <w:tab/>
        </w:r>
        <w:r>
          <w:fldChar w:fldCharType="begin"/>
        </w:r>
        <w:r>
          <w:instrText xml:space="preserve"> PAGEREF _Toc29182 \h </w:instrText>
        </w:r>
        <w:r>
          <w:fldChar w:fldCharType="separate"/>
        </w:r>
        <w:r>
          <w:t>47</w:t>
        </w:r>
        <w:r>
          <w:fldChar w:fldCharType="end"/>
        </w:r>
      </w:hyperlink>
    </w:p>
    <w:p>
      <w:pPr>
        <w:pStyle w:val="TOC2"/>
        <w:tabs>
          <w:tab w:val="right" w:leader="dot" w:pos="8306"/>
        </w:tabs>
      </w:pPr>
      <w:hyperlink w:anchor="_Toc15082" w:history="1">
        <w:r>
          <w:rPr>
            <w:rFonts w:ascii="仿宋" w:eastAsia="仿宋" w:hAnsi="仿宋" w:cs="仿宋" w:hint="eastAsia"/>
            <w:lang w:eastAsia="zh-CN"/>
          </w:rPr>
          <w:t>(三)、专利申请与技术保护</w:t>
        </w:r>
        <w:r>
          <w:tab/>
        </w:r>
        <w:r>
          <w:fldChar w:fldCharType="begin"/>
        </w:r>
        <w:r>
          <w:instrText xml:space="preserve"> PAGEREF _Toc15082 \h </w:instrText>
        </w:r>
        <w:r>
          <w:fldChar w:fldCharType="separate"/>
        </w:r>
        <w:r>
          <w:t>49</w:t>
        </w:r>
        <w:r>
          <w:fldChar w:fldCharType="end"/>
        </w:r>
      </w:hyperlink>
    </w:p>
    <w:p>
      <w:pPr>
        <w:pStyle w:val="TOC2"/>
        <w:tabs>
          <w:tab w:val="right" w:leader="dot" w:pos="8306"/>
        </w:tabs>
      </w:pPr>
      <w:hyperlink w:anchor="_Toc17261" w:history="1">
        <w:r>
          <w:rPr>
            <w:rFonts w:ascii="仿宋" w:eastAsia="仿宋" w:hAnsi="仿宋" w:cs="仿宋" w:hint="eastAsia"/>
            <w:lang w:eastAsia="zh-CN"/>
          </w:rPr>
          <w:t>(四)、人才培养与团队建设</w:t>
        </w:r>
        <w:r>
          <w:tab/>
        </w:r>
        <w:r>
          <w:fldChar w:fldCharType="begin"/>
        </w:r>
        <w:r>
          <w:instrText xml:space="preserve"> PAGEREF _Toc17261 \h </w:instrText>
        </w:r>
        <w:r>
          <w:fldChar w:fldCharType="separate"/>
        </w:r>
        <w:r>
          <w:t>51</w:t>
        </w:r>
        <w:r>
          <w:fldChar w:fldCharType="end"/>
        </w:r>
      </w:hyperlink>
    </w:p>
    <w:p>
      <w:pPr>
        <w:pStyle w:val="TOC1"/>
        <w:tabs>
          <w:tab w:val="right" w:leader="dot" w:pos="8306"/>
        </w:tabs>
      </w:pPr>
      <w:hyperlink w:anchor="_Toc2819" w:history="1">
        <w:r>
          <w:rPr>
            <w:rFonts w:ascii="仿宋" w:eastAsia="仿宋" w:hAnsi="仿宋" w:cs="仿宋" w:hint="eastAsia"/>
            <w:lang w:eastAsia="zh-CN"/>
          </w:rPr>
          <w:t>七、凝血分析试剂项目投资可行性分析</w:t>
        </w:r>
        <w:r>
          <w:tab/>
        </w:r>
        <w:r>
          <w:fldChar w:fldCharType="begin"/>
        </w:r>
        <w:r>
          <w:instrText xml:space="preserve"> PAGEREF _Toc2819 \h </w:instrText>
        </w:r>
        <w:r>
          <w:fldChar w:fldCharType="separate"/>
        </w:r>
        <w:r>
          <w:t>54</w:t>
        </w:r>
        <w:r>
          <w:fldChar w:fldCharType="end"/>
        </w:r>
      </w:hyperlink>
    </w:p>
    <w:p>
      <w:pPr>
        <w:pStyle w:val="TOC2"/>
        <w:tabs>
          <w:tab w:val="right" w:leader="dot" w:pos="8306"/>
        </w:tabs>
      </w:pPr>
      <w:hyperlink w:anchor="_Toc12311" w:history="1">
        <w:r>
          <w:rPr>
            <w:rFonts w:ascii="仿宋" w:eastAsia="仿宋" w:hAnsi="仿宋" w:cs="仿宋" w:hint="eastAsia"/>
            <w:lang w:eastAsia="zh-CN"/>
          </w:rPr>
          <w:t>(一)、凝血分析试剂项目估算说明</w:t>
        </w:r>
        <w:r>
          <w:tab/>
        </w:r>
        <w:r>
          <w:fldChar w:fldCharType="begin"/>
        </w:r>
        <w:r>
          <w:instrText xml:space="preserve"> PAGEREF _Toc12311 \h </w:instrText>
        </w:r>
        <w:r>
          <w:fldChar w:fldCharType="separate"/>
        </w:r>
        <w:r>
          <w:t>54</w:t>
        </w:r>
        <w:r>
          <w:fldChar w:fldCharType="end"/>
        </w:r>
      </w:hyperlink>
    </w:p>
    <w:p>
      <w:pPr>
        <w:pStyle w:val="TOC2"/>
        <w:tabs>
          <w:tab w:val="right" w:leader="dot" w:pos="8306"/>
        </w:tabs>
      </w:pPr>
      <w:hyperlink w:anchor="_Toc12233" w:history="1">
        <w:r>
          <w:rPr>
            <w:rFonts w:ascii="仿宋" w:eastAsia="仿宋" w:hAnsi="仿宋" w:cs="仿宋" w:hint="eastAsia"/>
            <w:lang w:eastAsia="zh-CN"/>
          </w:rPr>
          <w:t>(二)、凝血分析试剂项目总投资估算</w:t>
        </w:r>
        <w:r>
          <w:tab/>
        </w:r>
        <w:r>
          <w:fldChar w:fldCharType="begin"/>
        </w:r>
        <w:r>
          <w:instrText xml:space="preserve"> PAGEREF _Toc12233 \h </w:instrText>
        </w:r>
        <w:r>
          <w:fldChar w:fldCharType="separate"/>
        </w:r>
        <w:r>
          <w:t>55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96" w:history="1">
        <w:r>
          <w:rPr>
            <w:rFonts w:ascii="仿宋" w:eastAsia="仿宋" w:hAnsi="仿宋" w:cs="仿宋" w:hint="eastAsia"/>
            <w:lang w:eastAsia="zh-CN"/>
          </w:rPr>
          <w:t>(三)、资金筹措</w:t>
        </w:r>
        <w:r>
          <w:tab/>
        </w:r>
        <w:r>
          <w:fldChar w:fldCharType="begin"/>
        </w:r>
        <w:r>
          <w:instrText xml:space="preserve"> PAGEREF _Toc31896 \h </w:instrText>
        </w:r>
        <w:r>
          <w:fldChar w:fldCharType="separate"/>
        </w:r>
        <w:r>
          <w:t>56</w:t>
        </w:r>
        <w:r>
          <w:fldChar w:fldCharType="end"/>
        </w:r>
      </w:hyperlink>
    </w:p>
    <w:p>
      <w:pPr>
        <w:pStyle w:val="TOC1"/>
        <w:tabs>
          <w:tab w:val="right" w:leader="dot" w:pos="8306"/>
        </w:tabs>
      </w:pPr>
      <w:hyperlink w:anchor="_Toc10348" w:history="1">
        <w:r>
          <w:rPr>
            <w:rFonts w:ascii="仿宋" w:eastAsia="仿宋" w:hAnsi="仿宋" w:cs="仿宋" w:hint="eastAsia"/>
            <w:lang w:eastAsia="zh-CN"/>
          </w:rPr>
          <w:t>八、危机管理与应急预案</w:t>
        </w:r>
        <w:r>
          <w:tab/>
        </w:r>
        <w:r>
          <w:fldChar w:fldCharType="begin"/>
        </w:r>
        <w:r>
          <w:instrText xml:space="preserve"> PAGEREF _Toc10348 \h </w:instrText>
        </w:r>
        <w:r>
          <w:fldChar w:fldCharType="separate"/>
        </w:r>
        <w:r>
          <w:t>58</w:t>
        </w:r>
        <w:r>
          <w:fldChar w:fldCharType="end"/>
        </w:r>
      </w:hyperlink>
    </w:p>
    <w:p>
      <w:pPr>
        <w:pStyle w:val="TOC2"/>
        <w:tabs>
          <w:tab w:val="right" w:leader="dot" w:pos="8306"/>
        </w:tabs>
      </w:pPr>
      <w:hyperlink w:anchor="_Toc19546" w:history="1">
        <w:r>
          <w:rPr>
            <w:rFonts w:ascii="仿宋" w:eastAsia="仿宋" w:hAnsi="仿宋" w:cs="仿宋" w:hint="eastAsia"/>
            <w:lang w:eastAsia="zh-CN"/>
          </w:rPr>
          <w:t>(一)、危机预警与监测</w:t>
        </w:r>
        <w:r>
          <w:tab/>
        </w:r>
        <w:r>
          <w:fldChar w:fldCharType="begin"/>
        </w:r>
        <w:r>
          <w:instrText xml:space="preserve"> PAGEREF _Toc19546 \h </w:instrText>
        </w:r>
        <w:r>
          <w:fldChar w:fldCharType="separate"/>
        </w:r>
        <w:r>
          <w:t>58</w:t>
        </w:r>
        <w:r>
          <w:fldChar w:fldCharType="end"/>
        </w:r>
      </w:hyperlink>
    </w:p>
    <w:p>
      <w:pPr>
        <w:pStyle w:val="TOC2"/>
        <w:tabs>
          <w:tab w:val="right" w:leader="dot" w:pos="8306"/>
        </w:tabs>
      </w:pPr>
      <w:hyperlink w:anchor="_Toc4032" w:history="1">
        <w:r>
          <w:rPr>
            <w:rFonts w:ascii="仿宋" w:eastAsia="仿宋" w:hAnsi="仿宋" w:cs="仿宋" w:hint="eastAsia"/>
            <w:lang w:eastAsia="zh-CN"/>
          </w:rPr>
          <w:t>(二)、应急预案与危机响应</w:t>
        </w:r>
        <w:r>
          <w:tab/>
        </w:r>
        <w:r>
          <w:fldChar w:fldCharType="begin"/>
        </w:r>
        <w:r>
          <w:instrText xml:space="preserve"> PAGEREF _Toc4032 \h </w:instrText>
        </w:r>
        <w:r>
          <w:fldChar w:fldCharType="separate"/>
        </w:r>
        <w:r>
          <w:t>60</w:t>
        </w:r>
        <w:r>
          <w:fldChar w:fldCharType="end"/>
        </w:r>
      </w:hyperlink>
    </w:p>
    <w:p>
      <w:pPr>
        <w:pStyle w:val="TOC2"/>
        <w:tabs>
          <w:tab w:val="right" w:leader="dot" w:pos="8306"/>
        </w:tabs>
      </w:pPr>
      <w:hyperlink w:anchor="_Toc1964" w:history="1">
        <w:r>
          <w:rPr>
            <w:rFonts w:ascii="仿宋" w:eastAsia="仿宋" w:hAnsi="仿宋" w:cs="仿宋" w:hint="eastAsia"/>
            <w:lang w:eastAsia="zh-CN"/>
          </w:rPr>
          <w:t>(三)、危机沟通与舆情控制</w:t>
        </w:r>
        <w:r>
          <w:tab/>
        </w:r>
        <w:r>
          <w:fldChar w:fldCharType="begin"/>
        </w:r>
        <w:r>
          <w:instrText xml:space="preserve"> PAGEREF _Toc1964 \h </w:instrText>
        </w:r>
        <w:r>
          <w:fldChar w:fldCharType="separate"/>
        </w:r>
        <w:r>
          <w:t>62</w:t>
        </w:r>
        <w:r>
          <w:fldChar w:fldCharType="end"/>
        </w:r>
      </w:hyperlink>
    </w:p>
    <w:p>
      <w:pPr>
        <w:pStyle w:val="TOC2"/>
        <w:tabs>
          <w:tab w:val="right" w:leader="dot" w:pos="8306"/>
        </w:tabs>
      </w:pPr>
      <w:hyperlink w:anchor="_Toc10875" w:history="1">
        <w:r>
          <w:rPr>
            <w:rFonts w:ascii="仿宋" w:eastAsia="仿宋" w:hAnsi="仿宋" w:cs="仿宋" w:hint="eastAsia"/>
            <w:lang w:eastAsia="zh-CN"/>
          </w:rPr>
          <w:t>(四)、危机后教训与改进</w:t>
        </w:r>
        <w:r>
          <w:tab/>
        </w:r>
        <w:r>
          <w:fldChar w:fldCharType="begin"/>
        </w:r>
        <w:r>
          <w:instrText xml:space="preserve"> PAGEREF _Toc10875 \h </w:instrText>
        </w:r>
        <w:r>
          <w:fldChar w:fldCharType="separate"/>
        </w:r>
        <w:r>
          <w:t>64</w:t>
        </w:r>
        <w:r>
          <w:fldChar w:fldCharType="end"/>
        </w:r>
      </w:hyperlink>
    </w:p>
    <w:p>
      <w:pPr>
        <w:pStyle w:val="TOC1"/>
        <w:tabs>
          <w:tab w:val="right" w:leader="dot" w:pos="8306"/>
        </w:tabs>
      </w:pPr>
      <w:hyperlink w:anchor="_Toc28553" w:history="1">
        <w:r>
          <w:rPr>
            <w:rFonts w:ascii="仿宋" w:eastAsia="仿宋" w:hAnsi="仿宋" w:cs="仿宋" w:hint="eastAsia"/>
            <w:lang w:eastAsia="zh-CN"/>
          </w:rPr>
          <w:t>九、法律与合规性</w:t>
        </w:r>
        <w:r>
          <w:tab/>
        </w:r>
        <w:r>
          <w:fldChar w:fldCharType="begin"/>
        </w:r>
        <w:r>
          <w:instrText xml:space="preserve"> PAGEREF _Toc28553 \h </w:instrText>
        </w:r>
        <w:r>
          <w:fldChar w:fldCharType="separate"/>
        </w:r>
        <w:r>
          <w:t>66</w:t>
        </w:r>
        <w:r>
          <w:fldChar w:fldCharType="end"/>
        </w:r>
      </w:hyperlink>
    </w:p>
    <w:p>
      <w:pPr>
        <w:pStyle w:val="TOC2"/>
        <w:tabs>
          <w:tab w:val="right" w:leader="dot" w:pos="8306"/>
        </w:tabs>
      </w:pPr>
      <w:hyperlink w:anchor="_Toc28765" w:history="1">
        <w:r>
          <w:rPr>
            <w:rFonts w:ascii="仿宋" w:eastAsia="仿宋" w:hAnsi="仿宋" w:cs="仿宋" w:hint="eastAsia"/>
            <w:lang w:eastAsia="zh-CN"/>
          </w:rPr>
          <w:t>(一)、相关法律法规概述</w:t>
        </w:r>
        <w:r>
          <w:tab/>
        </w:r>
        <w:r>
          <w:fldChar w:fldCharType="begin"/>
        </w:r>
        <w:r>
          <w:instrText xml:space="preserve"> PAGEREF _Toc28765 \h </w:instrText>
        </w:r>
        <w:r>
          <w:fldChar w:fldCharType="separate"/>
        </w:r>
        <w:r>
          <w:t>66</w:t>
        </w:r>
        <w:r>
          <w:fldChar w:fldCharType="end"/>
        </w:r>
      </w:hyperlink>
    </w:p>
    <w:p>
      <w:pPr>
        <w:pStyle w:val="TOC2"/>
        <w:tabs>
          <w:tab w:val="right" w:leader="dot" w:pos="8306"/>
        </w:tabs>
      </w:pPr>
      <w:hyperlink w:anchor="_Toc13465" w:history="1">
        <w:r>
          <w:rPr>
            <w:rFonts w:ascii="仿宋" w:eastAsia="仿宋" w:hAnsi="仿宋" w:cs="仿宋" w:hint="eastAsia"/>
            <w:lang w:eastAsia="zh-CN"/>
          </w:rPr>
          <w:t>(二)、凝血分析试剂项目合同管理</w:t>
        </w:r>
        <w:r>
          <w:tab/>
        </w:r>
        <w:r>
          <w:fldChar w:fldCharType="begin"/>
        </w:r>
        <w:r>
          <w:instrText xml:space="preserve"> PAGEREF _Toc13465 \h </w:instrText>
        </w:r>
        <w:r>
          <w:fldChar w:fldCharType="separate"/>
        </w:r>
        <w:r>
          <w:t>68</w:t>
        </w:r>
        <w:r>
          <w:fldChar w:fldCharType="end"/>
        </w:r>
      </w:hyperlink>
    </w:p>
    <w:p>
      <w:pPr>
        <w:pStyle w:val="TOC2"/>
        <w:tabs>
          <w:tab w:val="right" w:leader="dot" w:pos="8306"/>
        </w:tabs>
      </w:pPr>
      <w:hyperlink w:anchor="_Toc12210" w:history="1">
        <w:r>
          <w:rPr>
            <w:rFonts w:ascii="仿宋" w:eastAsia="仿宋" w:hAnsi="仿宋" w:cs="仿宋" w:hint="eastAsia"/>
            <w:lang w:eastAsia="zh-CN"/>
          </w:rPr>
          <w:t>(三)、知识产权保护</w:t>
        </w:r>
        <w:r>
          <w:tab/>
        </w:r>
        <w:r>
          <w:fldChar w:fldCharType="begin"/>
        </w:r>
        <w:r>
          <w:instrText xml:space="preserve"> PAGEREF _Toc12210 \h </w:instrText>
        </w:r>
        <w:r>
          <w:fldChar w:fldCharType="separate"/>
        </w:r>
        <w:r>
          <w:t>69</w:t>
        </w:r>
        <w:r>
          <w:fldChar w:fldCharType="end"/>
        </w:r>
      </w:hyperlink>
    </w:p>
    <w:p>
      <w:pPr>
        <w:pStyle w:val="TOC2"/>
        <w:tabs>
          <w:tab w:val="right" w:leader="dot" w:pos="8306"/>
        </w:tabs>
      </w:pPr>
      <w:hyperlink w:anchor="_Toc21295" w:history="1">
        <w:r>
          <w:rPr>
            <w:rFonts w:ascii="仿宋" w:eastAsia="仿宋" w:hAnsi="仿宋" w:cs="仿宋" w:hint="eastAsia"/>
            <w:lang w:eastAsia="zh-CN"/>
          </w:rPr>
          <w:t>(四)、劳动法规与员工权益</w:t>
        </w:r>
        <w:r>
          <w:tab/>
        </w:r>
        <w:r>
          <w:fldChar w:fldCharType="begin"/>
        </w:r>
        <w:r>
          <w:instrText xml:space="preserve"> PAGEREF _Toc21295 \h </w:instrText>
        </w:r>
        <w:r>
          <w:fldChar w:fldCharType="separate"/>
        </w:r>
        <w:r>
          <w:t>71</w:t>
        </w:r>
        <w:r>
          <w:fldChar w:fldCharType="end"/>
        </w:r>
      </w:hyperlink>
    </w:p>
    <w:p>
      <w:pPr>
        <w:pStyle w:val="TOC2"/>
        <w:tabs>
          <w:tab w:val="right" w:leader="dot" w:pos="8306"/>
        </w:tabs>
      </w:pPr>
      <w:hyperlink w:anchor="_Toc9679" w:history="1">
        <w:r>
          <w:rPr>
            <w:rFonts w:ascii="仿宋" w:eastAsia="仿宋" w:hAnsi="仿宋" w:cs="仿宋" w:hint="eastAsia"/>
            <w:lang w:eastAsia="zh-CN"/>
          </w:rPr>
          <w:t>(五)、环境保护法规遵循</w:t>
        </w:r>
        <w:r>
          <w:tab/>
        </w:r>
        <w:r>
          <w:fldChar w:fldCharType="begin"/>
        </w:r>
        <w:r>
          <w:instrText xml:space="preserve"> PAGEREF _Toc9679 \h </w:instrText>
        </w:r>
        <w:r>
          <w:fldChar w:fldCharType="separate"/>
        </w:r>
        <w:r>
          <w:t>72</w:t>
        </w:r>
        <w:r>
          <w:fldChar w:fldCharType="end"/>
        </w:r>
      </w:hyperlink>
    </w:p>
    <w:p>
      <w:pPr>
        <w:pStyle w:val="TOC1"/>
        <w:tabs>
          <w:tab w:val="right" w:leader="dot" w:pos="8306"/>
        </w:tabs>
      </w:pPr>
      <w:hyperlink w:anchor="_Toc17495" w:history="1">
        <w:r>
          <w:rPr>
            <w:rFonts w:ascii="仿宋" w:eastAsia="仿宋" w:hAnsi="仿宋" w:cs="仿宋" w:hint="eastAsia"/>
            <w:lang w:eastAsia="zh-CN"/>
          </w:rPr>
          <w:t>十、凝血分析试剂项目监督与评估</w:t>
        </w:r>
        <w:r>
          <w:tab/>
        </w:r>
        <w:r>
          <w:fldChar w:fldCharType="begin"/>
        </w:r>
        <w:r>
          <w:instrText xml:space="preserve"> PAGEREF _Toc17495 \h </w:instrText>
        </w:r>
        <w:r>
          <w:fldChar w:fldCharType="separate"/>
        </w:r>
        <w:r>
          <w:t>74</w:t>
        </w:r>
        <w:r>
          <w:fldChar w:fldCharType="end"/>
        </w:r>
      </w:hyperlink>
    </w:p>
    <w:p>
      <w:pPr>
        <w:pStyle w:val="TOC2"/>
        <w:tabs>
          <w:tab w:val="right" w:leader="dot" w:pos="8306"/>
        </w:tabs>
      </w:pPr>
      <w:hyperlink w:anchor="_Toc31859" w:history="1">
        <w:r>
          <w:rPr>
            <w:rFonts w:ascii="仿宋" w:eastAsia="仿宋" w:hAnsi="仿宋" w:cs="仿宋" w:hint="eastAsia"/>
            <w:lang w:eastAsia="zh-CN"/>
          </w:rPr>
          <w:t>(一)、监督机构及职责</w:t>
        </w:r>
        <w:r>
          <w:tab/>
        </w:r>
        <w:r>
          <w:fldChar w:fldCharType="begin"/>
        </w:r>
        <w:r>
          <w:instrText xml:space="preserve"> PAGEREF _Toc31859 \h </w:instrText>
        </w:r>
        <w:r>
          <w:fldChar w:fldCharType="separate"/>
        </w:r>
        <w:r>
          <w:t>74</w:t>
        </w:r>
        <w:r>
          <w:fldChar w:fldCharType="end"/>
        </w:r>
      </w:hyperlink>
    </w:p>
    <w:p>
      <w:pPr>
        <w:pStyle w:val="TOC2"/>
        <w:tabs>
          <w:tab w:val="right" w:leader="dot" w:pos="8306"/>
        </w:tabs>
      </w:pPr>
      <w:hyperlink w:anchor="_Toc21553" w:history="1">
        <w:r>
          <w:rPr>
            <w:rFonts w:ascii="仿宋" w:eastAsia="仿宋" w:hAnsi="仿宋" w:cs="仿宋" w:hint="eastAsia"/>
            <w:lang w:eastAsia="zh-CN"/>
          </w:rPr>
          <w:t>(二)、监测与评估指标体系</w:t>
        </w:r>
        <w:r>
          <w:tab/>
        </w:r>
        <w:r>
          <w:fldChar w:fldCharType="begin"/>
        </w:r>
        <w:r>
          <w:instrText xml:space="preserve"> PAGEREF _Toc21553 \h </w:instrText>
        </w:r>
        <w:r>
          <w:fldChar w:fldCharType="separate"/>
        </w:r>
        <w:r>
          <w:t>75</w:t>
        </w:r>
        <w:r>
          <w:fldChar w:fldCharType="end"/>
        </w:r>
      </w:hyperlink>
    </w:p>
    <w:p>
      <w:pPr>
        <w:pStyle w:val="TOC2"/>
        <w:tabs>
          <w:tab w:val="right" w:leader="dot" w:pos="8306"/>
        </w:tabs>
      </w:pPr>
      <w:hyperlink w:anchor="_Toc23349" w:history="1">
        <w:r>
          <w:rPr>
            <w:rFonts w:ascii="仿宋" w:eastAsia="仿宋" w:hAnsi="仿宋" w:cs="仿宋" w:hint="eastAsia"/>
            <w:lang w:eastAsia="zh-CN"/>
          </w:rPr>
          <w:t>(三)、监督与评估周期</w:t>
        </w:r>
        <w:r>
          <w:tab/>
        </w:r>
        <w:r>
          <w:fldChar w:fldCharType="begin"/>
        </w:r>
        <w:r>
          <w:instrText xml:space="preserve"> PAGEREF _Toc23349 \h </w:instrText>
        </w:r>
        <w:r>
          <w:fldChar w:fldCharType="separate"/>
        </w:r>
        <w:r>
          <w:t>78</w:t>
        </w:r>
        <w:r>
          <w:fldChar w:fldCharType="end"/>
        </w:r>
      </w:hyperlink>
    </w:p>
    <w:p>
      <w:pPr>
        <w:pStyle w:val="TOC2"/>
        <w:tabs>
          <w:tab w:val="right" w:leader="dot" w:pos="8306"/>
        </w:tabs>
      </w:pPr>
      <w:hyperlink w:anchor="_Toc12320" w:history="1">
        <w:r>
          <w:rPr>
            <w:rFonts w:ascii="仿宋" w:eastAsia="仿宋" w:hAnsi="仿宋" w:cs="仿宋" w:hint="eastAsia"/>
            <w:lang w:eastAsia="zh-CN"/>
          </w:rPr>
          <w:t>(四)、监督与评估报告</w:t>
        </w:r>
        <w:r>
          <w:tab/>
        </w:r>
        <w:r>
          <w:fldChar w:fldCharType="begin"/>
        </w:r>
        <w:r>
          <w:instrText xml:space="preserve"> PAGEREF _Toc12320 \h </w:instrText>
        </w:r>
        <w:r>
          <w:fldChar w:fldCharType="separate"/>
        </w:r>
        <w:r>
          <w:t>80</w:t>
        </w:r>
        <w:r>
          <w:fldChar w:fldCharType="end"/>
        </w:r>
      </w:hyperlink>
    </w:p>
    <w:p>
      <w:pPr>
        <w:pStyle w:val="TOC1"/>
        <w:tabs>
          <w:tab w:val="right" w:leader="dot" w:pos="8306"/>
        </w:tabs>
      </w:pPr>
      <w:hyperlink w:anchor="_Toc30056" w:history="1">
        <w:r>
          <w:rPr>
            <w:rFonts w:ascii="仿宋" w:eastAsia="仿宋" w:hAnsi="仿宋" w:cs="仿宋" w:hint="eastAsia"/>
            <w:lang w:eastAsia="zh-CN"/>
          </w:rPr>
          <w:t>十一、市场趋势与竞争分析</w:t>
        </w:r>
        <w:r>
          <w:tab/>
        </w:r>
        <w:r>
          <w:fldChar w:fldCharType="begin"/>
        </w:r>
        <w:r>
          <w:instrText xml:space="preserve"> PAGEREF _Toc30056 \h </w:instrText>
        </w:r>
        <w:r>
          <w:fldChar w:fldCharType="separate"/>
        </w:r>
        <w:r>
          <w:t>82</w:t>
        </w:r>
        <w:r>
          <w:fldChar w:fldCharType="end"/>
        </w:r>
      </w:hyperlink>
    </w:p>
    <w:p>
      <w:pPr>
        <w:pStyle w:val="TOC2"/>
        <w:tabs>
          <w:tab w:val="right" w:leader="dot" w:pos="8306"/>
        </w:tabs>
      </w:pPr>
      <w:hyperlink w:anchor="_Toc5030" w:history="1">
        <w:r>
          <w:rPr>
            <w:rFonts w:ascii="仿宋" w:eastAsia="仿宋" w:hAnsi="仿宋" w:cs="仿宋" w:hint="eastAsia"/>
            <w:lang w:eastAsia="zh-CN"/>
          </w:rPr>
          <w:t>(一)、行业市场趋势分析</w:t>
        </w:r>
        <w:r>
          <w:tab/>
        </w:r>
        <w:r>
          <w:fldChar w:fldCharType="begin"/>
        </w:r>
        <w:r>
          <w:instrText xml:space="preserve"> PAGEREF _Toc5030 \h </w:instrText>
        </w:r>
        <w:r>
          <w:fldChar w:fldCharType="separate"/>
        </w:r>
        <w:r>
          <w:t>82</w:t>
        </w:r>
        <w:r>
          <w:fldChar w:fldCharType="end"/>
        </w:r>
      </w:hyperlink>
    </w:p>
    <w:p>
      <w:pPr>
        <w:pStyle w:val="TOC2"/>
        <w:tabs>
          <w:tab w:val="right" w:leader="dot" w:pos="8306"/>
        </w:tabs>
      </w:pPr>
      <w:hyperlink w:anchor="_Toc28" w:history="1">
        <w:r>
          <w:rPr>
            <w:rFonts w:ascii="仿宋" w:eastAsia="仿宋" w:hAnsi="仿宋" w:cs="仿宋" w:hint="eastAsia"/>
            <w:lang w:eastAsia="zh-CN"/>
          </w:rPr>
          <w:t>(二)、竞争对手动态监测</w:t>
        </w:r>
        <w:r>
          <w:tab/>
        </w:r>
        <w:r>
          <w:fldChar w:fldCharType="begin"/>
        </w:r>
        <w:r>
          <w:instrText xml:space="preserve"> PAGEREF _Toc28 \h </w:instrText>
        </w:r>
        <w:r>
          <w:fldChar w:fldCharType="separate"/>
        </w:r>
        <w:r>
          <w:t>84</w:t>
        </w:r>
        <w:r>
          <w:fldChar w:fldCharType="end"/>
        </w:r>
      </w:hyperlink>
    </w:p>
    <w:p>
      <w:pPr>
        <w:pStyle w:val="TOC2"/>
        <w:tabs>
          <w:tab w:val="right" w:leader="dot" w:pos="8306"/>
        </w:tabs>
      </w:pPr>
      <w:hyperlink w:anchor="_Toc28893" w:history="1">
        <w:r>
          <w:rPr>
            <w:rFonts w:ascii="仿宋" w:eastAsia="仿宋" w:hAnsi="仿宋" w:cs="仿宋" w:hint="eastAsia"/>
            <w:lang w:eastAsia="zh-CN"/>
          </w:rPr>
          <w:t>(三)、新兴技术与创新趋势</w:t>
        </w:r>
        <w:r>
          <w:tab/>
        </w:r>
        <w:r>
          <w:fldChar w:fldCharType="begin"/>
        </w:r>
        <w:r>
          <w:instrText xml:space="preserve"> PAGEREF _Toc28893 \h </w:instrText>
        </w:r>
        <w:r>
          <w:fldChar w:fldCharType="separate"/>
        </w:r>
        <w:r>
          <w:t>86</w:t>
        </w:r>
        <w:r>
          <w:fldChar w:fldCharType="end"/>
        </w:r>
      </w:hyperlink>
    </w:p>
    <w:p>
      <w:pPr>
        <w:pStyle w:val="TOC2"/>
        <w:tabs>
          <w:tab w:val="right" w:leader="dot" w:pos="8306"/>
        </w:tabs>
      </w:pPr>
      <w:hyperlink w:anchor="_Toc6434" w:history="1">
        <w:r>
          <w:rPr>
            <w:rFonts w:ascii="仿宋" w:eastAsia="仿宋" w:hAnsi="仿宋" w:cs="仿宋" w:hint="eastAsia"/>
            <w:lang w:eastAsia="zh-CN"/>
          </w:rPr>
          <w:t>(四)、市场机会与威胁评估</w:t>
        </w:r>
        <w:r>
          <w:tab/>
        </w:r>
        <w:r>
          <w:fldChar w:fldCharType="begin"/>
        </w:r>
        <w:r>
          <w:instrText xml:space="preserve"> PAGEREF _Toc6434 \h </w:instrText>
        </w:r>
        <w:r>
          <w:fldChar w:fldCharType="separate"/>
        </w:r>
        <w:r>
          <w:t>88</w:t>
        </w:r>
        <w:r>
          <w:fldChar w:fldCharType="end"/>
        </w:r>
      </w:hyperlink>
    </w:p>
    <w:p>
      <w:pPr>
        <w:pStyle w:val="TOC1"/>
        <w:tabs>
          <w:tab w:val="right" w:leader="dot" w:pos="8306"/>
        </w:tabs>
      </w:pPr>
      <w:hyperlink w:anchor="_Toc6632" w:history="1">
        <w:r>
          <w:rPr>
            <w:rFonts w:ascii="仿宋" w:eastAsia="仿宋" w:hAnsi="仿宋" w:cs="仿宋" w:hint="eastAsia"/>
            <w:lang w:eastAsia="zh-CN"/>
          </w:rPr>
          <w:t>十二、风险管理与应对策略</w:t>
        </w:r>
        <w:r>
          <w:tab/>
        </w:r>
        <w:r>
          <w:fldChar w:fldCharType="begin"/>
        </w:r>
        <w:r>
          <w:instrText xml:space="preserve"> PAGEREF _Toc6632 \h </w:instrText>
        </w:r>
        <w:r>
          <w:fldChar w:fldCharType="separate"/>
        </w:r>
        <w:r>
          <w:t>90</w:t>
        </w:r>
        <w:r>
          <w:fldChar w:fldCharType="end"/>
        </w:r>
      </w:hyperlink>
    </w:p>
    <w:p>
      <w:pPr>
        <w:pStyle w:val="TOC2"/>
        <w:tabs>
          <w:tab w:val="right" w:leader="dot" w:pos="8306"/>
        </w:tabs>
      </w:pPr>
      <w:hyperlink w:anchor="_Toc12098" w:history="1">
        <w:r>
          <w:rPr>
            <w:rFonts w:ascii="仿宋" w:eastAsia="仿宋" w:hAnsi="仿宋" w:cs="仿宋" w:hint="eastAsia"/>
            <w:lang w:eastAsia="zh-CN"/>
          </w:rPr>
          <w:t>(一)、风险管理流程</w:t>
        </w:r>
        <w:r>
          <w:tab/>
        </w:r>
        <w:r>
          <w:fldChar w:fldCharType="begin"/>
        </w:r>
        <w:r>
          <w:instrText xml:space="preserve"> PAGEREF _Toc12098 \h </w:instrText>
        </w:r>
        <w:r>
          <w:fldChar w:fldCharType="separate"/>
        </w:r>
        <w:r>
          <w:t>90</w:t>
        </w:r>
        <w:r>
          <w:fldChar w:fldCharType="end"/>
        </w:r>
      </w:hyperlink>
    </w:p>
    <w:p>
      <w:pPr>
        <w:pStyle w:val="TOC2"/>
        <w:tabs>
          <w:tab w:val="right" w:leader="dot" w:pos="8306"/>
        </w:tabs>
      </w:pPr>
      <w:hyperlink w:anchor="_Toc23262" w:history="1">
        <w:r>
          <w:rPr>
            <w:rFonts w:ascii="仿宋" w:eastAsia="仿宋" w:hAnsi="仿宋" w:cs="仿宋" w:hint="eastAsia"/>
            <w:lang w:eastAsia="zh-CN"/>
          </w:rPr>
          <w:t>(二)、风险识别与评估</w:t>
        </w:r>
        <w:r>
          <w:tab/>
        </w:r>
        <w:r>
          <w:fldChar w:fldCharType="begin"/>
        </w:r>
        <w:r>
          <w:instrText xml:space="preserve"> PAGEREF _Toc23262 \h </w:instrText>
        </w:r>
        <w:r>
          <w:fldChar w:fldCharType="separate"/>
        </w:r>
        <w:r>
          <w:t>93</w:t>
        </w:r>
        <w:r>
          <w:fldChar w:fldCharType="end"/>
        </w:r>
      </w:hyperlink>
    </w:p>
    <w:p>
      <w:pPr>
        <w:pStyle w:val="TOC2"/>
        <w:tabs>
          <w:tab w:val="right" w:leader="dot" w:pos="8306"/>
        </w:tabs>
      </w:pPr>
      <w:hyperlink w:anchor="_Toc15616" w:history="1">
        <w:r>
          <w:rPr>
            <w:rFonts w:ascii="仿宋" w:eastAsia="仿宋" w:hAnsi="仿宋" w:cs="仿宋" w:hint="eastAsia"/>
            <w:lang w:eastAsia="zh-CN"/>
          </w:rPr>
          <w:t>(三)、风险控制与应对策略</w:t>
        </w:r>
        <w:r>
          <w:tab/>
        </w:r>
        <w:r>
          <w:fldChar w:fldCharType="begin"/>
        </w:r>
        <w:r>
          <w:instrText xml:space="preserve"> PAGEREF _Toc15616 \h </w:instrText>
        </w:r>
        <w:r>
          <w:fldChar w:fldCharType="separate"/>
        </w:r>
        <w:r>
          <w:t>95</w:t>
        </w:r>
        <w:r>
          <w:fldChar w:fldCharType="end"/>
        </w:r>
      </w:hyperlink>
    </w:p>
    <w:p>
      <w:pPr>
        <w:pStyle w:val="TOC2"/>
        <w:tabs>
          <w:tab w:val="right" w:leader="dot" w:pos="8306"/>
        </w:tabs>
      </w:pPr>
      <w:hyperlink w:anchor="_Toc12267" w:history="1">
        <w:r>
          <w:rPr>
            <w:rFonts w:ascii="仿宋" w:eastAsia="仿宋" w:hAnsi="仿宋" w:cs="仿宋" w:hint="eastAsia"/>
            <w:lang w:eastAsia="zh-CN"/>
          </w:rPr>
          <w:t>(四)、危机管理与应急预案</w:t>
        </w:r>
        <w:r>
          <w:tab/>
        </w:r>
        <w:r>
          <w:fldChar w:fldCharType="begin"/>
        </w:r>
        <w:r>
          <w:instrText xml:space="preserve"> PAGEREF _Toc12267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凝血分析试剂项目报告按照现代凝血分析试剂项目管理理论及标准流程编写，着重分析了凝血分析试剂项目管理中的系统思维、团队协作、时间成本控制等关键要素，并将理论与实验案例相结合，提出创新性的改进措施。报告的结构设计严谨，内容充实，旨在为相关领域的研究者和实践者提供有价值的参考和指引。特别声明，本报告的所有内容均不可用作商业用途，只供学习交流之用，以期通过共享知识增进凝血分析试剂项目管理实践的深度与广度</w:t>
      </w:r>
    </w:p>
    <w:p>
      <w:pPr>
        <w:pStyle w:val="Heading1"/>
        <w:ind w:firstLine="560" w:firstLineChars="200"/>
        <w:rPr>
          <w:rFonts w:ascii="仿宋" w:eastAsia="仿宋" w:hAnsi="仿宋" w:cs="仿宋" w:hint="eastAsia"/>
          <w:sz w:val="28"/>
          <w:lang w:eastAsia="zh-CN"/>
        </w:rPr>
      </w:pPr>
      <w:bookmarkStart w:id="2" w:name="_Toc28873"/>
      <w:r>
        <w:rPr>
          <w:rFonts w:ascii="仿宋" w:eastAsia="仿宋" w:hAnsi="仿宋" w:cs="仿宋" w:hint="eastAsia"/>
          <w:sz w:val="28"/>
          <w:lang w:eastAsia="zh-CN"/>
        </w:rPr>
        <w:t>一、工艺分析</w:t>
      </w:r>
      <w:bookmarkEnd w:id="2"/>
    </w:p>
    <w:p>
      <w:pPr>
        <w:pStyle w:val="Heading2"/>
        <w:rPr>
          <w:rFonts w:ascii="仿宋" w:eastAsia="仿宋" w:hAnsi="仿宋" w:cs="仿宋" w:hint="eastAsia"/>
          <w:lang w:eastAsia="zh-CN"/>
        </w:rPr>
      </w:pPr>
      <w:bookmarkStart w:id="3" w:name="_Toc2538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凝血分析试剂项目中显现出多层面的复杂性和有机性。其系统性突显在对广泛技术领域的全面规划和整合，要求各技术要素相互协调，以确保凝血分析试剂项目整体协同。这种系统性要求技术管理者在凝血分析试剂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凝血分析试剂项目进步的引擎。这种创新力使技术管理不仅仅是问题应对，更是凝血分析试剂项目发展的推动力，促使团队在技术层面保持竞争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凝血分析试剂项目技术方案的综合有效性。</w:t>
      </w:r>
    </w:p>
    <w:p>
      <w:pPr>
        <w:pStyle w:val="Heading2"/>
        <w:ind w:firstLine="560" w:firstLineChars="200"/>
        <w:rPr>
          <w:rFonts w:ascii="仿宋" w:eastAsia="仿宋" w:hAnsi="仿宋" w:cs="仿宋" w:hint="eastAsia"/>
          <w:sz w:val="28"/>
          <w:lang w:eastAsia="zh-CN"/>
        </w:rPr>
      </w:pPr>
      <w:bookmarkStart w:id="4" w:name="_Toc29100"/>
      <w:r>
        <w:rPr>
          <w:rFonts w:ascii="仿宋" w:eastAsia="仿宋" w:hAnsi="仿宋" w:cs="仿宋" w:hint="eastAsia"/>
          <w:sz w:val="28"/>
          <w:lang w:eastAsia="zh-CN"/>
        </w:rPr>
        <w:t>(二)、凝血分析试剂项目工艺技术设计方案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凝血分析试剂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在选择工艺设备时，需要考虑其性能、稳定性和可维护性。设备应符合凝血分析试剂项目的实际需求，并与整个生产流程协同工作，确保设备的使用不成为凝血分析试剂项目的瓶颈。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5" w:name="_Toc1961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凝血分析试剂项目投资风险，最大限度地减少总体凝血分析试剂项目成本。在投资凝血分析试剂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凝血分析试剂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凝血分析试剂项目的生产设备具备最佳性能和效益，以满足凝血分析试剂项目长期的发展需求。</w:t>
      </w:r>
    </w:p>
    <w:p>
      <w:pPr>
        <w:pStyle w:val="Heading1"/>
        <w:ind w:firstLine="560" w:firstLineChars="200"/>
        <w:rPr>
          <w:rFonts w:ascii="仿宋" w:eastAsia="仿宋" w:hAnsi="仿宋" w:cs="仿宋" w:hint="eastAsia"/>
          <w:sz w:val="28"/>
          <w:lang w:eastAsia="zh-CN"/>
        </w:rPr>
      </w:pPr>
      <w:bookmarkStart w:id="6" w:name="_Toc16900"/>
      <w:r>
        <w:rPr>
          <w:rFonts w:ascii="仿宋" w:eastAsia="仿宋" w:hAnsi="仿宋" w:cs="仿宋" w:hint="eastAsia"/>
          <w:sz w:val="28"/>
          <w:lang w:eastAsia="zh-CN"/>
        </w:rPr>
        <w:t>二、凝血分析试剂项目环境保护分析</w:t>
      </w:r>
      <w:bookmarkEnd w:id="6"/>
    </w:p>
    <w:p>
      <w:pPr>
        <w:pStyle w:val="Heading2"/>
        <w:rPr>
          <w:rFonts w:ascii="仿宋" w:eastAsia="仿宋" w:hAnsi="仿宋" w:cs="仿宋" w:hint="eastAsia"/>
          <w:lang w:eastAsia="zh-CN"/>
        </w:rPr>
      </w:pPr>
      <w:bookmarkStart w:id="7" w:name="_Toc16906"/>
      <w:r>
        <w:rPr>
          <w:rFonts w:ascii="仿宋" w:eastAsia="仿宋" w:hAnsi="仿宋" w:cs="仿宋" w:hint="eastAsia"/>
          <w:lang w:eastAsia="zh-CN"/>
        </w:rPr>
        <w:t>(一)、建设区域环境质量现状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大气环境质量主要受附近工业、交通和自然条件等多方面影响。通过监测数据显示，空气中的颗粒物和氮氧化物浓度可能存在一定程度的超标现象，尤其是在高峰期。此外，气象条件也对空气质量产生一定影响，需要更详细的气象数据来深入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水质状况受附近水体的排放和自然水质条件等多方面因素影响。当前水体可能存在一些化学污染物的浓度略有波动，但整体水质维持在可接受范围内。然而，需要注意的是水体富营养化现象可能存在，需要更深入的水质监测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对建设区域土壤的调查显示，土壤质量可能受到历史工业活动和农业实践的影响。部分土壤可能存在轻微的污染，需要进一步的土壤采样和化验来准确评估土壤中可能存在的污染物。</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建设区域的生态环境主要由植被覆盖、动植物种类和生态系统的完整性等因素构成。当前生态环境可能面临一定的压力，特别是在城市化进程中，需要关注城市绿化和保护自然生态系统的措施。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5. 噪音与振动：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建设区域的噪音和振动水平受到交通、工业和城市建设活动的影响。可能存在一定程度的噪音超标，尤其是在交通繁忙的区域。需要继续监测和评估这些影响，制定相应的噪音控制措施。</w:t>
      </w:r>
    </w:p>
    <w:p>
      <w:pPr>
        <w:pStyle w:val="Heading2"/>
        <w:ind w:firstLine="560" w:firstLineChars="200"/>
        <w:rPr>
          <w:rFonts w:ascii="仿宋" w:eastAsia="仿宋" w:hAnsi="仿宋" w:cs="仿宋" w:hint="eastAsia"/>
          <w:sz w:val="28"/>
          <w:lang w:eastAsia="zh-CN"/>
        </w:rPr>
      </w:pPr>
      <w:bookmarkStart w:id="8" w:name="_Toc2200"/>
      <w:r>
        <w:rPr>
          <w:rFonts w:ascii="仿宋" w:eastAsia="仿宋" w:hAnsi="仿宋" w:cs="仿宋" w:hint="eastAsia"/>
          <w:sz w:val="28"/>
          <w:lang w:eastAsia="zh-CN"/>
        </w:rPr>
        <w:t>(二)、建设期环境保护</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水土保持：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在施工阶段，需要实施有效的水土保持措施，以防止因工程活动引起的水土流失和土壤侵蚀。这包括合理的植被覆盖、设立沉淀池、设置防护网等，以最大程度地保护土地资源。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合理管理施工期间产生的废弃物是环境保护的重要一环。采用分类收集、减量化处理和循环利用的方法，最小化废弃物对环境的影响，确保废弃物处理符合环保法规。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噪音与振动控制：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在建设期，噪音和振动是可能对周边居民和生态环境造成干扰的因素。采用低噪音设备、限制施工时间、设置隔音屏障等措施，有效降低工程活动对周边噪音环境的负面影响。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污染物排放控制：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凝血分析试剂项目建设过程中可能伴随一些排放物，如扬尘、废水等。通过采用封闭施工、喷淋降尘、设立沉淀池等方法，最小化污染物的排放，确保符合环境标准。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在施工期，需要尽量减少对自然生态的破坏。设立施工限制区，合理划定施工边界，确保对周边自然生态系统的影响降至最低。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安全监测与应急预案：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建设期间需要建立全面的安全监测体系和应急预案，及时应对可能发生的环境安全事故，最小化事故对环境的负面影响。</w:t>
      </w:r>
    </w:p>
    <w:p>
      <w:pPr>
        <w:pStyle w:val="Heading2"/>
        <w:ind w:firstLine="560" w:firstLineChars="200"/>
        <w:rPr>
          <w:rFonts w:ascii="仿宋" w:eastAsia="仿宋" w:hAnsi="仿宋" w:cs="仿宋" w:hint="eastAsia"/>
          <w:sz w:val="28"/>
          <w:lang w:eastAsia="zh-CN"/>
        </w:rPr>
      </w:pPr>
      <w:bookmarkStart w:id="9" w:name="_Toc27519"/>
      <w:r>
        <w:rPr>
          <w:rFonts w:ascii="仿宋" w:eastAsia="仿宋" w:hAnsi="仿宋" w:cs="仿宋" w:hint="eastAsia"/>
          <w:sz w:val="28"/>
          <w:lang w:eastAsia="zh-CN"/>
        </w:rPr>
        <w:t>(三)、运营期环境保护</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污染物排放监测：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在运营期，需要建立完善的污染物排放监测体系，实时监测大气、水体、土壤等环境中的污染物浓度。这有助于及时发现和解决潜在的排放问题，确保排放符合环境标准。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废物管理与资源循环利用：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持续推进废物管理，采用分类收集、减量化处理和资源循环利用的方法，最小化废物对环境的影响。建立废物清理和处置的规范流程，确保符合环保法规。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节能减排：</w:t>
      </w:r>
    </w:p>
    <w:p>
      <w:pPr>
        <w:ind w:firstLine="560" w:firstLineChars="200"/>
        <w:rPr>
          <w:rFonts w:ascii="仿宋" w:eastAsia="仿宋" w:hAnsi="仿宋" w:cs="仿宋" w:hint="eastAsia"/>
          <w:sz w:val="28"/>
        </w:rPr>
      </w:pPr>
      <w:r>
        <w:rPr>
          <w:rFonts w:ascii="仿宋" w:eastAsia="仿宋" w:hAnsi="仿宋" w:cs="仿宋" w:hint="eastAsia"/>
          <w:sz w:val="28"/>
          <w:lang w:eastAsia="zh-CN"/>
        </w:rPr>
        <w:t>采取节能减排措施，提高设备和工艺的能效。通过技术升级、设备优化等手段，减少能源消耗和温室气体排放，提高凝血分析试剂项目的环保效益。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在运营期，仍需保持对自然生态的关注。继续划定保护区域，加强对植被、动植物等生态要素的监测和保护，确保凝血分析试剂项目运营对生态系统的影响最小化。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治理污染源：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对可能存在的污染源进行定期检查和治理，确保设备和工艺的正常运行，减少污染物的产生。建立清晰的责任体系，确保治理工作的持续有效性。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社区环境管理：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加强与周边社区的沟通，建立环境管理沟通渠道。及时响应社区的环境反馈，保障周边居民的环境权益，提高凝血分析试剂项目在社区的社会责任感。</w:t>
      </w:r>
    </w:p>
    <w:p>
      <w:pPr>
        <w:pStyle w:val="Heading2"/>
        <w:ind w:firstLine="560" w:firstLineChars="200"/>
        <w:rPr>
          <w:rFonts w:ascii="仿宋" w:eastAsia="仿宋" w:hAnsi="仿宋" w:cs="仿宋" w:hint="eastAsia"/>
          <w:sz w:val="28"/>
          <w:lang w:eastAsia="zh-CN"/>
        </w:rPr>
      </w:pPr>
      <w:bookmarkStart w:id="10" w:name="_Toc16328"/>
      <w:r>
        <w:rPr>
          <w:rFonts w:ascii="仿宋" w:eastAsia="仿宋" w:hAnsi="仿宋" w:cs="仿宋" w:hint="eastAsia"/>
          <w:sz w:val="28"/>
          <w:lang w:eastAsia="zh-CN"/>
        </w:rPr>
        <w:t>(四)、凝血分析试剂项目建设对区域经济的影响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就业机会提升：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凝血分析试剂项目建设通常伴随着大量的劳动力需求，从建筑工人到专业技术人才，涵盖多个领域。这将提供大量就业机会，减缓区域就业压力，提高居民的收入水平。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凝血分析试剂项目建设通常需要大量资金投入，这将直接刺激区域内的投资增长。投资的流入可能不仅来自企业本身，还可能吸引其他相关产业的投资，推动区域经济的全面发展。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增加税收收入：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随着凝血分析试剂项目建设的进行，产生的税收也会相应增加。企业、从业人员以及相关产业的税收贡献将成为区域财政的重要来源，用于支持公共服务和基础设施建设。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产业结构优化：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某些凝血分析试剂项目建设可能会引入新的产业，推动区域产业结构的优化。新兴产业的引入可能促使区域实现产业升级，提高整体经济的竞争力。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凝血分析试剂项目建设通常需要相应的基础设施支持，如道路、桥梁、水电站等。这不仅提升了区域基础设施水平，也为未来的经济发展创造了更好的条件。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增加商业活动：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凝血分析试剂项目建设将吸引更多的商业活动，如酒店、餐饮、零售等，以满足凝血分析试剂项目工程和员工的需求。这将推动商业活动的增长，促进区域内商业环境的繁荣。</w:t>
      </w:r>
    </w:p>
    <w:p>
      <w:pPr>
        <w:ind w:firstLine="560" w:firstLineChars="200"/>
        <w:rPr>
          <w:rFonts w:ascii="仿宋" w:eastAsia="仿宋" w:hAnsi="仿宋" w:cs="仿宋" w:hint="eastAsia"/>
          <w:sz w:val="28"/>
        </w:rPr>
      </w:pPr>
      <w:r>
        <w:rPr>
          <w:rFonts w:ascii="仿宋" w:eastAsia="仿宋" w:hAnsi="仿宋" w:cs="仿宋" w:hint="eastAsia"/>
          <w:sz w:val="28"/>
          <w:lang w:eastAsia="zh-CN"/>
        </w:rPr>
        <w:t>7. 土地价值提升：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随着凝血分析试剂项目建设的完成，周边土地价值可能会提升。这对于地方政府和地产开发商来说是一种潜在的经济利好，有助于进一步吸引投资。</w:t>
      </w:r>
    </w:p>
    <w:p>
      <w:pPr>
        <w:pStyle w:val="Heading2"/>
        <w:ind w:firstLine="560" w:firstLineChars="200"/>
        <w:rPr>
          <w:rFonts w:ascii="仿宋" w:eastAsia="仿宋" w:hAnsi="仿宋" w:cs="仿宋" w:hint="eastAsia"/>
          <w:sz w:val="28"/>
          <w:lang w:eastAsia="zh-CN"/>
        </w:rPr>
      </w:pPr>
      <w:bookmarkStart w:id="11" w:name="_Toc10721"/>
      <w:r>
        <w:rPr>
          <w:rFonts w:ascii="仿宋" w:eastAsia="仿宋" w:hAnsi="仿宋" w:cs="仿宋" w:hint="eastAsia"/>
          <w:sz w:val="28"/>
          <w:lang w:eastAsia="zh-CN"/>
        </w:rPr>
        <w:t>(五)、废弃物处理</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是任何凝血分析试剂项目建设和运营过程中都必须认真考虑和有效实施的关键环节。废弃物包括建设废弃物、生产废弃物等，如果不得当处理可能对环境和人类健康造成负面影响。因此，科学合理的废弃物处理策略成为确保凝血分析试剂项目可持续发展的不可或缺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废弃物分类与收集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的分类是废弃物管理的首要步骤。通过对不同类型的废弃物进行有效分类，可以更好地采取相应的处理方式。这包括建筑废弃物、生活垃圾、危险废物等。在废弃物分类的基础上，建立相应的收集系统，确保废弃物能够被有序地收集起来，不同类型的废弃物得到合适的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凝血分析试剂项目阶段，建筑废弃物是一个不可忽视的方面。通过在施工现场设置分类垃圾箱，鼓励工人按照废弃物的性质进行分类投放。对于生产废弃物，也需要建立合理的收集系统，确保废弃物不会随意丢弃，降低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废弃物处理技术与设施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选择适当的废弃物处理技术和设施对于有效处理废弃物至关重要。常见的废弃物处理技术包括焚烧、填埋、物理化学处理等。具体的选择取决于废弃物的性质、数量和环境政策法规。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凝血分析试剂项目中，建议采用可回收物资的再利用技术，减少对原材料的需求。对于生产废弃物，应优先考虑采用环保型处理技术，最大限度地减少对环境的负面影响。危险废弃物需要采取专门的处理措施，确保其不对环境和人体健康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废弃物监测与法规遵循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废弃物处理过程中，监测是确保废弃物得到妥善处理的重要手段。通过建立监测系统，对废弃物的产生、收集、处理等环节进行实时监控，及时发现问题并采取相应的纠正措施。监测还有助于评估废弃物处理效果，确保废弃物处理符合环境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同时，废弃物处理必须遵循相关的法规和政策。在建设和运营过程中，确保废弃物处理符合国家和地方的环保法规，以免因不当处理引发法律问题。</w:t>
      </w:r>
    </w:p>
    <w:p>
      <w:pPr>
        <w:pStyle w:val="Heading2"/>
        <w:ind w:firstLine="560" w:firstLineChars="200"/>
        <w:rPr>
          <w:rFonts w:ascii="仿宋" w:eastAsia="仿宋" w:hAnsi="仿宋" w:cs="仿宋" w:hint="eastAsia"/>
          <w:sz w:val="28"/>
          <w:lang w:eastAsia="zh-CN"/>
        </w:rPr>
      </w:pPr>
      <w:bookmarkStart w:id="12" w:name="_Toc23785"/>
      <w:r>
        <w:rPr>
          <w:rFonts w:ascii="仿宋" w:eastAsia="仿宋" w:hAnsi="仿宋" w:cs="仿宋" w:hint="eastAsia"/>
          <w:sz w:val="28"/>
          <w:lang w:eastAsia="zh-CN"/>
        </w:rPr>
        <w:t>(六)、特殊环境影响分析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生态环境影响分析：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试剂项目可能对周边生态系统产生直接或间接的影响。这包括植被覆盖、动植物栖息地、生态平衡等方面。生态环境影响分析需要全面考虑凝血分析试剂项目可能引起的生态破坏，以及采取的措施来保护和修复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凝血分析试剂项目可能涉及的水体，需要分析凝血分析试剂项目对水体质量、水文地质条件和水生态系统的潜在影响。这可能包括水体污染、水流变化、对水生物的影响等。合理的水体管理方案和环境保护措施将成为必要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大气环境影响分析：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特殊的地理位置或气象条件可能使凝血分析试剂项目对大气环境产生更为显著的影响。分析凝血分析试剂项目可能引起的空气污染、气象条件变化等情况，制定减排方案和适应性措施，以保护大气环境的质量。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社会文化影响分析：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某些情况下，凝血分析试剂项目可能对当地社会文化产生特殊的影响。这包括对当地社区结构、文化传统、居民生活方式等方面的可能影响。社会文化影响分析需要在凝血分析试剂项目实施前进行广泛的社会调查，确保凝血分析试剂项目不会对当地社会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凝血分析试剂项目可能涉及的土地利用变化需要进行详细分析。这包括土地覆盖类型的改变、土地资源的可持续利用等方面。特别是在涉及到农业用地或自然保护区等特殊土地类型时，需要谨慎评估可能的影响。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噪音与振动影响分析：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一些凝血分析试剂项目可能在特殊环境中引起噪音或振动污染。在特殊环境影响分析中，需要详细评估凝血分析试剂项目可能引起的噪音水平和振动强度，并提出相应的控制和减缓措施。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特殊环境影响分析是凝血分析试剂项目环境影响评价的关键部分，通过充分了解和评估凝血分析试剂项目可能的特殊环境影响，可以制定出更加科学和可持续的凝血分析试剂项目实施方案。</w:t>
      </w:r>
    </w:p>
    <w:p>
      <w:pPr>
        <w:pStyle w:val="Heading2"/>
        <w:ind w:firstLine="560" w:firstLineChars="200"/>
        <w:rPr>
          <w:rFonts w:ascii="仿宋" w:eastAsia="仿宋" w:hAnsi="仿宋" w:cs="仿宋" w:hint="eastAsia"/>
          <w:sz w:val="28"/>
          <w:lang w:eastAsia="zh-CN"/>
        </w:rPr>
      </w:pPr>
      <w:bookmarkStart w:id="13" w:name="_Toc15685"/>
      <w:r>
        <w:rPr>
          <w:rFonts w:ascii="仿宋" w:eastAsia="仿宋" w:hAnsi="仿宋" w:cs="仿宋" w:hint="eastAsia"/>
          <w:sz w:val="28"/>
          <w:lang w:eastAsia="zh-CN"/>
        </w:rPr>
        <w:t>(七)、清洁生产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资源有效利用：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清洁生产注重最大限度地提高资源的利用效率。通过采用先进的生产技术和工艺，减少原材料的使用，实现对资源的有效管理。循环经济理念在清洁生产中扮演着重要角色，通过回收再利用废弃物和副产品，最大程度地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减少环境污染：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的核心目标之一是减少对环境的负面影响。通过采用低污染的生产技术，降低废物排放和有害物质的生成，实现对环境的保护。生产过程中，优先选择绿色、环保的原材料和生产方法，以减缓对生态系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节约能源：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清洁生产着力降低能源消耗，通过优化生产流程、使用高效设备和采用新能源等手段，实现能源的有效利用。减少对非可再生能源的依赖，促进可持续能源的应用。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创新技术应用：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清洁生产鼓励创新技术的应用，采用先进的、环保的生产技术。通过研发和引进新技术，不断提高生产效率，减少对环境的负面影响。这包括数字化生产、智能制造等现代化技术手段。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生命周期分析：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清洁生产要求进行全面的生命周期分析，评估产品从原材料采购到生产、使用、再到废弃的整个过程中对环境的影响。这有助于全面了解产品的环境足迹，从而提出改进措施。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6. 培养清洁生产意识：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清洁生产不仅仅是一种技术手段，更是一种生产文化和理念。培养企业和员工对清洁生产的意识，倡导绿色生产方式，有助于在组织内部建立可持续发展的理念。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清洁生产需要符合相关的法规和标准，确保生产活动在法律框架内进行。遵循法规不仅是对环境的保护，也是企业社会责任的体现。</w:t>
      </w:r>
    </w:p>
    <w:p>
      <w:pPr>
        <w:pStyle w:val="Heading2"/>
        <w:ind w:firstLine="560" w:firstLineChars="200"/>
        <w:rPr>
          <w:rFonts w:ascii="仿宋" w:eastAsia="仿宋" w:hAnsi="仿宋" w:cs="仿宋" w:hint="eastAsia"/>
          <w:sz w:val="28"/>
          <w:lang w:eastAsia="zh-CN"/>
        </w:rPr>
      </w:pPr>
      <w:bookmarkStart w:id="14" w:name="_Toc1931"/>
      <w:r>
        <w:rPr>
          <w:rFonts w:ascii="仿宋" w:eastAsia="仿宋" w:hAnsi="仿宋" w:cs="仿宋" w:hint="eastAsia"/>
          <w:sz w:val="28"/>
          <w:lang w:eastAsia="zh-CN"/>
        </w:rPr>
        <w:t>(八)、环境保护综合评价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环境保护综合评价是对凝血分析试剂项目、企业或活动在环保方面综合表现的评估。这种评价综合考虑了对自然环境、生态系统、空气、水体等的影响，以及对环保法规和标准的遵守程度。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的第一步是对凝血分析试剂项目或活动的环境影响进行评估。这包括对空气质量、水质、土壤质量、生态系统等方面的影响进行科学分析。通过各种监测和模拟手段，全面了解凝血分析试剂项目可能引起的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凝血分析试剂项目的废弃物管理情况，包括废弃物的分类、收集、处理和处置。清晰的废弃物管理计划对于降低对环境的负担至关重要。合规处理和减少废弃物对生态系统和人类健康的影响是综合评价的重要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评估凝血分析试剂项目对水资源的利用和管理情况，包括对水体的取水、排放和水质保护。特别关注是否存在过度取水、水质污染等问题，以及采取的补救和改进措施。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大气排放控制：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分析凝血分析试剂项目的大气排放情况，包括对大气污染物的排放、空气质量的影响等。评估凝血分析试剂项目是否采取有效的减排措施，以保护大气环境质量。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能源效益评估：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综合评价凝血分析试剂项目的能源效益，包括能源的使用效率、可再生能源的应用情况等。推动清洁能源的使用，提高能源效益是环境保护的重要方向。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6. 法规遵从与合规性：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评估凝血分析试剂项目是否遵守国家和地方的环境保护法规和标准。合规性是一个企业或凝血分析试剂项目在环境保护方面的基本要求，对于环保综合评价至关重要。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评价凝血分析试剂项目在环境保护方面的投入，包括环境监测、治理设施建设、环保培训等方面的支出。这反映了企业对环保责任的认识和履行。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社会责任与公众参与：</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考察凝血分析试剂项目对社会的责任感和公众参与程度。是否建立了有效的沟通机制，是否主动回应社会关切，这些都是综合评价的一部分。</w:t>
      </w:r>
    </w:p>
    <w:p>
      <w:pPr>
        <w:pStyle w:val="Heading1"/>
        <w:ind w:firstLine="560" w:firstLineChars="200"/>
        <w:rPr>
          <w:rFonts w:ascii="仿宋" w:eastAsia="仿宋" w:hAnsi="仿宋" w:cs="仿宋" w:hint="eastAsia"/>
          <w:sz w:val="28"/>
          <w:lang w:eastAsia="zh-CN"/>
        </w:rPr>
      </w:pPr>
      <w:bookmarkStart w:id="15" w:name="_Toc8091"/>
      <w:r>
        <w:rPr>
          <w:rFonts w:ascii="仿宋" w:eastAsia="仿宋" w:hAnsi="仿宋" w:cs="仿宋" w:hint="eastAsia"/>
          <w:sz w:val="28"/>
          <w:lang w:eastAsia="zh-CN"/>
        </w:rPr>
        <w:t>三、凝血分析试剂项目选址说明</w:t>
      </w:r>
      <w:bookmarkEnd w:id="15"/>
    </w:p>
    <w:p>
      <w:pPr>
        <w:pStyle w:val="Heading2"/>
        <w:rPr>
          <w:rFonts w:ascii="仿宋" w:eastAsia="仿宋" w:hAnsi="仿宋" w:cs="仿宋" w:hint="eastAsia"/>
          <w:lang w:eastAsia="zh-CN"/>
        </w:rPr>
      </w:pPr>
      <w:bookmarkStart w:id="16" w:name="_Toc2032"/>
      <w:r>
        <w:rPr>
          <w:rFonts w:ascii="仿宋" w:eastAsia="仿宋" w:hAnsi="仿宋" w:cs="仿宋" w:hint="eastAsia"/>
          <w:lang w:eastAsia="zh-CN"/>
        </w:rPr>
        <w:t>(一)、凝血分析试剂项目选址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试剂项目选址位于XXXX市XXXX区XXXX街道XXXX路，地理位置优越，地势平坦，交通便利。附近有多条主要道路交汇，便于原材料的运输和成品的配送。地理位置的优越性将为凝血分析试剂项目提供便捷的市场接触和良好的物流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凝血分析试剂项目用地的合规性。经过详细的规划和评估，选址地区的用地性质、容积率、绿化率等指标将被科学确定，以满足凝血分析试剂项目的发展需求并符合相关法规和环保要求。</w:t>
      </w:r>
    </w:p>
    <w:p>
      <w:pPr>
        <w:pStyle w:val="Heading2"/>
        <w:ind w:firstLine="560" w:firstLineChars="200"/>
        <w:rPr>
          <w:rFonts w:ascii="仿宋" w:eastAsia="仿宋" w:hAnsi="仿宋" w:cs="仿宋" w:hint="eastAsia"/>
          <w:sz w:val="28"/>
          <w:lang w:eastAsia="zh-CN"/>
        </w:rPr>
      </w:pPr>
      <w:bookmarkStart w:id="17" w:name="_Toc15826"/>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选址地区的用地性质被确定为工业用地，以支持凝血分析试剂项目的生产和运营。确保用地性质符合地方规划，并满足凝血分析试剂项目的实际需求。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根据地区规划和建设标准，设定合理的容积率。容积率的设定要考虑凝血分析试剂项目的建筑需求，确保建筑的布局紧凑，用地高效利用。</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绿化率：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确保凝血分析试剂项目选址地区的绿化率符合环保法规的要求。通过科学的绿化设计，提高绿化率，改善周边环境，为员工提供良好的工作生活环境。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18" w:name="_Toc3643"/>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针对凝血分析试剂项目的实际需求，考虑采用垂直建筑设计，提高建筑的层数，减小占地面积。这将有助于在有限的用地内实现更大的建筑容积。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共享设施：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19" w:name="_Toc19136"/>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凝血分析试剂项目的原材料运输和成品配送提供了便捷的通道。地理位置的优越性将成为总图布置方案的首要考虑因素，确保凝血分析试剂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凝血分析试剂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凝血分析试剂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凝血分析试剂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20" w:name="_Toc16420"/>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选址综合评价是对所有选址因素进行全面权衡和评估的过程，包括地理位置、交通便利性、用地控制指标等多个方面。通过科学的评价方法，确保最终选址符合凝血分析试剂项目的长期发展需求和可行性要求。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凝血分析试剂项目的成功实施提供战略优势。通过全面利用地理位置，确保凝血分析试剂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综合评价将充分考虑选址地区的交通便利性。主要道路的交汇、交通流畅性等因素将被纳入考虑范围。通过科学评估交通状况，确保凝血分析试剂项目的运输通道顺畅，为物流和员工的出行提供良好保障。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用地控制指标是综合评价中的重要组成部分。通过科学制定用地控制指标，明确用地性质、用途、容积率等，确保用地的规划与凝血分析试剂项目的实际需求相符。这有助于用地的科学利用和可持续性发展。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凝血分析试剂项目的空间布局合理有序。绿化空间、建筑布局、功能区域划分等因素将在总图布置中得到综合考虑，为凝血分析试剂项目提供良好的空间环境。</w:t>
      </w:r>
    </w:p>
    <w:p>
      <w:pPr>
        <w:pStyle w:val="Heading1"/>
        <w:ind w:firstLine="560" w:firstLineChars="200"/>
        <w:rPr>
          <w:rFonts w:ascii="仿宋" w:eastAsia="仿宋" w:hAnsi="仿宋" w:cs="仿宋" w:hint="eastAsia"/>
          <w:sz w:val="28"/>
          <w:lang w:eastAsia="zh-CN"/>
        </w:rPr>
      </w:pPr>
      <w:bookmarkStart w:id="21" w:name="_Toc656"/>
      <w:r>
        <w:rPr>
          <w:rFonts w:ascii="仿宋" w:eastAsia="仿宋" w:hAnsi="仿宋" w:cs="仿宋" w:hint="eastAsia"/>
          <w:sz w:val="28"/>
          <w:lang w:eastAsia="zh-CN"/>
        </w:rPr>
        <w:t>四、建设单位基本信息</w:t>
      </w:r>
      <w:bookmarkEnd w:id="21"/>
    </w:p>
    <w:p>
      <w:pPr>
        <w:pStyle w:val="Heading2"/>
        <w:rPr>
          <w:rFonts w:ascii="仿宋" w:eastAsia="仿宋" w:hAnsi="仿宋" w:cs="仿宋" w:hint="eastAsia"/>
          <w:lang w:eastAsia="zh-CN"/>
        </w:rPr>
      </w:pPr>
      <w:bookmarkStart w:id="22" w:name="_Toc10544"/>
      <w:r>
        <w:rPr>
          <w:rFonts w:ascii="仿宋" w:eastAsia="仿宋" w:hAnsi="仿宋" w:cs="仿宋" w:hint="eastAsia"/>
          <w:lang w:eastAsia="zh-CN"/>
        </w:rPr>
        <w:t>(一)、凝血分析试剂项目承办单位基本情况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一、凝血分析试剂项目承办单位基本情况</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23" w:name="_Toc10904"/>
      <w:r>
        <w:rPr>
          <w:rFonts w:ascii="仿宋" w:eastAsia="仿宋" w:hAnsi="仿宋" w:cs="仿宋" w:hint="eastAsia"/>
          <w:sz w:val="28"/>
          <w:lang w:eastAsia="zh-CN"/>
        </w:rPr>
        <w:t>(二)、公司经济效益分析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公司的综合投资回报率为XX%，在凝血分析试剂项目、市场推广和研发等方面的投资取得了良好的回报。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24" w:name="_Toc18875"/>
      <w:r>
        <w:rPr>
          <w:rFonts w:ascii="仿宋" w:eastAsia="仿宋" w:hAnsi="仿宋" w:cs="仿宋" w:hint="eastAsia"/>
          <w:sz w:val="28"/>
          <w:lang w:eastAsia="zh-CN"/>
        </w:rPr>
        <w:t>五、凝血分析试剂项目运营管理</w:t>
      </w:r>
      <w:bookmarkEnd w:id="24"/>
    </w:p>
    <w:p>
      <w:pPr>
        <w:pStyle w:val="Heading2"/>
        <w:rPr>
          <w:rFonts w:ascii="仿宋" w:eastAsia="仿宋" w:hAnsi="仿宋" w:cs="仿宋" w:hint="eastAsia"/>
          <w:lang w:eastAsia="zh-CN"/>
        </w:rPr>
      </w:pPr>
      <w:bookmarkStart w:id="25" w:name="_Toc14514"/>
      <w:r>
        <w:rPr>
          <w:rFonts w:ascii="仿宋" w:eastAsia="仿宋" w:hAnsi="仿宋" w:cs="仿宋" w:hint="eastAsia"/>
          <w:lang w:eastAsia="zh-CN"/>
        </w:rPr>
        <w:t>(一)、运营管理机构设置</w:t>
      </w:r>
      <w:bookmarkEnd w:id="25"/>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企业的运营管理机构设置是保障业务高效运转和战略目标实现的基础。合理的机构设置有助于各个职能部门之间的协同合作，提升决策执行效果。在运营管理机构的设计中，需要考虑业务流程、组织结构、信息传递和决策层级等多个方面。从总体运营管理部门、业务部门、支持性职能部门、信息传递和决策层级四个方面展开具体阐述。</w:t>
      </w:r>
    </w:p>
    <w:p>
      <w:pPr>
        <w:ind w:firstLine="560" w:firstLineChars="200"/>
        <w:rPr>
          <w:rFonts w:ascii="仿宋" w:eastAsia="仿宋" w:hAnsi="仿宋" w:cs="仿宋" w:hint="eastAsia"/>
          <w:sz w:val="28"/>
        </w:rPr>
      </w:pPr>
      <w:r>
        <w:rPr>
          <w:rFonts w:ascii="仿宋" w:eastAsia="仿宋" w:hAnsi="仿宋" w:cs="仿宋" w:hint="eastAsia"/>
          <w:sz w:val="28"/>
          <w:lang w:eastAsia="zh-CN"/>
        </w:rPr>
        <w:t>1. 总体运营管理部门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运营管理部门是企业运营体系的核心，其角色是协调整个企业的运营活动，确保各个职能部门之间的合作无间。这个部门通常由首席运营官（COO）领导，其下设有多个高级管理人员，涵盖业务规划、资源分配、绩效评估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首席运营官作为总体运营管理部门的领导者，负责制定并执行整体运营策略。其职责包括但不限于，确保企业目标的达成、协调各业务部门的工作、监控绩效指标、对市场变化进行敏锐的感知等。同时，总体运营管理部门与其他职能部门保持紧密合作，共同推动企业的整体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业务部门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部门是运营管理机构中至关重要的组成部分。根据企业的业务模式，可以设置销售部门、生产部门、供应链管理部门等。每个业务部门都有自己的职能和目标，负责企业特定领域的运营工作。通常情况下，业务部门中会设立部门经理或主管，负责部门的日常管理和执行运营计划。</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销售部门负责市场推广、客户关系管理和销售业绩的提升。生产部门负责生产流程的优化、生产计划的制定和产品质量的控制。供应链管理部门则负责供应链的整体规划和执行，包括原材料采购、物流管理等。这些业务部门在协同工作中实现各自目标的同时，共同推动整个企业朝着战略目标前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支持性职能部门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支持性职能部门是确保运营流程高效运作的关键。这包括人力资源部门、财务部门、信息技术部门等。人力资源部门负责招聘、培训和员工绩效管理。财务部门负责预算、会计和财务分析。信息技术部门则负责信息系统的维护和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部门通过招募合适的人才、提供专业培训，确保企业拥有高素质的员工队伍。财务部门通过精细的预算管理、财务分析，确保企业的财务稳健。信息技术部门通过维护和创新信息系统，提升企业的信息化水平。这些支持性职能部门为企业提供了全方位的支持，确保各项业务得以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4. 信息传递和决策层级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管理机构中，建立清晰的信息传递和决策层级是至关重要的。信息传递的畅通确保各个部门之间的沟通，决策层级的明确性保证了管理决策的高效执行。通常情况下，高级管理层负责制定战略和重大决策，而中层管理层则负责具体的业务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高级管理层负责制定企业整体的战略方向。他们通过全局视角，对市场环境和企业内部情况进行综合分析，制定发展规划和决策重大战略举措。高级管理层包括首席执行官（CEO）、首席运营官（COO）等高层领导。</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中层管理层负责执行高层制定的战略和决策。他们负责具体的业务运作、协调各个职能部门的工作，确保战略目标的顺利实现。中层管理层通常包括各个业务部门的主管或经理，以及支持性职能部门的主管。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通过信息传递和决策层级的设立，企业能够保持信息的畅通流动，确保决策的高效执行。高级管理层的战略决策能够指导整个企业的运营方向，而中层管理层的执行力量则保证了战略的实施和目标的达成。</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客观分析运营管理机构设置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机构设置需要考虑其适应性、高效性和灵活性。首先，机构设置需要适应企业的业务模式和战略目标，确保各个部门的职能和责任与企业发展保持一致。适应性意味着机构设置需要灵活变通，能够根据市场变化和企业发展阶段进行调整。例如，当企业扩大规模或进入新市场时，可能需要重新调整各个部门的设置和职责，以更好地适应新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机构设置需要高效运作，避免冗余和资源浪费，确保每个部门都能够发挥最大效益。高效性意味着信息传递的迅速、决策的迅捷，各个部门之间的协同合作流畅有序。这需要建立有效的沟通渠道，确保信息在各个层级和部门之间迅速传递，决策能够及时推进，避免因为信息滞后而导致的问题。</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最后，机构设置需要灵活应对市场变化，能够迅速调整组织结构和流程，适应外部环境的变化。灵活性意味着机构设置能够适应市场的快速变化，迅速调整战略和业务重心。例如，在面对市场竞争激烈或者行业变革的时候，机构设置需要具备灵活性，能够调整部门职责、引入新的业务流程，以适应新的市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客观地分析适应性、高效性和灵活性这三个方面，企业能够不断优化运营管理机构设置，提高运作效率，实现长期发展目标。在不断的实践中，企业可以根据具体情况进行调整和改进，确保机构设置始终符合企业的战略方向和市场需求。这种客观的分析和不断的优化是企业保持竞争力和适应市场变化的关键之一。</w:t>
      </w:r>
    </w:p>
    <w:p>
      <w:pPr>
        <w:pStyle w:val="Heading2"/>
        <w:ind w:firstLine="560" w:firstLineChars="200"/>
        <w:rPr>
          <w:rFonts w:ascii="仿宋" w:eastAsia="仿宋" w:hAnsi="仿宋" w:cs="仿宋" w:hint="eastAsia"/>
          <w:sz w:val="28"/>
          <w:lang w:eastAsia="zh-CN"/>
        </w:rPr>
      </w:pPr>
      <w:bookmarkStart w:id="26" w:name="_Toc9055"/>
      <w:r>
        <w:rPr>
          <w:rFonts w:ascii="仿宋" w:eastAsia="仿宋" w:hAnsi="仿宋" w:cs="仿宋" w:hint="eastAsia"/>
          <w:sz w:val="28"/>
          <w:lang w:eastAsia="zh-CN"/>
        </w:rPr>
        <w:t>(二)、运营管理流程</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运营管理流程是企业实现高效运转和战略目标的关键。一个清晰、有序的运营管理流程可以确保各个部门之间的协同合作，提高生产效率，降低成本，最终实现企业的长期发展目标。从战略制定、业务执行、绩效监控和持续改进四个方面详细阐述运营管理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制定是运营管理流程的起点。在这一阶段，企业需要明确定义其长期目标和发展方向，同时制定相应的战略计划。这通常由高层领导层共同参与，包括首席执行官（CEO）、首席运营官（COO）等。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环境分析： 对外部环境进行全面分析，包括市场趋势、竞争状况、法规变化等，以确保制定的战略符合外部环境的变化。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内部评估： 对企业内部资源、能力、业务流程等进行评估，明确企业的核心竞争力和瓶颈。</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设定具体、可衡量的长期目标，确保这些目标与企业的使命和愿景相一致。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战略制定： 制定符合目标的战略计划，包括市场拓展、产品创新、成本控制等方面的策略。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业务执行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业务执行是将战略计划转化为实际行动的过程。在这一阶段，各个业务部门负责具体的执行工作，确保战略计划的顺利实施。关键的步骤包括：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计划制定： 各业务部门根据战略计划，制定具体的年度、季度、月度计划，明确各项任务和责任。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资源配置： 确保每个业务部门都获得足够的资源支持，包括人力、资金、技术等。</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团队协作： 促进各部门之间的沟通和协作，确保信息的畅通流动，协同解决问题。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执行监督： 设立有效的监督机制，追踪业务执行的进展，及时发现和解决问题，确保计划的落地执行。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绩效监控是确保业务执行效果的重要环节。通过有效的绩效监控，企业能够及时发现偏差，采取纠正措施，确保战略目标的实现。关键的步骤包括：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制定绩效指标： 根据战略目标和业务计划，制定具体的绩效指标，包括财务、市场、客户满意度等方面。</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数据收集和分析：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收集业务执行过程中的关键数据，进行深入分析，发现问题的根本原因。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 定期对各项绩效指标进行评估，与计划进行对比，分析偏差，找出问题点。</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 根据评估结果，采取相应的改进措施，优化业务执行过程，提高效率和效果。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持续改进是运营管理流程的最后一环，也是一个循环的过程。通过不断的改进，企业能够适应不断变化的市场和内外部环境，提高运营管理的效能和灵活性。持续改进的步骤包括：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通过绩效监控和员工反馈等途径，识别业务执行中的问题和瓶颈。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原因分析： 对识别出的问题进行深入分析，找出问题的根本原因，而非仅仅应对表面症状。</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制定改进计划： 根据分析结果，制定具体的改进计划，明确改进的目标和措施。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实施改进： 将改进计划付诸实践，对业务流程、组织结构等方面进行调整和优化。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效果监测： 对改进措施的实施效果进行监测和评估，看是否取得了期望的效果。</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通过以上这个完整的运营管理流程，企业能够实现从战略制定到业务执行、再到绩效监控和持续改进的有机衔接。这种有序、系统的流程不仅有助于企业更好地应对市场变化，也提高了整体运营的效率和质量。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流程需要从效率、适应性、质量和创新性等多个方面进行评估。首先，流程的效率体现在战略制定到执行、再到监控和改进的环环相扣，确保信息流通畅、决策高效。适应性则表现在流程能否灵活调整，迅速适应市场变化和企业发展的需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其次，流程的质量体现在业务执行和绩效监控阶段，包括产品或服务的质量、生产效率、绩效指标的达成等。高质量的流程能够确保企业的产出符合标准，提高客户满意度。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最后，创新性是运营管理流程持续改进的动力。通过不断挑战现状，寻找新的解决方案，企业能够保持竞争优势，更好地适应不断变化的市场。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通过客观地分析这些方面，企业能够深入了解运营管理流程的优势和不足之处，有针对性地进行改进。这种不断优化的态势有助于企业在竞争激烈的市场中保持敏捷性和创造力，实现可持续发展。</w:t>
      </w:r>
    </w:p>
    <w:p>
      <w:pPr>
        <w:pStyle w:val="Heading2"/>
        <w:ind w:firstLine="560" w:firstLineChars="200"/>
        <w:rPr>
          <w:rFonts w:ascii="仿宋" w:eastAsia="仿宋" w:hAnsi="仿宋" w:cs="仿宋" w:hint="eastAsia"/>
          <w:sz w:val="28"/>
          <w:lang w:eastAsia="zh-CN"/>
        </w:rPr>
      </w:pPr>
      <w:bookmarkStart w:id="27" w:name="_Toc9874"/>
      <w:r>
        <w:rPr>
          <w:rFonts w:ascii="仿宋" w:eastAsia="仿宋" w:hAnsi="仿宋" w:cs="仿宋" w:hint="eastAsia"/>
          <w:sz w:val="28"/>
          <w:lang w:eastAsia="zh-CN"/>
        </w:rPr>
        <w:t>(三)、人员配备及培训</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人员是企业最重要的资产之一，其在业务执行和战略实施中发挥着关键作用。为了确保人员能够胜任各自的工作，并随着企业的发展不断提升能力，人员的配备和培训显得尤为重要。从招聘与配备、培训与发展两个方面展开详细阐述。</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1. 招聘与配备</w:t>
      </w:r>
    </w:p>
    <w:p>
      <w:pPr>
        <w:ind w:firstLine="560" w:firstLineChars="200"/>
        <w:rPr>
          <w:rFonts w:ascii="仿宋" w:eastAsia="仿宋" w:hAnsi="仿宋" w:cs="仿宋" w:hint="eastAsia"/>
          <w:sz w:val="28"/>
        </w:rPr>
      </w:pPr>
      <w:r>
        <w:rPr>
          <w:rFonts w:ascii="仿宋" w:eastAsia="仿宋" w:hAnsi="仿宋" w:cs="仿宋" w:hint="eastAsia"/>
          <w:sz w:val="28"/>
          <w:lang w:eastAsia="zh-CN"/>
        </w:rPr>
        <w:t>招聘与配备是建立强大团队的基础，合适的人才配置能够保证各个部门的正常运转和战略目标的实现。关键的步骤包括：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职位规划： 针对企业的业务需求和发展战略，规划各个职位的数量和类型。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人才招聘： 通过内外部渠道广泛招聘人才，包括通过招聘网站、社交媒体、校园招聘等途径。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面试和评估： 对候选人进行面试和评估，确保其符合职位要求，并具备良好的团队协作能力。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职位分配： 根据招聘和评估结果，将人才分配到适合的职位，确保人员配置合理。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培训与发展是确保员工能够适应工作要求和持续提升能力的关键环节。关键的步骤包括：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 通过调研和绩效评估等手段，分析员工的培训需求，确定培训的重点和方向。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制定培训计划： 根据培训需求，制定详细的培训计划，包括培训内容、方式、时间等。</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 执行培训计划，可以包括内部培训、外部培训、在线培训等多种形式，确保员工获得所需的知识和技能。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 在培训后进行绩效评估，检查培训效果，发现并解决培训中的问题。</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职业发展规划：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与员工共同制定职业发展计划，为其提供晋升机会和发展通道，激发员工的积极性和创造力。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通过合理的人员配备和系统的培训与发展，企业可以建立起一支高效、积极、具备竞争力的团队。这有助于提高员工的专业素养，适应不断变化的市场环境，为企业的可持续发展提供强大的人才支持。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客观分析人员配备及培训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人员配备及培训需要从员工的能力、团队协作、学习机会和发展通道等多个方面进行评估。首先，员工的能力需要与职位要求相匹配，确保其具备完成工作任务所需的技能和知识。其次，团队协作能力是团队成功运作的基础，需要评估员工在团队中的协作和沟通能力。此外，员工的学习机会和发展通道也是重要的考量因素，一个良好的培训和发展体系有助于激发员工的潜力，提高他们的职业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通过客观地分析这些方面，企业可以更好地理解员工的现状和需求，有针对性地进行培训和发展规划。这种定期的评估和调整有助于提高员工的满意度，降低员工流失率，进而增强企业的竞争力。</w:t>
      </w:r>
    </w:p>
    <w:p>
      <w:pPr>
        <w:pStyle w:val="Heading2"/>
        <w:ind w:firstLine="560" w:firstLineChars="200"/>
        <w:rPr>
          <w:rFonts w:ascii="仿宋" w:eastAsia="仿宋" w:hAnsi="仿宋" w:cs="仿宋" w:hint="eastAsia"/>
          <w:sz w:val="28"/>
          <w:lang w:eastAsia="zh-CN"/>
        </w:rPr>
      </w:pPr>
      <w:bookmarkStart w:id="28" w:name="_Toc21879"/>
      <w:r>
        <w:rPr>
          <w:rFonts w:ascii="仿宋" w:eastAsia="仿宋" w:hAnsi="仿宋" w:cs="仿宋" w:hint="eastAsia"/>
          <w:sz w:val="28"/>
          <w:lang w:eastAsia="zh-CN"/>
        </w:rPr>
        <w:t>(四)、质量管理体系</w:t>
      </w:r>
      <w:bookmarkEnd w:id="28"/>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质量管理体系是企业为确保产品或服务达到一定标准而建立的一系列组织结构、流程、程序和资源的集合。通过建立质量管理体系，企业能够不断提高产品或服务的质量水平，提升客户满意度，同时也有助于提高内部效率和降低成本。从质量政策、流程管理、资源管理和持续改进四个方面详细阐述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1. 质量政策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质量政策是企业对质量目标和承诺的表述，为整个质量管理体系的建立和运作提供指导。关键的步骤包括：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制定质量政策： 由高层领导层参与，确立企业对质量的核心价值和战略方向。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传达与宣导： 将质量政策传达给所有员工，并强调每个人在实现质量目标中的重要性。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监督与更新： 定期对质量政策进行监督，确保其符合企业发展和市场需求，随时进行调整和更新。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2. 流程管理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流程管理是确保产品或服务在整个生命周期中都能够保持一致性和高质量的关键。关键的步骤包括：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流程规划： 确定关键业务流程，包括生产流程、服务过程、供应链管理等。</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制定流程程序： 建立详细的流程程序和工作指导书，确保每个步骤都被规范执行。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监测和控制： 进行实时监测和控制，发现和纠正任何可能影响产品或服务质量的问题。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资源管理是指对人力、物力、技术和信息等方面的管理，确保这些资源能够支持质量目标的实现。关键的步骤包括：</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人员培训：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提供员工必要的培训，确保其具备完成工作所需的技能和知识。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设备和技术支持： 确保生产设备、技术工具等都能够满足产品或服务的质量标准。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信息系统： 建立有效的信息系统，确保质量数据的收集、分析和报告能够支持质量决策。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持续改进是质量管理体系的核心原则之一。通过不断寻找和纠正问题，企业能够不断提高质量水平。关键的步骤包括：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通过内部审查、客户反馈、绩效评估等手段，识别潜在的问题和改进点。</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制定改进计划： 针对识别出的问题，制定具体的改进计划，包括调整流程、更新设备、改进培训等。</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实施改进： 将改进计划付诸实践，确保改进措施能够在实际操作中生效。</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效果监测： 对改进措施的实施效果进行监测和评估，看是否取得了期望的效果。</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通过以上这个完整的质量管理体系，企业能够建立一种注重质量的文化，从而确保产品或服务在不断变化的市场中保持竞争力。这种系统性的管理有助于企业提高客户满意度，降低质量成本，为可持续发展奠定基础。</w:t>
      </w:r>
    </w:p>
    <w:p>
      <w:pPr>
        <w:pStyle w:val="Heading2"/>
        <w:ind w:firstLine="560" w:firstLineChars="200"/>
        <w:rPr>
          <w:rFonts w:ascii="仿宋" w:eastAsia="仿宋" w:hAnsi="仿宋" w:cs="仿宋" w:hint="eastAsia"/>
          <w:sz w:val="28"/>
          <w:lang w:eastAsia="zh-CN"/>
        </w:rPr>
      </w:pPr>
      <w:bookmarkStart w:id="29" w:name="_Toc22713"/>
      <w:r>
        <w:rPr>
          <w:rFonts w:ascii="仿宋" w:eastAsia="仿宋" w:hAnsi="仿宋" w:cs="仿宋" w:hint="eastAsia"/>
          <w:sz w:val="28"/>
          <w:lang w:eastAsia="zh-CN"/>
        </w:rPr>
        <w:t>(五)、安全生产管理</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安全生产管理是企业为确保员工和生产设施的安全，防范事故风险而采取的一系列组织、控制和监督措施的系统体系。建立有效的安全生产管理有助于减少事故发生的可能性，保障员工的生命安全和公司的可持续经营。从领导层责任、风险评估与控制、培训与意识提升、应急响应四个方面详细阐述安全生产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1. 领导层责任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领导层在安全生产管理中扮演着决策和示范的重要角色。领导层责任的关键步骤包括：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设定安全文化： 领导层要树立和推动企业的安全文化，确保安全意识融入到企业的价值观中。</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建立安全政策： 制定和发布明确的安全政策，明确每个员工对于安全的责任和义务。</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资源投入： 提供足够的资源支持，包括经费、技术设备等，确保安全管理体系的正常运转。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领导示范： 领导层要积极参与安全活动，示范正确的安全行为，激发员工的安全意识。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风险评估与控制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风险评估与控制是安全生产管理中的关键环节，它确保企业对潜在危险的认知，并采取措施降低风险。关键的步骤包括：</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危险识别： 对工作场所进行定期检查，识别潜在的危险源，包括设备、材料、工艺等。</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评估每个危险源的风险程度，确定可能的影响和概率。</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制定控制措施： 根据评估结果，制定明确的控制措施，包括工程控制、行政控制、个体防护等。</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监测与改进： 监测控制措施的实施效果，根据实际情况及时调整和改进。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培训与意识提升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员工的安全意识和技能是安全生产的基石。培训与意识提升的关键步骤包括：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制定全面的安全培训计划，包括新员工培训、定期培训和特定任务培训。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意识提升： 通过内部通知、安全标识、定期演练等方式，提高员工对安全的关注度。</w:t>
      </w:r>
    </w:p>
    <w:p>
      <w:pPr>
        <w:ind w:firstLine="560" w:firstLineChars="200"/>
        <w:rPr>
          <w:rFonts w:ascii="仿宋" w:eastAsia="仿宋" w:hAnsi="仿宋" w:cs="仿宋" w:hint="eastAsia"/>
          <w:sz w:val="28"/>
        </w:rPr>
      </w:pPr>
      <w:r>
        <w:rPr>
          <w:rFonts w:ascii="仿宋" w:eastAsia="仿宋" w:hAnsi="仿宋" w:cs="仿宋" w:hint="eastAsia"/>
          <w:sz w:val="28"/>
          <w:lang w:eastAsia="zh-CN"/>
        </w:rPr>
        <w:t>技能培养： 不仅要提高员工对安全的认知，还要培养实际应对危险的技能，确保他们能够在危急时刻正确应对。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4. 应急响应</w:t>
      </w:r>
    </w:p>
    <w:p>
      <w:pPr>
        <w:ind w:firstLine="560" w:firstLineChars="200"/>
        <w:rPr>
          <w:rFonts w:ascii="仿宋" w:eastAsia="仿宋" w:hAnsi="仿宋" w:cs="仿宋" w:hint="eastAsia"/>
          <w:sz w:val="28"/>
        </w:rPr>
      </w:pPr>
      <w:r>
        <w:rPr>
          <w:rFonts w:ascii="仿宋" w:eastAsia="仿宋" w:hAnsi="仿宋" w:cs="仿宋" w:hint="eastAsia"/>
          <w:sz w:val="28"/>
          <w:lang w:eastAsia="zh-CN"/>
        </w:rPr>
        <w:t>事故难以完全避免，建立有效的应急响应机制是保障员工生命安全和减轻事故损失的关键。关键的步骤包括：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应急预案： 制定全面、详细的应急预案，包括各种可能的事故情景和应对措施。</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演练与培训： 定期进行应急演练，培训员工对于突发事件的正确反应。</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设备准备： 确保应急设备齐全，并得到定期检查和维护，确保其在紧急情况下能够正常使用。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通过建立完善的安全生产管理体系，企业能够更好地防范事故风险，保障员工的安全，同时提高生产效率和可持续经营的能力。这种系统性的管理有助于企业建立良好的安全形象，提高在员工和社会中的信任度。</w:t>
      </w:r>
    </w:p>
    <w:p>
      <w:pPr>
        <w:pStyle w:val="Heading2"/>
        <w:ind w:firstLine="560" w:firstLineChars="200"/>
        <w:rPr>
          <w:rFonts w:ascii="仿宋" w:eastAsia="仿宋" w:hAnsi="仿宋" w:cs="仿宋" w:hint="eastAsia"/>
          <w:sz w:val="28"/>
          <w:lang w:eastAsia="zh-CN"/>
        </w:rPr>
      </w:pPr>
      <w:bookmarkStart w:id="30" w:name="_Toc13008"/>
      <w:r>
        <w:rPr>
          <w:rFonts w:ascii="仿宋" w:eastAsia="仿宋" w:hAnsi="仿宋" w:cs="仿宋" w:hint="eastAsia"/>
          <w:sz w:val="28"/>
          <w:lang w:eastAsia="zh-CN"/>
        </w:rPr>
        <w:t>(六)、环境管理</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环境管理是指企业为了降低对环境的负面影响，推动可持续发展而采取的一系列组织、控制和监督措施的系统体系。建立有效的环境管理有助于企业实现经济、社会和环境的协调发展，符合可持续发展的理念。从法规遵从、环境影响评估、资源管理和改进与创新四个方面详细阐述环境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1. 法规遵从</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合规是企业环境管理的首要任务，确保企业的运营活动符合国家和地区的环境法规。关键的步骤包括：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法规监测： 持续关注国家和地区的环境法规，了解并熟悉与企业相关的法规要求。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合规评估： 定期对企业的运营活动进行合规评估，确保其符合法规的要求。</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法规培训： 对员工进行环境法规的培训，提高其对法规遵从的认知和理解。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环境影响评估是对企业活动对周围环境可能产生的影响进行全面评估的过程。关键的步骤包括：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评估范围确定： 确定评估的范围，包括涉及的业务、凝血分析试剂项目或产品。</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 收集与评估范围相关的环境数据，包括能耗、废物排放、水资源利用等。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影响评估： 评估企业活动对空气、水、土壤等环境要素可能产生的影响。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风险识别： 识别可能对环境产生负面影响的潜在风险，并制定相应的风险控制计划。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合理管理资源是环境管理的重要环节，包括能源、水资源、原材料等。关键的步骤包括：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制定能源管理计划，提高能源利用效率，减少能源浪费。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水资源管理： 设定水资源管理目标，减少用水量，推动水资源的可持续利用。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原材料管理： 优化原材料使用，减少对非可再生资源的依赖。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4. 改进与创新</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不断改进与创新是企业实现环境可持续发展的动力源。关键的步骤包括：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监测与测量： 确保对环境绩效的监测与测量得以实施，通过数据分析找到改进点。</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 制定并执行持续改进计划，包括技术更新、流程优化等。</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创新实践： 鼓励创新实践，寻找新的环保技术和方法，提高企业的环境绩效水平。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通过建立完善的环境管理体系，企业能够在降低对环境的影响的同时实现可持续经营。这种系统性的管理有助于企业提升社会责任感，提高在市场中的竞争力，实现经济、环保和社会效益的三重共赢。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31" w:name="_Toc32230"/>
      <w:r>
        <w:rPr>
          <w:rFonts w:ascii="仿宋" w:eastAsia="仿宋" w:hAnsi="仿宋" w:cs="仿宋" w:hint="eastAsia"/>
          <w:sz w:val="28"/>
          <w:lang w:eastAsia="zh-CN"/>
        </w:rPr>
        <w:t>(七)、设备维护与保养</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设备维护与保养是企业为确保设备正常运行、延长设备寿命、提高生产效率而采取的一系列管理和技术手段的综合体系。建立有效的设备维护与保养体系有助于降低设备故障率，提高生产效率，减少生产停工时间。从预防性维护、计划性保养、设备监控与诊断、技能培训四个方面详细阐述设备维护与保养。</w:t>
      </w:r>
    </w:p>
    <w:p>
      <w:pPr>
        <w:ind w:firstLine="560" w:firstLineChars="200"/>
        <w:rPr>
          <w:rFonts w:ascii="仿宋" w:eastAsia="仿宋" w:hAnsi="仿宋" w:cs="仿宋" w:hint="eastAsia"/>
          <w:sz w:val="28"/>
        </w:rPr>
      </w:pPr>
      <w:r>
        <w:rPr>
          <w:rFonts w:ascii="仿宋" w:eastAsia="仿宋" w:hAnsi="仿宋" w:cs="仿宋" w:hint="eastAsia"/>
          <w:sz w:val="28"/>
          <w:lang w:eastAsia="zh-CN"/>
        </w:rPr>
        <w:t>1. 预防性维护</w:t>
      </w:r>
    </w:p>
    <w:p>
      <w:pPr>
        <w:ind w:firstLine="560" w:firstLineChars="200"/>
        <w:rPr>
          <w:rFonts w:ascii="仿宋" w:eastAsia="仿宋" w:hAnsi="仿宋" w:cs="仿宋" w:hint="eastAsia"/>
          <w:sz w:val="28"/>
        </w:rPr>
      </w:pPr>
      <w:r>
        <w:rPr>
          <w:rFonts w:ascii="仿宋" w:eastAsia="仿宋" w:hAnsi="仿宋" w:cs="仿宋" w:hint="eastAsia"/>
          <w:sz w:val="28"/>
          <w:lang w:eastAsia="zh-CN"/>
        </w:rPr>
        <w:t>预防性维护是在设备出现故障之前通过检查、更换部件等手段，预防设备故障的发生。关键的步骤包括：</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定期检查： 制定设备定期检查的计划，对关键部件进行检查，发现潜在问题。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润滑和清洁： 定期对设备进行润滑和清洁，确保设备运转的顺畅。</w:t>
      </w:r>
    </w:p>
    <w:p>
      <w:pPr>
        <w:ind w:firstLine="560" w:firstLineChars="200"/>
        <w:rPr>
          <w:rFonts w:ascii="仿宋" w:eastAsia="仿宋" w:hAnsi="仿宋" w:cs="仿宋" w:hint="eastAsia"/>
          <w:sz w:val="28"/>
        </w:rPr>
      </w:pPr>
      <w:r>
        <w:rPr>
          <w:rFonts w:ascii="仿宋" w:eastAsia="仿宋" w:hAnsi="仿宋" w:cs="仿宋" w:hint="eastAsia"/>
          <w:sz w:val="28"/>
          <w:lang w:eastAsia="zh-CN"/>
        </w:rPr>
        <w:t>更换易损件： 根据设备使用寿命和工作强度，提前更换易损件，防止因部件老化而导致的故障。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计划性保养</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计划性保养是按照设定的保养计划和周期，对设备进行定期的保养维护。关键的步骤包括：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保养计划： 制定设备保养计划，明确保养的周期、内容和责任人。</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设备停机： 安排设备停机时间，进行必要的保养工作，确保设备在停机期间得到维护。</w:t>
      </w:r>
    </w:p>
    <w:p>
      <w:pPr>
        <w:ind w:firstLine="560" w:firstLineChars="200"/>
        <w:rPr>
          <w:rFonts w:ascii="仿宋" w:eastAsia="仿宋" w:hAnsi="仿宋" w:cs="仿宋" w:hint="eastAsia"/>
          <w:sz w:val="28"/>
        </w:rPr>
      </w:pPr>
      <w:r>
        <w:rPr>
          <w:rFonts w:ascii="仿宋" w:eastAsia="仿宋" w:hAnsi="仿宋" w:cs="仿宋" w:hint="eastAsia"/>
          <w:sz w:val="28"/>
          <w:lang w:eastAsia="zh-CN"/>
        </w:rPr>
        <w:t>记录与分析： 记录每次保养的情况，分析保养效果，为下一次保养提供参考。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设备监控与诊断</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设备监控与诊断是通过先进的监控技术，对设备运行状态进行实时监测和分析，及时发现异常并进行诊断。关键的步骤包括：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监测系统建立： 配备先进的监测系统，实时监测设备的运行状态，包括振动、温度、压力等参数。</w:t>
      </w:r>
    </w:p>
    <w:p>
      <w:pPr>
        <w:ind w:firstLine="560" w:firstLineChars="200"/>
        <w:rPr>
          <w:rFonts w:ascii="仿宋" w:eastAsia="仿宋" w:hAnsi="仿宋" w:cs="仿宋" w:hint="eastAsia"/>
          <w:sz w:val="28"/>
        </w:rPr>
      </w:pPr>
      <w:r>
        <w:rPr>
          <w:rFonts w:ascii="仿宋" w:eastAsia="仿宋" w:hAnsi="仿宋" w:cs="仿宋" w:hint="eastAsia"/>
          <w:sz w:val="28"/>
          <w:lang w:eastAsia="zh-CN"/>
        </w:rPr>
        <w:t>异常警报： 设立设备异常警报机制，一旦监测到异常，及时发出警报，通知相关人员进行处理。</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r>
        <w:rPr>
          <w:rFonts w:ascii="仿宋" w:eastAsia="仿宋" w:hAnsi="仿宋" w:cs="仿宋" w:hint="eastAsia"/>
          <w:sz w:val="28"/>
          <w:lang w:eastAsia="zh-CN"/>
        </w:rPr>
        <w:t>故障诊断： 针对监测到的异常，进行详细的故障诊断，找出问题的原因。</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技能培训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设备维护与保养需要操作人员具备一定的技能和知识，因此进行技能培训是非常重要的。关键的步骤包括：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制定设备维护与保养的培训计划，明确培训的内容和培训周期。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实操培训： 进行实际操作培训，提高操作人员对设备维护的操作技能。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更新知识： 定期更新培训内容，确保操作人员掌握最新的设备维护技术和知识。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通过建立完善的设备维护与保养体系，企业能够保障设备的正常运行，延长设备寿命，提高生产效率。这种系统性的管理有助于降低设备故障率，减少生产线停工时间，提高企业的竞争力。</w:t>
      </w:r>
    </w:p>
    <w:p>
      <w:pPr>
        <w:pStyle w:val="Heading2"/>
        <w:ind w:firstLine="560" w:firstLineChars="200"/>
        <w:rPr>
          <w:rFonts w:ascii="仿宋" w:eastAsia="仿宋" w:hAnsi="仿宋" w:cs="仿宋" w:hint="eastAsia"/>
          <w:sz w:val="28"/>
          <w:lang w:eastAsia="zh-CN"/>
        </w:rPr>
      </w:pPr>
      <w:bookmarkStart w:id="32" w:name="_Toc16835"/>
      <w:r>
        <w:rPr>
          <w:rFonts w:ascii="仿宋" w:eastAsia="仿宋" w:hAnsi="仿宋" w:cs="仿宋" w:hint="eastAsia"/>
          <w:sz w:val="28"/>
          <w:lang w:eastAsia="zh-CN"/>
        </w:rPr>
        <w:t>(八)、应急预案与处置</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1. 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风险评估是制定应急预案的第一步，它有助于了解潜在的风险和灾害，为应急预案的制定提供基础。关键的步骤包括：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识别潜在风险： 通过对企业运营过程的分析，识别可能导致灾害和突发事件的潜在风险。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风险分级： 对每个风险进行评估和分级，确定其对企业的影响程度和可能性。</w:t>
      </w:r>
    </w:p>
    <w:p>
      <w:pPr>
        <w:ind w:firstLine="560" w:firstLineChars="200"/>
        <w:rPr>
          <w:rFonts w:ascii="仿宋" w:eastAsia="仿宋" w:hAnsi="仿宋" w:cs="仿宋" w:hint="eastAsia"/>
          <w:sz w:val="28"/>
        </w:rPr>
        <w:sectPr>
          <w:headerReference w:type="default" r:id="rId88"/>
          <w:footerReference w:type="default" r:id="rId89"/>
          <w:type w:val="nextPage"/>
          <w:pgSz w:w="11906" w:h="16838"/>
          <w:pgMar w:top="1440" w:right="1800" w:bottom="1440" w:left="1800" w:header="851" w:footer="992" w:gutter="0"/>
          <w:pgNumType w:start="43"/>
          <w:cols w:num="1" w:space="425"/>
          <w:titlePg w:val="0"/>
          <w:docGrid w:type="lines" w:linePitch="312" w:charSpace="0"/>
        </w:sectPr>
      </w:pPr>
      <w:r>
        <w:rPr>
          <w:rFonts w:ascii="仿宋" w:eastAsia="仿宋" w:hAnsi="仿宋" w:cs="仿宋" w:hint="eastAsia"/>
          <w:sz w:val="28"/>
          <w:lang w:eastAsia="zh-CN"/>
        </w:rPr>
        <w:t>建立风险清单：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建立详细的风险清单，为制定应急预案提供清晰的参考。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应急预案制定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根据风险评估的结果，制定相应的应急预案是确保企业在突发事件发生时能够迅速、有序、有效应对的关键。关键的步骤包括：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明确责任与权限： 确定应急预案执行的责任人和各相关部门的权限，明确各自的任务。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流程规范： 制定应急处置流程，明确各个阶段的应急措施，确保流程的科学合理。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资源准备： 准备必要的资源，包括人员、物资、技术设备等，以应对各类紧急情况。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3. 演练与培训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应急预案的演练和培训是保障预案实施有效性的关键环节。通过定期演练和培训，能够提高员工的应急处理能力，熟悉应急程序。关键的步骤包括：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定期演练： 制定定期的应急演练计划，模拟各类突发事件，检验应急预案的实施效果。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 对员工进行应急处置培训，提高其对突发事件的应对能力。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评估与改进： 在演练后进行评估，发现问题并及时进行改进，提高应急处置的效率。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危机沟通</w:t>
      </w:r>
    </w:p>
    <w:p>
      <w:pPr>
        <w:ind w:firstLine="560" w:firstLineChars="200"/>
        <w:rPr>
          <w:rFonts w:ascii="仿宋" w:eastAsia="仿宋" w:hAnsi="仿宋" w:cs="仿宋" w:hint="eastAsia"/>
          <w:sz w:val="28"/>
        </w:rPr>
        <w:sectPr>
          <w:headerReference w:type="default" r:id="rId90"/>
          <w:footerReference w:type="default" r:id="rId91"/>
          <w:type w:val="nextPage"/>
          <w:pgSz w:w="11906" w:h="16838"/>
          <w:pgMar w:top="1440" w:right="1800" w:bottom="1440" w:left="1800" w:header="851" w:footer="992" w:gutter="0"/>
          <w:pgNumType w:start="4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在突发事件中，有效的危机沟通是确保信息传递和协调顺畅的关键。建立明确的危机沟通渠道和流程有助于提高应急响应的效率。关键的步骤包括：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建立沟通体系： 制定危机沟通体系，明确信息的传递渠道和责任人。</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信息发布： 设立信息发布机制，确保及时、准确地向员工、媒体和社会发布相关信息。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危机公关： 建立危机公关团队，协调处理与外界的沟通，保护企业的形象。</w:t>
      </w:r>
    </w:p>
    <w:p>
      <w:pPr>
        <w:pStyle w:val="Heading2"/>
        <w:ind w:firstLine="560" w:firstLineChars="200"/>
        <w:rPr>
          <w:rFonts w:ascii="仿宋" w:eastAsia="仿宋" w:hAnsi="仿宋" w:cs="仿宋" w:hint="eastAsia"/>
          <w:sz w:val="28"/>
          <w:lang w:eastAsia="zh-CN"/>
        </w:rPr>
      </w:pPr>
      <w:bookmarkStart w:id="33" w:name="_Toc13117"/>
      <w:r>
        <w:rPr>
          <w:rFonts w:ascii="仿宋" w:eastAsia="仿宋" w:hAnsi="仿宋" w:cs="仿宋" w:hint="eastAsia"/>
          <w:sz w:val="28"/>
          <w:lang w:eastAsia="zh-CN"/>
        </w:rPr>
        <w:t>(九)、绩效评估</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1. 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目标设定是绩效评估的起点，明确员工和团队在一定时期内需要完成的工作目标。关键的步骤包括：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明确目标： 制定具体、可衡量、可达到的工作目标，确保目标与企业战略一致。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与员工沟通： 目标设定需要与员工进行充分沟通，确保员工理解目标的重要性和期望。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设定时间： 为每个目标设定明确的时间期限，确保目标具有时间可控性。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绩效指标制定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绩效指标是评估员工工作表现的具体衡量标准，它需要与目标紧密关联。关键的步骤包括：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2" w:history="1">
        <w:r>
          <w:rPr>
            <w:rFonts w:ascii="SimSun" w:eastAsia="SimSun" w:hAnsi="SimSun" w:cs="SimSun"/>
            <w:b/>
            <w:bCs/>
            <w:color w:val="0000EE"/>
            <w:kern w:val="0"/>
            <w:sz w:val="30"/>
            <w:szCs w:val="30"/>
            <w:u w:val="single" w:color="0000EE"/>
          </w:rPr>
          <w:t>https://d.book118.com/295234233140011113</w:t>
        </w:r>
      </w:hyperlink>
    </w:p>
    <w:p>
      <w:pPr>
        <w:ind w:firstLine="560" w:firstLineChars="200"/>
        <w:rPr>
          <w:rFonts w:ascii="仿宋" w:eastAsia="仿宋" w:hAnsi="仿宋" w:cs="仿宋" w:hint="eastAsia"/>
          <w:sz w:val="28"/>
        </w:rPr>
      </w:pPr>
    </w:p>
    <w:sectPr>
      <w:headerReference w:type="default" r:id="rId93"/>
      <w:footerReference w:type="default" r:id="rId94"/>
      <w:type w:val="nextPage"/>
      <w:pgSz w:w="11906" w:h="16838"/>
      <w:pgMar w:top="1440" w:right="1800" w:bottom="1440" w:left="1800" w:header="851" w:footer="992" w:gutter="0"/>
      <w:pgNumType w:start="4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凝血分析试剂项目情况报告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凝血分析试剂项目情况报告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凝血分析试剂项目情况报告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凝血分析试剂项目情况报告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凝血分析试剂项目情况报告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凝血分析试剂项目情况报告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凝血分析试剂项目情况报告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凝血分析试剂项目情况报告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凝血分析试剂项目情况报告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凝血分析试剂项目情况报告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凝血分析试剂项目情况报告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凝血分析试剂项目情况报告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凝血分析试剂项目情况报告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凝血分析试剂项目情况报告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凝血分析试剂项目情况报告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凝血分析试剂项目情况报告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凝血分析试剂项目情况报告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凝血分析试剂项目情况报告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凝血分析试剂项目情况报告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凝血分析试剂项目情况报告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凝血分析试剂项目情况报告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凝血分析试剂项目情况报告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凝血分析试剂项目情况报告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凝血分析试剂项目情况报告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凝血分析试剂项目情况报告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凝血分析试剂项目情况报告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凝血分析试剂项目情况报告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凝血分析试剂项目情况报告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凝血分析试剂项目情况报告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凝血分析试剂项目情况报告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凝血分析试剂项目情况报告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凝血分析试剂项目情况报告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凝血分析试剂项目情况报告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凝血分析试剂项目情况报告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凝血分析试剂项目情况报告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凝血分析试剂项目情况报告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凝血分析试剂项目情况报告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凝血分析试剂项目情况报告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凝血分析试剂项目情况报告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凝血分析试剂项目情况报告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凝血分析试剂项目情况报告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凝血分析试剂项目情况报告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凝血分析试剂项目情况报告</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凝血分析试剂项目情况报告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凝血分析试剂项目情况报告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FC387C"/>
    <w:rsid w:val="59FC38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footer" Target="foot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4.xml" /><Relationship Id="rId92" Type="http://schemas.openxmlformats.org/officeDocument/2006/relationships/hyperlink" Target="https://d.book118.com/295234233140011113" TargetMode="Externa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2024-01-20T19:04:00Z</dcterms:created>
  <dcterms:modified xsi:type="dcterms:W3CDTF">2024-01-20T19:04:22Z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92371FBB7EFE41E6BEB9A813BB400392_11</vt:lpwstr>
  </property>
  <property fmtid="{D5CDD505-2E9C-101B-9397-08002B2CF9AE}" pid="3" name="KSOProductBuildVer">
    <vt:lpwstr>2052-12.1.0.16120</vt:lpwstr>
  </property>
</Properties>
</file>